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30622" w14:textId="77777777" w:rsidR="008B2CC1" w:rsidRPr="008B2CC1" w:rsidRDefault="00873EE5" w:rsidP="00F11D94">
      <w:pPr>
        <w:spacing w:after="120"/>
        <w:jc w:val="right"/>
      </w:pPr>
      <w:r>
        <w:rPr>
          <w:noProof/>
          <w:sz w:val="28"/>
          <w:szCs w:val="28"/>
          <w:lang w:eastAsia="en-US"/>
        </w:rPr>
        <w:drawing>
          <wp:inline distT="0" distB="0" distL="0" distR="0" wp14:anchorId="6AD1B589" wp14:editId="0A2E46CD">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2C5EEE08" wp14:editId="50DE6E4A">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63B8A24"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6DBF0EF4" w14:textId="475284F0" w:rsidR="008B2CC1" w:rsidRPr="001024FE" w:rsidRDefault="005F10BC" w:rsidP="001024FE">
      <w:pPr>
        <w:jc w:val="right"/>
        <w:rPr>
          <w:rFonts w:ascii="Arial Black" w:hAnsi="Arial Black"/>
          <w:caps/>
          <w:sz w:val="15"/>
          <w:szCs w:val="15"/>
        </w:rPr>
      </w:pPr>
      <w:r>
        <w:rPr>
          <w:rFonts w:ascii="Arial Black" w:hAnsi="Arial Black"/>
          <w:caps/>
          <w:sz w:val="15"/>
          <w:szCs w:val="15"/>
        </w:rPr>
        <w:t>a/6</w:t>
      </w:r>
      <w:r w:rsidR="00F8074C">
        <w:rPr>
          <w:rFonts w:ascii="Arial Black" w:hAnsi="Arial Black"/>
          <w:caps/>
          <w:sz w:val="15"/>
          <w:szCs w:val="15"/>
        </w:rPr>
        <w:t>6</w:t>
      </w:r>
      <w:r>
        <w:rPr>
          <w:rFonts w:ascii="Arial Black" w:hAnsi="Arial Black"/>
          <w:caps/>
          <w:sz w:val="15"/>
          <w:szCs w:val="15"/>
        </w:rPr>
        <w:t>/</w:t>
      </w:r>
      <w:bookmarkStart w:id="0" w:name="Code"/>
      <w:r w:rsidR="00B263BB">
        <w:rPr>
          <w:rFonts w:ascii="Arial Black" w:hAnsi="Arial Black"/>
          <w:caps/>
          <w:sz w:val="15"/>
          <w:szCs w:val="15"/>
        </w:rPr>
        <w:t>8</w:t>
      </w:r>
    </w:p>
    <w:bookmarkEnd w:id="0"/>
    <w:p w14:paraId="55ADA737" w14:textId="522BC51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2312E4">
        <w:rPr>
          <w:rFonts w:ascii="Arial Black" w:hAnsi="Arial Black"/>
          <w:caps/>
          <w:sz w:val="15"/>
          <w:szCs w:val="15"/>
        </w:rPr>
        <w:t xml:space="preserve"> </w:t>
      </w:r>
      <w:r w:rsidRPr="00CE65D4">
        <w:rPr>
          <w:rFonts w:ascii="Arial Black" w:hAnsi="Arial Black"/>
          <w:caps/>
          <w:sz w:val="15"/>
          <w:szCs w:val="15"/>
        </w:rPr>
        <w:t xml:space="preserve"> </w:t>
      </w:r>
      <w:bookmarkStart w:id="1" w:name="Original"/>
      <w:r w:rsidR="00C9293C">
        <w:rPr>
          <w:rFonts w:ascii="Arial Black" w:hAnsi="Arial Black"/>
          <w:caps/>
          <w:sz w:val="15"/>
          <w:szCs w:val="15"/>
        </w:rPr>
        <w:t xml:space="preserve">English </w:t>
      </w:r>
    </w:p>
    <w:bookmarkEnd w:id="1"/>
    <w:p w14:paraId="01F4DD80" w14:textId="6163B062" w:rsidR="008B2CC1" w:rsidRPr="00CE65D4" w:rsidRDefault="00CE65D4" w:rsidP="00CE65D4">
      <w:pPr>
        <w:spacing w:after="1200"/>
        <w:jc w:val="right"/>
        <w:rPr>
          <w:rFonts w:ascii="Arial Black" w:hAnsi="Arial Black"/>
          <w:caps/>
          <w:sz w:val="15"/>
          <w:szCs w:val="15"/>
        </w:rPr>
      </w:pPr>
      <w:r w:rsidRPr="005E74DD">
        <w:rPr>
          <w:rFonts w:ascii="Arial Black" w:hAnsi="Arial Black"/>
          <w:sz w:val="15"/>
          <w:szCs w:val="15"/>
        </w:rPr>
        <w:t>DATE</w:t>
      </w:r>
      <w:r w:rsidRPr="005E74DD">
        <w:rPr>
          <w:rFonts w:ascii="Arial Black" w:hAnsi="Arial Black"/>
          <w:caps/>
          <w:sz w:val="15"/>
          <w:szCs w:val="15"/>
        </w:rPr>
        <w:t>:</w:t>
      </w:r>
      <w:r w:rsidR="002312E4" w:rsidRPr="005E74DD">
        <w:rPr>
          <w:rFonts w:ascii="Arial Black" w:hAnsi="Arial Black"/>
          <w:caps/>
          <w:sz w:val="15"/>
          <w:szCs w:val="15"/>
        </w:rPr>
        <w:t xml:space="preserve"> </w:t>
      </w:r>
      <w:r w:rsidRPr="005E74DD">
        <w:rPr>
          <w:rFonts w:ascii="Arial Black" w:hAnsi="Arial Black"/>
          <w:caps/>
          <w:sz w:val="15"/>
          <w:szCs w:val="15"/>
        </w:rPr>
        <w:t xml:space="preserve"> </w:t>
      </w:r>
      <w:bookmarkStart w:id="2" w:name="Date"/>
      <w:r w:rsidR="00A31C8E" w:rsidRPr="005E74DD">
        <w:rPr>
          <w:rFonts w:ascii="Arial Black" w:hAnsi="Arial Black"/>
          <w:caps/>
          <w:sz w:val="15"/>
          <w:szCs w:val="15"/>
        </w:rPr>
        <w:t>June</w:t>
      </w:r>
      <w:r w:rsidR="00281A5D">
        <w:rPr>
          <w:rFonts w:ascii="Arial Black" w:hAnsi="Arial Black"/>
          <w:caps/>
          <w:sz w:val="15"/>
          <w:szCs w:val="15"/>
        </w:rPr>
        <w:t xml:space="preserve"> 11,</w:t>
      </w:r>
      <w:r w:rsidR="00C9293C" w:rsidRPr="005E74DD">
        <w:rPr>
          <w:rFonts w:ascii="Arial Black" w:hAnsi="Arial Black"/>
          <w:caps/>
          <w:sz w:val="15"/>
          <w:szCs w:val="15"/>
        </w:rPr>
        <w:t xml:space="preserve"> 2025</w:t>
      </w:r>
    </w:p>
    <w:bookmarkEnd w:id="2"/>
    <w:p w14:paraId="29E215EC" w14:textId="77777777" w:rsidR="008B2CC1" w:rsidRPr="003845C1" w:rsidRDefault="005F10BC" w:rsidP="00CE65D4">
      <w:pPr>
        <w:spacing w:after="600"/>
        <w:rPr>
          <w:b/>
          <w:sz w:val="28"/>
          <w:szCs w:val="28"/>
        </w:rPr>
      </w:pPr>
      <w:r w:rsidRPr="005F10BC">
        <w:rPr>
          <w:b/>
          <w:sz w:val="28"/>
          <w:szCs w:val="28"/>
        </w:rPr>
        <w:t>Assemblies of the Member States of WIPO</w:t>
      </w:r>
    </w:p>
    <w:p w14:paraId="616FCED5" w14:textId="77777777" w:rsidR="008B2CC1" w:rsidRPr="003845C1" w:rsidRDefault="005F10BC" w:rsidP="008B2CC1">
      <w:pPr>
        <w:rPr>
          <w:b/>
          <w:sz w:val="24"/>
          <w:szCs w:val="24"/>
        </w:rPr>
      </w:pPr>
      <w:r w:rsidRPr="005F10BC">
        <w:rPr>
          <w:b/>
          <w:sz w:val="24"/>
          <w:szCs w:val="24"/>
        </w:rPr>
        <w:t>Sixty</w:t>
      </w:r>
      <w:r w:rsidR="00813C5E">
        <w:rPr>
          <w:b/>
          <w:sz w:val="24"/>
          <w:szCs w:val="24"/>
        </w:rPr>
        <w:t>-</w:t>
      </w:r>
      <w:r w:rsidR="00F8074C" w:rsidRPr="00F8074C">
        <w:rPr>
          <w:b/>
          <w:sz w:val="24"/>
          <w:szCs w:val="24"/>
        </w:rPr>
        <w:t xml:space="preserve">Sixth </w:t>
      </w:r>
      <w:r w:rsidRPr="005F10BC">
        <w:rPr>
          <w:b/>
          <w:sz w:val="24"/>
          <w:szCs w:val="24"/>
        </w:rPr>
        <w:t>Series of Meetings</w:t>
      </w:r>
    </w:p>
    <w:p w14:paraId="195EB8E4" w14:textId="77777777" w:rsidR="008B2CC1" w:rsidRPr="009F3BF9" w:rsidRDefault="005F10BC" w:rsidP="00CE65D4">
      <w:pPr>
        <w:spacing w:after="720"/>
      </w:pPr>
      <w:r w:rsidRPr="005F10BC">
        <w:rPr>
          <w:b/>
          <w:sz w:val="24"/>
          <w:szCs w:val="24"/>
        </w:rPr>
        <w:t xml:space="preserve">Geneva, </w:t>
      </w:r>
      <w:r w:rsidR="008417FC" w:rsidRPr="005F10BC">
        <w:rPr>
          <w:b/>
          <w:sz w:val="24"/>
          <w:szCs w:val="24"/>
        </w:rPr>
        <w:t xml:space="preserve">July </w:t>
      </w:r>
      <w:r w:rsidR="00F8074C">
        <w:rPr>
          <w:b/>
          <w:sz w:val="24"/>
          <w:szCs w:val="24"/>
        </w:rPr>
        <w:t>8</w:t>
      </w:r>
      <w:r w:rsidR="008417FC" w:rsidRPr="005F10BC">
        <w:rPr>
          <w:b/>
          <w:sz w:val="24"/>
          <w:szCs w:val="24"/>
        </w:rPr>
        <w:t xml:space="preserve"> to 1</w:t>
      </w:r>
      <w:r w:rsidR="008417FC">
        <w:rPr>
          <w:b/>
          <w:sz w:val="24"/>
          <w:szCs w:val="24"/>
        </w:rPr>
        <w:t>7</w:t>
      </w:r>
      <w:r w:rsidR="008417FC" w:rsidRPr="005F10BC">
        <w:rPr>
          <w:b/>
          <w:sz w:val="24"/>
          <w:szCs w:val="24"/>
        </w:rPr>
        <w:t>, 202</w:t>
      </w:r>
      <w:r w:rsidR="00F8074C">
        <w:rPr>
          <w:b/>
          <w:sz w:val="24"/>
          <w:szCs w:val="24"/>
        </w:rPr>
        <w:t>5</w:t>
      </w:r>
    </w:p>
    <w:p w14:paraId="61E7D1CD" w14:textId="14312349" w:rsidR="008B2CC1" w:rsidRPr="009F3BF9" w:rsidRDefault="00C9293C" w:rsidP="00CE65D4">
      <w:pPr>
        <w:spacing w:after="360"/>
        <w:rPr>
          <w:caps/>
          <w:sz w:val="24"/>
        </w:rPr>
      </w:pPr>
      <w:bookmarkStart w:id="3" w:name="TitleOfDoc"/>
      <w:r>
        <w:rPr>
          <w:caps/>
          <w:sz w:val="24"/>
        </w:rPr>
        <w:t>Report on the Assistance and Support for Ukraine’s Innovation and Creativity Sector and Intellectual Property System</w:t>
      </w:r>
    </w:p>
    <w:p w14:paraId="1568908C" w14:textId="13DCC076" w:rsidR="008B2CC1" w:rsidRPr="004D39C4" w:rsidRDefault="00C9293C" w:rsidP="00CE65D4">
      <w:pPr>
        <w:spacing w:after="960"/>
        <w:rPr>
          <w:i/>
        </w:rPr>
      </w:pPr>
      <w:bookmarkStart w:id="4" w:name="Prepared"/>
      <w:bookmarkEnd w:id="3"/>
      <w:r>
        <w:rPr>
          <w:i/>
        </w:rPr>
        <w:t>prepared by the Secretariat</w:t>
      </w:r>
    </w:p>
    <w:bookmarkEnd w:id="4"/>
    <w:p w14:paraId="677E13FD" w14:textId="49F529AA" w:rsidR="00C9293C" w:rsidRDefault="00C9293C">
      <w:r>
        <w:br w:type="page"/>
      </w:r>
    </w:p>
    <w:p w14:paraId="245AA2D9" w14:textId="4756ECAE" w:rsidR="00DD26C6" w:rsidRDefault="007276AB">
      <w:pPr>
        <w:pStyle w:val="TOC1"/>
        <w:tabs>
          <w:tab w:val="left" w:pos="720"/>
          <w:tab w:val="right" w:leader="dot" w:pos="9345"/>
        </w:tabs>
        <w:rPr>
          <w:rFonts w:asciiTheme="minorHAnsi" w:eastAsiaTheme="minorEastAsia" w:hAnsiTheme="minorHAnsi" w:cstheme="minorBidi"/>
          <w:noProof/>
          <w:kern w:val="2"/>
          <w:sz w:val="24"/>
          <w:szCs w:val="24"/>
          <w:lang w:eastAsia="en-US"/>
          <w14:ligatures w14:val="standardContextual"/>
        </w:rPr>
      </w:pPr>
      <w:r>
        <w:rPr>
          <w:lang w:eastAsia="en-US"/>
        </w:rPr>
        <w:lastRenderedPageBreak/>
        <w:fldChar w:fldCharType="begin"/>
      </w:r>
      <w:r>
        <w:rPr>
          <w:lang w:eastAsia="en-US"/>
        </w:rPr>
        <w:instrText xml:space="preserve"> TOC \o "1-3" \h \z \u </w:instrText>
      </w:r>
      <w:r>
        <w:rPr>
          <w:lang w:eastAsia="en-US"/>
        </w:rPr>
        <w:fldChar w:fldCharType="separate"/>
      </w:r>
      <w:hyperlink w:anchor="_Toc200544978" w:history="1">
        <w:r w:rsidR="00DD26C6" w:rsidRPr="006E2986">
          <w:rPr>
            <w:rStyle w:val="Hyperlink"/>
            <w:noProof/>
            <w:lang w:eastAsia="en-US"/>
          </w:rPr>
          <w:t xml:space="preserve">1. </w:t>
        </w:r>
        <w:r w:rsidR="00DD26C6">
          <w:rPr>
            <w:rFonts w:asciiTheme="minorHAnsi" w:eastAsiaTheme="minorEastAsia" w:hAnsiTheme="minorHAnsi" w:cstheme="minorBidi"/>
            <w:noProof/>
            <w:kern w:val="2"/>
            <w:sz w:val="24"/>
            <w:szCs w:val="24"/>
            <w:lang w:eastAsia="en-US"/>
            <w14:ligatures w14:val="standardContextual"/>
          </w:rPr>
          <w:tab/>
        </w:r>
        <w:r w:rsidR="00DD26C6" w:rsidRPr="006E2986">
          <w:rPr>
            <w:rStyle w:val="Hyperlink"/>
            <w:noProof/>
            <w:lang w:eastAsia="en-US"/>
          </w:rPr>
          <w:t>EXECUTIVE SUMMARY</w:t>
        </w:r>
        <w:r w:rsidR="00DD26C6">
          <w:rPr>
            <w:noProof/>
            <w:webHidden/>
          </w:rPr>
          <w:tab/>
        </w:r>
        <w:r w:rsidR="00DD26C6">
          <w:rPr>
            <w:noProof/>
            <w:webHidden/>
          </w:rPr>
          <w:fldChar w:fldCharType="begin"/>
        </w:r>
        <w:r w:rsidR="00DD26C6">
          <w:rPr>
            <w:noProof/>
            <w:webHidden/>
          </w:rPr>
          <w:instrText xml:space="preserve"> PAGEREF _Toc200544978 \h </w:instrText>
        </w:r>
        <w:r w:rsidR="00DD26C6">
          <w:rPr>
            <w:noProof/>
            <w:webHidden/>
          </w:rPr>
        </w:r>
        <w:r w:rsidR="00DD26C6">
          <w:rPr>
            <w:noProof/>
            <w:webHidden/>
          </w:rPr>
          <w:fldChar w:fldCharType="separate"/>
        </w:r>
        <w:r w:rsidR="00842C14">
          <w:rPr>
            <w:noProof/>
            <w:webHidden/>
          </w:rPr>
          <w:t>4</w:t>
        </w:r>
        <w:r w:rsidR="00DD26C6">
          <w:rPr>
            <w:noProof/>
            <w:webHidden/>
          </w:rPr>
          <w:fldChar w:fldCharType="end"/>
        </w:r>
      </w:hyperlink>
    </w:p>
    <w:p w14:paraId="44261934" w14:textId="162BF239"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79" w:history="1">
        <w:r w:rsidRPr="006E2986">
          <w:rPr>
            <w:rStyle w:val="Hyperlink"/>
            <w:noProof/>
            <w:lang w:eastAsia="en-US"/>
          </w:rPr>
          <w:t>1.1.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Introduction</w:t>
        </w:r>
        <w:r>
          <w:rPr>
            <w:noProof/>
            <w:webHidden/>
          </w:rPr>
          <w:tab/>
        </w:r>
        <w:r>
          <w:rPr>
            <w:noProof/>
            <w:webHidden/>
          </w:rPr>
          <w:fldChar w:fldCharType="begin"/>
        </w:r>
        <w:r>
          <w:rPr>
            <w:noProof/>
            <w:webHidden/>
          </w:rPr>
          <w:instrText xml:space="preserve"> PAGEREF _Toc200544979 \h </w:instrText>
        </w:r>
        <w:r>
          <w:rPr>
            <w:noProof/>
            <w:webHidden/>
          </w:rPr>
        </w:r>
        <w:r>
          <w:rPr>
            <w:noProof/>
            <w:webHidden/>
          </w:rPr>
          <w:fldChar w:fldCharType="separate"/>
        </w:r>
        <w:r w:rsidR="00842C14">
          <w:rPr>
            <w:noProof/>
            <w:webHidden/>
          </w:rPr>
          <w:t>4</w:t>
        </w:r>
        <w:r>
          <w:rPr>
            <w:noProof/>
            <w:webHidden/>
          </w:rPr>
          <w:fldChar w:fldCharType="end"/>
        </w:r>
      </w:hyperlink>
    </w:p>
    <w:p w14:paraId="04A1A67A" w14:textId="516129EC"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0" w:history="1">
        <w:r w:rsidRPr="006E2986">
          <w:rPr>
            <w:rStyle w:val="Hyperlink"/>
            <w:noProof/>
            <w:lang w:eastAsia="en-US"/>
          </w:rPr>
          <w:t>1.2.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Summary</w:t>
        </w:r>
        <w:r>
          <w:rPr>
            <w:noProof/>
            <w:webHidden/>
          </w:rPr>
          <w:tab/>
        </w:r>
        <w:r>
          <w:rPr>
            <w:noProof/>
            <w:webHidden/>
          </w:rPr>
          <w:fldChar w:fldCharType="begin"/>
        </w:r>
        <w:r>
          <w:rPr>
            <w:noProof/>
            <w:webHidden/>
          </w:rPr>
          <w:instrText xml:space="preserve"> PAGEREF _Toc200544980 \h </w:instrText>
        </w:r>
        <w:r>
          <w:rPr>
            <w:noProof/>
            <w:webHidden/>
          </w:rPr>
        </w:r>
        <w:r>
          <w:rPr>
            <w:noProof/>
            <w:webHidden/>
          </w:rPr>
          <w:fldChar w:fldCharType="separate"/>
        </w:r>
        <w:r w:rsidR="00842C14">
          <w:rPr>
            <w:noProof/>
            <w:webHidden/>
          </w:rPr>
          <w:t>4</w:t>
        </w:r>
        <w:r>
          <w:rPr>
            <w:noProof/>
            <w:webHidden/>
          </w:rPr>
          <w:fldChar w:fldCharType="end"/>
        </w:r>
      </w:hyperlink>
    </w:p>
    <w:p w14:paraId="487C4DD8" w14:textId="5F971A5C" w:rsidR="00DD26C6" w:rsidRDefault="00DD26C6">
      <w:pPr>
        <w:pStyle w:val="TOC1"/>
        <w:tabs>
          <w:tab w:val="left" w:pos="72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1" w:history="1">
        <w:r w:rsidRPr="006E2986">
          <w:rPr>
            <w:rStyle w:val="Hyperlink"/>
            <w:noProof/>
            <w:lang w:eastAsia="en-US"/>
          </w:rPr>
          <w:t xml:space="preserve">2. </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ASSESSMENT OF IMPACTS OF THE WAR ON UKRAINE’S INNOVATION AND CREATIVITY SECTOR AND ECOSYSTEM</w:t>
        </w:r>
        <w:r>
          <w:rPr>
            <w:noProof/>
            <w:webHidden/>
          </w:rPr>
          <w:tab/>
        </w:r>
        <w:r>
          <w:rPr>
            <w:noProof/>
            <w:webHidden/>
          </w:rPr>
          <w:fldChar w:fldCharType="begin"/>
        </w:r>
        <w:r>
          <w:rPr>
            <w:noProof/>
            <w:webHidden/>
          </w:rPr>
          <w:instrText xml:space="preserve"> PAGEREF _Toc200544981 \h </w:instrText>
        </w:r>
        <w:r>
          <w:rPr>
            <w:noProof/>
            <w:webHidden/>
          </w:rPr>
        </w:r>
        <w:r>
          <w:rPr>
            <w:noProof/>
            <w:webHidden/>
          </w:rPr>
          <w:fldChar w:fldCharType="separate"/>
        </w:r>
        <w:r w:rsidR="00842C14">
          <w:rPr>
            <w:noProof/>
            <w:webHidden/>
          </w:rPr>
          <w:t>5</w:t>
        </w:r>
        <w:r>
          <w:rPr>
            <w:noProof/>
            <w:webHidden/>
          </w:rPr>
          <w:fldChar w:fldCharType="end"/>
        </w:r>
      </w:hyperlink>
    </w:p>
    <w:p w14:paraId="63C321CC" w14:textId="79CADD9D"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2" w:history="1">
        <w:r w:rsidRPr="006E2986">
          <w:rPr>
            <w:rStyle w:val="Hyperlink"/>
            <w:noProof/>
            <w:lang w:eastAsia="en-US"/>
          </w:rPr>
          <w:t>2.1.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Summary</w:t>
        </w:r>
        <w:r>
          <w:rPr>
            <w:noProof/>
            <w:webHidden/>
          </w:rPr>
          <w:tab/>
        </w:r>
        <w:r>
          <w:rPr>
            <w:noProof/>
            <w:webHidden/>
          </w:rPr>
          <w:fldChar w:fldCharType="begin"/>
        </w:r>
        <w:r>
          <w:rPr>
            <w:noProof/>
            <w:webHidden/>
          </w:rPr>
          <w:instrText xml:space="preserve"> PAGEREF _Toc200544982 \h </w:instrText>
        </w:r>
        <w:r>
          <w:rPr>
            <w:noProof/>
            <w:webHidden/>
          </w:rPr>
        </w:r>
        <w:r>
          <w:rPr>
            <w:noProof/>
            <w:webHidden/>
          </w:rPr>
          <w:fldChar w:fldCharType="separate"/>
        </w:r>
        <w:r w:rsidR="00842C14">
          <w:rPr>
            <w:noProof/>
            <w:webHidden/>
          </w:rPr>
          <w:t>5</w:t>
        </w:r>
        <w:r>
          <w:rPr>
            <w:noProof/>
            <w:webHidden/>
          </w:rPr>
          <w:fldChar w:fldCharType="end"/>
        </w:r>
      </w:hyperlink>
    </w:p>
    <w:p w14:paraId="4FF47024" w14:textId="03BC6A3E"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3" w:history="1">
        <w:r w:rsidRPr="006E2986">
          <w:rPr>
            <w:rStyle w:val="Hyperlink"/>
            <w:noProof/>
            <w:lang w:eastAsia="en-US"/>
          </w:rPr>
          <w:t xml:space="preserve">2.2 </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METHODOLOGY</w:t>
        </w:r>
        <w:r>
          <w:rPr>
            <w:noProof/>
            <w:webHidden/>
          </w:rPr>
          <w:tab/>
        </w:r>
        <w:r>
          <w:rPr>
            <w:noProof/>
            <w:webHidden/>
          </w:rPr>
          <w:fldChar w:fldCharType="begin"/>
        </w:r>
        <w:r>
          <w:rPr>
            <w:noProof/>
            <w:webHidden/>
          </w:rPr>
          <w:instrText xml:space="preserve"> PAGEREF _Toc200544983 \h </w:instrText>
        </w:r>
        <w:r>
          <w:rPr>
            <w:noProof/>
            <w:webHidden/>
          </w:rPr>
        </w:r>
        <w:r>
          <w:rPr>
            <w:noProof/>
            <w:webHidden/>
          </w:rPr>
          <w:fldChar w:fldCharType="separate"/>
        </w:r>
        <w:r w:rsidR="00842C14">
          <w:rPr>
            <w:noProof/>
            <w:webHidden/>
          </w:rPr>
          <w:t>7</w:t>
        </w:r>
        <w:r>
          <w:rPr>
            <w:noProof/>
            <w:webHidden/>
          </w:rPr>
          <w:fldChar w:fldCharType="end"/>
        </w:r>
      </w:hyperlink>
    </w:p>
    <w:p w14:paraId="6F7EF788" w14:textId="72EC920C"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4" w:history="1">
        <w:r w:rsidRPr="006E2986">
          <w:rPr>
            <w:rStyle w:val="Hyperlink"/>
            <w:noProof/>
            <w:lang w:eastAsia="en-US"/>
          </w:rPr>
          <w:t>2.3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Innovation and creative sector and ecosystem</w:t>
        </w:r>
        <w:r>
          <w:rPr>
            <w:noProof/>
            <w:webHidden/>
          </w:rPr>
          <w:tab/>
        </w:r>
        <w:r>
          <w:rPr>
            <w:noProof/>
            <w:webHidden/>
          </w:rPr>
          <w:fldChar w:fldCharType="begin"/>
        </w:r>
        <w:r>
          <w:rPr>
            <w:noProof/>
            <w:webHidden/>
          </w:rPr>
          <w:instrText xml:space="preserve"> PAGEREF _Toc200544984 \h </w:instrText>
        </w:r>
        <w:r>
          <w:rPr>
            <w:noProof/>
            <w:webHidden/>
          </w:rPr>
        </w:r>
        <w:r>
          <w:rPr>
            <w:noProof/>
            <w:webHidden/>
          </w:rPr>
          <w:fldChar w:fldCharType="separate"/>
        </w:r>
        <w:r w:rsidR="00842C14">
          <w:rPr>
            <w:noProof/>
            <w:webHidden/>
          </w:rPr>
          <w:t>8</w:t>
        </w:r>
        <w:r>
          <w:rPr>
            <w:noProof/>
            <w:webHidden/>
          </w:rPr>
          <w:fldChar w:fldCharType="end"/>
        </w:r>
      </w:hyperlink>
    </w:p>
    <w:p w14:paraId="74EB102B" w14:textId="5F002471"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5" w:history="1">
        <w:r w:rsidRPr="006E2986">
          <w:rPr>
            <w:rStyle w:val="Hyperlink"/>
            <w:noProof/>
            <w:lang w:eastAsia="en-US"/>
          </w:rPr>
          <w:t>2.3.1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Policy development</w:t>
        </w:r>
        <w:r>
          <w:rPr>
            <w:noProof/>
            <w:webHidden/>
          </w:rPr>
          <w:tab/>
        </w:r>
        <w:r>
          <w:rPr>
            <w:noProof/>
            <w:webHidden/>
          </w:rPr>
          <w:fldChar w:fldCharType="begin"/>
        </w:r>
        <w:r>
          <w:rPr>
            <w:noProof/>
            <w:webHidden/>
          </w:rPr>
          <w:instrText xml:space="preserve"> PAGEREF _Toc200544985 \h </w:instrText>
        </w:r>
        <w:r>
          <w:rPr>
            <w:noProof/>
            <w:webHidden/>
          </w:rPr>
        </w:r>
        <w:r>
          <w:rPr>
            <w:noProof/>
            <w:webHidden/>
          </w:rPr>
          <w:fldChar w:fldCharType="separate"/>
        </w:r>
        <w:r w:rsidR="00842C14">
          <w:rPr>
            <w:noProof/>
            <w:webHidden/>
          </w:rPr>
          <w:t>8</w:t>
        </w:r>
        <w:r>
          <w:rPr>
            <w:noProof/>
            <w:webHidden/>
          </w:rPr>
          <w:fldChar w:fldCharType="end"/>
        </w:r>
      </w:hyperlink>
    </w:p>
    <w:p w14:paraId="78D833E2" w14:textId="72F0AA8A"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6" w:history="1">
        <w:r w:rsidRPr="006E2986">
          <w:rPr>
            <w:rStyle w:val="Hyperlink"/>
            <w:noProof/>
            <w:lang w:eastAsia="en-US"/>
          </w:rPr>
          <w:t>2.3.2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Stakeholders responsible for the protection and enforcement of IP</w:t>
        </w:r>
        <w:r>
          <w:rPr>
            <w:noProof/>
            <w:webHidden/>
          </w:rPr>
          <w:tab/>
        </w:r>
        <w:r>
          <w:rPr>
            <w:noProof/>
            <w:webHidden/>
          </w:rPr>
          <w:fldChar w:fldCharType="begin"/>
        </w:r>
        <w:r>
          <w:rPr>
            <w:noProof/>
            <w:webHidden/>
          </w:rPr>
          <w:instrText xml:space="preserve"> PAGEREF _Toc200544986 \h </w:instrText>
        </w:r>
        <w:r>
          <w:rPr>
            <w:noProof/>
            <w:webHidden/>
          </w:rPr>
        </w:r>
        <w:r>
          <w:rPr>
            <w:noProof/>
            <w:webHidden/>
          </w:rPr>
          <w:fldChar w:fldCharType="separate"/>
        </w:r>
        <w:r w:rsidR="00842C14">
          <w:rPr>
            <w:noProof/>
            <w:webHidden/>
          </w:rPr>
          <w:t>9</w:t>
        </w:r>
        <w:r>
          <w:rPr>
            <w:noProof/>
            <w:webHidden/>
          </w:rPr>
          <w:fldChar w:fldCharType="end"/>
        </w:r>
      </w:hyperlink>
    </w:p>
    <w:p w14:paraId="194B6575" w14:textId="7A33A5B9"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7" w:history="1">
        <w:r w:rsidRPr="006E2986">
          <w:rPr>
            <w:rStyle w:val="Hyperlink"/>
            <w:noProof/>
            <w:lang w:eastAsia="en-US"/>
          </w:rPr>
          <w:t>2.3.3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Innovation support framework and innovative businesses</w:t>
        </w:r>
        <w:r>
          <w:rPr>
            <w:noProof/>
            <w:webHidden/>
          </w:rPr>
          <w:tab/>
        </w:r>
        <w:r>
          <w:rPr>
            <w:noProof/>
            <w:webHidden/>
          </w:rPr>
          <w:fldChar w:fldCharType="begin"/>
        </w:r>
        <w:r>
          <w:rPr>
            <w:noProof/>
            <w:webHidden/>
          </w:rPr>
          <w:instrText xml:space="preserve"> PAGEREF _Toc200544987 \h </w:instrText>
        </w:r>
        <w:r>
          <w:rPr>
            <w:noProof/>
            <w:webHidden/>
          </w:rPr>
        </w:r>
        <w:r>
          <w:rPr>
            <w:noProof/>
            <w:webHidden/>
          </w:rPr>
          <w:fldChar w:fldCharType="separate"/>
        </w:r>
        <w:r w:rsidR="00842C14">
          <w:rPr>
            <w:noProof/>
            <w:webHidden/>
          </w:rPr>
          <w:t>10</w:t>
        </w:r>
        <w:r>
          <w:rPr>
            <w:noProof/>
            <w:webHidden/>
          </w:rPr>
          <w:fldChar w:fldCharType="end"/>
        </w:r>
      </w:hyperlink>
    </w:p>
    <w:p w14:paraId="7C7FF2D2" w14:textId="10DCF801"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8" w:history="1">
        <w:r w:rsidRPr="006E2986">
          <w:rPr>
            <w:rStyle w:val="Hyperlink"/>
            <w:noProof/>
            <w:lang w:eastAsia="en-US"/>
          </w:rPr>
          <w:t>2.3.4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Educational and research institutions</w:t>
        </w:r>
        <w:r>
          <w:rPr>
            <w:noProof/>
            <w:webHidden/>
          </w:rPr>
          <w:tab/>
        </w:r>
        <w:r>
          <w:rPr>
            <w:noProof/>
            <w:webHidden/>
          </w:rPr>
          <w:fldChar w:fldCharType="begin"/>
        </w:r>
        <w:r>
          <w:rPr>
            <w:noProof/>
            <w:webHidden/>
          </w:rPr>
          <w:instrText xml:space="preserve"> PAGEREF _Toc200544988 \h </w:instrText>
        </w:r>
        <w:r>
          <w:rPr>
            <w:noProof/>
            <w:webHidden/>
          </w:rPr>
        </w:r>
        <w:r>
          <w:rPr>
            <w:noProof/>
            <w:webHidden/>
          </w:rPr>
          <w:fldChar w:fldCharType="separate"/>
        </w:r>
        <w:r w:rsidR="00842C14">
          <w:rPr>
            <w:noProof/>
            <w:webHidden/>
          </w:rPr>
          <w:t>12</w:t>
        </w:r>
        <w:r>
          <w:rPr>
            <w:noProof/>
            <w:webHidden/>
          </w:rPr>
          <w:fldChar w:fldCharType="end"/>
        </w:r>
      </w:hyperlink>
    </w:p>
    <w:p w14:paraId="539360C4" w14:textId="0E4DD218"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89" w:history="1">
        <w:r w:rsidRPr="006E2986">
          <w:rPr>
            <w:rStyle w:val="Hyperlink"/>
            <w:noProof/>
            <w:lang w:eastAsia="en-US"/>
          </w:rPr>
          <w:t>2.3.5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Technology Innovation Support Centers (TISCs)</w:t>
        </w:r>
        <w:r>
          <w:rPr>
            <w:noProof/>
            <w:webHidden/>
          </w:rPr>
          <w:tab/>
        </w:r>
        <w:r>
          <w:rPr>
            <w:noProof/>
            <w:webHidden/>
          </w:rPr>
          <w:fldChar w:fldCharType="begin"/>
        </w:r>
        <w:r>
          <w:rPr>
            <w:noProof/>
            <w:webHidden/>
          </w:rPr>
          <w:instrText xml:space="preserve"> PAGEREF _Toc200544989 \h </w:instrText>
        </w:r>
        <w:r>
          <w:rPr>
            <w:noProof/>
            <w:webHidden/>
          </w:rPr>
        </w:r>
        <w:r>
          <w:rPr>
            <w:noProof/>
            <w:webHidden/>
          </w:rPr>
          <w:fldChar w:fldCharType="separate"/>
        </w:r>
        <w:r w:rsidR="00842C14">
          <w:rPr>
            <w:noProof/>
            <w:webHidden/>
          </w:rPr>
          <w:t>14</w:t>
        </w:r>
        <w:r>
          <w:rPr>
            <w:noProof/>
            <w:webHidden/>
          </w:rPr>
          <w:fldChar w:fldCharType="end"/>
        </w:r>
      </w:hyperlink>
    </w:p>
    <w:p w14:paraId="57F4306B" w14:textId="715D49F7"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0" w:history="1">
        <w:r w:rsidRPr="006E2986">
          <w:rPr>
            <w:rStyle w:val="Hyperlink"/>
            <w:noProof/>
            <w:lang w:eastAsia="en-US"/>
          </w:rPr>
          <w:t>2.3.6</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Creative Sector</w:t>
        </w:r>
        <w:r>
          <w:rPr>
            <w:noProof/>
            <w:webHidden/>
          </w:rPr>
          <w:tab/>
        </w:r>
        <w:r>
          <w:rPr>
            <w:noProof/>
            <w:webHidden/>
          </w:rPr>
          <w:fldChar w:fldCharType="begin"/>
        </w:r>
        <w:r>
          <w:rPr>
            <w:noProof/>
            <w:webHidden/>
          </w:rPr>
          <w:instrText xml:space="preserve"> PAGEREF _Toc200544990 \h </w:instrText>
        </w:r>
        <w:r>
          <w:rPr>
            <w:noProof/>
            <w:webHidden/>
          </w:rPr>
        </w:r>
        <w:r>
          <w:rPr>
            <w:noProof/>
            <w:webHidden/>
          </w:rPr>
          <w:fldChar w:fldCharType="separate"/>
        </w:r>
        <w:r w:rsidR="00842C14">
          <w:rPr>
            <w:noProof/>
            <w:webHidden/>
          </w:rPr>
          <w:t>15</w:t>
        </w:r>
        <w:r>
          <w:rPr>
            <w:noProof/>
            <w:webHidden/>
          </w:rPr>
          <w:fldChar w:fldCharType="end"/>
        </w:r>
      </w:hyperlink>
    </w:p>
    <w:p w14:paraId="4DF26451" w14:textId="7DBBE6BC"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1" w:history="1">
        <w:r w:rsidRPr="006E2986">
          <w:rPr>
            <w:rStyle w:val="Hyperlink"/>
            <w:noProof/>
            <w:lang w:eastAsia="en-US"/>
          </w:rPr>
          <w:t>2.4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Analysis of the Innovation Performance of Ukraine through the Global Innovation Index (GII)</w:t>
        </w:r>
        <w:r>
          <w:rPr>
            <w:noProof/>
            <w:webHidden/>
          </w:rPr>
          <w:tab/>
        </w:r>
        <w:r>
          <w:rPr>
            <w:noProof/>
            <w:webHidden/>
          </w:rPr>
          <w:fldChar w:fldCharType="begin"/>
        </w:r>
        <w:r>
          <w:rPr>
            <w:noProof/>
            <w:webHidden/>
          </w:rPr>
          <w:instrText xml:space="preserve"> PAGEREF _Toc200544991 \h </w:instrText>
        </w:r>
        <w:r>
          <w:rPr>
            <w:noProof/>
            <w:webHidden/>
          </w:rPr>
        </w:r>
        <w:r>
          <w:rPr>
            <w:noProof/>
            <w:webHidden/>
          </w:rPr>
          <w:fldChar w:fldCharType="separate"/>
        </w:r>
        <w:r w:rsidR="00842C14">
          <w:rPr>
            <w:noProof/>
            <w:webHidden/>
          </w:rPr>
          <w:t>17</w:t>
        </w:r>
        <w:r>
          <w:rPr>
            <w:noProof/>
            <w:webHidden/>
          </w:rPr>
          <w:fldChar w:fldCharType="end"/>
        </w:r>
      </w:hyperlink>
    </w:p>
    <w:p w14:paraId="66FF6365" w14:textId="5D236AA0"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2" w:history="1">
        <w:r w:rsidRPr="006E2986">
          <w:rPr>
            <w:rStyle w:val="Hyperlink"/>
            <w:noProof/>
            <w:lang w:eastAsia="en-US"/>
          </w:rPr>
          <w:t>2.4.1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Summary</w:t>
        </w:r>
        <w:r>
          <w:rPr>
            <w:noProof/>
            <w:webHidden/>
          </w:rPr>
          <w:tab/>
        </w:r>
        <w:r>
          <w:rPr>
            <w:noProof/>
            <w:webHidden/>
          </w:rPr>
          <w:fldChar w:fldCharType="begin"/>
        </w:r>
        <w:r>
          <w:rPr>
            <w:noProof/>
            <w:webHidden/>
          </w:rPr>
          <w:instrText xml:space="preserve"> PAGEREF _Toc200544992 \h </w:instrText>
        </w:r>
        <w:r>
          <w:rPr>
            <w:noProof/>
            <w:webHidden/>
          </w:rPr>
        </w:r>
        <w:r>
          <w:rPr>
            <w:noProof/>
            <w:webHidden/>
          </w:rPr>
          <w:fldChar w:fldCharType="separate"/>
        </w:r>
        <w:r w:rsidR="00842C14">
          <w:rPr>
            <w:noProof/>
            <w:webHidden/>
          </w:rPr>
          <w:t>17</w:t>
        </w:r>
        <w:r>
          <w:rPr>
            <w:noProof/>
            <w:webHidden/>
          </w:rPr>
          <w:fldChar w:fldCharType="end"/>
        </w:r>
      </w:hyperlink>
    </w:p>
    <w:p w14:paraId="6E951013" w14:textId="34ED0D30"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3" w:history="1">
        <w:r w:rsidRPr="006E2986">
          <w:rPr>
            <w:rStyle w:val="Hyperlink"/>
            <w:noProof/>
            <w:lang w:eastAsia="en-US"/>
          </w:rPr>
          <w:t>2.4.2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Overall Ranking and Income Group Placement</w:t>
        </w:r>
        <w:r>
          <w:rPr>
            <w:noProof/>
            <w:webHidden/>
          </w:rPr>
          <w:tab/>
        </w:r>
        <w:r>
          <w:rPr>
            <w:noProof/>
            <w:webHidden/>
          </w:rPr>
          <w:fldChar w:fldCharType="begin"/>
        </w:r>
        <w:r>
          <w:rPr>
            <w:noProof/>
            <w:webHidden/>
          </w:rPr>
          <w:instrText xml:space="preserve"> PAGEREF _Toc200544993 \h </w:instrText>
        </w:r>
        <w:r>
          <w:rPr>
            <w:noProof/>
            <w:webHidden/>
          </w:rPr>
        </w:r>
        <w:r>
          <w:rPr>
            <w:noProof/>
            <w:webHidden/>
          </w:rPr>
          <w:fldChar w:fldCharType="separate"/>
        </w:r>
        <w:r w:rsidR="00842C14">
          <w:rPr>
            <w:noProof/>
            <w:webHidden/>
          </w:rPr>
          <w:t>17</w:t>
        </w:r>
        <w:r>
          <w:rPr>
            <w:noProof/>
            <w:webHidden/>
          </w:rPr>
          <w:fldChar w:fldCharType="end"/>
        </w:r>
      </w:hyperlink>
    </w:p>
    <w:p w14:paraId="6796A8CE" w14:textId="4C21A135"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4" w:history="1">
        <w:r w:rsidRPr="006E2986">
          <w:rPr>
            <w:rStyle w:val="Hyperlink"/>
            <w:noProof/>
            <w:lang w:eastAsia="en-US"/>
          </w:rPr>
          <w:t>2.4.3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GII 2025 – Trends by Selected Indicators</w:t>
        </w:r>
        <w:r>
          <w:rPr>
            <w:noProof/>
            <w:webHidden/>
          </w:rPr>
          <w:tab/>
        </w:r>
        <w:r>
          <w:rPr>
            <w:noProof/>
            <w:webHidden/>
          </w:rPr>
          <w:fldChar w:fldCharType="begin"/>
        </w:r>
        <w:r>
          <w:rPr>
            <w:noProof/>
            <w:webHidden/>
          </w:rPr>
          <w:instrText xml:space="preserve"> PAGEREF _Toc200544994 \h </w:instrText>
        </w:r>
        <w:r>
          <w:rPr>
            <w:noProof/>
            <w:webHidden/>
          </w:rPr>
        </w:r>
        <w:r>
          <w:rPr>
            <w:noProof/>
            <w:webHidden/>
          </w:rPr>
          <w:fldChar w:fldCharType="separate"/>
        </w:r>
        <w:r w:rsidR="00842C14">
          <w:rPr>
            <w:noProof/>
            <w:webHidden/>
          </w:rPr>
          <w:t>18</w:t>
        </w:r>
        <w:r>
          <w:rPr>
            <w:noProof/>
            <w:webHidden/>
          </w:rPr>
          <w:fldChar w:fldCharType="end"/>
        </w:r>
      </w:hyperlink>
    </w:p>
    <w:p w14:paraId="19D6C313" w14:textId="49F01174"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5" w:history="1">
        <w:r w:rsidRPr="006E2986">
          <w:rPr>
            <w:rStyle w:val="Hyperlink"/>
            <w:noProof/>
            <w:lang w:eastAsia="en-US"/>
          </w:rPr>
          <w:t>2.5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Intellectual Property filing trends</w:t>
        </w:r>
        <w:r>
          <w:rPr>
            <w:noProof/>
            <w:webHidden/>
          </w:rPr>
          <w:tab/>
        </w:r>
        <w:r>
          <w:rPr>
            <w:noProof/>
            <w:webHidden/>
          </w:rPr>
          <w:fldChar w:fldCharType="begin"/>
        </w:r>
        <w:r>
          <w:rPr>
            <w:noProof/>
            <w:webHidden/>
          </w:rPr>
          <w:instrText xml:space="preserve"> PAGEREF _Toc200544995 \h </w:instrText>
        </w:r>
        <w:r>
          <w:rPr>
            <w:noProof/>
            <w:webHidden/>
          </w:rPr>
        </w:r>
        <w:r>
          <w:rPr>
            <w:noProof/>
            <w:webHidden/>
          </w:rPr>
          <w:fldChar w:fldCharType="separate"/>
        </w:r>
        <w:r w:rsidR="00842C14">
          <w:rPr>
            <w:noProof/>
            <w:webHidden/>
          </w:rPr>
          <w:t>24</w:t>
        </w:r>
        <w:r>
          <w:rPr>
            <w:noProof/>
            <w:webHidden/>
          </w:rPr>
          <w:fldChar w:fldCharType="end"/>
        </w:r>
      </w:hyperlink>
    </w:p>
    <w:p w14:paraId="5F067A61" w14:textId="755A144C"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6" w:history="1">
        <w:r w:rsidRPr="006E2986">
          <w:rPr>
            <w:rStyle w:val="Hyperlink"/>
            <w:noProof/>
            <w:lang w:eastAsia="en-US"/>
          </w:rPr>
          <w:t>2.5.1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National Filings</w:t>
        </w:r>
        <w:r>
          <w:rPr>
            <w:noProof/>
            <w:webHidden/>
          </w:rPr>
          <w:tab/>
        </w:r>
        <w:r>
          <w:rPr>
            <w:noProof/>
            <w:webHidden/>
          </w:rPr>
          <w:fldChar w:fldCharType="begin"/>
        </w:r>
        <w:r>
          <w:rPr>
            <w:noProof/>
            <w:webHidden/>
          </w:rPr>
          <w:instrText xml:space="preserve"> PAGEREF _Toc200544996 \h </w:instrText>
        </w:r>
        <w:r>
          <w:rPr>
            <w:noProof/>
            <w:webHidden/>
          </w:rPr>
        </w:r>
        <w:r>
          <w:rPr>
            <w:noProof/>
            <w:webHidden/>
          </w:rPr>
          <w:fldChar w:fldCharType="separate"/>
        </w:r>
        <w:r w:rsidR="00842C14">
          <w:rPr>
            <w:noProof/>
            <w:webHidden/>
          </w:rPr>
          <w:t>24</w:t>
        </w:r>
        <w:r>
          <w:rPr>
            <w:noProof/>
            <w:webHidden/>
          </w:rPr>
          <w:fldChar w:fldCharType="end"/>
        </w:r>
      </w:hyperlink>
    </w:p>
    <w:p w14:paraId="1691CA36" w14:textId="12AD67A7"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7" w:history="1">
        <w:r w:rsidRPr="006E2986">
          <w:rPr>
            <w:rStyle w:val="Hyperlink"/>
            <w:noProof/>
            <w:lang w:eastAsia="en-US"/>
          </w:rPr>
          <w:t>2.5.2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International Filings</w:t>
        </w:r>
        <w:r>
          <w:rPr>
            <w:noProof/>
            <w:webHidden/>
          </w:rPr>
          <w:tab/>
        </w:r>
        <w:r>
          <w:rPr>
            <w:noProof/>
            <w:webHidden/>
          </w:rPr>
          <w:fldChar w:fldCharType="begin"/>
        </w:r>
        <w:r>
          <w:rPr>
            <w:noProof/>
            <w:webHidden/>
          </w:rPr>
          <w:instrText xml:space="preserve"> PAGEREF _Toc200544997 \h </w:instrText>
        </w:r>
        <w:r>
          <w:rPr>
            <w:noProof/>
            <w:webHidden/>
          </w:rPr>
        </w:r>
        <w:r>
          <w:rPr>
            <w:noProof/>
            <w:webHidden/>
          </w:rPr>
          <w:fldChar w:fldCharType="separate"/>
        </w:r>
        <w:r w:rsidR="00842C14">
          <w:rPr>
            <w:noProof/>
            <w:webHidden/>
          </w:rPr>
          <w:t>25</w:t>
        </w:r>
        <w:r>
          <w:rPr>
            <w:noProof/>
            <w:webHidden/>
          </w:rPr>
          <w:fldChar w:fldCharType="end"/>
        </w:r>
      </w:hyperlink>
    </w:p>
    <w:p w14:paraId="72072D77" w14:textId="3233F19F" w:rsidR="00DD26C6" w:rsidRDefault="00DD26C6">
      <w:pPr>
        <w:pStyle w:val="TOC3"/>
        <w:tabs>
          <w:tab w:val="left" w:pos="1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8" w:history="1">
        <w:r w:rsidRPr="006E2986">
          <w:rPr>
            <w:rStyle w:val="Hyperlink"/>
            <w:noProof/>
            <w:lang w:eastAsia="en-US"/>
          </w:rPr>
          <w:t>2.5.2.1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Patent Cooperation Treaty (PCT)</w:t>
        </w:r>
        <w:r>
          <w:rPr>
            <w:noProof/>
            <w:webHidden/>
          </w:rPr>
          <w:tab/>
        </w:r>
        <w:r>
          <w:rPr>
            <w:noProof/>
            <w:webHidden/>
          </w:rPr>
          <w:fldChar w:fldCharType="begin"/>
        </w:r>
        <w:r>
          <w:rPr>
            <w:noProof/>
            <w:webHidden/>
          </w:rPr>
          <w:instrText xml:space="preserve"> PAGEREF _Toc200544998 \h </w:instrText>
        </w:r>
        <w:r>
          <w:rPr>
            <w:noProof/>
            <w:webHidden/>
          </w:rPr>
        </w:r>
        <w:r>
          <w:rPr>
            <w:noProof/>
            <w:webHidden/>
          </w:rPr>
          <w:fldChar w:fldCharType="separate"/>
        </w:r>
        <w:r w:rsidR="00842C14">
          <w:rPr>
            <w:noProof/>
            <w:webHidden/>
          </w:rPr>
          <w:t>25</w:t>
        </w:r>
        <w:r>
          <w:rPr>
            <w:noProof/>
            <w:webHidden/>
          </w:rPr>
          <w:fldChar w:fldCharType="end"/>
        </w:r>
      </w:hyperlink>
    </w:p>
    <w:p w14:paraId="186822BF" w14:textId="1431DDF5" w:rsidR="00DD26C6" w:rsidRDefault="00DD26C6">
      <w:pPr>
        <w:pStyle w:val="TOC3"/>
        <w:tabs>
          <w:tab w:val="left" w:pos="1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4999" w:history="1">
        <w:r w:rsidRPr="006E2986">
          <w:rPr>
            <w:rStyle w:val="Hyperlink"/>
            <w:noProof/>
            <w:lang w:eastAsia="en-US"/>
          </w:rPr>
          <w:t>2.5.2.3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Madrid System</w:t>
        </w:r>
        <w:r>
          <w:rPr>
            <w:noProof/>
            <w:webHidden/>
          </w:rPr>
          <w:tab/>
        </w:r>
        <w:r>
          <w:rPr>
            <w:noProof/>
            <w:webHidden/>
          </w:rPr>
          <w:fldChar w:fldCharType="begin"/>
        </w:r>
        <w:r>
          <w:rPr>
            <w:noProof/>
            <w:webHidden/>
          </w:rPr>
          <w:instrText xml:space="preserve"> PAGEREF _Toc200544999 \h </w:instrText>
        </w:r>
        <w:r>
          <w:rPr>
            <w:noProof/>
            <w:webHidden/>
          </w:rPr>
        </w:r>
        <w:r>
          <w:rPr>
            <w:noProof/>
            <w:webHidden/>
          </w:rPr>
          <w:fldChar w:fldCharType="separate"/>
        </w:r>
        <w:r w:rsidR="00842C14">
          <w:rPr>
            <w:noProof/>
            <w:webHidden/>
          </w:rPr>
          <w:t>26</w:t>
        </w:r>
        <w:r>
          <w:rPr>
            <w:noProof/>
            <w:webHidden/>
          </w:rPr>
          <w:fldChar w:fldCharType="end"/>
        </w:r>
      </w:hyperlink>
    </w:p>
    <w:p w14:paraId="6E09BE3E" w14:textId="712CC0C7" w:rsidR="00DD26C6" w:rsidRDefault="00DD26C6">
      <w:pPr>
        <w:pStyle w:val="TOC3"/>
        <w:tabs>
          <w:tab w:val="left" w:pos="1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0" w:history="1">
        <w:r w:rsidRPr="006E2986">
          <w:rPr>
            <w:rStyle w:val="Hyperlink"/>
            <w:noProof/>
            <w:lang w:eastAsia="en-US"/>
          </w:rPr>
          <w:t>2.5.2.4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Hague System</w:t>
        </w:r>
        <w:r>
          <w:rPr>
            <w:noProof/>
            <w:webHidden/>
          </w:rPr>
          <w:tab/>
        </w:r>
        <w:r>
          <w:rPr>
            <w:noProof/>
            <w:webHidden/>
          </w:rPr>
          <w:fldChar w:fldCharType="begin"/>
        </w:r>
        <w:r>
          <w:rPr>
            <w:noProof/>
            <w:webHidden/>
          </w:rPr>
          <w:instrText xml:space="preserve"> PAGEREF _Toc200545000 \h </w:instrText>
        </w:r>
        <w:r>
          <w:rPr>
            <w:noProof/>
            <w:webHidden/>
          </w:rPr>
        </w:r>
        <w:r>
          <w:rPr>
            <w:noProof/>
            <w:webHidden/>
          </w:rPr>
          <w:fldChar w:fldCharType="separate"/>
        </w:r>
        <w:r w:rsidR="00842C14">
          <w:rPr>
            <w:noProof/>
            <w:webHidden/>
          </w:rPr>
          <w:t>26</w:t>
        </w:r>
        <w:r>
          <w:rPr>
            <w:noProof/>
            <w:webHidden/>
          </w:rPr>
          <w:fldChar w:fldCharType="end"/>
        </w:r>
      </w:hyperlink>
    </w:p>
    <w:p w14:paraId="06D44DF5" w14:textId="0B91661D" w:rsidR="00DD26C6" w:rsidRDefault="00DD26C6">
      <w:pPr>
        <w:pStyle w:val="TOC1"/>
        <w:tabs>
          <w:tab w:val="left" w:pos="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1" w:history="1">
        <w:r w:rsidRPr="006E2986">
          <w:rPr>
            <w:rStyle w:val="Hyperlink"/>
            <w:noProof/>
            <w:lang w:eastAsia="en-US"/>
          </w:rPr>
          <w:t>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WIPO’s ASSISTANCE AND SUPPORT FOR UKRAINE’S INNOVATION AND CREATIVITY SECTOR AND INTELLECTUAL PROPERTY SYSTEM</w:t>
        </w:r>
        <w:r>
          <w:rPr>
            <w:noProof/>
            <w:webHidden/>
          </w:rPr>
          <w:tab/>
        </w:r>
        <w:r>
          <w:rPr>
            <w:noProof/>
            <w:webHidden/>
          </w:rPr>
          <w:fldChar w:fldCharType="begin"/>
        </w:r>
        <w:r>
          <w:rPr>
            <w:noProof/>
            <w:webHidden/>
          </w:rPr>
          <w:instrText xml:space="preserve"> PAGEREF _Toc200545001 \h </w:instrText>
        </w:r>
        <w:r>
          <w:rPr>
            <w:noProof/>
            <w:webHidden/>
          </w:rPr>
        </w:r>
        <w:r>
          <w:rPr>
            <w:noProof/>
            <w:webHidden/>
          </w:rPr>
          <w:fldChar w:fldCharType="separate"/>
        </w:r>
        <w:r w:rsidR="00842C14">
          <w:rPr>
            <w:noProof/>
            <w:webHidden/>
          </w:rPr>
          <w:t>27</w:t>
        </w:r>
        <w:r>
          <w:rPr>
            <w:noProof/>
            <w:webHidden/>
          </w:rPr>
          <w:fldChar w:fldCharType="end"/>
        </w:r>
      </w:hyperlink>
    </w:p>
    <w:p w14:paraId="19BF662E" w14:textId="1F15A856"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2" w:history="1">
        <w:r w:rsidRPr="006E2986">
          <w:rPr>
            <w:rStyle w:val="Hyperlink"/>
            <w:noProof/>
            <w:lang w:eastAsia="en-US"/>
          </w:rPr>
          <w:t>3.1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Implementation of the Memorandum of Understanding (MoU) between WIPO and the Ministry of Economy of Ukraine on Cooperation in the Sphere of Intellectual Property</w:t>
        </w:r>
        <w:r>
          <w:rPr>
            <w:noProof/>
            <w:webHidden/>
          </w:rPr>
          <w:tab/>
        </w:r>
        <w:r>
          <w:rPr>
            <w:noProof/>
            <w:webHidden/>
          </w:rPr>
          <w:fldChar w:fldCharType="begin"/>
        </w:r>
        <w:r>
          <w:rPr>
            <w:noProof/>
            <w:webHidden/>
          </w:rPr>
          <w:instrText xml:space="preserve"> PAGEREF _Toc200545002 \h </w:instrText>
        </w:r>
        <w:r>
          <w:rPr>
            <w:noProof/>
            <w:webHidden/>
          </w:rPr>
        </w:r>
        <w:r>
          <w:rPr>
            <w:noProof/>
            <w:webHidden/>
          </w:rPr>
          <w:fldChar w:fldCharType="separate"/>
        </w:r>
        <w:r w:rsidR="00842C14">
          <w:rPr>
            <w:noProof/>
            <w:webHidden/>
          </w:rPr>
          <w:t>28</w:t>
        </w:r>
        <w:r>
          <w:rPr>
            <w:noProof/>
            <w:webHidden/>
          </w:rPr>
          <w:fldChar w:fldCharType="end"/>
        </w:r>
      </w:hyperlink>
    </w:p>
    <w:p w14:paraId="5EBFB2B3" w14:textId="5820AD9A"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3" w:history="1">
        <w:r w:rsidRPr="006E2986">
          <w:rPr>
            <w:rStyle w:val="Hyperlink"/>
            <w:noProof/>
            <w:lang w:eastAsia="en-US"/>
          </w:rPr>
          <w:t>3.2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Support for the Development of the National IP Strategy</w:t>
        </w:r>
        <w:r>
          <w:rPr>
            <w:noProof/>
            <w:webHidden/>
          </w:rPr>
          <w:tab/>
        </w:r>
        <w:r>
          <w:rPr>
            <w:noProof/>
            <w:webHidden/>
          </w:rPr>
          <w:fldChar w:fldCharType="begin"/>
        </w:r>
        <w:r>
          <w:rPr>
            <w:noProof/>
            <w:webHidden/>
          </w:rPr>
          <w:instrText xml:space="preserve"> PAGEREF _Toc200545003 \h </w:instrText>
        </w:r>
        <w:r>
          <w:rPr>
            <w:noProof/>
            <w:webHidden/>
          </w:rPr>
        </w:r>
        <w:r>
          <w:rPr>
            <w:noProof/>
            <w:webHidden/>
          </w:rPr>
          <w:fldChar w:fldCharType="separate"/>
        </w:r>
        <w:r w:rsidR="00842C14">
          <w:rPr>
            <w:noProof/>
            <w:webHidden/>
          </w:rPr>
          <w:t>28</w:t>
        </w:r>
        <w:r>
          <w:rPr>
            <w:noProof/>
            <w:webHidden/>
          </w:rPr>
          <w:fldChar w:fldCharType="end"/>
        </w:r>
      </w:hyperlink>
    </w:p>
    <w:p w14:paraId="7B375B82" w14:textId="3CE7C083"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4" w:history="1">
        <w:r w:rsidRPr="006E2986">
          <w:rPr>
            <w:rStyle w:val="Hyperlink"/>
            <w:noProof/>
            <w:lang w:eastAsia="en-US"/>
          </w:rPr>
          <w:t>3.3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Provision of Policy and Legislative Advice</w:t>
        </w:r>
        <w:r>
          <w:rPr>
            <w:noProof/>
            <w:webHidden/>
          </w:rPr>
          <w:tab/>
        </w:r>
        <w:r>
          <w:rPr>
            <w:noProof/>
            <w:webHidden/>
          </w:rPr>
          <w:fldChar w:fldCharType="begin"/>
        </w:r>
        <w:r>
          <w:rPr>
            <w:noProof/>
            <w:webHidden/>
          </w:rPr>
          <w:instrText xml:space="preserve"> PAGEREF _Toc200545004 \h </w:instrText>
        </w:r>
        <w:r>
          <w:rPr>
            <w:noProof/>
            <w:webHidden/>
          </w:rPr>
        </w:r>
        <w:r>
          <w:rPr>
            <w:noProof/>
            <w:webHidden/>
          </w:rPr>
          <w:fldChar w:fldCharType="separate"/>
        </w:r>
        <w:r w:rsidR="00842C14">
          <w:rPr>
            <w:noProof/>
            <w:webHidden/>
          </w:rPr>
          <w:t>28</w:t>
        </w:r>
        <w:r>
          <w:rPr>
            <w:noProof/>
            <w:webHidden/>
          </w:rPr>
          <w:fldChar w:fldCharType="end"/>
        </w:r>
      </w:hyperlink>
    </w:p>
    <w:p w14:paraId="15BE8C4E" w14:textId="7EF8D333"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5" w:history="1">
        <w:r w:rsidRPr="006E2986">
          <w:rPr>
            <w:rStyle w:val="Hyperlink"/>
            <w:noProof/>
            <w:lang w:eastAsia="en-US"/>
          </w:rPr>
          <w:t>3.4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Geneva Act of the Lisbon Agreement</w:t>
        </w:r>
        <w:r>
          <w:rPr>
            <w:noProof/>
            <w:webHidden/>
          </w:rPr>
          <w:tab/>
        </w:r>
        <w:r>
          <w:rPr>
            <w:noProof/>
            <w:webHidden/>
          </w:rPr>
          <w:fldChar w:fldCharType="begin"/>
        </w:r>
        <w:r>
          <w:rPr>
            <w:noProof/>
            <w:webHidden/>
          </w:rPr>
          <w:instrText xml:space="preserve"> PAGEREF _Toc200545005 \h </w:instrText>
        </w:r>
        <w:r>
          <w:rPr>
            <w:noProof/>
            <w:webHidden/>
          </w:rPr>
        </w:r>
        <w:r>
          <w:rPr>
            <w:noProof/>
            <w:webHidden/>
          </w:rPr>
          <w:fldChar w:fldCharType="separate"/>
        </w:r>
        <w:r w:rsidR="00842C14">
          <w:rPr>
            <w:noProof/>
            <w:webHidden/>
          </w:rPr>
          <w:t>29</w:t>
        </w:r>
        <w:r>
          <w:rPr>
            <w:noProof/>
            <w:webHidden/>
          </w:rPr>
          <w:fldChar w:fldCharType="end"/>
        </w:r>
      </w:hyperlink>
    </w:p>
    <w:p w14:paraId="4A194C66" w14:textId="34946F6A"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6" w:history="1">
        <w:r w:rsidRPr="006E2986">
          <w:rPr>
            <w:rStyle w:val="Hyperlink"/>
            <w:noProof/>
            <w:lang w:eastAsia="en-US"/>
          </w:rPr>
          <w:t>3.5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International Cooperation on Building Respect FOR IP – WIPO ALERT</w:t>
        </w:r>
        <w:r>
          <w:rPr>
            <w:noProof/>
            <w:webHidden/>
          </w:rPr>
          <w:tab/>
        </w:r>
        <w:r>
          <w:rPr>
            <w:noProof/>
            <w:webHidden/>
          </w:rPr>
          <w:fldChar w:fldCharType="begin"/>
        </w:r>
        <w:r>
          <w:rPr>
            <w:noProof/>
            <w:webHidden/>
          </w:rPr>
          <w:instrText xml:space="preserve"> PAGEREF _Toc200545006 \h </w:instrText>
        </w:r>
        <w:r>
          <w:rPr>
            <w:noProof/>
            <w:webHidden/>
          </w:rPr>
        </w:r>
        <w:r>
          <w:rPr>
            <w:noProof/>
            <w:webHidden/>
          </w:rPr>
          <w:fldChar w:fldCharType="separate"/>
        </w:r>
        <w:r w:rsidR="00842C14">
          <w:rPr>
            <w:noProof/>
            <w:webHidden/>
          </w:rPr>
          <w:t>29</w:t>
        </w:r>
        <w:r>
          <w:rPr>
            <w:noProof/>
            <w:webHidden/>
          </w:rPr>
          <w:fldChar w:fldCharType="end"/>
        </w:r>
      </w:hyperlink>
    </w:p>
    <w:p w14:paraId="4794CA82" w14:textId="2E570F83"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7" w:history="1">
        <w:r w:rsidRPr="006E2986">
          <w:rPr>
            <w:rStyle w:val="Hyperlink"/>
            <w:noProof/>
            <w:lang w:eastAsia="en-US"/>
          </w:rPr>
          <w:t>3.6</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Support for Increased IP Knowledge and Skills</w:t>
        </w:r>
        <w:r>
          <w:rPr>
            <w:noProof/>
            <w:webHidden/>
          </w:rPr>
          <w:tab/>
        </w:r>
        <w:r>
          <w:rPr>
            <w:noProof/>
            <w:webHidden/>
          </w:rPr>
          <w:fldChar w:fldCharType="begin"/>
        </w:r>
        <w:r>
          <w:rPr>
            <w:noProof/>
            <w:webHidden/>
          </w:rPr>
          <w:instrText xml:space="preserve"> PAGEREF _Toc200545007 \h </w:instrText>
        </w:r>
        <w:r>
          <w:rPr>
            <w:noProof/>
            <w:webHidden/>
          </w:rPr>
        </w:r>
        <w:r>
          <w:rPr>
            <w:noProof/>
            <w:webHidden/>
          </w:rPr>
          <w:fldChar w:fldCharType="separate"/>
        </w:r>
        <w:r w:rsidR="00842C14">
          <w:rPr>
            <w:noProof/>
            <w:webHidden/>
          </w:rPr>
          <w:t>29</w:t>
        </w:r>
        <w:r>
          <w:rPr>
            <w:noProof/>
            <w:webHidden/>
          </w:rPr>
          <w:fldChar w:fldCharType="end"/>
        </w:r>
      </w:hyperlink>
    </w:p>
    <w:p w14:paraId="3229B4D2" w14:textId="6ED7D616"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8" w:history="1">
        <w:r w:rsidRPr="006E2986">
          <w:rPr>
            <w:rStyle w:val="Hyperlink"/>
            <w:noProof/>
            <w:lang w:eastAsia="en-US"/>
          </w:rPr>
          <w:t>3.6.1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WIPO Academy – IP Academy of Ukraine</w:t>
        </w:r>
        <w:r>
          <w:rPr>
            <w:noProof/>
            <w:webHidden/>
          </w:rPr>
          <w:tab/>
        </w:r>
        <w:r>
          <w:rPr>
            <w:noProof/>
            <w:webHidden/>
          </w:rPr>
          <w:fldChar w:fldCharType="begin"/>
        </w:r>
        <w:r>
          <w:rPr>
            <w:noProof/>
            <w:webHidden/>
          </w:rPr>
          <w:instrText xml:space="preserve"> PAGEREF _Toc200545008 \h </w:instrText>
        </w:r>
        <w:r>
          <w:rPr>
            <w:noProof/>
            <w:webHidden/>
          </w:rPr>
        </w:r>
        <w:r>
          <w:rPr>
            <w:noProof/>
            <w:webHidden/>
          </w:rPr>
          <w:fldChar w:fldCharType="separate"/>
        </w:r>
        <w:r w:rsidR="00842C14">
          <w:rPr>
            <w:noProof/>
            <w:webHidden/>
          </w:rPr>
          <w:t>29</w:t>
        </w:r>
        <w:r>
          <w:rPr>
            <w:noProof/>
            <w:webHidden/>
          </w:rPr>
          <w:fldChar w:fldCharType="end"/>
        </w:r>
      </w:hyperlink>
    </w:p>
    <w:p w14:paraId="050A9CBB" w14:textId="72A5F8E1"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09" w:history="1">
        <w:r w:rsidRPr="006E2986">
          <w:rPr>
            <w:rStyle w:val="Hyperlink"/>
            <w:noProof/>
            <w:lang w:eastAsia="en-US"/>
          </w:rPr>
          <w:t>3.6.2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Collaboration in other WIPO Academy Programs</w:t>
        </w:r>
        <w:r>
          <w:rPr>
            <w:noProof/>
            <w:webHidden/>
          </w:rPr>
          <w:tab/>
        </w:r>
        <w:r>
          <w:rPr>
            <w:noProof/>
            <w:webHidden/>
          </w:rPr>
          <w:fldChar w:fldCharType="begin"/>
        </w:r>
        <w:r>
          <w:rPr>
            <w:noProof/>
            <w:webHidden/>
          </w:rPr>
          <w:instrText xml:space="preserve"> PAGEREF _Toc200545009 \h </w:instrText>
        </w:r>
        <w:r>
          <w:rPr>
            <w:noProof/>
            <w:webHidden/>
          </w:rPr>
        </w:r>
        <w:r>
          <w:rPr>
            <w:noProof/>
            <w:webHidden/>
          </w:rPr>
          <w:fldChar w:fldCharType="separate"/>
        </w:r>
        <w:r w:rsidR="00842C14">
          <w:rPr>
            <w:noProof/>
            <w:webHidden/>
          </w:rPr>
          <w:t>30</w:t>
        </w:r>
        <w:r>
          <w:rPr>
            <w:noProof/>
            <w:webHidden/>
          </w:rPr>
          <w:fldChar w:fldCharType="end"/>
        </w:r>
      </w:hyperlink>
    </w:p>
    <w:p w14:paraId="032B6D81" w14:textId="0D8A2AE3"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0" w:history="1">
        <w:r w:rsidRPr="006E2986">
          <w:rPr>
            <w:rStyle w:val="Hyperlink"/>
            <w:noProof/>
            <w:lang w:eastAsia="en-US"/>
          </w:rPr>
          <w:t>3.6.3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Capacity and Network Building for Patent and Trademark Examiners</w:t>
        </w:r>
        <w:r>
          <w:rPr>
            <w:noProof/>
            <w:webHidden/>
          </w:rPr>
          <w:tab/>
        </w:r>
        <w:r>
          <w:rPr>
            <w:noProof/>
            <w:webHidden/>
          </w:rPr>
          <w:fldChar w:fldCharType="begin"/>
        </w:r>
        <w:r>
          <w:rPr>
            <w:noProof/>
            <w:webHidden/>
          </w:rPr>
          <w:instrText xml:space="preserve"> PAGEREF _Toc200545010 \h </w:instrText>
        </w:r>
        <w:r>
          <w:rPr>
            <w:noProof/>
            <w:webHidden/>
          </w:rPr>
        </w:r>
        <w:r>
          <w:rPr>
            <w:noProof/>
            <w:webHidden/>
          </w:rPr>
          <w:fldChar w:fldCharType="separate"/>
        </w:r>
        <w:r w:rsidR="00842C14">
          <w:rPr>
            <w:noProof/>
            <w:webHidden/>
          </w:rPr>
          <w:t>30</w:t>
        </w:r>
        <w:r>
          <w:rPr>
            <w:noProof/>
            <w:webHidden/>
          </w:rPr>
          <w:fldChar w:fldCharType="end"/>
        </w:r>
      </w:hyperlink>
    </w:p>
    <w:p w14:paraId="3414B0DA" w14:textId="2BD5D45E"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1" w:history="1">
        <w:r w:rsidRPr="006E2986">
          <w:rPr>
            <w:rStyle w:val="Hyperlink"/>
            <w:noProof/>
            <w:lang w:eastAsia="en-US"/>
          </w:rPr>
          <w:t>3.6.4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Support for the Judiciary</w:t>
        </w:r>
        <w:r>
          <w:rPr>
            <w:noProof/>
            <w:webHidden/>
          </w:rPr>
          <w:tab/>
        </w:r>
        <w:r>
          <w:rPr>
            <w:noProof/>
            <w:webHidden/>
          </w:rPr>
          <w:fldChar w:fldCharType="begin"/>
        </w:r>
        <w:r>
          <w:rPr>
            <w:noProof/>
            <w:webHidden/>
          </w:rPr>
          <w:instrText xml:space="preserve"> PAGEREF _Toc200545011 \h </w:instrText>
        </w:r>
        <w:r>
          <w:rPr>
            <w:noProof/>
            <w:webHidden/>
          </w:rPr>
        </w:r>
        <w:r>
          <w:rPr>
            <w:noProof/>
            <w:webHidden/>
          </w:rPr>
          <w:fldChar w:fldCharType="separate"/>
        </w:r>
        <w:r w:rsidR="00842C14">
          <w:rPr>
            <w:noProof/>
            <w:webHidden/>
          </w:rPr>
          <w:t>31</w:t>
        </w:r>
        <w:r>
          <w:rPr>
            <w:noProof/>
            <w:webHidden/>
          </w:rPr>
          <w:fldChar w:fldCharType="end"/>
        </w:r>
      </w:hyperlink>
    </w:p>
    <w:p w14:paraId="18D15D83" w14:textId="72682042"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2" w:history="1">
        <w:r w:rsidRPr="006E2986">
          <w:rPr>
            <w:rStyle w:val="Hyperlink"/>
            <w:noProof/>
            <w:lang w:eastAsia="en-US"/>
          </w:rPr>
          <w:t>3.6.5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Other initiatives</w:t>
        </w:r>
        <w:r>
          <w:rPr>
            <w:noProof/>
            <w:webHidden/>
          </w:rPr>
          <w:tab/>
        </w:r>
        <w:r>
          <w:rPr>
            <w:noProof/>
            <w:webHidden/>
          </w:rPr>
          <w:fldChar w:fldCharType="begin"/>
        </w:r>
        <w:r>
          <w:rPr>
            <w:noProof/>
            <w:webHidden/>
          </w:rPr>
          <w:instrText xml:space="preserve"> PAGEREF _Toc200545012 \h </w:instrText>
        </w:r>
        <w:r>
          <w:rPr>
            <w:noProof/>
            <w:webHidden/>
          </w:rPr>
        </w:r>
        <w:r>
          <w:rPr>
            <w:noProof/>
            <w:webHidden/>
          </w:rPr>
          <w:fldChar w:fldCharType="separate"/>
        </w:r>
        <w:r w:rsidR="00842C14">
          <w:rPr>
            <w:noProof/>
            <w:webHidden/>
          </w:rPr>
          <w:t>32</w:t>
        </w:r>
        <w:r>
          <w:rPr>
            <w:noProof/>
            <w:webHidden/>
          </w:rPr>
          <w:fldChar w:fldCharType="end"/>
        </w:r>
      </w:hyperlink>
    </w:p>
    <w:p w14:paraId="32FD2B8E" w14:textId="0F3E23A3"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3" w:history="1">
        <w:r w:rsidRPr="006E2986">
          <w:rPr>
            <w:rStyle w:val="Hyperlink"/>
            <w:noProof/>
            <w:lang w:eastAsia="en-US"/>
          </w:rPr>
          <w:t>3.7</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Support to Innovators, Creators, SMEs, Universities and Research Institutions</w:t>
        </w:r>
        <w:r>
          <w:rPr>
            <w:noProof/>
            <w:webHidden/>
          </w:rPr>
          <w:tab/>
        </w:r>
        <w:r>
          <w:rPr>
            <w:noProof/>
            <w:webHidden/>
          </w:rPr>
          <w:fldChar w:fldCharType="begin"/>
        </w:r>
        <w:r>
          <w:rPr>
            <w:noProof/>
            <w:webHidden/>
          </w:rPr>
          <w:instrText xml:space="preserve"> PAGEREF _Toc200545013 \h </w:instrText>
        </w:r>
        <w:r>
          <w:rPr>
            <w:noProof/>
            <w:webHidden/>
          </w:rPr>
        </w:r>
        <w:r>
          <w:rPr>
            <w:noProof/>
            <w:webHidden/>
          </w:rPr>
          <w:fldChar w:fldCharType="separate"/>
        </w:r>
        <w:r w:rsidR="00842C14">
          <w:rPr>
            <w:noProof/>
            <w:webHidden/>
          </w:rPr>
          <w:t>32</w:t>
        </w:r>
        <w:r>
          <w:rPr>
            <w:noProof/>
            <w:webHidden/>
          </w:rPr>
          <w:fldChar w:fldCharType="end"/>
        </w:r>
      </w:hyperlink>
    </w:p>
    <w:p w14:paraId="357CAC92" w14:textId="4804F705"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4" w:history="1">
        <w:r w:rsidRPr="006E2986">
          <w:rPr>
            <w:rStyle w:val="Hyperlink"/>
            <w:noProof/>
            <w:lang w:eastAsia="en-US"/>
          </w:rPr>
          <w:t>3.7.1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Technology and Innovation Support Centers (TISC) Network</w:t>
        </w:r>
        <w:r>
          <w:rPr>
            <w:noProof/>
            <w:webHidden/>
          </w:rPr>
          <w:tab/>
        </w:r>
        <w:r>
          <w:rPr>
            <w:noProof/>
            <w:webHidden/>
          </w:rPr>
          <w:fldChar w:fldCharType="begin"/>
        </w:r>
        <w:r>
          <w:rPr>
            <w:noProof/>
            <w:webHidden/>
          </w:rPr>
          <w:instrText xml:space="preserve"> PAGEREF _Toc200545014 \h </w:instrText>
        </w:r>
        <w:r>
          <w:rPr>
            <w:noProof/>
            <w:webHidden/>
          </w:rPr>
        </w:r>
        <w:r>
          <w:rPr>
            <w:noProof/>
            <w:webHidden/>
          </w:rPr>
          <w:fldChar w:fldCharType="separate"/>
        </w:r>
        <w:r w:rsidR="00842C14">
          <w:rPr>
            <w:noProof/>
            <w:webHidden/>
          </w:rPr>
          <w:t>32</w:t>
        </w:r>
        <w:r>
          <w:rPr>
            <w:noProof/>
            <w:webHidden/>
          </w:rPr>
          <w:fldChar w:fldCharType="end"/>
        </w:r>
      </w:hyperlink>
    </w:p>
    <w:p w14:paraId="0AF5298B" w14:textId="42F88035"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5" w:history="1">
        <w:r w:rsidRPr="006E2986">
          <w:rPr>
            <w:rStyle w:val="Hyperlink"/>
            <w:noProof/>
            <w:lang w:eastAsia="en-US"/>
          </w:rPr>
          <w:t>3.7.2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Support Tools for SMEs and Startups</w:t>
        </w:r>
        <w:r>
          <w:rPr>
            <w:noProof/>
            <w:webHidden/>
          </w:rPr>
          <w:tab/>
        </w:r>
        <w:r>
          <w:rPr>
            <w:noProof/>
            <w:webHidden/>
          </w:rPr>
          <w:fldChar w:fldCharType="begin"/>
        </w:r>
        <w:r>
          <w:rPr>
            <w:noProof/>
            <w:webHidden/>
          </w:rPr>
          <w:instrText xml:space="preserve"> PAGEREF _Toc200545015 \h </w:instrText>
        </w:r>
        <w:r>
          <w:rPr>
            <w:noProof/>
            <w:webHidden/>
          </w:rPr>
        </w:r>
        <w:r>
          <w:rPr>
            <w:noProof/>
            <w:webHidden/>
          </w:rPr>
          <w:fldChar w:fldCharType="separate"/>
        </w:r>
        <w:r w:rsidR="00842C14">
          <w:rPr>
            <w:noProof/>
            <w:webHidden/>
          </w:rPr>
          <w:t>33</w:t>
        </w:r>
        <w:r>
          <w:rPr>
            <w:noProof/>
            <w:webHidden/>
          </w:rPr>
          <w:fldChar w:fldCharType="end"/>
        </w:r>
      </w:hyperlink>
    </w:p>
    <w:p w14:paraId="7A477E6D" w14:textId="27A1E079"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6" w:history="1">
        <w:r w:rsidRPr="006E2986">
          <w:rPr>
            <w:rStyle w:val="Hyperlink"/>
            <w:noProof/>
            <w:lang w:eastAsia="en-US"/>
          </w:rPr>
          <w:t>3.7.3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Provision of Access to Information and Technologies</w:t>
        </w:r>
        <w:r>
          <w:rPr>
            <w:noProof/>
            <w:webHidden/>
          </w:rPr>
          <w:tab/>
        </w:r>
        <w:r>
          <w:rPr>
            <w:noProof/>
            <w:webHidden/>
          </w:rPr>
          <w:fldChar w:fldCharType="begin"/>
        </w:r>
        <w:r>
          <w:rPr>
            <w:noProof/>
            <w:webHidden/>
          </w:rPr>
          <w:instrText xml:space="preserve"> PAGEREF _Toc200545016 \h </w:instrText>
        </w:r>
        <w:r>
          <w:rPr>
            <w:noProof/>
            <w:webHidden/>
          </w:rPr>
        </w:r>
        <w:r>
          <w:rPr>
            <w:noProof/>
            <w:webHidden/>
          </w:rPr>
          <w:fldChar w:fldCharType="separate"/>
        </w:r>
        <w:r w:rsidR="00842C14">
          <w:rPr>
            <w:noProof/>
            <w:webHidden/>
          </w:rPr>
          <w:t>33</w:t>
        </w:r>
        <w:r>
          <w:rPr>
            <w:noProof/>
            <w:webHidden/>
          </w:rPr>
          <w:fldChar w:fldCharType="end"/>
        </w:r>
      </w:hyperlink>
    </w:p>
    <w:p w14:paraId="23CA1FFF" w14:textId="2F7AB03A"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7" w:history="1">
        <w:r w:rsidRPr="006E2986">
          <w:rPr>
            <w:rStyle w:val="Hyperlink"/>
            <w:noProof/>
            <w:lang w:eastAsia="en-US"/>
          </w:rPr>
          <w:t>3.7.4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Enhanced IP Infrastructure</w:t>
        </w:r>
        <w:r>
          <w:rPr>
            <w:noProof/>
            <w:webHidden/>
          </w:rPr>
          <w:tab/>
        </w:r>
        <w:r>
          <w:rPr>
            <w:noProof/>
            <w:webHidden/>
          </w:rPr>
          <w:fldChar w:fldCharType="begin"/>
        </w:r>
        <w:r>
          <w:rPr>
            <w:noProof/>
            <w:webHidden/>
          </w:rPr>
          <w:instrText xml:space="preserve"> PAGEREF _Toc200545017 \h </w:instrText>
        </w:r>
        <w:r>
          <w:rPr>
            <w:noProof/>
            <w:webHidden/>
          </w:rPr>
        </w:r>
        <w:r>
          <w:rPr>
            <w:noProof/>
            <w:webHidden/>
          </w:rPr>
          <w:fldChar w:fldCharType="separate"/>
        </w:r>
        <w:r w:rsidR="00842C14">
          <w:rPr>
            <w:noProof/>
            <w:webHidden/>
          </w:rPr>
          <w:t>34</w:t>
        </w:r>
        <w:r>
          <w:rPr>
            <w:noProof/>
            <w:webHidden/>
          </w:rPr>
          <w:fldChar w:fldCharType="end"/>
        </w:r>
      </w:hyperlink>
    </w:p>
    <w:p w14:paraId="1C3A51FB" w14:textId="58BD44D2"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8" w:history="1">
        <w:r w:rsidRPr="006E2986">
          <w:rPr>
            <w:rStyle w:val="Hyperlink"/>
            <w:noProof/>
            <w:lang w:eastAsia="en-US"/>
          </w:rPr>
          <w:t>3.7.5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Copyright Management</w:t>
        </w:r>
        <w:r>
          <w:rPr>
            <w:noProof/>
            <w:webHidden/>
          </w:rPr>
          <w:tab/>
        </w:r>
        <w:r>
          <w:rPr>
            <w:noProof/>
            <w:webHidden/>
          </w:rPr>
          <w:fldChar w:fldCharType="begin"/>
        </w:r>
        <w:r>
          <w:rPr>
            <w:noProof/>
            <w:webHidden/>
          </w:rPr>
          <w:instrText xml:space="preserve"> PAGEREF _Toc200545018 \h </w:instrText>
        </w:r>
        <w:r>
          <w:rPr>
            <w:noProof/>
            <w:webHidden/>
          </w:rPr>
        </w:r>
        <w:r>
          <w:rPr>
            <w:noProof/>
            <w:webHidden/>
          </w:rPr>
          <w:fldChar w:fldCharType="separate"/>
        </w:r>
        <w:r w:rsidR="00842C14">
          <w:rPr>
            <w:noProof/>
            <w:webHidden/>
          </w:rPr>
          <w:t>34</w:t>
        </w:r>
        <w:r>
          <w:rPr>
            <w:noProof/>
            <w:webHidden/>
          </w:rPr>
          <w:fldChar w:fldCharType="end"/>
        </w:r>
      </w:hyperlink>
    </w:p>
    <w:p w14:paraId="0467C395" w14:textId="71A3629C"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19" w:history="1">
        <w:r w:rsidRPr="006E2986">
          <w:rPr>
            <w:rStyle w:val="Hyperlink"/>
            <w:noProof/>
            <w:lang w:eastAsia="en-US"/>
          </w:rPr>
          <w:t>3.7.6</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Accessible Books Consortium (ABC)</w:t>
        </w:r>
        <w:r>
          <w:rPr>
            <w:noProof/>
            <w:webHidden/>
          </w:rPr>
          <w:tab/>
        </w:r>
        <w:r>
          <w:rPr>
            <w:noProof/>
            <w:webHidden/>
          </w:rPr>
          <w:fldChar w:fldCharType="begin"/>
        </w:r>
        <w:r>
          <w:rPr>
            <w:noProof/>
            <w:webHidden/>
          </w:rPr>
          <w:instrText xml:space="preserve"> PAGEREF _Toc200545019 \h </w:instrText>
        </w:r>
        <w:r>
          <w:rPr>
            <w:noProof/>
            <w:webHidden/>
          </w:rPr>
        </w:r>
        <w:r>
          <w:rPr>
            <w:noProof/>
            <w:webHidden/>
          </w:rPr>
          <w:fldChar w:fldCharType="separate"/>
        </w:r>
        <w:r w:rsidR="00842C14">
          <w:rPr>
            <w:noProof/>
            <w:webHidden/>
          </w:rPr>
          <w:t>34</w:t>
        </w:r>
        <w:r>
          <w:rPr>
            <w:noProof/>
            <w:webHidden/>
          </w:rPr>
          <w:fldChar w:fldCharType="end"/>
        </w:r>
      </w:hyperlink>
    </w:p>
    <w:p w14:paraId="1BC6E3DA" w14:textId="646754C9"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0" w:history="1">
        <w:r w:rsidRPr="006E2986">
          <w:rPr>
            <w:rStyle w:val="Hyperlink"/>
            <w:noProof/>
            <w:lang w:eastAsia="en-US"/>
          </w:rPr>
          <w:t>3.7.7</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CDIP Project on “Enhancing the Capacities of National Intellectual Property Offices in Times of Crisis”</w:t>
        </w:r>
        <w:r>
          <w:rPr>
            <w:noProof/>
            <w:webHidden/>
          </w:rPr>
          <w:tab/>
        </w:r>
        <w:r>
          <w:rPr>
            <w:noProof/>
            <w:webHidden/>
          </w:rPr>
          <w:fldChar w:fldCharType="begin"/>
        </w:r>
        <w:r>
          <w:rPr>
            <w:noProof/>
            <w:webHidden/>
          </w:rPr>
          <w:instrText xml:space="preserve"> PAGEREF _Toc200545020 \h </w:instrText>
        </w:r>
        <w:r>
          <w:rPr>
            <w:noProof/>
            <w:webHidden/>
          </w:rPr>
        </w:r>
        <w:r>
          <w:rPr>
            <w:noProof/>
            <w:webHidden/>
          </w:rPr>
          <w:fldChar w:fldCharType="separate"/>
        </w:r>
        <w:r w:rsidR="00842C14">
          <w:rPr>
            <w:noProof/>
            <w:webHidden/>
          </w:rPr>
          <w:t>35</w:t>
        </w:r>
        <w:r>
          <w:rPr>
            <w:noProof/>
            <w:webHidden/>
          </w:rPr>
          <w:fldChar w:fldCharType="end"/>
        </w:r>
      </w:hyperlink>
    </w:p>
    <w:p w14:paraId="381FE8EE" w14:textId="63BD904E" w:rsidR="00DD26C6" w:rsidRDefault="00DD26C6">
      <w:pPr>
        <w:pStyle w:val="TOC1"/>
        <w:tabs>
          <w:tab w:val="left" w:pos="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1" w:history="1">
        <w:r w:rsidRPr="006E2986">
          <w:rPr>
            <w:rStyle w:val="Hyperlink"/>
            <w:noProof/>
            <w:lang w:eastAsia="en-US"/>
          </w:rPr>
          <w:t>4.</w:t>
        </w:r>
        <w:r>
          <w:rPr>
            <w:rFonts w:asciiTheme="minorHAnsi" w:eastAsiaTheme="minorEastAsia" w:hAnsiTheme="minorHAnsi" w:cstheme="minorBidi"/>
            <w:noProof/>
            <w:kern w:val="2"/>
            <w:sz w:val="24"/>
            <w:szCs w:val="24"/>
            <w:lang w:eastAsia="en-US"/>
            <w14:ligatures w14:val="standardContextual"/>
          </w:rPr>
          <w:tab/>
        </w:r>
        <w:r w:rsidR="00842C14" w:rsidRPr="006E2986">
          <w:rPr>
            <w:rStyle w:val="Hyperlink"/>
            <w:noProof/>
            <w:lang w:eastAsia="en-US"/>
          </w:rPr>
          <w:t xml:space="preserve">ACCESS </w:t>
        </w:r>
        <w:r w:rsidR="00842C14">
          <w:rPr>
            <w:rStyle w:val="Hyperlink"/>
            <w:noProof/>
            <w:lang w:eastAsia="en-US"/>
          </w:rPr>
          <w:t>T</w:t>
        </w:r>
        <w:r w:rsidR="00842C14" w:rsidRPr="006E2986">
          <w:rPr>
            <w:rStyle w:val="Hyperlink"/>
            <w:noProof/>
            <w:lang w:eastAsia="en-US"/>
          </w:rPr>
          <w:t>O WIPO’S IP SERVICES AND STEPS UNDERTAKEN TO ENSURE THAT PUBLICATIONS ON WIPO RESOURCES AND PLATFORMS COMPLY WITH THE PRINCIPLES OF SOVEREIGNTY, INDEPENDENCE, AND TERRITORIAL INTEGRITY OF UKRAINE</w:t>
        </w:r>
        <w:r>
          <w:rPr>
            <w:noProof/>
            <w:webHidden/>
          </w:rPr>
          <w:tab/>
        </w:r>
        <w:r>
          <w:rPr>
            <w:noProof/>
            <w:webHidden/>
          </w:rPr>
          <w:fldChar w:fldCharType="begin"/>
        </w:r>
        <w:r>
          <w:rPr>
            <w:noProof/>
            <w:webHidden/>
          </w:rPr>
          <w:instrText xml:space="preserve"> PAGEREF _Toc200545021 \h </w:instrText>
        </w:r>
        <w:r>
          <w:rPr>
            <w:noProof/>
            <w:webHidden/>
          </w:rPr>
        </w:r>
        <w:r>
          <w:rPr>
            <w:noProof/>
            <w:webHidden/>
          </w:rPr>
          <w:fldChar w:fldCharType="separate"/>
        </w:r>
        <w:r w:rsidR="00842C14">
          <w:rPr>
            <w:noProof/>
            <w:webHidden/>
          </w:rPr>
          <w:t>35</w:t>
        </w:r>
        <w:r>
          <w:rPr>
            <w:noProof/>
            <w:webHidden/>
          </w:rPr>
          <w:fldChar w:fldCharType="end"/>
        </w:r>
      </w:hyperlink>
    </w:p>
    <w:p w14:paraId="3B37B7EC" w14:textId="6B704B99"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2" w:history="1">
        <w:r w:rsidRPr="006E2986">
          <w:rPr>
            <w:rStyle w:val="Hyperlink"/>
            <w:noProof/>
            <w:lang w:eastAsia="en-US"/>
          </w:rPr>
          <w:t>4.1</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Patent Cooperation Treaty (PCT)</w:t>
        </w:r>
        <w:r>
          <w:rPr>
            <w:noProof/>
            <w:webHidden/>
          </w:rPr>
          <w:tab/>
        </w:r>
        <w:r>
          <w:rPr>
            <w:noProof/>
            <w:webHidden/>
          </w:rPr>
          <w:fldChar w:fldCharType="begin"/>
        </w:r>
        <w:r>
          <w:rPr>
            <w:noProof/>
            <w:webHidden/>
          </w:rPr>
          <w:instrText xml:space="preserve"> PAGEREF _Toc200545022 \h </w:instrText>
        </w:r>
        <w:r>
          <w:rPr>
            <w:noProof/>
            <w:webHidden/>
          </w:rPr>
        </w:r>
        <w:r>
          <w:rPr>
            <w:noProof/>
            <w:webHidden/>
          </w:rPr>
          <w:fldChar w:fldCharType="separate"/>
        </w:r>
        <w:r w:rsidR="00842C14">
          <w:rPr>
            <w:noProof/>
            <w:webHidden/>
          </w:rPr>
          <w:t>35</w:t>
        </w:r>
        <w:r>
          <w:rPr>
            <w:noProof/>
            <w:webHidden/>
          </w:rPr>
          <w:fldChar w:fldCharType="end"/>
        </w:r>
      </w:hyperlink>
    </w:p>
    <w:p w14:paraId="63979AD2" w14:textId="24EA108D"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3" w:history="1">
        <w:r w:rsidRPr="006E2986">
          <w:rPr>
            <w:rStyle w:val="Hyperlink"/>
            <w:noProof/>
            <w:lang w:eastAsia="en-US"/>
          </w:rPr>
          <w:t>4.2</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Madrid System</w:t>
        </w:r>
        <w:r>
          <w:rPr>
            <w:noProof/>
            <w:webHidden/>
          </w:rPr>
          <w:tab/>
        </w:r>
        <w:r>
          <w:rPr>
            <w:noProof/>
            <w:webHidden/>
          </w:rPr>
          <w:fldChar w:fldCharType="begin"/>
        </w:r>
        <w:r>
          <w:rPr>
            <w:noProof/>
            <w:webHidden/>
          </w:rPr>
          <w:instrText xml:space="preserve"> PAGEREF _Toc200545023 \h </w:instrText>
        </w:r>
        <w:r>
          <w:rPr>
            <w:noProof/>
            <w:webHidden/>
          </w:rPr>
        </w:r>
        <w:r>
          <w:rPr>
            <w:noProof/>
            <w:webHidden/>
          </w:rPr>
          <w:fldChar w:fldCharType="separate"/>
        </w:r>
        <w:r w:rsidR="00842C14">
          <w:rPr>
            <w:noProof/>
            <w:webHidden/>
          </w:rPr>
          <w:t>36</w:t>
        </w:r>
        <w:r>
          <w:rPr>
            <w:noProof/>
            <w:webHidden/>
          </w:rPr>
          <w:fldChar w:fldCharType="end"/>
        </w:r>
      </w:hyperlink>
    </w:p>
    <w:p w14:paraId="4A1B4C12" w14:textId="54B44244"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4" w:history="1">
        <w:r w:rsidRPr="006E2986">
          <w:rPr>
            <w:rStyle w:val="Hyperlink"/>
            <w:noProof/>
            <w:lang w:eastAsia="en-US"/>
          </w:rPr>
          <w:t>4.3</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Hague System</w:t>
        </w:r>
        <w:r>
          <w:rPr>
            <w:noProof/>
            <w:webHidden/>
          </w:rPr>
          <w:tab/>
        </w:r>
        <w:r>
          <w:rPr>
            <w:noProof/>
            <w:webHidden/>
          </w:rPr>
          <w:fldChar w:fldCharType="begin"/>
        </w:r>
        <w:r>
          <w:rPr>
            <w:noProof/>
            <w:webHidden/>
          </w:rPr>
          <w:instrText xml:space="preserve"> PAGEREF _Toc200545024 \h </w:instrText>
        </w:r>
        <w:r>
          <w:rPr>
            <w:noProof/>
            <w:webHidden/>
          </w:rPr>
        </w:r>
        <w:r>
          <w:rPr>
            <w:noProof/>
            <w:webHidden/>
          </w:rPr>
          <w:fldChar w:fldCharType="separate"/>
        </w:r>
        <w:r w:rsidR="00842C14">
          <w:rPr>
            <w:noProof/>
            <w:webHidden/>
          </w:rPr>
          <w:t>36</w:t>
        </w:r>
        <w:r>
          <w:rPr>
            <w:noProof/>
            <w:webHidden/>
          </w:rPr>
          <w:fldChar w:fldCharType="end"/>
        </w:r>
      </w:hyperlink>
    </w:p>
    <w:p w14:paraId="144229F4" w14:textId="380C0519" w:rsidR="00DD26C6" w:rsidRDefault="00DD26C6">
      <w:pPr>
        <w:pStyle w:val="TOC2"/>
        <w:tabs>
          <w:tab w:val="left" w:pos="96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5" w:history="1">
        <w:r w:rsidRPr="006E2986">
          <w:rPr>
            <w:rStyle w:val="Hyperlink"/>
            <w:noProof/>
            <w:lang w:eastAsia="en-US"/>
          </w:rPr>
          <w:t>4.4</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Arbitration and Mediation</w:t>
        </w:r>
        <w:r>
          <w:rPr>
            <w:noProof/>
            <w:webHidden/>
          </w:rPr>
          <w:tab/>
        </w:r>
        <w:r>
          <w:rPr>
            <w:noProof/>
            <w:webHidden/>
          </w:rPr>
          <w:fldChar w:fldCharType="begin"/>
        </w:r>
        <w:r>
          <w:rPr>
            <w:noProof/>
            <w:webHidden/>
          </w:rPr>
          <w:instrText xml:space="preserve"> PAGEREF _Toc200545025 \h </w:instrText>
        </w:r>
        <w:r>
          <w:rPr>
            <w:noProof/>
            <w:webHidden/>
          </w:rPr>
        </w:r>
        <w:r>
          <w:rPr>
            <w:noProof/>
            <w:webHidden/>
          </w:rPr>
          <w:fldChar w:fldCharType="separate"/>
        </w:r>
        <w:r w:rsidR="00842C14">
          <w:rPr>
            <w:noProof/>
            <w:webHidden/>
          </w:rPr>
          <w:t>36</w:t>
        </w:r>
        <w:r>
          <w:rPr>
            <w:noProof/>
            <w:webHidden/>
          </w:rPr>
          <w:fldChar w:fldCharType="end"/>
        </w:r>
      </w:hyperlink>
    </w:p>
    <w:p w14:paraId="49504032" w14:textId="67DA48C9" w:rsidR="00DD26C6" w:rsidRDefault="00DD26C6">
      <w:pPr>
        <w:pStyle w:val="TOC3"/>
        <w:tabs>
          <w:tab w:val="left" w:pos="120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6" w:history="1">
        <w:r w:rsidRPr="006E2986">
          <w:rPr>
            <w:rStyle w:val="Hyperlink"/>
            <w:noProof/>
            <w:lang w:eastAsia="en-US"/>
          </w:rPr>
          <w:t>4.5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Steps Undertaken to Ensure that Publications on WIPO Resources and Platforms comply with the Principles of Sovereignty, Independence, and Territorial Integrity of Ukraine Within its Internationally Recognized Borders</w:t>
        </w:r>
        <w:r>
          <w:rPr>
            <w:noProof/>
            <w:webHidden/>
          </w:rPr>
          <w:tab/>
        </w:r>
        <w:r>
          <w:rPr>
            <w:noProof/>
            <w:webHidden/>
          </w:rPr>
          <w:fldChar w:fldCharType="begin"/>
        </w:r>
        <w:r>
          <w:rPr>
            <w:noProof/>
            <w:webHidden/>
          </w:rPr>
          <w:instrText xml:space="preserve"> PAGEREF _Toc200545026 \h </w:instrText>
        </w:r>
        <w:r>
          <w:rPr>
            <w:noProof/>
            <w:webHidden/>
          </w:rPr>
        </w:r>
        <w:r>
          <w:rPr>
            <w:noProof/>
            <w:webHidden/>
          </w:rPr>
          <w:fldChar w:fldCharType="separate"/>
        </w:r>
        <w:r w:rsidR="00842C14">
          <w:rPr>
            <w:noProof/>
            <w:webHidden/>
          </w:rPr>
          <w:t>36</w:t>
        </w:r>
        <w:r>
          <w:rPr>
            <w:noProof/>
            <w:webHidden/>
          </w:rPr>
          <w:fldChar w:fldCharType="end"/>
        </w:r>
      </w:hyperlink>
    </w:p>
    <w:p w14:paraId="26BB8DBD" w14:textId="74988F4E" w:rsidR="00DD26C6" w:rsidRDefault="00DD26C6">
      <w:pPr>
        <w:pStyle w:val="TOC1"/>
        <w:tabs>
          <w:tab w:val="left" w:pos="440"/>
          <w:tab w:val="right" w:leader="dot" w:pos="9345"/>
        </w:tabs>
        <w:rPr>
          <w:rFonts w:asciiTheme="minorHAnsi" w:eastAsiaTheme="minorEastAsia" w:hAnsiTheme="minorHAnsi" w:cstheme="minorBidi"/>
          <w:noProof/>
          <w:kern w:val="2"/>
          <w:sz w:val="24"/>
          <w:szCs w:val="24"/>
          <w:lang w:eastAsia="en-US"/>
          <w14:ligatures w14:val="standardContextual"/>
        </w:rPr>
      </w:pPr>
      <w:hyperlink w:anchor="_Toc200545027" w:history="1">
        <w:r w:rsidRPr="006E2986">
          <w:rPr>
            <w:rStyle w:val="Hyperlink"/>
            <w:noProof/>
            <w:lang w:eastAsia="en-US"/>
          </w:rPr>
          <w:t>5.</w:t>
        </w:r>
        <w:r>
          <w:rPr>
            <w:rFonts w:asciiTheme="minorHAnsi" w:eastAsiaTheme="minorEastAsia" w:hAnsiTheme="minorHAnsi" w:cstheme="minorBidi"/>
            <w:noProof/>
            <w:kern w:val="2"/>
            <w:sz w:val="24"/>
            <w:szCs w:val="24"/>
            <w:lang w:eastAsia="en-US"/>
            <w14:ligatures w14:val="standardContextual"/>
          </w:rPr>
          <w:tab/>
        </w:r>
        <w:r w:rsidRPr="006E2986">
          <w:rPr>
            <w:rStyle w:val="Hyperlink"/>
            <w:noProof/>
            <w:lang w:eastAsia="en-US"/>
          </w:rPr>
          <w:t>CONCLUSIONS</w:t>
        </w:r>
        <w:r>
          <w:rPr>
            <w:noProof/>
            <w:webHidden/>
          </w:rPr>
          <w:tab/>
        </w:r>
        <w:r>
          <w:rPr>
            <w:noProof/>
            <w:webHidden/>
          </w:rPr>
          <w:fldChar w:fldCharType="begin"/>
        </w:r>
        <w:r>
          <w:rPr>
            <w:noProof/>
            <w:webHidden/>
          </w:rPr>
          <w:instrText xml:space="preserve"> PAGEREF _Toc200545027 \h </w:instrText>
        </w:r>
        <w:r>
          <w:rPr>
            <w:noProof/>
            <w:webHidden/>
          </w:rPr>
        </w:r>
        <w:r>
          <w:rPr>
            <w:noProof/>
            <w:webHidden/>
          </w:rPr>
          <w:fldChar w:fldCharType="separate"/>
        </w:r>
        <w:r w:rsidR="00842C14">
          <w:rPr>
            <w:noProof/>
            <w:webHidden/>
          </w:rPr>
          <w:t>37</w:t>
        </w:r>
        <w:r>
          <w:rPr>
            <w:noProof/>
            <w:webHidden/>
          </w:rPr>
          <w:fldChar w:fldCharType="end"/>
        </w:r>
      </w:hyperlink>
    </w:p>
    <w:p w14:paraId="54C7E275" w14:textId="043961C2" w:rsidR="007276AB" w:rsidRDefault="007276AB" w:rsidP="007276AB">
      <w:pPr>
        <w:rPr>
          <w:lang w:eastAsia="en-US"/>
        </w:rPr>
      </w:pPr>
      <w:r>
        <w:rPr>
          <w:lang w:eastAsia="en-US"/>
        </w:rPr>
        <w:fldChar w:fldCharType="end"/>
      </w:r>
    </w:p>
    <w:p w14:paraId="3AAD744B" w14:textId="3ABC5DDB" w:rsidR="00B652DD" w:rsidRDefault="00B652DD">
      <w:pPr>
        <w:rPr>
          <w:lang w:eastAsia="en-US"/>
        </w:rPr>
      </w:pPr>
      <w:r>
        <w:rPr>
          <w:lang w:eastAsia="en-US"/>
        </w:rPr>
        <w:br w:type="page"/>
      </w:r>
    </w:p>
    <w:p w14:paraId="61AF83AE" w14:textId="437D9C47" w:rsidR="00C9293C" w:rsidRPr="004577B9" w:rsidRDefault="00FD6164" w:rsidP="00C9293C">
      <w:pPr>
        <w:pStyle w:val="Heading1"/>
        <w:rPr>
          <w:lang w:eastAsia="en-US"/>
        </w:rPr>
      </w:pPr>
      <w:bookmarkStart w:id="5" w:name="_Toc200544978"/>
      <w:r>
        <w:rPr>
          <w:lang w:eastAsia="en-US"/>
        </w:rPr>
        <w:lastRenderedPageBreak/>
        <w:t xml:space="preserve">1. </w:t>
      </w:r>
      <w:r w:rsidR="00812E3B">
        <w:rPr>
          <w:lang w:eastAsia="en-US"/>
        </w:rPr>
        <w:tab/>
      </w:r>
      <w:r w:rsidR="00C9293C" w:rsidRPr="004577B9">
        <w:rPr>
          <w:lang w:eastAsia="en-US"/>
        </w:rPr>
        <w:t>EXECUTIVE SUMMARY</w:t>
      </w:r>
      <w:bookmarkEnd w:id="5"/>
      <w:r w:rsidR="00C9293C" w:rsidRPr="004577B9">
        <w:rPr>
          <w:lang w:eastAsia="en-US"/>
        </w:rPr>
        <w:t xml:space="preserve"> </w:t>
      </w:r>
    </w:p>
    <w:p w14:paraId="255B83AD" w14:textId="77777777" w:rsidR="00C9293C" w:rsidRPr="004577B9" w:rsidRDefault="00C9293C" w:rsidP="00C9293C">
      <w:pPr>
        <w:pStyle w:val="Heading2"/>
        <w:spacing w:after="220"/>
        <w:ind w:left="547"/>
        <w:rPr>
          <w:lang w:eastAsia="en-US"/>
        </w:rPr>
      </w:pPr>
      <w:bookmarkStart w:id="6" w:name="_Toc200544979"/>
      <w:r w:rsidRPr="004577B9">
        <w:rPr>
          <w:lang w:eastAsia="en-US"/>
        </w:rPr>
        <w:t>1.1.</w:t>
      </w:r>
      <w:r w:rsidRPr="004577B9">
        <w:rPr>
          <w:lang w:eastAsia="en-US"/>
        </w:rPr>
        <w:tab/>
        <w:t>Introduction</w:t>
      </w:r>
      <w:bookmarkEnd w:id="6"/>
    </w:p>
    <w:p w14:paraId="42D7590B" w14:textId="5EA8ED18" w:rsidR="00C9293C" w:rsidRPr="004577B9" w:rsidRDefault="00C9293C" w:rsidP="00C9293C">
      <w:pPr>
        <w:pStyle w:val="ONUME"/>
        <w:rPr>
          <w:lang w:eastAsia="en-US"/>
        </w:rPr>
      </w:pPr>
      <w:r w:rsidRPr="00C9293C">
        <w:rPr>
          <w:lang w:eastAsia="en-US"/>
        </w:rPr>
        <w:t xml:space="preserve">During the Sixty-Fifth Series of Meetings of the Assemblies of the Member States of the World Intellectual Property Organization (WIPO) (July 9 to 17, 2024), Member States recalled their </w:t>
      </w:r>
      <w:r w:rsidR="007B0FB6">
        <w:rPr>
          <w:lang w:eastAsia="en-US"/>
        </w:rPr>
        <w:t>“</w:t>
      </w:r>
      <w:r w:rsidRPr="00C9293C">
        <w:rPr>
          <w:lang w:eastAsia="en-US"/>
        </w:rPr>
        <w:t>Decisions on the Assistance and Support for Ukraine’s Innovation and Creativity Sector and Intellectual Property System</w:t>
      </w:r>
      <w:r w:rsidR="007B0FB6">
        <w:rPr>
          <w:lang w:eastAsia="en-US"/>
        </w:rPr>
        <w:t>”</w:t>
      </w:r>
      <w:r w:rsidRPr="00C9293C">
        <w:rPr>
          <w:lang w:eastAsia="en-US"/>
        </w:rPr>
        <w:t xml:space="preserve"> contained in documents A/63/10</w:t>
      </w:r>
      <w:r w:rsidR="008674CE">
        <w:rPr>
          <w:lang w:eastAsia="en-US"/>
        </w:rPr>
        <w:t xml:space="preserve"> and</w:t>
      </w:r>
      <w:r w:rsidRPr="00C9293C">
        <w:rPr>
          <w:lang w:eastAsia="en-US"/>
        </w:rPr>
        <w:t xml:space="preserve"> A/64/14</w:t>
      </w:r>
      <w:r w:rsidR="00D234DA">
        <w:rPr>
          <w:lang w:eastAsia="en-US"/>
        </w:rPr>
        <w:t>, and</w:t>
      </w:r>
      <w:r w:rsidRPr="00C9293C">
        <w:rPr>
          <w:lang w:eastAsia="en-US"/>
        </w:rPr>
        <w:t xml:space="preserve"> took note of the Report contained in document A/65/7, and </w:t>
      </w:r>
      <w:r w:rsidR="00395CE4">
        <w:rPr>
          <w:lang w:eastAsia="en-US"/>
        </w:rPr>
        <w:t>“</w:t>
      </w:r>
      <w:r w:rsidRPr="00C9293C">
        <w:rPr>
          <w:lang w:eastAsia="en-US"/>
        </w:rPr>
        <w:t>the continued negative impacts of the ongoing war on Ukraine’s innovation and creativity sector and I</w:t>
      </w:r>
      <w:r w:rsidR="0071714D">
        <w:rPr>
          <w:lang w:eastAsia="en-US"/>
        </w:rPr>
        <w:t xml:space="preserve">ntellectual </w:t>
      </w:r>
      <w:r w:rsidRPr="00C9293C">
        <w:rPr>
          <w:lang w:eastAsia="en-US"/>
        </w:rPr>
        <w:t>P</w:t>
      </w:r>
      <w:r w:rsidR="0071714D">
        <w:rPr>
          <w:lang w:eastAsia="en-US"/>
        </w:rPr>
        <w:t>roperty (IP)</w:t>
      </w:r>
      <w:r w:rsidRPr="00C9293C">
        <w:rPr>
          <w:lang w:eastAsia="en-US"/>
        </w:rPr>
        <w:t xml:space="preserve"> system</w:t>
      </w:r>
      <w:r w:rsidR="005C5BA6">
        <w:rPr>
          <w:lang w:eastAsia="en-US"/>
        </w:rPr>
        <w:t>”.</w:t>
      </w:r>
      <w:r w:rsidRPr="00C9293C">
        <w:rPr>
          <w:lang w:eastAsia="en-US"/>
        </w:rPr>
        <w:t xml:space="preserve"> </w:t>
      </w:r>
      <w:r w:rsidR="005D3F1F">
        <w:rPr>
          <w:lang w:eastAsia="en-US"/>
        </w:rPr>
        <w:t xml:space="preserve"> The </w:t>
      </w:r>
      <w:r w:rsidR="009629EB">
        <w:rPr>
          <w:lang w:eastAsia="en-US"/>
        </w:rPr>
        <w:t xml:space="preserve">Assemblies of WIPO, each in so far as it is concerned, </w:t>
      </w:r>
      <w:r w:rsidRPr="00C9293C">
        <w:rPr>
          <w:lang w:eastAsia="en-US"/>
        </w:rPr>
        <w:t>requested the International Bureau:</w:t>
      </w:r>
    </w:p>
    <w:p w14:paraId="1E0538C9" w14:textId="7A54D723" w:rsidR="00C9293C" w:rsidRDefault="00C9293C" w:rsidP="00C9293C">
      <w:pPr>
        <w:tabs>
          <w:tab w:val="left" w:pos="567"/>
          <w:tab w:val="left" w:pos="1134"/>
        </w:tabs>
        <w:ind w:left="567"/>
        <w:rPr>
          <w:rFonts w:asciiTheme="minorBidi" w:hAnsiTheme="minorBidi"/>
          <w:szCs w:val="22"/>
        </w:rPr>
      </w:pPr>
      <w:r w:rsidRPr="00D420D7">
        <w:rPr>
          <w:rFonts w:asciiTheme="minorBidi" w:hAnsiTheme="minorBidi"/>
          <w:szCs w:val="22"/>
        </w:rPr>
        <w:t xml:space="preserve">“(a) </w:t>
      </w:r>
      <w:bookmarkStart w:id="7" w:name="_Hlk199490338"/>
      <w:r w:rsidRPr="00D420D7">
        <w:rPr>
          <w:rFonts w:asciiTheme="minorBidi" w:hAnsiTheme="minorBidi"/>
          <w:szCs w:val="22"/>
        </w:rPr>
        <w:t xml:space="preserve">to continue </w:t>
      </w:r>
      <w:bookmarkStart w:id="8" w:name="_Hlk196323097"/>
      <w:r w:rsidRPr="00D420D7">
        <w:rPr>
          <w:rFonts w:asciiTheme="minorBidi" w:hAnsiTheme="minorBidi"/>
          <w:szCs w:val="22"/>
        </w:rPr>
        <w:t>its close cooperation with Ukraine to ensure its ongoing support and assistance to the creators, innovators, and members of the IP community,</w:t>
      </w:r>
      <w:bookmarkEnd w:id="8"/>
      <w:r w:rsidRPr="00D420D7">
        <w:rPr>
          <w:rFonts w:asciiTheme="minorBidi" w:hAnsiTheme="minorBidi"/>
          <w:szCs w:val="22"/>
        </w:rPr>
        <w:t xml:space="preserve"> focusing on mitigating the adverse effects of the war and rebuilding an innovative and creative ecosystem in Ukraine that benefits all stakeholders and strengthens the country’s </w:t>
      </w:r>
      <w:proofErr w:type="gramStart"/>
      <w:r w:rsidRPr="00D420D7">
        <w:rPr>
          <w:rFonts w:asciiTheme="minorBidi" w:hAnsiTheme="minorBidi"/>
          <w:szCs w:val="22"/>
        </w:rPr>
        <w:t xml:space="preserve">economy; </w:t>
      </w:r>
      <w:r w:rsidR="00334EB2">
        <w:rPr>
          <w:rFonts w:asciiTheme="minorBidi" w:hAnsiTheme="minorBidi"/>
          <w:szCs w:val="22"/>
        </w:rPr>
        <w:t xml:space="preserve"> </w:t>
      </w:r>
      <w:r w:rsidRPr="00D420D7">
        <w:rPr>
          <w:rFonts w:asciiTheme="minorBidi" w:hAnsiTheme="minorBidi"/>
          <w:szCs w:val="22"/>
        </w:rPr>
        <w:t>and</w:t>
      </w:r>
      <w:proofErr w:type="gramEnd"/>
      <w:r w:rsidRPr="00D420D7">
        <w:rPr>
          <w:rFonts w:asciiTheme="minorBidi" w:hAnsiTheme="minorBidi"/>
          <w:szCs w:val="22"/>
        </w:rPr>
        <w:t xml:space="preserve"> </w:t>
      </w:r>
    </w:p>
    <w:p w14:paraId="1FF4480D" w14:textId="77777777" w:rsidR="00C9293C" w:rsidRPr="00D420D7" w:rsidRDefault="00C9293C" w:rsidP="00C9293C">
      <w:pPr>
        <w:tabs>
          <w:tab w:val="left" w:pos="567"/>
          <w:tab w:val="left" w:pos="1134"/>
        </w:tabs>
        <w:ind w:left="567"/>
        <w:rPr>
          <w:rFonts w:asciiTheme="minorBidi" w:hAnsiTheme="minorBidi"/>
          <w:szCs w:val="22"/>
        </w:rPr>
      </w:pPr>
    </w:p>
    <w:bookmarkEnd w:id="7"/>
    <w:p w14:paraId="496047A4" w14:textId="661E7C9D" w:rsidR="00C9293C" w:rsidRDefault="00C9293C" w:rsidP="00C9293C">
      <w:pPr>
        <w:tabs>
          <w:tab w:val="left" w:pos="567"/>
          <w:tab w:val="left" w:pos="1134"/>
        </w:tabs>
        <w:ind w:left="567"/>
        <w:rPr>
          <w:rFonts w:asciiTheme="minorBidi" w:hAnsiTheme="minorBidi"/>
          <w:szCs w:val="22"/>
        </w:rPr>
      </w:pPr>
      <w:r w:rsidRPr="00D420D7">
        <w:rPr>
          <w:rFonts w:asciiTheme="minorBidi" w:hAnsiTheme="minorBidi"/>
          <w:szCs w:val="22"/>
        </w:rPr>
        <w:t xml:space="preserve">“(b) to provide an updated assessment of the medium- and long-term impacts of the war on Ukraine’s innovation and creativity sector and </w:t>
      </w:r>
      <w:proofErr w:type="gramStart"/>
      <w:r w:rsidRPr="00D420D7">
        <w:rPr>
          <w:rFonts w:asciiTheme="minorBidi" w:hAnsiTheme="minorBidi"/>
          <w:szCs w:val="22"/>
        </w:rPr>
        <w:t xml:space="preserve">ecosystem; </w:t>
      </w:r>
      <w:r w:rsidR="00334EB2">
        <w:rPr>
          <w:rFonts w:asciiTheme="minorBidi" w:hAnsiTheme="minorBidi"/>
          <w:szCs w:val="22"/>
        </w:rPr>
        <w:t xml:space="preserve"> </w:t>
      </w:r>
      <w:r w:rsidRPr="00D420D7">
        <w:rPr>
          <w:rFonts w:asciiTheme="minorBidi" w:hAnsiTheme="minorBidi"/>
          <w:szCs w:val="22"/>
        </w:rPr>
        <w:t>and</w:t>
      </w:r>
      <w:proofErr w:type="gramEnd"/>
      <w:r w:rsidRPr="00D420D7">
        <w:rPr>
          <w:rFonts w:asciiTheme="minorBidi" w:hAnsiTheme="minorBidi"/>
          <w:szCs w:val="22"/>
        </w:rPr>
        <w:t xml:space="preserve"> </w:t>
      </w:r>
    </w:p>
    <w:p w14:paraId="552F81C6" w14:textId="77777777" w:rsidR="00C9293C" w:rsidRPr="00D420D7" w:rsidRDefault="00C9293C" w:rsidP="00C9293C">
      <w:pPr>
        <w:tabs>
          <w:tab w:val="left" w:pos="567"/>
          <w:tab w:val="left" w:pos="1134"/>
        </w:tabs>
        <w:ind w:left="567"/>
        <w:rPr>
          <w:rFonts w:asciiTheme="minorBidi" w:hAnsiTheme="minorBidi"/>
          <w:szCs w:val="22"/>
        </w:rPr>
      </w:pPr>
    </w:p>
    <w:p w14:paraId="0DA94981" w14:textId="62ACAD54" w:rsidR="00C9293C" w:rsidRDefault="00C9293C" w:rsidP="00C9293C">
      <w:pPr>
        <w:tabs>
          <w:tab w:val="left" w:pos="567"/>
          <w:tab w:val="left" w:pos="1134"/>
        </w:tabs>
        <w:ind w:left="567"/>
        <w:rPr>
          <w:rFonts w:asciiTheme="minorBidi" w:hAnsiTheme="minorBidi"/>
          <w:szCs w:val="22"/>
        </w:rPr>
      </w:pPr>
      <w:r w:rsidRPr="00D420D7">
        <w:rPr>
          <w:rFonts w:asciiTheme="minorBidi" w:hAnsiTheme="minorBidi"/>
          <w:szCs w:val="22"/>
        </w:rPr>
        <w:t xml:space="preserve">“(c) </w:t>
      </w:r>
      <w:bookmarkStart w:id="9" w:name="_Hlk199171462"/>
      <w:r w:rsidRPr="00D420D7">
        <w:rPr>
          <w:rFonts w:asciiTheme="minorBidi" w:hAnsiTheme="minorBidi"/>
          <w:szCs w:val="22"/>
        </w:rPr>
        <w:t xml:space="preserve">to take steps to ensure that publications on WIPO resources and platforms comply with the principles of sovereignty, independence, and territorial integrity of Ukraine within its internationally recognized </w:t>
      </w:r>
      <w:proofErr w:type="gramStart"/>
      <w:r w:rsidRPr="00D420D7">
        <w:rPr>
          <w:rFonts w:asciiTheme="minorBidi" w:hAnsiTheme="minorBidi"/>
          <w:szCs w:val="22"/>
        </w:rPr>
        <w:t>borders</w:t>
      </w:r>
      <w:bookmarkEnd w:id="9"/>
      <w:r w:rsidRPr="00D420D7">
        <w:rPr>
          <w:rFonts w:asciiTheme="minorBidi" w:hAnsiTheme="minorBidi"/>
          <w:szCs w:val="22"/>
        </w:rPr>
        <w:t>;</w:t>
      </w:r>
      <w:proofErr w:type="gramEnd"/>
    </w:p>
    <w:p w14:paraId="37C33D4F" w14:textId="77777777" w:rsidR="00C9293C" w:rsidRPr="00D420D7" w:rsidRDefault="00C9293C" w:rsidP="00C9293C">
      <w:pPr>
        <w:tabs>
          <w:tab w:val="left" w:pos="567"/>
          <w:tab w:val="left" w:pos="1134"/>
        </w:tabs>
        <w:ind w:left="567"/>
        <w:rPr>
          <w:rFonts w:asciiTheme="minorBidi" w:hAnsiTheme="minorBidi"/>
          <w:szCs w:val="22"/>
        </w:rPr>
      </w:pPr>
    </w:p>
    <w:p w14:paraId="3275950F" w14:textId="54A34183" w:rsidR="00C9293C" w:rsidRPr="00D420D7" w:rsidRDefault="00C9293C" w:rsidP="00C9293C">
      <w:pPr>
        <w:tabs>
          <w:tab w:val="left" w:pos="567"/>
          <w:tab w:val="left" w:pos="1134"/>
        </w:tabs>
        <w:ind w:left="567"/>
        <w:rPr>
          <w:rFonts w:asciiTheme="minorBidi" w:hAnsiTheme="minorBidi"/>
          <w:szCs w:val="22"/>
        </w:rPr>
      </w:pPr>
      <w:r w:rsidRPr="00D420D7">
        <w:rPr>
          <w:rFonts w:asciiTheme="minorBidi" w:hAnsiTheme="minorBidi"/>
          <w:szCs w:val="22"/>
        </w:rPr>
        <w:t>“(d) to report on the implementation of this decision and other relevant activities at the 2025 WIPO Assemblies, and annually thereafter”</w:t>
      </w:r>
      <w:r w:rsidR="00ED3629">
        <w:rPr>
          <w:rFonts w:asciiTheme="minorBidi" w:hAnsiTheme="minorBidi"/>
          <w:szCs w:val="22"/>
        </w:rPr>
        <w:t>.</w:t>
      </w:r>
      <w:r w:rsidRPr="00D420D7">
        <w:rPr>
          <w:rFonts w:asciiTheme="minorBidi" w:hAnsiTheme="minorBidi"/>
          <w:szCs w:val="22"/>
        </w:rPr>
        <w:t xml:space="preserve"> </w:t>
      </w:r>
    </w:p>
    <w:p w14:paraId="6C400B55" w14:textId="63E426F4" w:rsidR="00C9293C" w:rsidRPr="004577B9" w:rsidRDefault="00C9293C" w:rsidP="00C9293C">
      <w:pPr>
        <w:tabs>
          <w:tab w:val="left" w:pos="1170"/>
        </w:tabs>
        <w:ind w:left="1170" w:hanging="540"/>
        <w:contextualSpacing/>
        <w:rPr>
          <w:rFonts w:eastAsia="Times New Roman"/>
          <w:szCs w:val="22"/>
          <w:lang w:eastAsia="en-US"/>
        </w:rPr>
      </w:pPr>
    </w:p>
    <w:p w14:paraId="68F97B52" w14:textId="20262E7C" w:rsidR="00B263BB" w:rsidRPr="00B263BB" w:rsidRDefault="002B1787" w:rsidP="00B263BB">
      <w:pPr>
        <w:pStyle w:val="ONUME"/>
        <w:rPr>
          <w:lang w:eastAsia="en-US"/>
        </w:rPr>
      </w:pPr>
      <w:r>
        <w:rPr>
          <w:lang w:eastAsia="en-US"/>
        </w:rPr>
        <w:t>This</w:t>
      </w:r>
      <w:r w:rsidR="00B263BB" w:rsidRPr="00B263BB">
        <w:rPr>
          <w:lang w:eastAsia="en-US"/>
        </w:rPr>
        <w:t xml:space="preserve"> document </w:t>
      </w:r>
      <w:r>
        <w:rPr>
          <w:lang w:eastAsia="en-US"/>
        </w:rPr>
        <w:t>constitutes</w:t>
      </w:r>
      <w:r w:rsidR="00B263BB" w:rsidRPr="00B263BB">
        <w:rPr>
          <w:lang w:eastAsia="en-US"/>
        </w:rPr>
        <w:t xml:space="preserve"> the report to the Assemblies </w:t>
      </w:r>
      <w:r>
        <w:rPr>
          <w:lang w:eastAsia="en-US"/>
        </w:rPr>
        <w:t>pursuant to sub-paragraph (d) above</w:t>
      </w:r>
      <w:r w:rsidR="00B263BB" w:rsidRPr="00B263BB">
        <w:rPr>
          <w:lang w:eastAsia="en-US"/>
        </w:rPr>
        <w:t xml:space="preserve">. </w:t>
      </w:r>
    </w:p>
    <w:p w14:paraId="3DC02754" w14:textId="77777777" w:rsidR="00C9293C" w:rsidRPr="004577B9" w:rsidRDefault="00C9293C" w:rsidP="00C9293C">
      <w:pPr>
        <w:pStyle w:val="Heading2"/>
        <w:spacing w:after="220"/>
        <w:ind w:left="547"/>
        <w:rPr>
          <w:lang w:eastAsia="en-US"/>
        </w:rPr>
      </w:pPr>
      <w:bookmarkStart w:id="10" w:name="_Toc200544980"/>
      <w:r w:rsidRPr="004577B9">
        <w:rPr>
          <w:lang w:eastAsia="en-US"/>
        </w:rPr>
        <w:t>1.2.</w:t>
      </w:r>
      <w:r w:rsidRPr="004577B9">
        <w:rPr>
          <w:lang w:eastAsia="en-US"/>
        </w:rPr>
        <w:tab/>
        <w:t>Summary</w:t>
      </w:r>
      <w:bookmarkEnd w:id="10"/>
    </w:p>
    <w:p w14:paraId="4860C0C7" w14:textId="65A8FE24" w:rsidR="00B263BB" w:rsidRPr="00B263BB" w:rsidRDefault="00B263BB" w:rsidP="00B263BB">
      <w:pPr>
        <w:pStyle w:val="ONUME"/>
        <w:rPr>
          <w:lang w:eastAsia="en-US"/>
        </w:rPr>
      </w:pPr>
      <w:r w:rsidRPr="00B263BB">
        <w:rPr>
          <w:lang w:eastAsia="en-US"/>
        </w:rPr>
        <w:t>Further to the request by Member States, in close cooperation and consultation with Ukraine</w:t>
      </w:r>
      <w:r>
        <w:rPr>
          <w:lang w:eastAsia="en-US"/>
        </w:rPr>
        <w:t>,</w:t>
      </w:r>
      <w:r w:rsidRPr="00B263BB">
        <w:rPr>
          <w:lang w:eastAsia="en-US"/>
        </w:rPr>
        <w:t xml:space="preserve"> the International Bureau continued to </w:t>
      </w:r>
      <w:proofErr w:type="gramStart"/>
      <w:r w:rsidRPr="00B263BB">
        <w:rPr>
          <w:lang w:eastAsia="en-US"/>
        </w:rPr>
        <w:t>provide assistance</w:t>
      </w:r>
      <w:proofErr w:type="gramEnd"/>
      <w:r w:rsidRPr="00B263BB">
        <w:rPr>
          <w:lang w:eastAsia="en-US"/>
        </w:rPr>
        <w:t xml:space="preserve"> and support to Ukraine’s </w:t>
      </w:r>
      <w:r w:rsidR="00B45850">
        <w:rPr>
          <w:lang w:eastAsia="en-US"/>
        </w:rPr>
        <w:t>i</w:t>
      </w:r>
      <w:r w:rsidRPr="00B263BB">
        <w:rPr>
          <w:lang w:eastAsia="en-US"/>
        </w:rPr>
        <w:t xml:space="preserve">nnovation and </w:t>
      </w:r>
      <w:r w:rsidR="00B45850">
        <w:rPr>
          <w:lang w:eastAsia="en-US"/>
        </w:rPr>
        <w:t>c</w:t>
      </w:r>
      <w:r w:rsidRPr="00B263BB">
        <w:rPr>
          <w:lang w:eastAsia="en-US"/>
        </w:rPr>
        <w:t xml:space="preserve">reativity </w:t>
      </w:r>
      <w:r w:rsidR="00B45850">
        <w:rPr>
          <w:lang w:eastAsia="en-US"/>
        </w:rPr>
        <w:t>s</w:t>
      </w:r>
      <w:r w:rsidRPr="00B263BB">
        <w:rPr>
          <w:lang w:eastAsia="en-US"/>
        </w:rPr>
        <w:t xml:space="preserve">ector and </w:t>
      </w:r>
      <w:r w:rsidR="007A28C0">
        <w:rPr>
          <w:lang w:eastAsia="en-US"/>
        </w:rPr>
        <w:t xml:space="preserve">IP </w:t>
      </w:r>
      <w:r w:rsidR="00B45850">
        <w:rPr>
          <w:lang w:eastAsia="en-US"/>
        </w:rPr>
        <w:t>s</w:t>
      </w:r>
      <w:r w:rsidRPr="00B263BB">
        <w:rPr>
          <w:lang w:eastAsia="en-US"/>
        </w:rPr>
        <w:t>ystem.</w:t>
      </w:r>
      <w:r w:rsidR="009B3DD1">
        <w:rPr>
          <w:lang w:eastAsia="en-US"/>
        </w:rPr>
        <w:t xml:space="preserve"> </w:t>
      </w:r>
      <w:r w:rsidRPr="00B263BB">
        <w:rPr>
          <w:lang w:eastAsia="en-US"/>
        </w:rPr>
        <w:t xml:space="preserve"> The support continued to be driven by the implementation of the Memorandum of Understanding (MoU) between WIPO and the Ministry of Economy of Ukraine on Cooperation in the Sphere of Intellectual Property signed in July 2023. </w:t>
      </w:r>
    </w:p>
    <w:p w14:paraId="42D0768C" w14:textId="128A2E60" w:rsidR="00B263BB" w:rsidRPr="00B263BB" w:rsidRDefault="00B263BB" w:rsidP="00B263BB">
      <w:pPr>
        <w:pStyle w:val="ONUME"/>
        <w:rPr>
          <w:lang w:eastAsia="en-US"/>
        </w:rPr>
      </w:pPr>
      <w:r w:rsidRPr="00B263BB">
        <w:rPr>
          <w:lang w:eastAsia="en-US"/>
        </w:rPr>
        <w:t>As the current MoU expires in July 2025, WIPO and the Ministry of Economy are working on the development of a new MoU that builds on the results achieved so far and reflects the new priorities of Ukraine.</w:t>
      </w:r>
      <w:r w:rsidR="009B3DD1">
        <w:rPr>
          <w:lang w:eastAsia="en-US"/>
        </w:rPr>
        <w:t xml:space="preserve"> </w:t>
      </w:r>
      <w:r w:rsidRPr="00B263BB">
        <w:rPr>
          <w:lang w:eastAsia="en-US"/>
        </w:rPr>
        <w:t xml:space="preserve"> </w:t>
      </w:r>
      <w:r w:rsidR="00812E3B">
        <w:rPr>
          <w:lang w:eastAsia="en-US"/>
        </w:rPr>
        <w:t xml:space="preserve">The new MoU is expected to be signed during the 2025 WIPO Assemblies. </w:t>
      </w:r>
    </w:p>
    <w:p w14:paraId="7B2F7472" w14:textId="6F8EED54" w:rsidR="00B263BB" w:rsidRPr="00B263BB" w:rsidRDefault="00B263BB" w:rsidP="00B263BB">
      <w:pPr>
        <w:pStyle w:val="ONUME"/>
        <w:rPr>
          <w:lang w:eastAsia="en-US"/>
        </w:rPr>
      </w:pPr>
      <w:r w:rsidRPr="00B263BB">
        <w:rPr>
          <w:lang w:eastAsia="en-US"/>
        </w:rPr>
        <w:t xml:space="preserve">Since the last Assemblies, the International Bureau held over 35 online and in-person meetings, which involved relevant governmental and other stakeholders from Ukraine, including the Ministry of Economy of Ukraine </w:t>
      </w:r>
      <w:r>
        <w:rPr>
          <w:lang w:eastAsia="en-US"/>
        </w:rPr>
        <w:t xml:space="preserve">and </w:t>
      </w:r>
      <w:r w:rsidRPr="00B263BB">
        <w:rPr>
          <w:lang w:eastAsia="en-US"/>
        </w:rPr>
        <w:t xml:space="preserve">the Ukrainian National Office for Intellectual Property and Innovations (UANIPIO). </w:t>
      </w:r>
      <w:r>
        <w:rPr>
          <w:lang w:eastAsia="en-US"/>
        </w:rPr>
        <w:t xml:space="preserve"> </w:t>
      </w:r>
      <w:r w:rsidRPr="00B263BB">
        <w:rPr>
          <w:lang w:eastAsia="en-US"/>
        </w:rPr>
        <w:t>These continuous consultations allowed the International Bureau to adapt its support and assistance to the evolving needs of the country and the circumstances on the ground.</w:t>
      </w:r>
    </w:p>
    <w:p w14:paraId="669334BE" w14:textId="1F2A9853" w:rsidR="00B263BB" w:rsidRPr="00B263BB" w:rsidRDefault="00B263BB" w:rsidP="00B263BB">
      <w:pPr>
        <w:pStyle w:val="ONUME"/>
        <w:rPr>
          <w:lang w:eastAsia="en-US"/>
        </w:rPr>
      </w:pPr>
      <w:bookmarkStart w:id="11" w:name="_Hlk199326752"/>
      <w:r w:rsidRPr="00B263BB">
        <w:rPr>
          <w:lang w:eastAsia="en-US"/>
        </w:rPr>
        <w:t>Further to the request by Member States</w:t>
      </w:r>
      <w:r>
        <w:rPr>
          <w:lang w:eastAsia="en-US"/>
        </w:rPr>
        <w:t>,</w:t>
      </w:r>
      <w:r w:rsidRPr="00B263BB">
        <w:rPr>
          <w:lang w:eastAsia="en-US"/>
        </w:rPr>
        <w:t xml:space="preserve"> the International Bureau conducted an assessment on the impacts of the war on Ukraine’s innovation and creativity sector and ecosystem by conducting</w:t>
      </w:r>
      <w:r w:rsidR="00E97082">
        <w:rPr>
          <w:lang w:eastAsia="en-US"/>
        </w:rPr>
        <w:t xml:space="preserve"> targeted</w:t>
      </w:r>
      <w:r w:rsidRPr="00B263BB">
        <w:rPr>
          <w:lang w:eastAsia="en-US"/>
        </w:rPr>
        <w:t xml:space="preserve"> consultations with relevant stakeholders at various levels through questionnaires and interviews, as well as through desk research and data analysis. </w:t>
      </w:r>
    </w:p>
    <w:p w14:paraId="5D96E871" w14:textId="139336AA" w:rsidR="00C27B9A" w:rsidRDefault="00B263BB" w:rsidP="001E3547">
      <w:pPr>
        <w:pStyle w:val="ONUME"/>
        <w:rPr>
          <w:lang w:eastAsia="en-US"/>
        </w:rPr>
      </w:pPr>
      <w:r w:rsidRPr="00EC0B22">
        <w:rPr>
          <w:lang w:eastAsia="en-US"/>
        </w:rPr>
        <w:lastRenderedPageBreak/>
        <w:t xml:space="preserve">Based on the </w:t>
      </w:r>
      <w:r w:rsidR="00CE2486">
        <w:rPr>
          <w:lang w:eastAsia="en-US"/>
        </w:rPr>
        <w:t>outcome of th</w:t>
      </w:r>
      <w:r w:rsidR="00E51054">
        <w:rPr>
          <w:lang w:eastAsia="en-US"/>
        </w:rPr>
        <w:t>is</w:t>
      </w:r>
      <w:r w:rsidRPr="00EC0B22">
        <w:rPr>
          <w:lang w:eastAsia="en-US"/>
        </w:rPr>
        <w:t xml:space="preserve"> assessment, </w:t>
      </w:r>
      <w:r w:rsidR="00EF7476">
        <w:rPr>
          <w:lang w:eastAsia="en-US"/>
        </w:rPr>
        <w:t>the war</w:t>
      </w:r>
      <w:r w:rsidR="007F7B3E">
        <w:rPr>
          <w:lang w:eastAsia="en-US"/>
        </w:rPr>
        <w:t xml:space="preserve"> continue</w:t>
      </w:r>
      <w:r w:rsidR="00EF7476">
        <w:rPr>
          <w:lang w:eastAsia="en-US"/>
        </w:rPr>
        <w:t>s</w:t>
      </w:r>
      <w:r w:rsidR="007F7B3E">
        <w:rPr>
          <w:lang w:eastAsia="en-US"/>
        </w:rPr>
        <w:t xml:space="preserve"> </w:t>
      </w:r>
      <w:r w:rsidR="00EF7476">
        <w:rPr>
          <w:lang w:eastAsia="en-US"/>
        </w:rPr>
        <w:t xml:space="preserve">to have a </w:t>
      </w:r>
      <w:r w:rsidRPr="00EC0B22">
        <w:rPr>
          <w:lang w:eastAsia="en-US"/>
        </w:rPr>
        <w:t xml:space="preserve">negative impact on the innovation and creativity sector and ecosystem in Ukraine.  Most of the impact observed in reports </w:t>
      </w:r>
      <w:r w:rsidR="007D77D9" w:rsidRPr="00EC0B22">
        <w:rPr>
          <w:lang w:eastAsia="en-US"/>
        </w:rPr>
        <w:t>to the WIPO Assemblies</w:t>
      </w:r>
      <w:r w:rsidR="0099590B">
        <w:rPr>
          <w:lang w:eastAsia="en-US"/>
        </w:rPr>
        <w:t>,</w:t>
      </w:r>
      <w:r w:rsidR="007D77D9" w:rsidRPr="00EC0B22">
        <w:rPr>
          <w:lang w:eastAsia="en-US"/>
        </w:rPr>
        <w:t xml:space="preserve"> </w:t>
      </w:r>
      <w:r w:rsidR="00B45850">
        <w:rPr>
          <w:lang w:eastAsia="en-US"/>
        </w:rPr>
        <w:t xml:space="preserve">contained in documents </w:t>
      </w:r>
      <w:hyperlink r:id="rId9" w:history="1">
        <w:r w:rsidRPr="00EC0B22">
          <w:rPr>
            <w:rStyle w:val="Hyperlink"/>
            <w:lang w:eastAsia="en-US"/>
          </w:rPr>
          <w:t>A/64/8</w:t>
        </w:r>
      </w:hyperlink>
      <w:r w:rsidRPr="00EC0B22">
        <w:rPr>
          <w:lang w:eastAsia="en-US"/>
        </w:rPr>
        <w:t xml:space="preserve"> and </w:t>
      </w:r>
      <w:hyperlink r:id="rId10" w:history="1">
        <w:r w:rsidRPr="00EC0B22">
          <w:rPr>
            <w:rStyle w:val="Hyperlink"/>
            <w:lang w:eastAsia="en-US"/>
          </w:rPr>
          <w:t>A/65/7</w:t>
        </w:r>
      </w:hyperlink>
      <w:r w:rsidR="00C27B9A">
        <w:rPr>
          <w:lang w:eastAsia="en-US"/>
        </w:rPr>
        <w:t xml:space="preserve"> </w:t>
      </w:r>
      <w:r w:rsidR="001E3547">
        <w:rPr>
          <w:lang w:eastAsia="en-US"/>
        </w:rPr>
        <w:t xml:space="preserve">persist </w:t>
      </w:r>
      <w:r w:rsidR="00312209">
        <w:rPr>
          <w:lang w:eastAsia="en-US"/>
        </w:rPr>
        <w:t>or</w:t>
      </w:r>
      <w:r w:rsidR="001E3547">
        <w:rPr>
          <w:lang w:eastAsia="en-US"/>
        </w:rPr>
        <w:t xml:space="preserve"> even intensified and </w:t>
      </w:r>
      <w:r w:rsidR="00A54E8B">
        <w:rPr>
          <w:lang w:eastAsia="en-US"/>
        </w:rPr>
        <w:t xml:space="preserve">are </w:t>
      </w:r>
      <w:r w:rsidR="001E3547" w:rsidRPr="00EC0B22">
        <w:rPr>
          <w:lang w:eastAsia="en-US"/>
        </w:rPr>
        <w:t>causing growing damage to the innovation</w:t>
      </w:r>
      <w:r w:rsidR="00E97082">
        <w:rPr>
          <w:lang w:eastAsia="en-US"/>
        </w:rPr>
        <w:t xml:space="preserve"> and creative</w:t>
      </w:r>
      <w:r w:rsidR="001E3547" w:rsidRPr="00EC0B22">
        <w:rPr>
          <w:lang w:eastAsia="en-US"/>
        </w:rPr>
        <w:t xml:space="preserve"> ecosystem.  </w:t>
      </w:r>
    </w:p>
    <w:bookmarkEnd w:id="11"/>
    <w:p w14:paraId="1C4CCDC6" w14:textId="626754E8" w:rsidR="002C73F5" w:rsidRPr="00EC0B22" w:rsidRDefault="00E97082" w:rsidP="00E97082">
      <w:pPr>
        <w:pStyle w:val="ONUME"/>
        <w:rPr>
          <w:lang w:eastAsia="en-US"/>
        </w:rPr>
      </w:pPr>
      <w:r w:rsidRPr="00E97082">
        <w:rPr>
          <w:lang w:eastAsia="en-US"/>
        </w:rPr>
        <w:t xml:space="preserve">At the same time, the resilience of the IP system of Ukraine was demonstrated by the increase in national IP filings in 2023 and positive trends in international filings in 2024. </w:t>
      </w:r>
      <w:r>
        <w:rPr>
          <w:lang w:eastAsia="en-US"/>
        </w:rPr>
        <w:t xml:space="preserve"> </w:t>
      </w:r>
      <w:r w:rsidRPr="00E97082">
        <w:rPr>
          <w:lang w:eastAsia="en-US"/>
        </w:rPr>
        <w:t xml:space="preserve">Ukrainian institutions and stakeholders have also displayed resilience by preserving core functions and expanding services, adapting operations, and innovating in </w:t>
      </w:r>
      <w:r>
        <w:rPr>
          <w:lang w:eastAsia="en-US"/>
        </w:rPr>
        <w:t xml:space="preserve">strategic </w:t>
      </w:r>
      <w:r w:rsidRPr="00E97082">
        <w:rPr>
          <w:lang w:eastAsia="en-US"/>
        </w:rPr>
        <w:t xml:space="preserve">sectors such as </w:t>
      </w:r>
      <w:r w:rsidR="00A2072B">
        <w:rPr>
          <w:lang w:eastAsia="en-US"/>
        </w:rPr>
        <w:t>information and communication technology (</w:t>
      </w:r>
      <w:r w:rsidRPr="00E97082">
        <w:rPr>
          <w:lang w:eastAsia="en-US"/>
        </w:rPr>
        <w:t>ICT</w:t>
      </w:r>
      <w:r w:rsidR="00A2072B">
        <w:rPr>
          <w:lang w:eastAsia="en-US"/>
        </w:rPr>
        <w:t xml:space="preserve">) </w:t>
      </w:r>
      <w:r>
        <w:rPr>
          <w:lang w:eastAsia="en-US"/>
        </w:rPr>
        <w:t>and</w:t>
      </w:r>
      <w:r w:rsidRPr="00E97082">
        <w:rPr>
          <w:lang w:eastAsia="en-US"/>
        </w:rPr>
        <w:t xml:space="preserve"> defense. </w:t>
      </w:r>
      <w:r>
        <w:rPr>
          <w:lang w:eastAsia="en-US"/>
        </w:rPr>
        <w:t xml:space="preserve"> The digital music market has also grown since the start of the war and created new opportunities for Ukrainian musicians. </w:t>
      </w:r>
    </w:p>
    <w:p w14:paraId="4777424A" w14:textId="77777777" w:rsidR="00B263BB" w:rsidRPr="00B263BB" w:rsidRDefault="00B263BB" w:rsidP="00B263BB">
      <w:pPr>
        <w:pStyle w:val="ONUME"/>
        <w:rPr>
          <w:lang w:eastAsia="en-US"/>
        </w:rPr>
      </w:pPr>
      <w:r w:rsidRPr="00EC0B22">
        <w:rPr>
          <w:lang w:eastAsia="en-US"/>
        </w:rPr>
        <w:t>The International Bureau continued to ensure adequate financial and human resources within the approved Program of Work and Budget for the implementation of technical and legal assistance, capacity building, and other projects and act</w:t>
      </w:r>
      <w:r w:rsidRPr="00B263BB">
        <w:rPr>
          <w:lang w:eastAsia="en-US"/>
        </w:rPr>
        <w:t>ivities for Ukraine, as appropriate and required, for the restoration and rebuilding of Ukraine’s IP sector and ecosystem.</w:t>
      </w:r>
    </w:p>
    <w:p w14:paraId="4536DC1C" w14:textId="37E4B7B3" w:rsidR="00B263BB" w:rsidRPr="00B263BB" w:rsidRDefault="00B263BB" w:rsidP="00B263BB">
      <w:pPr>
        <w:pStyle w:val="ONUME"/>
        <w:rPr>
          <w:lang w:eastAsia="en-US"/>
        </w:rPr>
      </w:pPr>
      <w:r w:rsidRPr="00B263BB">
        <w:rPr>
          <w:lang w:eastAsia="en-US"/>
        </w:rPr>
        <w:t xml:space="preserve">The International Bureau has also taken steps to ensure </w:t>
      </w:r>
      <w:r w:rsidR="004F4266" w:rsidRPr="004F4266">
        <w:rPr>
          <w:lang w:eastAsia="en-US"/>
        </w:rPr>
        <w:t xml:space="preserve">that publications on WIPO resources and platforms </w:t>
      </w:r>
      <w:r w:rsidRPr="00B263BB">
        <w:rPr>
          <w:lang w:eastAsia="en-US"/>
        </w:rPr>
        <w:t>compl</w:t>
      </w:r>
      <w:r w:rsidR="004F4266">
        <w:rPr>
          <w:lang w:eastAsia="en-US"/>
        </w:rPr>
        <w:t>y</w:t>
      </w:r>
      <w:r w:rsidRPr="00B263BB">
        <w:rPr>
          <w:lang w:eastAsia="en-US"/>
        </w:rPr>
        <w:t xml:space="preserve"> with the principles of sovereignty, independence, and territorial integrity of Ukraine within its internationally recognized borders.  </w:t>
      </w:r>
    </w:p>
    <w:p w14:paraId="5D4C2E08" w14:textId="019BE28C" w:rsidR="002928D3" w:rsidRDefault="00B263BB" w:rsidP="00FD6164">
      <w:pPr>
        <w:pStyle w:val="ONUME"/>
        <w:rPr>
          <w:lang w:eastAsia="en-US"/>
        </w:rPr>
      </w:pPr>
      <w:r w:rsidRPr="00B263BB">
        <w:rPr>
          <w:lang w:eastAsia="en-US"/>
        </w:rPr>
        <w:t xml:space="preserve">The International Bureau remains committed to continuing its close cooperation with Ukraine to ensure that </w:t>
      </w:r>
      <w:r w:rsidR="007B1E84">
        <w:rPr>
          <w:lang w:eastAsia="en-US"/>
        </w:rPr>
        <w:t>the</w:t>
      </w:r>
      <w:r w:rsidRPr="00B263BB">
        <w:rPr>
          <w:lang w:eastAsia="en-US"/>
        </w:rPr>
        <w:t xml:space="preserve"> ongoing support and assistance provide concrete benefits and impact to the creators, innovators, and members of the IP community, while focusing on mitigating the adverse effects of the war and on rebuilding an innovative and creative ecosystem in Ukraine that benefits all stakeholders and strengthens the country’s economy.</w:t>
      </w:r>
    </w:p>
    <w:p w14:paraId="0C42F98C" w14:textId="5DD64E87" w:rsidR="00FD6164" w:rsidRPr="004577B9" w:rsidRDefault="00FD6164" w:rsidP="00FD6164">
      <w:pPr>
        <w:pStyle w:val="Heading1"/>
        <w:spacing w:after="220"/>
        <w:ind w:left="547" w:hanging="547"/>
        <w:rPr>
          <w:lang w:eastAsia="en-US"/>
        </w:rPr>
      </w:pPr>
      <w:bookmarkStart w:id="12" w:name="_Toc200544981"/>
      <w:r>
        <w:rPr>
          <w:lang w:eastAsia="en-US"/>
        </w:rPr>
        <w:t xml:space="preserve">2. </w:t>
      </w:r>
      <w:r w:rsidR="00812E3B">
        <w:rPr>
          <w:lang w:eastAsia="en-US"/>
        </w:rPr>
        <w:tab/>
      </w:r>
      <w:r w:rsidRPr="004577B9">
        <w:rPr>
          <w:lang w:eastAsia="en-US"/>
        </w:rPr>
        <w:t>ASSESSMENT OF IMPACTS OF THE WAR ON UKRAINE</w:t>
      </w:r>
      <w:r>
        <w:rPr>
          <w:lang w:eastAsia="en-US"/>
        </w:rPr>
        <w:t>’</w:t>
      </w:r>
      <w:r w:rsidRPr="004577B9">
        <w:rPr>
          <w:lang w:eastAsia="en-US"/>
        </w:rPr>
        <w:t>S INNOVATION AND CREATIVITY SECTOR AND ECOSYSTEM</w:t>
      </w:r>
      <w:bookmarkEnd w:id="12"/>
      <w:r w:rsidRPr="004577B9">
        <w:rPr>
          <w:lang w:eastAsia="en-US"/>
        </w:rPr>
        <w:t xml:space="preserve"> </w:t>
      </w:r>
    </w:p>
    <w:p w14:paraId="006C2B6E" w14:textId="77777777" w:rsidR="00FD6164" w:rsidRPr="004577B9" w:rsidRDefault="00FD6164" w:rsidP="00FD6164">
      <w:pPr>
        <w:pStyle w:val="Heading2"/>
        <w:ind w:left="540"/>
        <w:rPr>
          <w:lang w:eastAsia="en-US"/>
        </w:rPr>
      </w:pPr>
      <w:bookmarkStart w:id="13" w:name="_Toc200544982"/>
      <w:r w:rsidRPr="004577B9">
        <w:rPr>
          <w:lang w:eastAsia="en-US"/>
        </w:rPr>
        <w:t>2.1.</w:t>
      </w:r>
      <w:r w:rsidRPr="004577B9">
        <w:rPr>
          <w:lang w:eastAsia="en-US"/>
        </w:rPr>
        <w:tab/>
        <w:t>Summary</w:t>
      </w:r>
      <w:bookmarkEnd w:id="13"/>
    </w:p>
    <w:p w14:paraId="50CADDF2" w14:textId="77777777" w:rsidR="00FD6164" w:rsidRPr="004577B9" w:rsidRDefault="00FD6164" w:rsidP="00FD6164">
      <w:pPr>
        <w:rPr>
          <w:rFonts w:eastAsia="Times New Roman"/>
          <w:szCs w:val="22"/>
          <w:lang w:eastAsia="en-US"/>
        </w:rPr>
      </w:pPr>
    </w:p>
    <w:p w14:paraId="5E2B97AA" w14:textId="44E87195" w:rsidR="00FD6164" w:rsidRPr="00EC0B22" w:rsidRDefault="00FD6164" w:rsidP="00842C14">
      <w:pPr>
        <w:pStyle w:val="ONUME"/>
        <w:tabs>
          <w:tab w:val="clear" w:pos="567"/>
          <w:tab w:val="clear" w:pos="1134"/>
          <w:tab w:val="num" w:pos="540"/>
        </w:tabs>
        <w:rPr>
          <w:lang w:eastAsia="en-US"/>
        </w:rPr>
      </w:pPr>
      <w:r w:rsidRPr="00EC0B22">
        <w:rPr>
          <w:lang w:eastAsia="en-US"/>
        </w:rPr>
        <w:t>Three years of war have taken a profound social, humanitarian, and economic toll on Ukraine.  According to the "Ukraine - Fourth Rapid Damage and Needs Assessment" (RDNA4) published by the World Bank</w:t>
      </w:r>
      <w:r w:rsidRPr="00EC0B22">
        <w:rPr>
          <w:vertAlign w:val="superscript"/>
          <w:lang w:eastAsia="en-US"/>
        </w:rPr>
        <w:footnoteReference w:id="2"/>
      </w:r>
      <w:r w:rsidR="007D77D9" w:rsidRPr="00EC0B22">
        <w:rPr>
          <w:lang w:eastAsia="en-US"/>
        </w:rPr>
        <w:t xml:space="preserve"> </w:t>
      </w:r>
      <w:r w:rsidRPr="00EC0B22">
        <w:rPr>
          <w:lang w:eastAsia="en-US"/>
        </w:rPr>
        <w:t>in April 2025 and covering the period from February 2022 to December 2024, the Ukrainian economy contracted by 28.8</w:t>
      </w:r>
      <w:r w:rsidR="009B3DD1">
        <w:rPr>
          <w:lang w:eastAsia="en-US"/>
        </w:rPr>
        <w:t xml:space="preserve"> per cent</w:t>
      </w:r>
      <w:r w:rsidRPr="00EC0B22">
        <w:rPr>
          <w:lang w:eastAsia="en-US"/>
        </w:rPr>
        <w:t xml:space="preserve"> in 2022.  It showed some resilience with 5.5</w:t>
      </w:r>
      <w:r w:rsidR="007D77D9" w:rsidRPr="00EC0B22">
        <w:rPr>
          <w:lang w:eastAsia="en-US"/>
        </w:rPr>
        <w:t xml:space="preserve"> per</w:t>
      </w:r>
      <w:r w:rsidR="009B3DD1">
        <w:rPr>
          <w:lang w:eastAsia="en-US"/>
        </w:rPr>
        <w:t xml:space="preserve"> </w:t>
      </w:r>
      <w:r w:rsidR="007D77D9" w:rsidRPr="00EC0B22">
        <w:rPr>
          <w:lang w:eastAsia="en-US"/>
        </w:rPr>
        <w:t>cent</w:t>
      </w:r>
      <w:r w:rsidRPr="00EC0B22">
        <w:rPr>
          <w:lang w:eastAsia="en-US"/>
        </w:rPr>
        <w:t xml:space="preserve"> growth in 2023 and an estimated 3.5</w:t>
      </w:r>
      <w:r w:rsidR="007D77D9" w:rsidRPr="00EC0B22">
        <w:rPr>
          <w:lang w:eastAsia="en-US"/>
        </w:rPr>
        <w:t xml:space="preserve"> per</w:t>
      </w:r>
      <w:r w:rsidR="009B3DD1">
        <w:rPr>
          <w:lang w:eastAsia="en-US"/>
        </w:rPr>
        <w:t xml:space="preserve"> </w:t>
      </w:r>
      <w:r w:rsidR="007D77D9" w:rsidRPr="00EC0B22">
        <w:rPr>
          <w:lang w:eastAsia="en-US"/>
        </w:rPr>
        <w:t>cent</w:t>
      </w:r>
      <w:r w:rsidRPr="00EC0B22">
        <w:rPr>
          <w:lang w:eastAsia="en-US"/>
        </w:rPr>
        <w:t xml:space="preserve"> growth in 2024.  However, the estimated "gross domestic product (GDP) for 2024 was 78 per</w:t>
      </w:r>
      <w:r w:rsidR="009B3DD1">
        <w:rPr>
          <w:lang w:eastAsia="en-US"/>
        </w:rPr>
        <w:t xml:space="preserve"> </w:t>
      </w:r>
      <w:r w:rsidRPr="00EC0B22">
        <w:rPr>
          <w:lang w:eastAsia="en-US"/>
        </w:rPr>
        <w:t>cent of 2021 GDP in real terms"</w:t>
      </w:r>
      <w:r w:rsidR="00D24A14">
        <w:rPr>
          <w:lang w:eastAsia="en-US"/>
        </w:rPr>
        <w:t>,</w:t>
      </w:r>
      <w:r w:rsidRPr="00EC0B22">
        <w:rPr>
          <w:lang w:eastAsia="en-US"/>
        </w:rPr>
        <w:t xml:space="preserve"> showing a continued struggle to regain pre-war economic levels.</w:t>
      </w:r>
      <w:r w:rsidR="007D77D9" w:rsidRPr="00EC0B22">
        <w:rPr>
          <w:lang w:eastAsia="en-US"/>
        </w:rPr>
        <w:t xml:space="preserve"> </w:t>
      </w:r>
      <w:r w:rsidRPr="00EC0B22">
        <w:rPr>
          <w:lang w:eastAsia="en-US"/>
        </w:rPr>
        <w:t xml:space="preserve"> This is further evidenced by the significant rise in poverty, with the R</w:t>
      </w:r>
      <w:r w:rsidR="007D77D9" w:rsidRPr="00EC0B22">
        <w:rPr>
          <w:lang w:eastAsia="en-US"/>
        </w:rPr>
        <w:t>D</w:t>
      </w:r>
      <w:r w:rsidRPr="00EC0B22">
        <w:rPr>
          <w:lang w:eastAsia="en-US"/>
        </w:rPr>
        <w:t>NA4 estimating that "poverty rates (based on the actual subsistence minimum poverty line) rose 1.7 times between 2021 and 2023</w:t>
      </w:r>
      <w:r w:rsidR="007D77D9" w:rsidRPr="00EC0B22">
        <w:rPr>
          <w:lang w:eastAsia="en-US"/>
        </w:rPr>
        <w:t>,</w:t>
      </w:r>
      <w:r w:rsidRPr="00EC0B22">
        <w:rPr>
          <w:lang w:eastAsia="en-US"/>
        </w:rPr>
        <w:t xml:space="preserve"> that is, from 20.6 per</w:t>
      </w:r>
      <w:r w:rsidR="009B3DD1">
        <w:rPr>
          <w:lang w:eastAsia="en-US"/>
        </w:rPr>
        <w:t xml:space="preserve"> </w:t>
      </w:r>
      <w:r w:rsidRPr="00EC0B22">
        <w:rPr>
          <w:lang w:eastAsia="en-US"/>
        </w:rPr>
        <w:t>cent to 35.5 per</w:t>
      </w:r>
      <w:r w:rsidR="009B3DD1">
        <w:rPr>
          <w:lang w:eastAsia="en-US"/>
        </w:rPr>
        <w:t xml:space="preserve"> </w:t>
      </w:r>
      <w:r w:rsidRPr="00EC0B22">
        <w:rPr>
          <w:lang w:eastAsia="en-US"/>
        </w:rPr>
        <w:t>cent"</w:t>
      </w:r>
      <w:r w:rsidR="007D77D9" w:rsidRPr="00EC0B22">
        <w:rPr>
          <w:lang w:eastAsia="en-US"/>
        </w:rPr>
        <w:t>.</w:t>
      </w:r>
      <w:r w:rsidRPr="00EC0B22">
        <w:rPr>
          <w:lang w:eastAsia="en-US"/>
        </w:rPr>
        <w:t xml:space="preserve"> </w:t>
      </w:r>
      <w:r w:rsidR="007D77D9" w:rsidRPr="00EC0B22">
        <w:rPr>
          <w:lang w:eastAsia="en-US"/>
        </w:rPr>
        <w:t xml:space="preserve"> </w:t>
      </w:r>
      <w:r w:rsidRPr="00EC0B22">
        <w:rPr>
          <w:lang w:eastAsia="en-US"/>
        </w:rPr>
        <w:t xml:space="preserve">The disruption to economic activities has resulted in substantial economic losses, with </w:t>
      </w:r>
      <w:r w:rsidR="00B71D4F">
        <w:rPr>
          <w:lang w:eastAsia="en-US"/>
        </w:rPr>
        <w:t xml:space="preserve">the </w:t>
      </w:r>
      <w:r w:rsidRPr="00EC0B22">
        <w:rPr>
          <w:lang w:eastAsia="en-US"/>
        </w:rPr>
        <w:t>RDNA4 calculating "an economic loss amounting to over 589 billion</w:t>
      </w:r>
      <w:r w:rsidR="009B3DD1">
        <w:rPr>
          <w:lang w:eastAsia="en-US"/>
        </w:rPr>
        <w:t xml:space="preserve"> United States dollars</w:t>
      </w:r>
      <w:r w:rsidRPr="00EC0B22">
        <w:rPr>
          <w:lang w:eastAsia="en-US"/>
        </w:rPr>
        <w:t xml:space="preserve">" across various sectors. </w:t>
      </w:r>
    </w:p>
    <w:p w14:paraId="600AD9DD" w14:textId="245A28C3" w:rsidR="00AA42EC" w:rsidRDefault="00FD6164" w:rsidP="00AA42EC">
      <w:pPr>
        <w:pStyle w:val="ONUME"/>
        <w:rPr>
          <w:lang w:eastAsia="en-US"/>
        </w:rPr>
      </w:pPr>
      <w:r w:rsidRPr="00EC0B22">
        <w:rPr>
          <w:lang w:eastAsia="en-US"/>
        </w:rPr>
        <w:t>According to the RDNA4, as of December 31, 2024, the direct damage in Ukraine has reached almost 176 billion U</w:t>
      </w:r>
      <w:r w:rsidR="009B3DD1">
        <w:rPr>
          <w:lang w:eastAsia="en-US"/>
        </w:rPr>
        <w:t>nited States</w:t>
      </w:r>
      <w:r w:rsidRPr="00EC0B22">
        <w:rPr>
          <w:lang w:eastAsia="en-US"/>
        </w:rPr>
        <w:t xml:space="preserve"> dollars with housing, transport, commerce and industry, energy and extractives, and agriculture as the most affected sectors.  </w:t>
      </w:r>
    </w:p>
    <w:p w14:paraId="74C23F74" w14:textId="6C1D1BD8" w:rsidR="00FD6164" w:rsidRPr="00EC0B22" w:rsidRDefault="00FD6164" w:rsidP="00AA42EC">
      <w:pPr>
        <w:pStyle w:val="ONUME"/>
        <w:rPr>
          <w:lang w:eastAsia="en-US"/>
        </w:rPr>
      </w:pPr>
      <w:r w:rsidRPr="00EC0B22">
        <w:rPr>
          <w:lang w:eastAsia="en-US"/>
        </w:rPr>
        <w:t>In addition, as of April</w:t>
      </w:r>
      <w:r w:rsidR="00F8300A">
        <w:rPr>
          <w:lang w:eastAsia="en-US"/>
        </w:rPr>
        <w:t xml:space="preserve"> </w:t>
      </w:r>
      <w:r w:rsidR="006E63C6">
        <w:rPr>
          <w:lang w:eastAsia="en-US"/>
        </w:rPr>
        <w:t>16</w:t>
      </w:r>
      <w:r w:rsidR="00F8300A">
        <w:rPr>
          <w:lang w:eastAsia="en-US"/>
        </w:rPr>
        <w:t>,</w:t>
      </w:r>
      <w:r w:rsidRPr="00EC0B22">
        <w:rPr>
          <w:lang w:eastAsia="en-US"/>
        </w:rPr>
        <w:t xml:space="preserve"> 2025, </w:t>
      </w:r>
      <w:r w:rsidR="00834ABC" w:rsidRPr="00834ABC">
        <w:rPr>
          <w:lang w:eastAsia="en-US"/>
        </w:rPr>
        <w:t xml:space="preserve">the United Nations Educational, Scientific and Cultural Organization </w:t>
      </w:r>
      <w:r w:rsidR="00834ABC">
        <w:rPr>
          <w:lang w:eastAsia="en-US"/>
        </w:rPr>
        <w:t>(</w:t>
      </w:r>
      <w:r w:rsidRPr="00EC0B22">
        <w:rPr>
          <w:lang w:eastAsia="en-US"/>
        </w:rPr>
        <w:t>UNESCO</w:t>
      </w:r>
      <w:r w:rsidR="00834ABC">
        <w:rPr>
          <w:lang w:eastAsia="en-US"/>
        </w:rPr>
        <w:t>)</w:t>
      </w:r>
      <w:r w:rsidRPr="00EC0B22">
        <w:rPr>
          <w:lang w:eastAsia="en-US"/>
        </w:rPr>
        <w:t xml:space="preserve"> has verified damage to 485 sites since February</w:t>
      </w:r>
      <w:r w:rsidR="00F8300A">
        <w:rPr>
          <w:lang w:eastAsia="en-US"/>
        </w:rPr>
        <w:t xml:space="preserve"> 24, </w:t>
      </w:r>
      <w:r w:rsidRPr="00EC0B22">
        <w:rPr>
          <w:lang w:eastAsia="en-US"/>
        </w:rPr>
        <w:t xml:space="preserve">2022: </w:t>
      </w:r>
      <w:r w:rsidR="009B3DD1">
        <w:rPr>
          <w:lang w:eastAsia="en-US"/>
        </w:rPr>
        <w:t xml:space="preserve"> </w:t>
      </w:r>
      <w:r w:rsidRPr="00EC0B22">
        <w:rPr>
          <w:lang w:eastAsia="en-US"/>
        </w:rPr>
        <w:t xml:space="preserve">149 </w:t>
      </w:r>
      <w:r w:rsidRPr="00EC0B22">
        <w:rPr>
          <w:lang w:eastAsia="en-US"/>
        </w:rPr>
        <w:lastRenderedPageBreak/>
        <w:t xml:space="preserve">religious sites, 257 buildings of historical and/or artistic interest, 34 museums, 33 monuments, 18 libraries, </w:t>
      </w:r>
      <w:r w:rsidR="00F10E0B">
        <w:rPr>
          <w:lang w:eastAsia="en-US"/>
        </w:rPr>
        <w:t>one</w:t>
      </w:r>
      <w:r w:rsidRPr="00EC0B22">
        <w:rPr>
          <w:lang w:eastAsia="en-US"/>
        </w:rPr>
        <w:t xml:space="preserve"> archive and </w:t>
      </w:r>
      <w:r w:rsidR="00F10E0B">
        <w:rPr>
          <w:lang w:eastAsia="en-US"/>
        </w:rPr>
        <w:t>two</w:t>
      </w:r>
      <w:r w:rsidRPr="00EC0B22">
        <w:rPr>
          <w:lang w:eastAsia="en-US"/>
        </w:rPr>
        <w:t xml:space="preserve"> archaeological sites</w:t>
      </w:r>
      <w:r w:rsidR="00ED3629">
        <w:rPr>
          <w:lang w:eastAsia="en-US"/>
        </w:rPr>
        <w:t>.</w:t>
      </w:r>
      <w:r w:rsidRPr="00EC0B22">
        <w:rPr>
          <w:vertAlign w:val="superscript"/>
          <w:lang w:eastAsia="en-US"/>
        </w:rPr>
        <w:footnoteReference w:id="3"/>
      </w:r>
    </w:p>
    <w:p w14:paraId="02765E3E" w14:textId="28676E2A" w:rsidR="00AA42EC" w:rsidRDefault="00FD6164" w:rsidP="00AA42EC">
      <w:pPr>
        <w:pStyle w:val="ONUME"/>
        <w:rPr>
          <w:lang w:eastAsia="en-US"/>
        </w:rPr>
      </w:pPr>
      <w:r w:rsidRPr="00EC0B22">
        <w:rPr>
          <w:lang w:eastAsia="en-US"/>
        </w:rPr>
        <w:t xml:space="preserve">According to </w:t>
      </w:r>
      <w:r w:rsidR="00E76892">
        <w:rPr>
          <w:lang w:eastAsia="en-US"/>
        </w:rPr>
        <w:t>t</w:t>
      </w:r>
      <w:r w:rsidR="00A002DE" w:rsidRPr="00A002DE">
        <w:rPr>
          <w:lang w:eastAsia="en-US"/>
        </w:rPr>
        <w:t>he Office of the United Nations High Commissioner for Human Rights (OHCHR)</w:t>
      </w:r>
      <w:r w:rsidR="00D366B7">
        <w:rPr>
          <w:lang w:eastAsia="en-US"/>
        </w:rPr>
        <w:t>,</w:t>
      </w:r>
      <w:r w:rsidRPr="00EC0B22">
        <w:rPr>
          <w:vertAlign w:val="superscript"/>
          <w:lang w:eastAsia="en-US"/>
        </w:rPr>
        <w:footnoteReference w:id="4"/>
      </w:r>
      <w:r w:rsidRPr="00EC0B22">
        <w:rPr>
          <w:lang w:eastAsia="en-US"/>
        </w:rPr>
        <w:t xml:space="preserve"> as of February 2025</w:t>
      </w:r>
      <w:r w:rsidR="00D366B7">
        <w:rPr>
          <w:lang w:eastAsia="en-US"/>
        </w:rPr>
        <w:t>,</w:t>
      </w:r>
      <w:r w:rsidRPr="00EC0B22">
        <w:rPr>
          <w:lang w:eastAsia="en-US"/>
        </w:rPr>
        <w:t xml:space="preserve"> at least 12,654 civilians have been killed and 29,392 injured and the widespread </w:t>
      </w:r>
      <w:r w:rsidRPr="002D01AF">
        <w:rPr>
          <w:lang w:eastAsia="en-US"/>
        </w:rPr>
        <w:t>displacement</w:t>
      </w:r>
      <w:r w:rsidRPr="00EC0B22">
        <w:rPr>
          <w:lang w:eastAsia="en-US"/>
        </w:rPr>
        <w:t xml:space="preserve"> </w:t>
      </w:r>
      <w:r w:rsidR="002D01AF">
        <w:rPr>
          <w:lang w:eastAsia="en-US"/>
        </w:rPr>
        <w:t xml:space="preserve">of </w:t>
      </w:r>
      <w:r w:rsidR="00B81E94">
        <w:rPr>
          <w:lang w:eastAsia="en-US"/>
        </w:rPr>
        <w:t xml:space="preserve">the population </w:t>
      </w:r>
      <w:r w:rsidRPr="00EC0B22">
        <w:rPr>
          <w:lang w:eastAsia="en-US"/>
        </w:rPr>
        <w:t>continues to be a significant challenge.  According to the United Nations High Commissioner for Refugees (UNHCR)</w:t>
      </w:r>
      <w:r w:rsidRPr="00EC0B22">
        <w:rPr>
          <w:vertAlign w:val="superscript"/>
          <w:lang w:eastAsia="en-US"/>
        </w:rPr>
        <w:footnoteReference w:id="5"/>
      </w:r>
      <w:r w:rsidRPr="00EC0B22">
        <w:rPr>
          <w:lang w:eastAsia="en-US"/>
        </w:rPr>
        <w:t>, as of April 17, 2025, a total of 6,917,800 Ukrainian refugees have been recorded globally and according to the International Organization for Migration (IOM)</w:t>
      </w:r>
      <w:r w:rsidR="00781D45">
        <w:rPr>
          <w:lang w:eastAsia="en-US"/>
        </w:rPr>
        <w:t>,</w:t>
      </w:r>
      <w:r w:rsidRPr="00EC0B22">
        <w:rPr>
          <w:vertAlign w:val="superscript"/>
          <w:lang w:eastAsia="en-US"/>
        </w:rPr>
        <w:footnoteReference w:id="6"/>
      </w:r>
      <w:r w:rsidRPr="00EC0B22">
        <w:rPr>
          <w:lang w:eastAsia="en-US"/>
        </w:rPr>
        <w:t xml:space="preserve"> as of January 2025, an estimated 3.7 million persons have been internally displaced within Ukraine. </w:t>
      </w:r>
      <w:bookmarkStart w:id="15" w:name="_Hlk199437912"/>
    </w:p>
    <w:p w14:paraId="438BB336" w14:textId="194DB980" w:rsidR="00AA42EC" w:rsidRDefault="00FD6164" w:rsidP="00AA42EC">
      <w:pPr>
        <w:pStyle w:val="ONUME"/>
        <w:rPr>
          <w:lang w:eastAsia="en-US"/>
        </w:rPr>
      </w:pPr>
      <w:r w:rsidRPr="00EC0B22">
        <w:rPr>
          <w:lang w:eastAsia="en-US"/>
        </w:rPr>
        <w:t xml:space="preserve">All numbers </w:t>
      </w:r>
      <w:r w:rsidR="00F721FF" w:rsidRPr="00EC0B22">
        <w:rPr>
          <w:lang w:eastAsia="en-US"/>
        </w:rPr>
        <w:t xml:space="preserve">reported </w:t>
      </w:r>
      <w:r w:rsidR="00F721FF">
        <w:rPr>
          <w:lang w:eastAsia="en-US"/>
        </w:rPr>
        <w:t>continue to</w:t>
      </w:r>
      <w:r w:rsidR="00F721FF" w:rsidRPr="00EC0B22">
        <w:rPr>
          <w:lang w:eastAsia="en-US"/>
        </w:rPr>
        <w:t xml:space="preserve"> </w:t>
      </w:r>
      <w:r w:rsidRPr="00EC0B22">
        <w:rPr>
          <w:lang w:eastAsia="en-US"/>
        </w:rPr>
        <w:t>evolv</w:t>
      </w:r>
      <w:r w:rsidR="00F721FF">
        <w:rPr>
          <w:lang w:eastAsia="en-US"/>
        </w:rPr>
        <w:t>e</w:t>
      </w:r>
      <w:r w:rsidRPr="00EC0B22">
        <w:rPr>
          <w:lang w:eastAsia="en-US"/>
        </w:rPr>
        <w:t xml:space="preserve"> day by day and</w:t>
      </w:r>
      <w:r w:rsidR="00F721FF">
        <w:rPr>
          <w:lang w:eastAsia="en-US"/>
        </w:rPr>
        <w:t>,</w:t>
      </w:r>
      <w:r w:rsidRPr="00EC0B22">
        <w:rPr>
          <w:lang w:eastAsia="en-US"/>
        </w:rPr>
        <w:t xml:space="preserve"> as noted by the International Monetary Fund (IMF)</w:t>
      </w:r>
      <w:r w:rsidR="00ED3629">
        <w:rPr>
          <w:lang w:eastAsia="en-US"/>
        </w:rPr>
        <w:t>,</w:t>
      </w:r>
      <w:r w:rsidRPr="00EC0B22">
        <w:rPr>
          <w:lang w:eastAsia="en-US"/>
        </w:rPr>
        <w:t xml:space="preserve"> the outlook remains exceptionally uncertain as the war continues to take a heavy toll on </w:t>
      </w:r>
      <w:r w:rsidR="00490039">
        <w:rPr>
          <w:lang w:eastAsia="en-US"/>
        </w:rPr>
        <w:t>the population</w:t>
      </w:r>
      <w:r w:rsidRPr="00EC0B22">
        <w:rPr>
          <w:lang w:eastAsia="en-US"/>
        </w:rPr>
        <w:t>, economy, and infrastructure</w:t>
      </w:r>
      <w:r w:rsidR="00ED3629">
        <w:rPr>
          <w:lang w:eastAsia="en-US"/>
        </w:rPr>
        <w:t>.</w:t>
      </w:r>
      <w:r w:rsidR="004D3BE8">
        <w:rPr>
          <w:rStyle w:val="FootnoteReference"/>
          <w:lang w:eastAsia="en-US"/>
        </w:rPr>
        <w:footnoteReference w:id="7"/>
      </w:r>
      <w:r w:rsidRPr="00EC0B22">
        <w:rPr>
          <w:lang w:eastAsia="en-US"/>
        </w:rPr>
        <w:t xml:space="preserve"> </w:t>
      </w:r>
      <w:bookmarkEnd w:id="15"/>
    </w:p>
    <w:p w14:paraId="4A0B0B25" w14:textId="576521BC" w:rsidR="00AA42EC" w:rsidRDefault="00FD6164" w:rsidP="00AA42EC">
      <w:pPr>
        <w:pStyle w:val="ONUME"/>
        <w:rPr>
          <w:lang w:eastAsia="en-US"/>
        </w:rPr>
      </w:pPr>
      <w:r w:rsidRPr="00EC0B22">
        <w:rPr>
          <w:lang w:eastAsia="en-US"/>
        </w:rPr>
        <w:t>Against this background and further to the request by Member States</w:t>
      </w:r>
      <w:r w:rsidR="007D77D9" w:rsidRPr="00EC0B22">
        <w:rPr>
          <w:lang w:eastAsia="en-US"/>
        </w:rPr>
        <w:t>,</w:t>
      </w:r>
      <w:r w:rsidRPr="00EC0B22">
        <w:rPr>
          <w:lang w:eastAsia="en-US"/>
        </w:rPr>
        <w:t xml:space="preserve"> the International Bureau conducted an assessment on the impacts of the war on Ukraine’s innovation and creativity sector and ecosystem by conducting consultations with relevant stakeholders at various levels through questionnaires and interviews, as well as through desk research and data analysis. </w:t>
      </w:r>
    </w:p>
    <w:p w14:paraId="2788955B" w14:textId="31B79CDF" w:rsidR="00AA42EC" w:rsidRDefault="00FD6164" w:rsidP="00AA42EC">
      <w:pPr>
        <w:pStyle w:val="ONUME"/>
        <w:rPr>
          <w:lang w:eastAsia="en-US"/>
        </w:rPr>
      </w:pPr>
      <w:r w:rsidRPr="00EC0B22">
        <w:rPr>
          <w:lang w:eastAsia="en-US"/>
        </w:rPr>
        <w:t xml:space="preserve">According to </w:t>
      </w:r>
      <w:r w:rsidR="006D74E4">
        <w:rPr>
          <w:lang w:eastAsia="en-US"/>
        </w:rPr>
        <w:t>this</w:t>
      </w:r>
      <w:r w:rsidRPr="00EC0B22">
        <w:rPr>
          <w:lang w:eastAsia="en-US"/>
        </w:rPr>
        <w:t xml:space="preserve"> assessment, the innovation and creativity sector and ecosystem in Ukraine </w:t>
      </w:r>
      <w:r w:rsidR="00502EA4">
        <w:rPr>
          <w:lang w:eastAsia="en-US"/>
        </w:rPr>
        <w:t>continue</w:t>
      </w:r>
      <w:r w:rsidRPr="00EC0B22">
        <w:rPr>
          <w:lang w:eastAsia="en-US"/>
        </w:rPr>
        <w:t xml:space="preserve"> </w:t>
      </w:r>
      <w:r w:rsidR="006D74E4">
        <w:rPr>
          <w:lang w:eastAsia="en-US"/>
        </w:rPr>
        <w:t xml:space="preserve">to </w:t>
      </w:r>
      <w:r w:rsidRPr="00EC0B22">
        <w:rPr>
          <w:lang w:eastAsia="en-US"/>
        </w:rPr>
        <w:t>experienc</w:t>
      </w:r>
      <w:r w:rsidR="006D74E4">
        <w:rPr>
          <w:lang w:eastAsia="en-US"/>
        </w:rPr>
        <w:t>e</w:t>
      </w:r>
      <w:r w:rsidRPr="00EC0B22">
        <w:rPr>
          <w:lang w:eastAsia="en-US"/>
        </w:rPr>
        <w:t xml:space="preserve"> </w:t>
      </w:r>
      <w:r w:rsidR="00502EA4">
        <w:rPr>
          <w:lang w:eastAsia="en-US"/>
        </w:rPr>
        <w:t>the adverse effects of the</w:t>
      </w:r>
      <w:r w:rsidRPr="00EC0B22">
        <w:rPr>
          <w:lang w:eastAsia="en-US"/>
        </w:rPr>
        <w:t xml:space="preserve"> ongoing war. </w:t>
      </w:r>
      <w:r w:rsidR="007D77D9" w:rsidRPr="00EC0B22">
        <w:rPr>
          <w:lang w:eastAsia="en-US"/>
        </w:rPr>
        <w:t xml:space="preserve"> </w:t>
      </w:r>
      <w:r w:rsidRPr="00EC0B22">
        <w:rPr>
          <w:lang w:eastAsia="en-US"/>
        </w:rPr>
        <w:t xml:space="preserve">Most of the negative impacts observed in </w:t>
      </w:r>
      <w:r w:rsidR="007D77D9" w:rsidRPr="00EC0B22">
        <w:rPr>
          <w:lang w:eastAsia="en-US"/>
        </w:rPr>
        <w:t xml:space="preserve">the </w:t>
      </w:r>
      <w:r w:rsidRPr="00EC0B22">
        <w:rPr>
          <w:lang w:eastAsia="en-US"/>
        </w:rPr>
        <w:t>report</w:t>
      </w:r>
      <w:r w:rsidR="007D77D9" w:rsidRPr="00EC0B22">
        <w:rPr>
          <w:lang w:eastAsia="en-US"/>
        </w:rPr>
        <w:t>s to the WIPO Assemblies</w:t>
      </w:r>
      <w:r w:rsidR="00511175">
        <w:rPr>
          <w:lang w:eastAsia="en-US"/>
        </w:rPr>
        <w:t>,</w:t>
      </w:r>
      <w:r w:rsidR="00D31962">
        <w:rPr>
          <w:lang w:eastAsia="en-US"/>
        </w:rPr>
        <w:t xml:space="preserve"> contained in</w:t>
      </w:r>
      <w:r w:rsidR="00A62C3E">
        <w:rPr>
          <w:lang w:eastAsia="en-US"/>
        </w:rPr>
        <w:t xml:space="preserve"> </w:t>
      </w:r>
      <w:r w:rsidR="00D31962">
        <w:rPr>
          <w:lang w:eastAsia="en-US"/>
        </w:rPr>
        <w:t>documents</w:t>
      </w:r>
      <w:r w:rsidRPr="00EC0B22">
        <w:rPr>
          <w:lang w:eastAsia="en-US"/>
        </w:rPr>
        <w:t xml:space="preserve"> </w:t>
      </w:r>
      <w:hyperlink r:id="rId11" w:history="1">
        <w:r w:rsidR="007D77D9" w:rsidRPr="00EC0B22">
          <w:rPr>
            <w:rStyle w:val="Hyperlink"/>
            <w:lang w:eastAsia="en-US"/>
          </w:rPr>
          <w:t>A/64/8</w:t>
        </w:r>
      </w:hyperlink>
      <w:r w:rsidR="007D77D9" w:rsidRPr="00EC0B22">
        <w:rPr>
          <w:lang w:eastAsia="en-US"/>
        </w:rPr>
        <w:t xml:space="preserve"> and </w:t>
      </w:r>
      <w:hyperlink r:id="rId12" w:history="1">
        <w:r w:rsidR="007D77D9" w:rsidRPr="00EC0B22">
          <w:rPr>
            <w:rStyle w:val="Hyperlink"/>
            <w:lang w:eastAsia="en-US"/>
          </w:rPr>
          <w:t>A/65/7</w:t>
        </w:r>
      </w:hyperlink>
      <w:r w:rsidR="00511175">
        <w:t>,</w:t>
      </w:r>
      <w:r w:rsidR="007D77D9" w:rsidRPr="00EC0B22">
        <w:rPr>
          <w:lang w:eastAsia="en-US"/>
        </w:rPr>
        <w:t xml:space="preserve"> are</w:t>
      </w:r>
      <w:r w:rsidRPr="00EC0B22">
        <w:rPr>
          <w:lang w:eastAsia="en-US"/>
        </w:rPr>
        <w:t xml:space="preserve"> increasing and causing </w:t>
      </w:r>
      <w:r w:rsidR="001E781F">
        <w:rPr>
          <w:lang w:eastAsia="en-US"/>
        </w:rPr>
        <w:t xml:space="preserve">further </w:t>
      </w:r>
      <w:r w:rsidRPr="00EC0B22">
        <w:rPr>
          <w:lang w:eastAsia="en-US"/>
        </w:rPr>
        <w:t>damage to the innovation ecosystem.</w:t>
      </w:r>
      <w:r w:rsidR="007D77D9" w:rsidRPr="00EC0B22">
        <w:rPr>
          <w:lang w:eastAsia="en-US"/>
        </w:rPr>
        <w:t xml:space="preserve"> </w:t>
      </w:r>
      <w:r w:rsidRPr="00EC0B22">
        <w:rPr>
          <w:lang w:eastAsia="en-US"/>
        </w:rPr>
        <w:t xml:space="preserve"> These include social harm, mental health repercussions, increased infrastructure damage and loss or damage of research equipment</w:t>
      </w:r>
      <w:r w:rsidR="007D77D9" w:rsidRPr="00EC0B22">
        <w:rPr>
          <w:lang w:eastAsia="en-US"/>
        </w:rPr>
        <w:t>,</w:t>
      </w:r>
      <w:r w:rsidRPr="00EC0B22">
        <w:rPr>
          <w:lang w:eastAsia="en-US"/>
        </w:rPr>
        <w:t xml:space="preserve"> brain drain</w:t>
      </w:r>
      <w:r w:rsidR="00F721FF">
        <w:rPr>
          <w:lang w:eastAsia="en-US"/>
        </w:rPr>
        <w:t>,</w:t>
      </w:r>
      <w:r w:rsidRPr="00EC0B22">
        <w:rPr>
          <w:lang w:eastAsia="en-US"/>
        </w:rPr>
        <w:t xml:space="preserve"> and </w:t>
      </w:r>
      <w:r w:rsidR="00F721FF">
        <w:rPr>
          <w:lang w:eastAsia="en-US"/>
        </w:rPr>
        <w:t xml:space="preserve">a </w:t>
      </w:r>
      <w:r w:rsidRPr="00EC0B22">
        <w:rPr>
          <w:lang w:eastAsia="en-US"/>
        </w:rPr>
        <w:t>general lack of human resources</w:t>
      </w:r>
      <w:r w:rsidR="00F721FF">
        <w:rPr>
          <w:lang w:eastAsia="en-US"/>
        </w:rPr>
        <w:t>,</w:t>
      </w:r>
      <w:r w:rsidRPr="00EC0B22">
        <w:rPr>
          <w:lang w:eastAsia="en-US"/>
        </w:rPr>
        <w:t xml:space="preserve"> including in the </w:t>
      </w:r>
      <w:r w:rsidR="00A2072B" w:rsidRPr="00A2072B">
        <w:rPr>
          <w:lang w:eastAsia="en-US"/>
        </w:rPr>
        <w:t xml:space="preserve"> </w:t>
      </w:r>
      <w:r w:rsidR="00A2072B">
        <w:rPr>
          <w:lang w:eastAsia="en-US"/>
        </w:rPr>
        <w:t>research and innovation (</w:t>
      </w:r>
      <w:r w:rsidR="00D67B26">
        <w:rPr>
          <w:lang w:eastAsia="en-US"/>
        </w:rPr>
        <w:t>R&amp;I</w:t>
      </w:r>
      <w:r w:rsidR="00A2072B">
        <w:rPr>
          <w:lang w:eastAsia="en-US"/>
        </w:rPr>
        <w:t>)</w:t>
      </w:r>
      <w:r w:rsidRPr="00EC0B22">
        <w:rPr>
          <w:lang w:eastAsia="en-US"/>
        </w:rPr>
        <w:t xml:space="preserve"> sector</w:t>
      </w:r>
      <w:r w:rsidR="007D77D9" w:rsidRPr="00EC0B22">
        <w:rPr>
          <w:lang w:eastAsia="en-US"/>
        </w:rPr>
        <w:t>,</w:t>
      </w:r>
      <w:r w:rsidRPr="00EC0B22">
        <w:rPr>
          <w:lang w:eastAsia="en-US"/>
        </w:rPr>
        <w:t xml:space="preserve"> </w:t>
      </w:r>
      <w:r w:rsidR="00F721FF">
        <w:rPr>
          <w:lang w:eastAsia="en-US"/>
        </w:rPr>
        <w:t>together with a</w:t>
      </w:r>
      <w:r w:rsidR="00F721FF" w:rsidRPr="00EC0B22">
        <w:rPr>
          <w:lang w:eastAsia="en-US"/>
        </w:rPr>
        <w:t xml:space="preserve"> </w:t>
      </w:r>
      <w:r w:rsidRPr="00EC0B22">
        <w:rPr>
          <w:lang w:eastAsia="en-US"/>
        </w:rPr>
        <w:t xml:space="preserve">lack of funding due to the continued reallocation of financial resources by the Government to national security and defense priorities and low innovation spending by enterprises.  </w:t>
      </w:r>
      <w:bookmarkStart w:id="16" w:name="_Hlk199438178"/>
    </w:p>
    <w:p w14:paraId="20C6EB8E" w14:textId="6901C0BE" w:rsidR="00AA42EC" w:rsidRDefault="00FD6164" w:rsidP="00AA42EC">
      <w:pPr>
        <w:pStyle w:val="ONUME"/>
        <w:rPr>
          <w:lang w:eastAsia="en-US"/>
        </w:rPr>
      </w:pPr>
      <w:r w:rsidRPr="00EC0B22">
        <w:rPr>
          <w:lang w:eastAsia="en-US"/>
        </w:rPr>
        <w:t xml:space="preserve">The creative sector continues to face major challenges due to the ongoing war. </w:t>
      </w:r>
      <w:r w:rsidR="007D77D9" w:rsidRPr="00EC0B22">
        <w:rPr>
          <w:lang w:eastAsia="en-US"/>
        </w:rPr>
        <w:t xml:space="preserve"> </w:t>
      </w:r>
      <w:r w:rsidRPr="00EC0B22">
        <w:rPr>
          <w:lang w:eastAsia="en-US"/>
        </w:rPr>
        <w:t>The severely decreased national funds for cultural development and the decline in the production of</w:t>
      </w:r>
      <w:r w:rsidRPr="00FD6164">
        <w:rPr>
          <w:lang w:eastAsia="en-US"/>
        </w:rPr>
        <w:t xml:space="preserve"> creative goods and services, the lack of staff coupled with the continued limited operations of </w:t>
      </w:r>
      <w:r w:rsidR="007D77D9" w:rsidRPr="00EC0B22">
        <w:rPr>
          <w:lang w:eastAsia="en-US"/>
        </w:rPr>
        <w:t>CMOs</w:t>
      </w:r>
      <w:r w:rsidRPr="00EC0B22">
        <w:rPr>
          <w:lang w:eastAsia="en-US"/>
        </w:rPr>
        <w:t xml:space="preserve"> have had a major negative impact on the sector.  </w:t>
      </w:r>
    </w:p>
    <w:p w14:paraId="08A09654" w14:textId="1BD1BC8E" w:rsidR="00AA42EC" w:rsidRDefault="00FD6164" w:rsidP="00AA42EC">
      <w:pPr>
        <w:pStyle w:val="ONUME"/>
        <w:rPr>
          <w:lang w:eastAsia="en-US"/>
        </w:rPr>
      </w:pPr>
      <w:r w:rsidRPr="00EC0B22">
        <w:rPr>
          <w:lang w:eastAsia="en-US"/>
        </w:rPr>
        <w:t>The analysis of Ukraine’s innovation performance through the Global Innovation Index</w:t>
      </w:r>
      <w:r w:rsidR="007D77D9" w:rsidRPr="00EC0B22">
        <w:rPr>
          <w:lang w:eastAsia="en-US"/>
        </w:rPr>
        <w:t xml:space="preserve"> (GII)</w:t>
      </w:r>
      <w:r w:rsidRPr="00EC0B22">
        <w:rPr>
          <w:lang w:eastAsia="en-US"/>
        </w:rPr>
        <w:t xml:space="preserve"> shows similar structural challenges as highlighted by national and international stakeholders with special emphasis on downward trends in </w:t>
      </w:r>
      <w:r w:rsidR="00657256" w:rsidRPr="00EC0B22">
        <w:rPr>
          <w:lang w:eastAsia="en-US"/>
        </w:rPr>
        <w:t>R&amp;I</w:t>
      </w:r>
      <w:r w:rsidRPr="00EC0B22">
        <w:rPr>
          <w:lang w:eastAsia="en-US"/>
        </w:rPr>
        <w:t xml:space="preserve"> investment</w:t>
      </w:r>
      <w:r w:rsidR="00657256" w:rsidRPr="00EC0B22">
        <w:rPr>
          <w:lang w:eastAsia="en-US"/>
        </w:rPr>
        <w:t>s</w:t>
      </w:r>
      <w:r w:rsidRPr="00EC0B22">
        <w:rPr>
          <w:lang w:eastAsia="en-US"/>
        </w:rPr>
        <w:t>, number of researchers</w:t>
      </w:r>
      <w:r w:rsidR="00657256" w:rsidRPr="00EC0B22">
        <w:rPr>
          <w:lang w:eastAsia="en-US"/>
        </w:rPr>
        <w:t>,</w:t>
      </w:r>
      <w:r w:rsidRPr="00EC0B22">
        <w:rPr>
          <w:lang w:eastAsia="en-US"/>
        </w:rPr>
        <w:t xml:space="preserve"> and scientific output</w:t>
      </w:r>
      <w:r w:rsidR="00657256" w:rsidRPr="00EC0B22">
        <w:rPr>
          <w:lang w:eastAsia="en-US"/>
        </w:rPr>
        <w:t>s</w:t>
      </w:r>
      <w:r w:rsidRPr="00EC0B22">
        <w:rPr>
          <w:lang w:eastAsia="en-US"/>
        </w:rPr>
        <w:t xml:space="preserve">. </w:t>
      </w:r>
      <w:bookmarkStart w:id="17" w:name="_Hlk199438251"/>
      <w:bookmarkEnd w:id="16"/>
    </w:p>
    <w:p w14:paraId="68319931" w14:textId="53803F51" w:rsidR="00FD6164" w:rsidRPr="00EC0B22" w:rsidRDefault="00FD6164" w:rsidP="00AA42EC">
      <w:pPr>
        <w:pStyle w:val="ONUME"/>
        <w:rPr>
          <w:lang w:eastAsia="en-US"/>
        </w:rPr>
      </w:pPr>
      <w:r w:rsidRPr="00EC0B22">
        <w:rPr>
          <w:lang w:eastAsia="en-US"/>
        </w:rPr>
        <w:t>At the same time</w:t>
      </w:r>
      <w:r w:rsidR="000E24DC">
        <w:rPr>
          <w:lang w:eastAsia="en-US"/>
        </w:rPr>
        <w:t>,</w:t>
      </w:r>
      <w:r w:rsidRPr="00EC0B22">
        <w:rPr>
          <w:lang w:eastAsia="en-US"/>
        </w:rPr>
        <w:t xml:space="preserve"> Ukrainian institutions and stakeholders have shown remarkable resilience by maintaining core functions, and in some cases exp</w:t>
      </w:r>
      <w:r w:rsidR="00657256" w:rsidRPr="00EC0B22">
        <w:rPr>
          <w:lang w:eastAsia="en-US"/>
        </w:rPr>
        <w:t>a</w:t>
      </w:r>
      <w:r w:rsidRPr="00EC0B22">
        <w:rPr>
          <w:lang w:eastAsia="en-US"/>
        </w:rPr>
        <w:t>nding services, adapting operations, and innovating under pressure</w:t>
      </w:r>
      <w:bookmarkEnd w:id="17"/>
      <w:r w:rsidRPr="00EC0B22">
        <w:rPr>
          <w:lang w:eastAsia="en-US"/>
        </w:rPr>
        <w:t xml:space="preserve">. </w:t>
      </w:r>
      <w:r w:rsidR="00657256" w:rsidRPr="00EC0B22">
        <w:rPr>
          <w:lang w:eastAsia="en-US"/>
        </w:rPr>
        <w:t xml:space="preserve"> </w:t>
      </w:r>
      <w:r w:rsidRPr="00EC0B22">
        <w:rPr>
          <w:lang w:eastAsia="en-US"/>
        </w:rPr>
        <w:t xml:space="preserve">Their efforts span the innovation, cultural, and </w:t>
      </w:r>
      <w:r w:rsidR="00657256" w:rsidRPr="00EC0B22">
        <w:rPr>
          <w:lang w:eastAsia="en-US"/>
        </w:rPr>
        <w:t>IP</w:t>
      </w:r>
      <w:r w:rsidR="009A3B4C">
        <w:rPr>
          <w:lang w:eastAsia="en-US"/>
        </w:rPr>
        <w:t xml:space="preserve"> </w:t>
      </w:r>
      <w:r w:rsidRPr="00EC0B22">
        <w:rPr>
          <w:lang w:eastAsia="en-US"/>
        </w:rPr>
        <w:lastRenderedPageBreak/>
        <w:t xml:space="preserve">sectors, and reflect both determination and adaptability. </w:t>
      </w:r>
      <w:r w:rsidR="00657256" w:rsidRPr="00EC0B22">
        <w:rPr>
          <w:lang w:eastAsia="en-US"/>
        </w:rPr>
        <w:t xml:space="preserve"> </w:t>
      </w:r>
      <w:r w:rsidRPr="00EC0B22">
        <w:rPr>
          <w:lang w:eastAsia="en-US"/>
        </w:rPr>
        <w:t xml:space="preserve">New major strategic directions </w:t>
      </w:r>
      <w:r w:rsidR="00657256" w:rsidRPr="00EC0B22">
        <w:rPr>
          <w:lang w:eastAsia="en-US"/>
        </w:rPr>
        <w:t>have been</w:t>
      </w:r>
      <w:r w:rsidRPr="00EC0B22">
        <w:rPr>
          <w:lang w:eastAsia="en-US"/>
        </w:rPr>
        <w:t xml:space="preserve"> developed with the adoption of </w:t>
      </w:r>
      <w:r w:rsidR="00F66862">
        <w:rPr>
          <w:lang w:eastAsia="en-US"/>
        </w:rPr>
        <w:t>two key strategies: the</w:t>
      </w:r>
      <w:r w:rsidR="00481E7A" w:rsidRPr="00EC0B22">
        <w:rPr>
          <w:lang w:eastAsia="en-US"/>
        </w:rPr>
        <w:t xml:space="preserve"> </w:t>
      </w:r>
      <w:r w:rsidRPr="00EC0B22">
        <w:rPr>
          <w:lang w:eastAsia="en-US"/>
        </w:rPr>
        <w:t xml:space="preserve">Strategy for Digital Development of Ukraine's Innovation Activities for the Period </w:t>
      </w:r>
      <w:r w:rsidR="00B45850">
        <w:rPr>
          <w:lang w:eastAsia="en-US"/>
        </w:rPr>
        <w:t>until</w:t>
      </w:r>
      <w:r w:rsidRPr="00EC0B22">
        <w:rPr>
          <w:lang w:eastAsia="en-US"/>
        </w:rPr>
        <w:t xml:space="preserve"> 2030</w:t>
      </w:r>
      <w:r w:rsidRPr="00EC0B22">
        <w:rPr>
          <w:vertAlign w:val="superscript"/>
          <w:lang w:eastAsia="en-US"/>
        </w:rPr>
        <w:footnoteReference w:id="8"/>
      </w:r>
      <w:r w:rsidRPr="00EC0B22">
        <w:rPr>
          <w:lang w:eastAsia="en-US"/>
        </w:rPr>
        <w:t xml:space="preserve"> </w:t>
      </w:r>
      <w:r w:rsidR="00064D7D">
        <w:rPr>
          <w:lang w:eastAsia="en-US"/>
        </w:rPr>
        <w:t>in</w:t>
      </w:r>
      <w:r w:rsidRPr="00EC0B22">
        <w:rPr>
          <w:lang w:eastAsia="en-US"/>
        </w:rPr>
        <w:t xml:space="preserve"> 2024 and the Strategy for the Development of Culture in Ukraine for the Period </w:t>
      </w:r>
      <w:r w:rsidR="00B45850">
        <w:rPr>
          <w:lang w:eastAsia="en-US"/>
        </w:rPr>
        <w:t>u</w:t>
      </w:r>
      <w:r w:rsidRPr="00EC0B22">
        <w:rPr>
          <w:lang w:eastAsia="en-US"/>
        </w:rPr>
        <w:t>ntil 2030 in 2025</w:t>
      </w:r>
      <w:r w:rsidR="00657256" w:rsidRPr="00EC0B22">
        <w:rPr>
          <w:rStyle w:val="FootnoteReference"/>
          <w:lang w:eastAsia="en-US"/>
        </w:rPr>
        <w:footnoteReference w:id="9"/>
      </w:r>
      <w:r w:rsidR="004239E9">
        <w:rPr>
          <w:lang w:eastAsia="en-US"/>
        </w:rPr>
        <w:t>.</w:t>
      </w:r>
      <w:r w:rsidR="009A3B4C">
        <w:rPr>
          <w:lang w:eastAsia="en-US"/>
        </w:rPr>
        <w:t xml:space="preserve"> </w:t>
      </w:r>
      <w:r w:rsidR="004239E9">
        <w:rPr>
          <w:lang w:eastAsia="en-US"/>
        </w:rPr>
        <w:t xml:space="preserve"> </w:t>
      </w:r>
      <w:r w:rsidR="00064D7D">
        <w:rPr>
          <w:lang w:eastAsia="en-US"/>
        </w:rPr>
        <w:t xml:space="preserve">Furthermore, </w:t>
      </w:r>
      <w:r w:rsidRPr="00EC0B22">
        <w:rPr>
          <w:lang w:eastAsia="en-US"/>
        </w:rPr>
        <w:t>the advancement in develop</w:t>
      </w:r>
      <w:r w:rsidR="003C527E">
        <w:rPr>
          <w:lang w:eastAsia="en-US"/>
        </w:rPr>
        <w:t>ing</w:t>
      </w:r>
      <w:r w:rsidRPr="00EC0B22">
        <w:rPr>
          <w:lang w:eastAsia="en-US"/>
        </w:rPr>
        <w:t xml:space="preserve"> the new National Strategy for the Development of the Intellectual Property Sphere of Ukraine until 2030, </w:t>
      </w:r>
      <w:r w:rsidR="004239E9">
        <w:rPr>
          <w:lang w:eastAsia="en-US"/>
        </w:rPr>
        <w:t>is</w:t>
      </w:r>
      <w:r w:rsidR="004239E9" w:rsidRPr="00EC0B22">
        <w:rPr>
          <w:lang w:eastAsia="en-US"/>
        </w:rPr>
        <w:t xml:space="preserve"> </w:t>
      </w:r>
      <w:r w:rsidR="00EB556E">
        <w:rPr>
          <w:lang w:eastAsia="en-US"/>
        </w:rPr>
        <w:t xml:space="preserve">paving the way for enhanced </w:t>
      </w:r>
      <w:r w:rsidR="00D95D6C">
        <w:rPr>
          <w:lang w:eastAsia="en-US"/>
        </w:rPr>
        <w:t xml:space="preserve">coordination and capacity building </w:t>
      </w:r>
      <w:r w:rsidR="0065562E">
        <w:rPr>
          <w:lang w:eastAsia="en-US"/>
        </w:rPr>
        <w:t>among</w:t>
      </w:r>
      <w:r w:rsidRPr="00EC0B22">
        <w:rPr>
          <w:lang w:eastAsia="en-US"/>
        </w:rPr>
        <w:t xml:space="preserve"> innovation</w:t>
      </w:r>
      <w:r w:rsidR="004239E9">
        <w:rPr>
          <w:lang w:eastAsia="en-US"/>
        </w:rPr>
        <w:t xml:space="preserve">, </w:t>
      </w:r>
      <w:r w:rsidRPr="00EC0B22">
        <w:rPr>
          <w:lang w:eastAsia="en-US"/>
        </w:rPr>
        <w:t xml:space="preserve">creative </w:t>
      </w:r>
      <w:r w:rsidR="004239E9">
        <w:rPr>
          <w:lang w:eastAsia="en-US"/>
        </w:rPr>
        <w:t xml:space="preserve">and IP </w:t>
      </w:r>
      <w:r w:rsidRPr="00EC0B22">
        <w:rPr>
          <w:lang w:eastAsia="en-US"/>
        </w:rPr>
        <w:t xml:space="preserve">stakeholders. </w:t>
      </w:r>
    </w:p>
    <w:p w14:paraId="411003E4" w14:textId="68661CF1" w:rsidR="00AA42EC" w:rsidRDefault="00FD6164" w:rsidP="00AA42EC">
      <w:pPr>
        <w:pStyle w:val="ONUME"/>
        <w:rPr>
          <w:lang w:eastAsia="en-US"/>
        </w:rPr>
      </w:pPr>
      <w:r w:rsidRPr="00EC0B22">
        <w:rPr>
          <w:lang w:eastAsia="en-US"/>
        </w:rPr>
        <w:t xml:space="preserve">The resilience of the IP system in Ukraine is also demonstrated by </w:t>
      </w:r>
      <w:r w:rsidR="00AE7D65">
        <w:rPr>
          <w:lang w:eastAsia="en-US"/>
        </w:rPr>
        <w:t xml:space="preserve">an </w:t>
      </w:r>
      <w:r w:rsidRPr="00EC0B22">
        <w:rPr>
          <w:lang w:eastAsia="en-US"/>
        </w:rPr>
        <w:t>exp</w:t>
      </w:r>
      <w:r w:rsidR="00B45850">
        <w:rPr>
          <w:lang w:eastAsia="en-US"/>
        </w:rPr>
        <w:t>a</w:t>
      </w:r>
      <w:r w:rsidRPr="00EC0B22">
        <w:rPr>
          <w:lang w:eastAsia="en-US"/>
        </w:rPr>
        <w:t xml:space="preserve">nding service portfolio </w:t>
      </w:r>
      <w:r w:rsidR="00AE7D65">
        <w:rPr>
          <w:lang w:eastAsia="en-US"/>
        </w:rPr>
        <w:t xml:space="preserve">and operations </w:t>
      </w:r>
      <w:r w:rsidRPr="00EC0B22">
        <w:rPr>
          <w:lang w:eastAsia="en-US"/>
        </w:rPr>
        <w:t>of UANIPIO</w:t>
      </w:r>
      <w:r w:rsidR="00AE7D65">
        <w:rPr>
          <w:lang w:eastAsia="en-US"/>
        </w:rPr>
        <w:t>, including, notably, an</w:t>
      </w:r>
      <w:r w:rsidRPr="00EC0B22">
        <w:rPr>
          <w:lang w:eastAsia="en-US"/>
        </w:rPr>
        <w:t xml:space="preserve"> increase in national IP filings </w:t>
      </w:r>
      <w:r w:rsidR="002F36F1">
        <w:rPr>
          <w:lang w:eastAsia="en-US"/>
        </w:rPr>
        <w:t>in</w:t>
      </w:r>
      <w:r w:rsidRPr="00EC0B22">
        <w:rPr>
          <w:lang w:eastAsia="en-US"/>
        </w:rPr>
        <w:t xml:space="preserve"> 202</w:t>
      </w:r>
      <w:r w:rsidR="002F36F1">
        <w:rPr>
          <w:lang w:eastAsia="en-US"/>
        </w:rPr>
        <w:t>3</w:t>
      </w:r>
      <w:r w:rsidRPr="00EC0B22">
        <w:rPr>
          <w:lang w:eastAsia="en-US"/>
        </w:rPr>
        <w:t xml:space="preserve">, but still below the pre-war level of 2021. </w:t>
      </w:r>
      <w:r w:rsidR="009A3B4C">
        <w:rPr>
          <w:lang w:eastAsia="en-US"/>
        </w:rPr>
        <w:t xml:space="preserve"> </w:t>
      </w:r>
      <w:r w:rsidRPr="00EC0B22">
        <w:rPr>
          <w:lang w:eastAsia="en-US"/>
        </w:rPr>
        <w:t>In terms of international IP filings</w:t>
      </w:r>
      <w:r w:rsidR="00B17955">
        <w:rPr>
          <w:lang w:eastAsia="en-US"/>
        </w:rPr>
        <w:t>,</w:t>
      </w:r>
      <w:r w:rsidRPr="00EC0B22">
        <w:rPr>
          <w:lang w:eastAsia="en-US"/>
        </w:rPr>
        <w:t xml:space="preserve"> as a positive sign in 2024</w:t>
      </w:r>
      <w:r w:rsidR="00A6645F">
        <w:rPr>
          <w:lang w:eastAsia="en-US"/>
        </w:rPr>
        <w:t>,</w:t>
      </w:r>
      <w:r w:rsidRPr="00EC0B22">
        <w:rPr>
          <w:lang w:eastAsia="en-US"/>
        </w:rPr>
        <w:t xml:space="preserve"> growth could be observed in the use of the </w:t>
      </w:r>
      <w:r w:rsidR="009A3B4C">
        <w:rPr>
          <w:lang w:eastAsia="en-US"/>
        </w:rPr>
        <w:t>Patent Cooperation Treaty (</w:t>
      </w:r>
      <w:r w:rsidRPr="00EC0B22">
        <w:rPr>
          <w:lang w:eastAsia="en-US"/>
        </w:rPr>
        <w:t>PCT</w:t>
      </w:r>
      <w:r w:rsidR="009A3B4C">
        <w:rPr>
          <w:lang w:eastAsia="en-US"/>
        </w:rPr>
        <w:t>)</w:t>
      </w:r>
      <w:r w:rsidRPr="00EC0B22">
        <w:rPr>
          <w:lang w:eastAsia="en-US"/>
        </w:rPr>
        <w:t xml:space="preserve"> and Madrid Systems and a slight decrease </w:t>
      </w:r>
      <w:proofErr w:type="gramStart"/>
      <w:r w:rsidRPr="00EC0B22">
        <w:rPr>
          <w:lang w:eastAsia="en-US"/>
        </w:rPr>
        <w:t>with regard to</w:t>
      </w:r>
      <w:proofErr w:type="gramEnd"/>
      <w:r w:rsidRPr="00EC0B22">
        <w:rPr>
          <w:lang w:eastAsia="en-US"/>
        </w:rPr>
        <w:t xml:space="preserve"> the use of the Hague System. </w:t>
      </w:r>
      <w:r w:rsidR="009A3B4C">
        <w:rPr>
          <w:lang w:eastAsia="en-US"/>
        </w:rPr>
        <w:t xml:space="preserve"> </w:t>
      </w:r>
      <w:r w:rsidR="002F36F1" w:rsidRPr="002F36F1">
        <w:rPr>
          <w:lang w:eastAsia="en-US"/>
        </w:rPr>
        <w:t xml:space="preserve">The war has </w:t>
      </w:r>
      <w:r w:rsidR="002F36F1">
        <w:rPr>
          <w:lang w:eastAsia="en-US"/>
        </w:rPr>
        <w:t xml:space="preserve">also </w:t>
      </w:r>
      <w:r w:rsidR="002F36F1" w:rsidRPr="002F36F1">
        <w:rPr>
          <w:lang w:eastAsia="en-US"/>
        </w:rPr>
        <w:t>catalyzed innovation in some specific sectors, such</w:t>
      </w:r>
      <w:r w:rsidR="00A2072B">
        <w:rPr>
          <w:lang w:eastAsia="en-US"/>
        </w:rPr>
        <w:t xml:space="preserve"> as</w:t>
      </w:r>
      <w:r w:rsidR="002F326A">
        <w:rPr>
          <w:lang w:eastAsia="en-US"/>
        </w:rPr>
        <w:t xml:space="preserve"> </w:t>
      </w:r>
      <w:r w:rsidR="002F36F1" w:rsidRPr="002F36F1">
        <w:rPr>
          <w:lang w:eastAsia="en-US"/>
        </w:rPr>
        <w:t>ICT and defense, showcasing high adaptability and competitiveness of these strategic industries within the innovation ecosystem.  In the creative sector, the expansion of Ukraine's digital music market has displayed promising trends, offering fresh avenues for Ukrainian musicians to explore.</w:t>
      </w:r>
    </w:p>
    <w:p w14:paraId="1ED6EB01" w14:textId="106CB6FD" w:rsidR="00E00205" w:rsidRPr="00EC0B22" w:rsidRDefault="00E00205" w:rsidP="00AA42EC">
      <w:pPr>
        <w:pStyle w:val="ONUME"/>
        <w:rPr>
          <w:lang w:eastAsia="en-US"/>
        </w:rPr>
      </w:pPr>
      <w:r>
        <w:rPr>
          <w:lang w:eastAsia="en-US"/>
        </w:rPr>
        <w:t>The following paragraphs provide an overview and an updated assessment of the impact of the war on the innovation and creative sector and ecosystem of Ukraine, including the methodology followed, major policy developments, stakeholders responsible for the protection and enforcement of IP, innovation support framework and support businesses, education</w:t>
      </w:r>
      <w:r w:rsidR="00AA77DF">
        <w:rPr>
          <w:lang w:eastAsia="en-US"/>
        </w:rPr>
        <w:t>al</w:t>
      </w:r>
      <w:r>
        <w:rPr>
          <w:lang w:eastAsia="en-US"/>
        </w:rPr>
        <w:t xml:space="preserve"> and research institutions, Technology Innovation Support Centers (TISCs), the creative sector</w:t>
      </w:r>
      <w:r w:rsidR="00126FDA">
        <w:rPr>
          <w:lang w:eastAsia="en-US"/>
        </w:rPr>
        <w:t xml:space="preserve">, as well as an analysis of the innovation performance of Ukraine through the </w:t>
      </w:r>
      <w:r w:rsidR="009A3B4C">
        <w:rPr>
          <w:lang w:eastAsia="en-US"/>
        </w:rPr>
        <w:t>Global Innovation Index (</w:t>
      </w:r>
      <w:r w:rsidR="00126FDA">
        <w:rPr>
          <w:lang w:eastAsia="en-US"/>
        </w:rPr>
        <w:t>GII</w:t>
      </w:r>
      <w:r w:rsidR="009A3B4C">
        <w:rPr>
          <w:lang w:eastAsia="en-US"/>
        </w:rPr>
        <w:t>)</w:t>
      </w:r>
      <w:r w:rsidR="00126FDA">
        <w:rPr>
          <w:lang w:eastAsia="en-US"/>
        </w:rPr>
        <w:t xml:space="preserve">, and IP filing trends. </w:t>
      </w:r>
    </w:p>
    <w:p w14:paraId="27FEDBEE" w14:textId="69B79812" w:rsidR="00657256" w:rsidRPr="00657256" w:rsidRDefault="00812E3B" w:rsidP="00812E3B">
      <w:pPr>
        <w:pStyle w:val="Heading2"/>
        <w:spacing w:after="220"/>
        <w:ind w:left="547"/>
        <w:rPr>
          <w:lang w:eastAsia="en-US"/>
        </w:rPr>
      </w:pPr>
      <w:bookmarkStart w:id="18" w:name="_Toc200544983"/>
      <w:r w:rsidRPr="00EC0B22">
        <w:rPr>
          <w:lang w:eastAsia="en-US"/>
        </w:rPr>
        <w:t xml:space="preserve">2.2 </w:t>
      </w:r>
      <w:r w:rsidRPr="00EC0B22">
        <w:rPr>
          <w:lang w:eastAsia="en-US"/>
        </w:rPr>
        <w:tab/>
      </w:r>
      <w:r w:rsidR="00657256" w:rsidRPr="00EC0B22">
        <w:rPr>
          <w:lang w:eastAsia="en-US"/>
        </w:rPr>
        <w:t>METHODOLOGY</w:t>
      </w:r>
      <w:bookmarkEnd w:id="18"/>
      <w:r w:rsidR="00657256" w:rsidRPr="00657256">
        <w:rPr>
          <w:lang w:eastAsia="en-US"/>
        </w:rPr>
        <w:t xml:space="preserve"> </w:t>
      </w:r>
    </w:p>
    <w:p w14:paraId="7747F853" w14:textId="0224E573" w:rsidR="00657256" w:rsidRPr="00657256" w:rsidRDefault="00657256" w:rsidP="00842C14">
      <w:pPr>
        <w:pStyle w:val="ONUME"/>
        <w:tabs>
          <w:tab w:val="clear" w:pos="567"/>
          <w:tab w:val="clear" w:pos="1134"/>
          <w:tab w:val="num" w:pos="630"/>
        </w:tabs>
        <w:rPr>
          <w:lang w:eastAsia="en-US"/>
        </w:rPr>
      </w:pPr>
      <w:r w:rsidRPr="00657256">
        <w:rPr>
          <w:lang w:eastAsia="en-US"/>
        </w:rPr>
        <w:t xml:space="preserve">Since July 2024, the International Bureau consulted with relevant stakeholders in Ukraine to undertake </w:t>
      </w:r>
      <w:r w:rsidR="00F61EEB">
        <w:rPr>
          <w:lang w:eastAsia="en-US"/>
        </w:rPr>
        <w:t>a</w:t>
      </w:r>
      <w:r w:rsidRPr="00657256">
        <w:rPr>
          <w:lang w:eastAsia="en-US"/>
        </w:rPr>
        <w:t xml:space="preserve"> </w:t>
      </w:r>
      <w:r w:rsidR="00F61EEB">
        <w:rPr>
          <w:lang w:eastAsia="en-US"/>
        </w:rPr>
        <w:t>further</w:t>
      </w:r>
      <w:r w:rsidRPr="00657256">
        <w:rPr>
          <w:lang w:eastAsia="en-US"/>
        </w:rPr>
        <w:t xml:space="preserve"> assessment on the impact of the war as requested by Member States. </w:t>
      </w:r>
      <w:r w:rsidR="00A2072B">
        <w:rPr>
          <w:lang w:eastAsia="en-US"/>
        </w:rPr>
        <w:t xml:space="preserve"> </w:t>
      </w:r>
      <w:r w:rsidRPr="00657256">
        <w:rPr>
          <w:lang w:eastAsia="en-US"/>
        </w:rPr>
        <w:t>This included preparation and collection of surveys from key stakeholders, such as government authorities responsible for the protection and enforcement of IP, education</w:t>
      </w:r>
      <w:r w:rsidR="00AA77DF">
        <w:rPr>
          <w:lang w:eastAsia="en-US"/>
        </w:rPr>
        <w:t>al</w:t>
      </w:r>
      <w:r w:rsidRPr="00657256">
        <w:rPr>
          <w:lang w:eastAsia="en-US"/>
        </w:rPr>
        <w:t xml:space="preserve"> and research institutions, innovation support institutions, IP practitioners, business representatives, representatives of creative industries (artists, performers, musicians, publishers, </w:t>
      </w:r>
      <w:r w:rsidR="009A3B4C" w:rsidRPr="00EC0B22">
        <w:rPr>
          <w:lang w:eastAsia="en-US"/>
        </w:rPr>
        <w:t xml:space="preserve">Collective Management Organizations </w:t>
      </w:r>
      <w:r w:rsidR="009A3B4C">
        <w:rPr>
          <w:lang w:eastAsia="en-US"/>
        </w:rPr>
        <w:t>(</w:t>
      </w:r>
      <w:r w:rsidRPr="00657256">
        <w:rPr>
          <w:lang w:eastAsia="en-US"/>
        </w:rPr>
        <w:t>CMOs</w:t>
      </w:r>
      <w:r w:rsidR="009A3B4C">
        <w:rPr>
          <w:lang w:eastAsia="en-US"/>
        </w:rPr>
        <w:t>)</w:t>
      </w:r>
      <w:r w:rsidRPr="00657256">
        <w:rPr>
          <w:lang w:eastAsia="en-US"/>
        </w:rPr>
        <w:t>, etc.), as well as the TISCs.</w:t>
      </w:r>
    </w:p>
    <w:p w14:paraId="1F0E7134" w14:textId="4980D328" w:rsidR="00657256" w:rsidRPr="00657256" w:rsidRDefault="00657256" w:rsidP="00842C14">
      <w:pPr>
        <w:pStyle w:val="ONUME"/>
        <w:tabs>
          <w:tab w:val="clear" w:pos="567"/>
          <w:tab w:val="clear" w:pos="1134"/>
          <w:tab w:val="num" w:pos="630"/>
        </w:tabs>
        <w:rPr>
          <w:lang w:eastAsia="en-US"/>
        </w:rPr>
      </w:pPr>
      <w:r w:rsidRPr="00657256">
        <w:rPr>
          <w:lang w:eastAsia="en-US"/>
        </w:rPr>
        <w:t xml:space="preserve">The assessment </w:t>
      </w:r>
      <w:r w:rsidR="0088773F">
        <w:rPr>
          <w:lang w:eastAsia="en-US"/>
        </w:rPr>
        <w:t>reviewed</w:t>
      </w:r>
      <w:r w:rsidRPr="00657256">
        <w:rPr>
          <w:lang w:eastAsia="en-US"/>
        </w:rPr>
        <w:t xml:space="preserve"> the impact of the war on the innovation and creativity sector and ecosystem in Ukraine and was carried out using the following methodology: desk research; interviews and questionnaires, and data analysis.  When needed to clarify the information and obtain additional data, supplementary interviews were conducted with relevant institutions and stakeholders. </w:t>
      </w:r>
    </w:p>
    <w:p w14:paraId="0819A4D9" w14:textId="76875EAA" w:rsidR="00657256" w:rsidRPr="00657256" w:rsidRDefault="00657256" w:rsidP="00842C14">
      <w:pPr>
        <w:pStyle w:val="ONUME"/>
        <w:tabs>
          <w:tab w:val="clear" w:pos="567"/>
          <w:tab w:val="clear" w:pos="1134"/>
          <w:tab w:val="num" w:pos="630"/>
        </w:tabs>
        <w:rPr>
          <w:lang w:eastAsia="en-US"/>
        </w:rPr>
      </w:pPr>
      <w:r w:rsidRPr="00657256">
        <w:rPr>
          <w:lang w:eastAsia="en-US"/>
        </w:rPr>
        <w:t xml:space="preserve">Approximately 50 stakeholders participated in </w:t>
      </w:r>
      <w:r w:rsidR="0063496D">
        <w:rPr>
          <w:lang w:eastAsia="en-US"/>
        </w:rPr>
        <w:t>this</w:t>
      </w:r>
      <w:r w:rsidRPr="00657256">
        <w:rPr>
          <w:lang w:eastAsia="en-US"/>
        </w:rPr>
        <w:t xml:space="preserve"> assessment. </w:t>
      </w:r>
    </w:p>
    <w:p w14:paraId="70CECB94" w14:textId="72990718" w:rsidR="00CC7504" w:rsidRDefault="00657256" w:rsidP="00842C14">
      <w:pPr>
        <w:pStyle w:val="ONUME"/>
        <w:tabs>
          <w:tab w:val="clear" w:pos="567"/>
          <w:tab w:val="clear" w:pos="1134"/>
          <w:tab w:val="num" w:pos="630"/>
        </w:tabs>
        <w:rPr>
          <w:lang w:eastAsia="en-US"/>
        </w:rPr>
      </w:pPr>
      <w:r w:rsidRPr="00657256">
        <w:rPr>
          <w:lang w:eastAsia="en-US"/>
        </w:rPr>
        <w:t>The International Bureau also analyzed Ukraine’s innovation performance as reflected in the GII, and consulted and reviewed publicly available sources, including official reports of international and regional organizations and institutions, such as the United Nations (UN), UNHCR, the Organization for Economic Co-operation and Development (OECD), UNESC</w:t>
      </w:r>
      <w:r w:rsidR="003B6F94">
        <w:rPr>
          <w:lang w:eastAsia="en-US"/>
        </w:rPr>
        <w:t xml:space="preserve">O, </w:t>
      </w:r>
      <w:r w:rsidRPr="00657256">
        <w:rPr>
          <w:lang w:eastAsia="en-US"/>
        </w:rPr>
        <w:t xml:space="preserve">the United Nations Development Program (UNDP), the World Bank, the International Labor </w:t>
      </w:r>
      <w:r w:rsidRPr="00EC0B22">
        <w:rPr>
          <w:lang w:eastAsia="en-US"/>
        </w:rPr>
        <w:lastRenderedPageBreak/>
        <w:t xml:space="preserve">Organization (ILO), the World Trade Organization (WTO), national authorities, and official web pages of relevant stakeholders and summaries and reports of research centers. </w:t>
      </w:r>
    </w:p>
    <w:p w14:paraId="546E0281" w14:textId="2A113298" w:rsidR="00657256" w:rsidRPr="00EC0B22" w:rsidRDefault="00657256" w:rsidP="00842C14">
      <w:pPr>
        <w:pStyle w:val="ONUME"/>
        <w:tabs>
          <w:tab w:val="clear" w:pos="567"/>
          <w:tab w:val="clear" w:pos="1134"/>
          <w:tab w:val="num" w:pos="540"/>
        </w:tabs>
        <w:rPr>
          <w:lang w:eastAsia="en-US"/>
        </w:rPr>
      </w:pPr>
      <w:r w:rsidRPr="00EC0B22">
        <w:rPr>
          <w:lang w:eastAsia="en-US"/>
        </w:rPr>
        <w:t>The evolving security situation, the uncertainty o</w:t>
      </w:r>
      <w:r w:rsidR="00B45850">
        <w:rPr>
          <w:lang w:eastAsia="en-US"/>
        </w:rPr>
        <w:t>f</w:t>
      </w:r>
      <w:r w:rsidRPr="00EC0B22">
        <w:rPr>
          <w:lang w:eastAsia="en-US"/>
        </w:rPr>
        <w:t xml:space="preserve"> the war and the prospects for peace and recovery made the impact assessment inherently difficult, limiting the scope and depth of the analysis and underscoring the need for continued close contact with the Ukrainian authorities and constant adaptation to their evolving needs and priorities. </w:t>
      </w:r>
    </w:p>
    <w:p w14:paraId="3D9E1030" w14:textId="552D1195" w:rsidR="00822E70" w:rsidRPr="00EC0B22" w:rsidRDefault="00812E3B" w:rsidP="00812E3B">
      <w:pPr>
        <w:pStyle w:val="Heading2"/>
        <w:spacing w:after="220"/>
        <w:ind w:left="547"/>
        <w:rPr>
          <w:lang w:eastAsia="en-US"/>
        </w:rPr>
      </w:pPr>
      <w:bookmarkStart w:id="19" w:name="_Toc200544984"/>
      <w:r w:rsidRPr="00EC0B22">
        <w:rPr>
          <w:lang w:eastAsia="en-US"/>
        </w:rPr>
        <w:t>2.3</w:t>
      </w:r>
      <w:r w:rsidRPr="00EC0B22">
        <w:rPr>
          <w:lang w:eastAsia="en-US"/>
        </w:rPr>
        <w:tab/>
      </w:r>
      <w:r w:rsidR="00822E70" w:rsidRPr="00EC0B22">
        <w:rPr>
          <w:lang w:eastAsia="en-US"/>
        </w:rPr>
        <w:t>Innovation and creative sector and ecosystem</w:t>
      </w:r>
      <w:bookmarkEnd w:id="19"/>
    </w:p>
    <w:p w14:paraId="6F113745" w14:textId="42A7CD6E" w:rsidR="00822E70" w:rsidRPr="00C40570" w:rsidRDefault="00C40570" w:rsidP="00C40570">
      <w:pPr>
        <w:pStyle w:val="Heading3"/>
        <w:ind w:left="1890" w:hanging="720"/>
        <w:rPr>
          <w:u w:val="none"/>
          <w:lang w:eastAsia="en-US"/>
        </w:rPr>
      </w:pPr>
      <w:bookmarkStart w:id="20" w:name="_Toc200544985"/>
      <w:r w:rsidRPr="00EC0B22">
        <w:rPr>
          <w:u w:val="none"/>
          <w:lang w:eastAsia="en-US"/>
        </w:rPr>
        <w:t>2.3.1</w:t>
      </w:r>
      <w:r w:rsidRPr="00EC0B22">
        <w:rPr>
          <w:u w:val="none"/>
          <w:lang w:eastAsia="en-US"/>
        </w:rPr>
        <w:tab/>
      </w:r>
      <w:r w:rsidR="00822E70" w:rsidRPr="00EC0B22">
        <w:rPr>
          <w:lang w:eastAsia="en-US"/>
        </w:rPr>
        <w:t>Policy development</w:t>
      </w:r>
      <w:bookmarkEnd w:id="20"/>
    </w:p>
    <w:p w14:paraId="78B81F58" w14:textId="77777777" w:rsidR="00C40570" w:rsidRPr="00C40570" w:rsidRDefault="00C40570" w:rsidP="00C40570">
      <w:pPr>
        <w:rPr>
          <w:lang w:eastAsia="en-US"/>
        </w:rPr>
      </w:pPr>
    </w:p>
    <w:p w14:paraId="23C8942D" w14:textId="66E9E1BE" w:rsidR="00822E70" w:rsidRDefault="00822E70" w:rsidP="00822E70">
      <w:pPr>
        <w:pStyle w:val="ONUME"/>
        <w:rPr>
          <w:lang w:eastAsia="en-US"/>
        </w:rPr>
      </w:pPr>
      <w:r>
        <w:rPr>
          <w:lang w:eastAsia="en-US"/>
        </w:rPr>
        <w:t xml:space="preserve">Despite the challenges imposed by the war, </w:t>
      </w:r>
      <w:r w:rsidR="004E6C3A">
        <w:rPr>
          <w:lang w:eastAsia="en-US"/>
        </w:rPr>
        <w:t xml:space="preserve">the </w:t>
      </w:r>
      <w:r w:rsidR="00502936">
        <w:rPr>
          <w:lang w:eastAsia="en-US"/>
        </w:rPr>
        <w:t>Government of Ukraine</w:t>
      </w:r>
      <w:r>
        <w:rPr>
          <w:lang w:eastAsia="en-US"/>
        </w:rPr>
        <w:t xml:space="preserve"> ha</w:t>
      </w:r>
      <w:r w:rsidR="00B45850">
        <w:rPr>
          <w:lang w:eastAsia="en-US"/>
        </w:rPr>
        <w:t>s</w:t>
      </w:r>
      <w:r>
        <w:rPr>
          <w:lang w:eastAsia="en-US"/>
        </w:rPr>
        <w:t xml:space="preserve"> remained active in advancing national strategies to support innovation, creativity, and IP.  Existing strategic frameworks, such as the State Strategy for Regional Development </w:t>
      </w:r>
      <w:r w:rsidR="00B45850">
        <w:rPr>
          <w:lang w:eastAsia="en-US"/>
        </w:rPr>
        <w:t xml:space="preserve">for </w:t>
      </w:r>
      <w:r>
        <w:rPr>
          <w:lang w:eastAsia="en-US"/>
        </w:rPr>
        <w:t xml:space="preserve">2021-2027, the National Economic Strategy, the Strategy for the Development of the Innovation Sector, and the Industrial Parks Development Strategy for 2023-2030, continue to provide long-term direction, </w:t>
      </w:r>
      <w:r w:rsidR="004E6C3A">
        <w:rPr>
          <w:lang w:eastAsia="en-US"/>
        </w:rPr>
        <w:t>al</w:t>
      </w:r>
      <w:r>
        <w:rPr>
          <w:lang w:eastAsia="en-US"/>
        </w:rPr>
        <w:t xml:space="preserve">though their implementation is affected by resource constraints, infrastructure damage, and instability caused by ongoing hostilities.  </w:t>
      </w:r>
    </w:p>
    <w:p w14:paraId="6FBF7A6E" w14:textId="04CE68C7" w:rsidR="00822E70" w:rsidRDefault="00822E70" w:rsidP="00822E70">
      <w:pPr>
        <w:pStyle w:val="ONUME"/>
        <w:rPr>
          <w:lang w:eastAsia="en-US"/>
        </w:rPr>
      </w:pPr>
      <w:r>
        <w:rPr>
          <w:lang w:eastAsia="en-US"/>
        </w:rPr>
        <w:t>Ukraine has recently developed new major strategic documents relevant to the long-term development</w:t>
      </w:r>
      <w:r w:rsidR="004E6C3A">
        <w:rPr>
          <w:lang w:eastAsia="en-US"/>
        </w:rPr>
        <w:t xml:space="preserve"> of </w:t>
      </w:r>
      <w:r w:rsidR="00704D5A">
        <w:rPr>
          <w:lang w:eastAsia="en-US"/>
        </w:rPr>
        <w:t>its</w:t>
      </w:r>
      <w:r w:rsidR="004E6C3A">
        <w:rPr>
          <w:lang w:eastAsia="en-US"/>
        </w:rPr>
        <w:t xml:space="preserve"> innovation and creative ecosystem</w:t>
      </w:r>
      <w:r>
        <w:rPr>
          <w:lang w:eastAsia="en-US"/>
        </w:rPr>
        <w:t xml:space="preserve">. </w:t>
      </w:r>
    </w:p>
    <w:p w14:paraId="757494C2" w14:textId="379859A3" w:rsidR="00822E70" w:rsidRDefault="00822E70" w:rsidP="00822E70">
      <w:pPr>
        <w:pStyle w:val="ONUME"/>
        <w:rPr>
          <w:lang w:eastAsia="en-US"/>
        </w:rPr>
      </w:pPr>
      <w:r>
        <w:rPr>
          <w:lang w:eastAsia="en-US"/>
        </w:rPr>
        <w:t>In December 2024, the Government of Ukraine approved the Strategy for Digital Development of Ukraine’s Innovation Activities until 2030</w:t>
      </w:r>
      <w:r>
        <w:rPr>
          <w:rStyle w:val="FootnoteReference"/>
          <w:lang w:eastAsia="en-US"/>
        </w:rPr>
        <w:footnoteReference w:id="10"/>
      </w:r>
      <w:r>
        <w:rPr>
          <w:lang w:eastAsia="en-US"/>
        </w:rPr>
        <w:t xml:space="preserve">.  </w:t>
      </w:r>
      <w:r w:rsidR="004053DB">
        <w:rPr>
          <w:lang w:eastAsia="en-US"/>
        </w:rPr>
        <w:t xml:space="preserve">Implementation of the </w:t>
      </w:r>
      <w:r>
        <w:rPr>
          <w:lang w:eastAsia="en-US"/>
        </w:rPr>
        <w:t xml:space="preserve">Strategy is led by the Ministry of Digital Transformation, involving a broad range of actors, including the Ministry of Economy, Ministry of Education and Science, Ministry of Health, Ministry of Defense, UANIPIO, the Innovation Development Fund, the National Academy of Sciences, industry bodies, and universities.  The Strategy aims to strengthen general innovation infrastructure, optimize innovation support tools, and prioritize sectors where social and economic returns are highest, </w:t>
      </w:r>
      <w:proofErr w:type="gramStart"/>
      <w:r>
        <w:rPr>
          <w:lang w:eastAsia="en-US"/>
        </w:rPr>
        <w:t>in light of</w:t>
      </w:r>
      <w:proofErr w:type="gramEnd"/>
      <w:r>
        <w:rPr>
          <w:lang w:eastAsia="en-US"/>
        </w:rPr>
        <w:t xml:space="preserve"> resource constraints caused by the war.  </w:t>
      </w:r>
    </w:p>
    <w:p w14:paraId="147BCD04" w14:textId="4E390FAA" w:rsidR="00822E70" w:rsidRDefault="00822E70" w:rsidP="00822E70">
      <w:pPr>
        <w:pStyle w:val="ONUME"/>
        <w:rPr>
          <w:lang w:eastAsia="en-US"/>
        </w:rPr>
      </w:pPr>
      <w:r>
        <w:rPr>
          <w:lang w:eastAsia="en-US"/>
        </w:rPr>
        <w:t>In March 2025, Ukraine adopted the Strategy for the Development of Culture until 2030</w:t>
      </w:r>
      <w:r w:rsidR="00947D55">
        <w:rPr>
          <w:lang w:eastAsia="en-US"/>
        </w:rPr>
        <w:t>,</w:t>
      </w:r>
      <w:r>
        <w:rPr>
          <w:rStyle w:val="FootnoteReference"/>
          <w:lang w:eastAsia="en-US"/>
        </w:rPr>
        <w:footnoteReference w:id="11"/>
      </w:r>
      <w:r>
        <w:rPr>
          <w:lang w:eastAsia="en-US"/>
        </w:rPr>
        <w:t xml:space="preserve"> led by the Ministry of Culture and Strategic Communications, in collaboration with local and international stakeholders grounded in the current challenges faced by the culture sector.  It places the creative industries at the center of national identity, state resilience, and economic recovery.  It outlines four strategic goals: </w:t>
      </w:r>
      <w:r w:rsidR="009A3B4C">
        <w:rPr>
          <w:lang w:eastAsia="en-US"/>
        </w:rPr>
        <w:t xml:space="preserve"> </w:t>
      </w:r>
      <w:r>
        <w:rPr>
          <w:lang w:eastAsia="en-US"/>
        </w:rPr>
        <w:t xml:space="preserve">strengthening human capital through cultural </w:t>
      </w:r>
      <w:proofErr w:type="gramStart"/>
      <w:r>
        <w:rPr>
          <w:lang w:eastAsia="en-US"/>
        </w:rPr>
        <w:t xml:space="preserve">practices; </w:t>
      </w:r>
      <w:r w:rsidR="009A3B4C">
        <w:rPr>
          <w:lang w:eastAsia="en-US"/>
        </w:rPr>
        <w:t xml:space="preserve"> </w:t>
      </w:r>
      <w:r>
        <w:rPr>
          <w:lang w:eastAsia="en-US"/>
        </w:rPr>
        <w:t>protecting</w:t>
      </w:r>
      <w:proofErr w:type="gramEnd"/>
      <w:r>
        <w:rPr>
          <w:lang w:eastAsia="en-US"/>
        </w:rPr>
        <w:t xml:space="preserve"> and promoting cultural </w:t>
      </w:r>
      <w:proofErr w:type="gramStart"/>
      <w:r>
        <w:rPr>
          <w:lang w:eastAsia="en-US"/>
        </w:rPr>
        <w:t xml:space="preserve">heritage; </w:t>
      </w:r>
      <w:r w:rsidR="009A3B4C">
        <w:rPr>
          <w:lang w:eastAsia="en-US"/>
        </w:rPr>
        <w:t xml:space="preserve"> </w:t>
      </w:r>
      <w:r>
        <w:rPr>
          <w:lang w:eastAsia="en-US"/>
        </w:rPr>
        <w:t>enhancing</w:t>
      </w:r>
      <w:proofErr w:type="gramEnd"/>
      <w:r>
        <w:rPr>
          <w:lang w:eastAsia="en-US"/>
        </w:rPr>
        <w:t xml:space="preserve"> the resilience of the cultural </w:t>
      </w:r>
      <w:proofErr w:type="gramStart"/>
      <w:r>
        <w:rPr>
          <w:lang w:eastAsia="en-US"/>
        </w:rPr>
        <w:t xml:space="preserve">sector; </w:t>
      </w:r>
      <w:r w:rsidR="009A3B4C">
        <w:rPr>
          <w:lang w:eastAsia="en-US"/>
        </w:rPr>
        <w:t xml:space="preserve"> </w:t>
      </w:r>
      <w:r>
        <w:rPr>
          <w:lang w:eastAsia="en-US"/>
        </w:rPr>
        <w:t>and</w:t>
      </w:r>
      <w:proofErr w:type="gramEnd"/>
      <w:r>
        <w:rPr>
          <w:lang w:eastAsia="en-US"/>
        </w:rPr>
        <w:t xml:space="preserve"> integrating Ukrainian culture into global processes as an equal partner.  The Strategy also emphasizes stimulating high-quality creative output, improving access to financing tools (grants, copyright monetization), strengthening IP awareness, and expanding training in creative entrepreneurship.</w:t>
      </w:r>
    </w:p>
    <w:p w14:paraId="58EAF556" w14:textId="2D38E67A" w:rsidR="00822E70" w:rsidRDefault="00822E70" w:rsidP="00822E70">
      <w:pPr>
        <w:pStyle w:val="ONUME"/>
        <w:rPr>
          <w:lang w:eastAsia="en-US"/>
        </w:rPr>
      </w:pPr>
      <w:r>
        <w:rPr>
          <w:lang w:eastAsia="en-US"/>
        </w:rPr>
        <w:t xml:space="preserve">Alongside these efforts, Ukraine, with the support of the International Bureau, has been developing a five-year National Strategy for the Development of the Intellectual Property Sphere until 2030.  The draft strategy places IP not only as a legal asset but </w:t>
      </w:r>
      <w:r w:rsidR="004053DB">
        <w:rPr>
          <w:lang w:eastAsia="en-US"/>
        </w:rPr>
        <w:t xml:space="preserve">also </w:t>
      </w:r>
      <w:r>
        <w:rPr>
          <w:lang w:eastAsia="en-US"/>
        </w:rPr>
        <w:t xml:space="preserve">as a cornerstone of economic recovery and national security.  The proposed scope includes copyright and related rights, collective management, industrial property, the protection of genetic resources and </w:t>
      </w:r>
      <w:r>
        <w:rPr>
          <w:lang w:eastAsia="en-US"/>
        </w:rPr>
        <w:lastRenderedPageBreak/>
        <w:t xml:space="preserve">traditional knowledge, improvements to IP enforcement, commercialization and technology transfer, and the use of IP in national security and defense.  The draft </w:t>
      </w:r>
      <w:r w:rsidR="002E1FD1">
        <w:rPr>
          <w:lang w:eastAsia="en-US"/>
        </w:rPr>
        <w:t>s</w:t>
      </w:r>
      <w:r>
        <w:rPr>
          <w:lang w:eastAsia="en-US"/>
        </w:rPr>
        <w:t>trategy sets out over two dozen strategic objectives grouped under four clusters</w:t>
      </w:r>
      <w:proofErr w:type="gramStart"/>
      <w:r>
        <w:rPr>
          <w:lang w:eastAsia="en-US"/>
        </w:rPr>
        <w:t xml:space="preserve">: </w:t>
      </w:r>
      <w:r w:rsidR="009A3B4C">
        <w:rPr>
          <w:lang w:eastAsia="en-US"/>
        </w:rPr>
        <w:t xml:space="preserve"> </w:t>
      </w:r>
      <w:r>
        <w:rPr>
          <w:lang w:eastAsia="en-US"/>
        </w:rPr>
        <w:t>(</w:t>
      </w:r>
      <w:proofErr w:type="spellStart"/>
      <w:proofErr w:type="gramEnd"/>
      <w:r>
        <w:rPr>
          <w:lang w:eastAsia="en-US"/>
        </w:rPr>
        <w:t>i</w:t>
      </w:r>
      <w:proofErr w:type="spellEnd"/>
      <w:r>
        <w:rPr>
          <w:lang w:eastAsia="en-US"/>
        </w:rPr>
        <w:t xml:space="preserve">) </w:t>
      </w:r>
      <w:r w:rsidR="001B5234">
        <w:rPr>
          <w:lang w:eastAsia="en-US"/>
        </w:rPr>
        <w:t>European Union (</w:t>
      </w:r>
      <w:r>
        <w:rPr>
          <w:lang w:eastAsia="en-US"/>
        </w:rPr>
        <w:t>EU</w:t>
      </w:r>
      <w:r w:rsidR="001B5234">
        <w:rPr>
          <w:lang w:eastAsia="en-US"/>
        </w:rPr>
        <w:t>)</w:t>
      </w:r>
      <w:r>
        <w:rPr>
          <w:lang w:eastAsia="en-US"/>
        </w:rPr>
        <w:t xml:space="preserve"> </w:t>
      </w:r>
      <w:proofErr w:type="gramStart"/>
      <w:r>
        <w:rPr>
          <w:lang w:eastAsia="en-US"/>
        </w:rPr>
        <w:t>integration</w:t>
      </w:r>
      <w:r w:rsidR="00F670FB">
        <w:rPr>
          <w:lang w:eastAsia="en-US"/>
        </w:rPr>
        <w:t>;</w:t>
      </w:r>
      <w:r>
        <w:rPr>
          <w:lang w:eastAsia="en-US"/>
        </w:rPr>
        <w:t xml:space="preserve"> </w:t>
      </w:r>
      <w:r w:rsidR="00334EB2">
        <w:rPr>
          <w:lang w:eastAsia="en-US"/>
        </w:rPr>
        <w:t xml:space="preserve">  </w:t>
      </w:r>
      <w:proofErr w:type="gramEnd"/>
      <w:r>
        <w:rPr>
          <w:lang w:eastAsia="en-US"/>
        </w:rPr>
        <w:t xml:space="preserve">(ii) IP </w:t>
      </w:r>
      <w:proofErr w:type="gramStart"/>
      <w:r>
        <w:rPr>
          <w:lang w:eastAsia="en-US"/>
        </w:rPr>
        <w:t>enforcement;</w:t>
      </w:r>
      <w:r w:rsidR="009A3B4C">
        <w:rPr>
          <w:lang w:eastAsia="en-US"/>
        </w:rPr>
        <w:t xml:space="preserve"> </w:t>
      </w:r>
      <w:r>
        <w:rPr>
          <w:lang w:eastAsia="en-US"/>
        </w:rPr>
        <w:t xml:space="preserve"> (</w:t>
      </w:r>
      <w:proofErr w:type="gramEnd"/>
      <w:r>
        <w:rPr>
          <w:lang w:eastAsia="en-US"/>
        </w:rPr>
        <w:t xml:space="preserve">iii) innovation and creative sector </w:t>
      </w:r>
      <w:proofErr w:type="gramStart"/>
      <w:r>
        <w:rPr>
          <w:lang w:eastAsia="en-US"/>
        </w:rPr>
        <w:t xml:space="preserve">development; </w:t>
      </w:r>
      <w:r w:rsidR="00334EB2">
        <w:rPr>
          <w:lang w:eastAsia="en-US"/>
        </w:rPr>
        <w:t xml:space="preserve"> </w:t>
      </w:r>
      <w:r w:rsidR="00B179C4">
        <w:rPr>
          <w:lang w:eastAsia="en-US"/>
        </w:rPr>
        <w:t>and</w:t>
      </w:r>
      <w:proofErr w:type="gramEnd"/>
      <w:r w:rsidR="00B179C4">
        <w:rPr>
          <w:lang w:eastAsia="en-US"/>
        </w:rPr>
        <w:t xml:space="preserve"> </w:t>
      </w:r>
      <w:r>
        <w:rPr>
          <w:lang w:eastAsia="en-US"/>
        </w:rPr>
        <w:t>(iv) IP culture.</w:t>
      </w:r>
      <w:r w:rsidR="009A3B4C">
        <w:rPr>
          <w:lang w:eastAsia="en-US"/>
        </w:rPr>
        <w:t xml:space="preserve"> </w:t>
      </w:r>
      <w:r>
        <w:rPr>
          <w:lang w:eastAsia="en-US"/>
        </w:rPr>
        <w:t xml:space="preserve"> It underscores the importance of restoring lost intangible assets, promoting public-private partnerships for technology development, </w:t>
      </w:r>
      <w:r w:rsidR="00A1764B">
        <w:rPr>
          <w:lang w:eastAsia="en-US"/>
        </w:rPr>
        <w:t xml:space="preserve">strengthening </w:t>
      </w:r>
      <w:r>
        <w:rPr>
          <w:lang w:eastAsia="en-US"/>
        </w:rPr>
        <w:t xml:space="preserve">academia and industry collaboration, creating legal and fiscal incentives for </w:t>
      </w:r>
      <w:r w:rsidR="00A6685F">
        <w:rPr>
          <w:lang w:eastAsia="en-US"/>
        </w:rPr>
        <w:t>research and development (</w:t>
      </w:r>
      <w:r>
        <w:rPr>
          <w:lang w:eastAsia="en-US"/>
        </w:rPr>
        <w:t>R&amp;D</w:t>
      </w:r>
      <w:r w:rsidR="00A6685F">
        <w:rPr>
          <w:lang w:eastAsia="en-US"/>
        </w:rPr>
        <w:t>)</w:t>
      </w:r>
      <w:r>
        <w:rPr>
          <w:lang w:eastAsia="en-US"/>
        </w:rPr>
        <w:t xml:space="preserve"> and innovation actors, enabling fair remuneration for creative actors. </w:t>
      </w:r>
      <w:r w:rsidR="009A3B4C">
        <w:rPr>
          <w:lang w:eastAsia="en-US"/>
        </w:rPr>
        <w:t xml:space="preserve"> </w:t>
      </w:r>
      <w:r>
        <w:rPr>
          <w:lang w:eastAsia="en-US"/>
        </w:rPr>
        <w:t xml:space="preserve">These strategic objectives </w:t>
      </w:r>
      <w:proofErr w:type="gramStart"/>
      <w:r>
        <w:rPr>
          <w:lang w:eastAsia="en-US"/>
        </w:rPr>
        <w:t>take into account</w:t>
      </w:r>
      <w:proofErr w:type="gramEnd"/>
      <w:r>
        <w:rPr>
          <w:lang w:eastAsia="en-US"/>
        </w:rPr>
        <w:t xml:space="preserve"> the damage caused by the war to the IP </w:t>
      </w:r>
      <w:proofErr w:type="gramStart"/>
      <w:r>
        <w:rPr>
          <w:lang w:eastAsia="en-US"/>
        </w:rPr>
        <w:t>ecosystem as a whole, and</w:t>
      </w:r>
      <w:proofErr w:type="gramEnd"/>
      <w:r>
        <w:rPr>
          <w:lang w:eastAsia="en-US"/>
        </w:rPr>
        <w:t xml:space="preserve"> are designed to address post-war recovery needs, build institutional resilience, and integrate IP more fully into the country’s innovation-driven future.  </w:t>
      </w:r>
    </w:p>
    <w:p w14:paraId="4C45B367" w14:textId="322E52E5" w:rsidR="00822E70" w:rsidRPr="00C40570" w:rsidRDefault="00C40570" w:rsidP="00C40570">
      <w:pPr>
        <w:pStyle w:val="Heading3"/>
        <w:ind w:left="1890" w:hanging="720"/>
        <w:rPr>
          <w:lang w:eastAsia="en-US"/>
        </w:rPr>
      </w:pPr>
      <w:bookmarkStart w:id="21" w:name="_Toc200544986"/>
      <w:r w:rsidRPr="00C40570">
        <w:rPr>
          <w:u w:val="none"/>
          <w:lang w:eastAsia="en-US"/>
        </w:rPr>
        <w:t>2.3.2</w:t>
      </w:r>
      <w:r w:rsidRPr="00C40570">
        <w:rPr>
          <w:u w:val="none"/>
          <w:lang w:eastAsia="en-US"/>
        </w:rPr>
        <w:tab/>
      </w:r>
      <w:r w:rsidR="00822E70" w:rsidRPr="00C40570">
        <w:rPr>
          <w:lang w:eastAsia="en-US"/>
        </w:rPr>
        <w:t>Stakeholders responsible for the protection and enforcement of IP</w:t>
      </w:r>
      <w:bookmarkEnd w:id="21"/>
    </w:p>
    <w:p w14:paraId="3F396B15" w14:textId="77777777" w:rsidR="00C40570" w:rsidRPr="00C40570" w:rsidRDefault="00C40570" w:rsidP="00C40570">
      <w:pPr>
        <w:rPr>
          <w:lang w:eastAsia="en-US"/>
        </w:rPr>
      </w:pPr>
    </w:p>
    <w:p w14:paraId="0D27B93D" w14:textId="3E7974A2" w:rsidR="00822E70" w:rsidRDefault="00822E70" w:rsidP="00822E70">
      <w:pPr>
        <w:pStyle w:val="ONUME"/>
        <w:rPr>
          <w:lang w:eastAsia="en-US"/>
        </w:rPr>
      </w:pPr>
      <w:r>
        <w:rPr>
          <w:lang w:eastAsia="en-US"/>
        </w:rPr>
        <w:t xml:space="preserve">To </w:t>
      </w:r>
      <w:r w:rsidR="004053DB">
        <w:rPr>
          <w:lang w:eastAsia="en-US"/>
        </w:rPr>
        <w:t xml:space="preserve">obtain an </w:t>
      </w:r>
      <w:r>
        <w:rPr>
          <w:lang w:eastAsia="en-US"/>
        </w:rPr>
        <w:t>update</w:t>
      </w:r>
      <w:r w:rsidR="004053DB">
        <w:rPr>
          <w:lang w:eastAsia="en-US"/>
        </w:rPr>
        <w:t>d</w:t>
      </w:r>
      <w:r>
        <w:rPr>
          <w:lang w:eastAsia="en-US"/>
        </w:rPr>
        <w:t xml:space="preserve"> assessment of the impact of the war on the institutions responsible for the protection and enforcement of IP, the International Bureau contacted the following relevant stakeholders: the Ministry of Economy of Ukraine,</w:t>
      </w:r>
      <w:r w:rsidR="00A51BFC">
        <w:rPr>
          <w:lang w:eastAsia="en-US"/>
        </w:rPr>
        <w:t xml:space="preserve"> </w:t>
      </w:r>
      <w:r>
        <w:rPr>
          <w:lang w:eastAsia="en-US"/>
        </w:rPr>
        <w:t>the UANIPIO, the Supreme Court</w:t>
      </w:r>
      <w:r w:rsidR="009A3B4C">
        <w:rPr>
          <w:lang w:eastAsia="en-US"/>
        </w:rPr>
        <w:t xml:space="preserve"> of Ukraine</w:t>
      </w:r>
      <w:r>
        <w:rPr>
          <w:lang w:eastAsia="en-US"/>
        </w:rPr>
        <w:t>, the Office of the Prosecutor General, the National Police</w:t>
      </w:r>
      <w:r w:rsidR="009A3B4C">
        <w:rPr>
          <w:lang w:eastAsia="en-US"/>
        </w:rPr>
        <w:t>,</w:t>
      </w:r>
      <w:r>
        <w:rPr>
          <w:lang w:eastAsia="en-US"/>
        </w:rPr>
        <w:t xml:space="preserve"> and IP associations. </w:t>
      </w:r>
    </w:p>
    <w:p w14:paraId="5CE6705A" w14:textId="3C5043E6" w:rsidR="00822E70" w:rsidRDefault="00822E70" w:rsidP="00822E70">
      <w:pPr>
        <w:pStyle w:val="ONUME"/>
        <w:rPr>
          <w:lang w:eastAsia="en-US"/>
        </w:rPr>
      </w:pPr>
      <w:r>
        <w:rPr>
          <w:lang w:eastAsia="en-US"/>
        </w:rPr>
        <w:t xml:space="preserve">The stakeholders that responded to the survey reported as main challenges </w:t>
      </w:r>
      <w:r w:rsidR="004053DB">
        <w:rPr>
          <w:lang w:eastAsia="en-US"/>
        </w:rPr>
        <w:t xml:space="preserve">to </w:t>
      </w:r>
      <w:r>
        <w:rPr>
          <w:lang w:eastAsia="en-US"/>
        </w:rPr>
        <w:t xml:space="preserve">their operations the human resource constraints, mental health strain, brain drain, staff relocation and limited staff support, increased workload for employees, as well as disruptions due to frequent air raid alerts and power shortages.  Nevertheless, they also reported their continued operation, adaptability and resilience in reacting to the challenges of the war.  </w:t>
      </w:r>
    </w:p>
    <w:p w14:paraId="0F712602" w14:textId="77777777" w:rsidR="00822E70" w:rsidRDefault="00822E70" w:rsidP="00822E70">
      <w:pPr>
        <w:pStyle w:val="ONUME"/>
        <w:rPr>
          <w:lang w:eastAsia="en-US"/>
        </w:rPr>
      </w:pPr>
      <w:r>
        <w:rPr>
          <w:lang w:eastAsia="en-US"/>
        </w:rPr>
        <w:t xml:space="preserve">UANIPIO has reported on their extended services and activities as reflected in the following examples. </w:t>
      </w:r>
    </w:p>
    <w:p w14:paraId="02CBD121" w14:textId="75A676E9" w:rsidR="00822E70" w:rsidRDefault="00822E70" w:rsidP="00822E70">
      <w:pPr>
        <w:pStyle w:val="ONUME"/>
        <w:rPr>
          <w:lang w:eastAsia="en-US"/>
        </w:rPr>
      </w:pPr>
      <w:r>
        <w:rPr>
          <w:lang w:eastAsia="en-US"/>
        </w:rPr>
        <w:t>UANIPIO maintained and enhanced Ukraine's IP infrastructure under the challenging circumstances of the war.</w:t>
      </w:r>
      <w:r w:rsidR="00B45850">
        <w:rPr>
          <w:lang w:eastAsia="en-US"/>
        </w:rPr>
        <w:t xml:space="preserve"> </w:t>
      </w:r>
      <w:r>
        <w:rPr>
          <w:lang w:eastAsia="en-US"/>
        </w:rPr>
        <w:t xml:space="preserve"> It preserved its core IP services and it has also thrived in its institutional growth, reinforcing its statutory and operational mandate. </w:t>
      </w:r>
      <w:r w:rsidR="000A3F5C">
        <w:rPr>
          <w:lang w:eastAsia="en-US"/>
        </w:rPr>
        <w:t xml:space="preserve"> </w:t>
      </w:r>
      <w:r>
        <w:rPr>
          <w:lang w:eastAsia="en-US"/>
        </w:rPr>
        <w:t>This includes successfully taking on new responsibilities in the innovation and copyright sectors.</w:t>
      </w:r>
    </w:p>
    <w:p w14:paraId="60228D84" w14:textId="2921B652" w:rsidR="00822E70" w:rsidRDefault="00822E70" w:rsidP="00822E70">
      <w:pPr>
        <w:pStyle w:val="ONUME"/>
        <w:rPr>
          <w:lang w:eastAsia="en-US"/>
        </w:rPr>
      </w:pPr>
      <w:r>
        <w:rPr>
          <w:lang w:eastAsia="en-US"/>
        </w:rPr>
        <w:t xml:space="preserve">UANIPIO’s resilience has been supported by digitalization, cybersecurity enhancements, and the successful adoption of hybrid work models. </w:t>
      </w:r>
      <w:r w:rsidR="009A3B4C">
        <w:rPr>
          <w:lang w:eastAsia="en-US"/>
        </w:rPr>
        <w:t xml:space="preserve"> </w:t>
      </w:r>
      <w:r>
        <w:rPr>
          <w:lang w:eastAsia="en-US"/>
        </w:rPr>
        <w:t xml:space="preserve">Internal reforms ensured the retention of experienced examiners, while efforts were made to secure national IP data and safeguard registries.  </w:t>
      </w:r>
    </w:p>
    <w:p w14:paraId="02BD3188" w14:textId="3A065164" w:rsidR="00822E70" w:rsidRDefault="00822E70" w:rsidP="00822E70">
      <w:pPr>
        <w:pStyle w:val="ONUME"/>
        <w:rPr>
          <w:lang w:eastAsia="en-US"/>
        </w:rPr>
      </w:pPr>
      <w:r>
        <w:rPr>
          <w:lang w:eastAsia="en-US"/>
        </w:rPr>
        <w:t xml:space="preserve">UANIPIO also actively supported the resolution of a major legal and operational constraint impacting Ukrainian rightsholders on the international stage.  A temporary prohibition on cross-border currency transfers, in place for much of 2023 and the first half of 2024, limited the ability of Ukrainian applicants to pay fees for international IP filings. </w:t>
      </w:r>
      <w:r w:rsidR="00B45850">
        <w:rPr>
          <w:lang w:eastAsia="en-US"/>
        </w:rPr>
        <w:t xml:space="preserve"> </w:t>
      </w:r>
      <w:r>
        <w:rPr>
          <w:lang w:eastAsia="en-US"/>
        </w:rPr>
        <w:t>Following advocacy and coordination with relevant authorities, this restriction was lifted by the National Bank of Ukraine in July 2024</w:t>
      </w:r>
      <w:r w:rsidR="000F2583">
        <w:rPr>
          <w:lang w:eastAsia="en-US"/>
        </w:rPr>
        <w:t>,</w:t>
      </w:r>
      <w:r w:rsidR="004D3BE8">
        <w:rPr>
          <w:rStyle w:val="FootnoteReference"/>
          <w:lang w:eastAsia="en-US"/>
        </w:rPr>
        <w:footnoteReference w:id="12"/>
      </w:r>
      <w:r>
        <w:rPr>
          <w:lang w:eastAsia="en-US"/>
        </w:rPr>
        <w:t xml:space="preserve"> allowing applicants to resume payments under the PCT, Madrid, and Hague </w:t>
      </w:r>
      <w:r w:rsidR="000F2583">
        <w:rPr>
          <w:lang w:eastAsia="en-US"/>
        </w:rPr>
        <w:t>S</w:t>
      </w:r>
      <w:r>
        <w:rPr>
          <w:lang w:eastAsia="en-US"/>
        </w:rPr>
        <w:t>ystems.</w:t>
      </w:r>
    </w:p>
    <w:p w14:paraId="2F21DAD7" w14:textId="77777777" w:rsidR="00822E70" w:rsidRDefault="00822E70" w:rsidP="00822E70">
      <w:pPr>
        <w:pStyle w:val="ONUME"/>
        <w:rPr>
          <w:lang w:eastAsia="en-US"/>
        </w:rPr>
      </w:pPr>
      <w:r>
        <w:rPr>
          <w:lang w:eastAsia="en-US"/>
        </w:rPr>
        <w:t xml:space="preserve">UANIPIO expanded its mandate to include copyright and related rights, supported cultural heritage protection, and contributed to national reconstruction efforts. </w:t>
      </w:r>
    </w:p>
    <w:p w14:paraId="4EF5F699" w14:textId="6778894C" w:rsidR="00822E70" w:rsidRDefault="00822E70" w:rsidP="00822E70">
      <w:pPr>
        <w:pStyle w:val="ONUME"/>
        <w:rPr>
          <w:lang w:eastAsia="en-US"/>
        </w:rPr>
      </w:pPr>
      <w:r>
        <w:rPr>
          <w:lang w:eastAsia="en-US"/>
        </w:rPr>
        <w:t xml:space="preserve">Recognizing the urgent need to reinforce domestic innovation capacity and foster economic recovery, UANIPIO has led or co-implemented a series of targeted support programs, including “Lab2Market UA”, an initiative that helps researchers and scientists turn academic </w:t>
      </w:r>
      <w:r>
        <w:rPr>
          <w:lang w:eastAsia="en-US"/>
        </w:rPr>
        <w:lastRenderedPageBreak/>
        <w:t xml:space="preserve">findings into viable deep-tech businesses. </w:t>
      </w:r>
      <w:r w:rsidR="00B45850">
        <w:rPr>
          <w:lang w:eastAsia="en-US"/>
        </w:rPr>
        <w:t xml:space="preserve"> </w:t>
      </w:r>
      <w:r>
        <w:rPr>
          <w:lang w:eastAsia="en-US"/>
        </w:rPr>
        <w:t xml:space="preserve">Complementary sectoral variants such as </w:t>
      </w:r>
      <w:r w:rsidR="009A3B4C">
        <w:rPr>
          <w:lang w:eastAsia="en-US"/>
        </w:rPr>
        <w:t>“</w:t>
      </w:r>
      <w:proofErr w:type="spellStart"/>
      <w:r>
        <w:rPr>
          <w:lang w:eastAsia="en-US"/>
        </w:rPr>
        <w:t>Veterano</w:t>
      </w:r>
      <w:proofErr w:type="spellEnd"/>
      <w:r w:rsidR="009A3B4C">
        <w:rPr>
          <w:lang w:eastAsia="en-US"/>
        </w:rPr>
        <w:t>”</w:t>
      </w:r>
      <w:r>
        <w:rPr>
          <w:lang w:eastAsia="en-US"/>
        </w:rPr>
        <w:t xml:space="preserve"> and </w:t>
      </w:r>
      <w:r w:rsidR="009A3B4C">
        <w:rPr>
          <w:lang w:eastAsia="en-US"/>
        </w:rPr>
        <w:t>“</w:t>
      </w:r>
      <w:r>
        <w:rPr>
          <w:lang w:eastAsia="en-US"/>
        </w:rPr>
        <w:t>Medtech</w:t>
      </w:r>
      <w:r w:rsidR="009A3B4C">
        <w:rPr>
          <w:lang w:eastAsia="en-US"/>
        </w:rPr>
        <w:t>”</w:t>
      </w:r>
      <w:r>
        <w:rPr>
          <w:lang w:eastAsia="en-US"/>
        </w:rPr>
        <w:t xml:space="preserve"> have created inclusive pathways for post-war recovery and employment generation through innovation.  </w:t>
      </w:r>
    </w:p>
    <w:p w14:paraId="69818DF4" w14:textId="2FF3C68D" w:rsidR="00822E70" w:rsidRDefault="00822E70" w:rsidP="00822E70">
      <w:pPr>
        <w:pStyle w:val="ONUME"/>
        <w:rPr>
          <w:lang w:eastAsia="en-US"/>
        </w:rPr>
      </w:pPr>
      <w:r>
        <w:rPr>
          <w:lang w:eastAsia="en-US"/>
        </w:rPr>
        <w:t>UANIPIO continued to prioritize its education</w:t>
      </w:r>
      <w:r w:rsidR="005F4959">
        <w:rPr>
          <w:lang w:eastAsia="en-US"/>
        </w:rPr>
        <w:t>al</w:t>
      </w:r>
      <w:r>
        <w:rPr>
          <w:lang w:eastAsia="en-US"/>
        </w:rPr>
        <w:t xml:space="preserve"> and outreach activities. </w:t>
      </w:r>
      <w:r w:rsidR="00334EB2">
        <w:rPr>
          <w:lang w:eastAsia="en-US"/>
        </w:rPr>
        <w:t xml:space="preserve"> </w:t>
      </w:r>
      <w:r>
        <w:rPr>
          <w:lang w:eastAsia="en-US"/>
        </w:rPr>
        <w:t>In 2024</w:t>
      </w:r>
      <w:r w:rsidR="004F0DDC">
        <w:rPr>
          <w:lang w:eastAsia="en-US"/>
        </w:rPr>
        <w:t>,</w:t>
      </w:r>
      <w:r>
        <w:rPr>
          <w:lang w:eastAsia="en-US"/>
        </w:rPr>
        <w:t xml:space="preserve"> </w:t>
      </w:r>
      <w:r w:rsidR="00B45850">
        <w:rPr>
          <w:lang w:eastAsia="en-US"/>
        </w:rPr>
        <w:t>it</w:t>
      </w:r>
      <w:r>
        <w:rPr>
          <w:lang w:eastAsia="en-US"/>
        </w:rPr>
        <w:t xml:space="preserve"> delivered over 350 hours of IP education and outreach to representatives of security agencies, </w:t>
      </w:r>
      <w:r w:rsidR="004B090F">
        <w:rPr>
          <w:lang w:eastAsia="en-US"/>
        </w:rPr>
        <w:t>small and medium-sized enterprises (</w:t>
      </w:r>
      <w:r>
        <w:rPr>
          <w:lang w:eastAsia="en-US"/>
        </w:rPr>
        <w:t>SMEs</w:t>
      </w:r>
      <w:r w:rsidR="004B090F">
        <w:rPr>
          <w:lang w:eastAsia="en-US"/>
        </w:rPr>
        <w:t>)</w:t>
      </w:r>
      <w:r>
        <w:rPr>
          <w:lang w:eastAsia="en-US"/>
        </w:rPr>
        <w:t>, academia, and the public.</w:t>
      </w:r>
      <w:r w:rsidR="00334EB2">
        <w:rPr>
          <w:lang w:eastAsia="en-US"/>
        </w:rPr>
        <w:t xml:space="preserve"> </w:t>
      </w:r>
      <w:r>
        <w:rPr>
          <w:lang w:eastAsia="en-US"/>
        </w:rPr>
        <w:t xml:space="preserve"> Educational campaigns, such as the national initiative “Creative Eco-Initiatives” and sectoral trainings on IP in medicine and defense, were developed to emphasize innovation as a pillar of resilience and state security.</w:t>
      </w:r>
    </w:p>
    <w:p w14:paraId="01576F15" w14:textId="1A01E58C" w:rsidR="00822E70" w:rsidRDefault="00822E70" w:rsidP="00822E70">
      <w:pPr>
        <w:pStyle w:val="ONUME"/>
        <w:rPr>
          <w:lang w:eastAsia="en-US"/>
        </w:rPr>
      </w:pPr>
      <w:r>
        <w:rPr>
          <w:lang w:eastAsia="en-US"/>
        </w:rPr>
        <w:t xml:space="preserve">UANIPIO also advanced its international partnerships through initiatives with WIPO, </w:t>
      </w:r>
      <w:r w:rsidR="0051154A">
        <w:rPr>
          <w:lang w:eastAsia="en-US"/>
        </w:rPr>
        <w:t>the European Union Intellectual Property Office (</w:t>
      </w:r>
      <w:r>
        <w:rPr>
          <w:lang w:eastAsia="en-US"/>
        </w:rPr>
        <w:t>EUIPO</w:t>
      </w:r>
      <w:r w:rsidR="0051154A">
        <w:rPr>
          <w:lang w:eastAsia="en-US"/>
        </w:rPr>
        <w:t xml:space="preserve">) and the </w:t>
      </w:r>
      <w:r w:rsidR="00E63786">
        <w:rPr>
          <w:lang w:eastAsia="en-US"/>
        </w:rPr>
        <w:t>European Patent Office (</w:t>
      </w:r>
      <w:r>
        <w:rPr>
          <w:lang w:eastAsia="en-US"/>
        </w:rPr>
        <w:t>EPO</w:t>
      </w:r>
      <w:r w:rsidR="00E63786">
        <w:rPr>
          <w:lang w:eastAsia="en-US"/>
        </w:rPr>
        <w:t>)</w:t>
      </w:r>
      <w:r>
        <w:rPr>
          <w:lang w:eastAsia="en-US"/>
        </w:rPr>
        <w:t xml:space="preserve"> and other IP offices, contributing to Ukraine’s alignment with European IP standards and its broader EU accession goals.  </w:t>
      </w:r>
    </w:p>
    <w:p w14:paraId="124D3074" w14:textId="41D20338" w:rsidR="00822E70" w:rsidRDefault="00822E70" w:rsidP="00822E70">
      <w:pPr>
        <w:pStyle w:val="ONUME"/>
        <w:rPr>
          <w:lang w:eastAsia="en-US"/>
        </w:rPr>
      </w:pPr>
      <w:r>
        <w:rPr>
          <w:lang w:eastAsia="en-US"/>
        </w:rPr>
        <w:t xml:space="preserve">The Office of the Prosecutor General reported that the war did not affect the detection and investigation of </w:t>
      </w:r>
      <w:r w:rsidR="00E83155">
        <w:rPr>
          <w:lang w:eastAsia="en-US"/>
        </w:rPr>
        <w:t xml:space="preserve">violations of </w:t>
      </w:r>
      <w:r>
        <w:rPr>
          <w:lang w:eastAsia="en-US"/>
        </w:rPr>
        <w:t xml:space="preserve">IP rights. </w:t>
      </w:r>
      <w:r w:rsidR="00D321B2">
        <w:rPr>
          <w:lang w:eastAsia="en-US"/>
        </w:rPr>
        <w:t xml:space="preserve"> </w:t>
      </w:r>
      <w:r>
        <w:rPr>
          <w:lang w:eastAsia="en-US"/>
        </w:rPr>
        <w:t>However, the</w:t>
      </w:r>
      <w:r w:rsidR="00466BC3">
        <w:rPr>
          <w:lang w:eastAsia="en-US"/>
        </w:rPr>
        <w:t xml:space="preserve"> Office</w:t>
      </w:r>
      <w:r>
        <w:rPr>
          <w:lang w:eastAsia="en-US"/>
        </w:rPr>
        <w:t xml:space="preserve"> noted certain general difficulties in identifying the proper right holders and calculating the damage caused. </w:t>
      </w:r>
      <w:r w:rsidR="00466BC3">
        <w:rPr>
          <w:lang w:eastAsia="en-US"/>
        </w:rPr>
        <w:t xml:space="preserve"> </w:t>
      </w:r>
      <w:r>
        <w:rPr>
          <w:lang w:eastAsia="en-US"/>
        </w:rPr>
        <w:t xml:space="preserve">Based on the official report provided by the Office compared to 2023, in 2024 proceedings for </w:t>
      </w:r>
      <w:r w:rsidR="00D918CA">
        <w:rPr>
          <w:lang w:eastAsia="en-US"/>
        </w:rPr>
        <w:t xml:space="preserve">the criminal infringement of </w:t>
      </w:r>
      <w:r>
        <w:rPr>
          <w:lang w:eastAsia="en-US"/>
        </w:rPr>
        <w:t>copyright and related rights decreased by 83.96 per</w:t>
      </w:r>
      <w:r w:rsidR="00D321B2">
        <w:rPr>
          <w:lang w:eastAsia="en-US"/>
        </w:rPr>
        <w:t xml:space="preserve"> </w:t>
      </w:r>
      <w:r>
        <w:rPr>
          <w:lang w:eastAsia="en-US"/>
        </w:rPr>
        <w:t>cent</w:t>
      </w:r>
      <w:r w:rsidR="00087D67">
        <w:rPr>
          <w:lang w:eastAsia="en-US"/>
        </w:rPr>
        <w:t>.</w:t>
      </w:r>
      <w:r w:rsidR="00E66514">
        <w:rPr>
          <w:rStyle w:val="FootnoteReference"/>
          <w:lang w:eastAsia="en-US"/>
        </w:rPr>
        <w:footnoteReference w:id="13"/>
      </w:r>
      <w:r>
        <w:rPr>
          <w:lang w:eastAsia="en-US"/>
        </w:rPr>
        <w:t xml:space="preserve">  </w:t>
      </w:r>
    </w:p>
    <w:p w14:paraId="1915263C" w14:textId="14D67CCC" w:rsidR="00822E70" w:rsidRDefault="00822E70" w:rsidP="00822E70">
      <w:pPr>
        <w:pStyle w:val="ONUME"/>
        <w:rPr>
          <w:lang w:eastAsia="en-US"/>
        </w:rPr>
      </w:pPr>
      <w:r>
        <w:rPr>
          <w:lang w:eastAsia="en-US"/>
        </w:rPr>
        <w:t xml:space="preserve">The work of the Supreme Court of Ukraine </w:t>
      </w:r>
      <w:r w:rsidR="005C56B9">
        <w:rPr>
          <w:lang w:eastAsia="en-US"/>
        </w:rPr>
        <w:t>was</w:t>
      </w:r>
      <w:r>
        <w:rPr>
          <w:lang w:eastAsia="en-US"/>
        </w:rPr>
        <w:t xml:space="preserve"> initially disrupted due to security threats and damage to </w:t>
      </w:r>
      <w:r w:rsidR="005C56B9">
        <w:rPr>
          <w:lang w:eastAsia="en-US"/>
        </w:rPr>
        <w:t xml:space="preserve">the </w:t>
      </w:r>
      <w:r>
        <w:rPr>
          <w:lang w:eastAsia="en-US"/>
        </w:rPr>
        <w:t xml:space="preserve">judicial and energy infrastructure. </w:t>
      </w:r>
      <w:r w:rsidR="00D321B2">
        <w:rPr>
          <w:lang w:eastAsia="en-US"/>
        </w:rPr>
        <w:t xml:space="preserve"> </w:t>
      </w:r>
      <w:r>
        <w:rPr>
          <w:lang w:eastAsia="en-US"/>
        </w:rPr>
        <w:t xml:space="preserve">Hearings were postponed, and some court premises were destroyed, requiring urgent changes to territorial jurisdictions. </w:t>
      </w:r>
      <w:r w:rsidR="00D321B2">
        <w:rPr>
          <w:lang w:eastAsia="en-US"/>
        </w:rPr>
        <w:t xml:space="preserve"> </w:t>
      </w:r>
      <w:r>
        <w:rPr>
          <w:lang w:eastAsia="en-US"/>
        </w:rPr>
        <w:t xml:space="preserve">By the end of 2022, </w:t>
      </w:r>
      <w:r w:rsidR="00C33C82">
        <w:rPr>
          <w:lang w:eastAsia="en-US"/>
        </w:rPr>
        <w:t xml:space="preserve">the </w:t>
      </w:r>
      <w:r>
        <w:rPr>
          <w:lang w:eastAsia="en-US"/>
        </w:rPr>
        <w:t>Court</w:t>
      </w:r>
      <w:r w:rsidR="00C33C82">
        <w:rPr>
          <w:lang w:eastAsia="en-US"/>
        </w:rPr>
        <w:t>’s</w:t>
      </w:r>
      <w:r>
        <w:rPr>
          <w:lang w:eastAsia="en-US"/>
        </w:rPr>
        <w:t xml:space="preserve"> operations resumed under enhanced security measures, and the judiciary has since functioned with relative stability.  According to </w:t>
      </w:r>
      <w:r w:rsidR="002A7D8E">
        <w:rPr>
          <w:lang w:eastAsia="en-US"/>
        </w:rPr>
        <w:t>a</w:t>
      </w:r>
      <w:r>
        <w:rPr>
          <w:lang w:eastAsia="en-US"/>
        </w:rPr>
        <w:t>nalytical reviews of the Supreme Court, since the beginning of the war, the number of IP-related cases declined.</w:t>
      </w:r>
      <w:r w:rsidR="00D321B2">
        <w:rPr>
          <w:lang w:eastAsia="en-US"/>
        </w:rPr>
        <w:t xml:space="preserve"> </w:t>
      </w:r>
      <w:r>
        <w:rPr>
          <w:lang w:eastAsia="en-US"/>
        </w:rPr>
        <w:t xml:space="preserve"> In commercial courts, enforcement cases dropped by 23.1</w:t>
      </w:r>
      <w:r w:rsidR="00B45850">
        <w:rPr>
          <w:lang w:eastAsia="en-US"/>
        </w:rPr>
        <w:t xml:space="preserve"> per</w:t>
      </w:r>
      <w:r w:rsidR="00D321B2">
        <w:rPr>
          <w:lang w:eastAsia="en-US"/>
        </w:rPr>
        <w:t xml:space="preserve"> </w:t>
      </w:r>
      <w:r w:rsidR="00B45850">
        <w:rPr>
          <w:lang w:eastAsia="en-US"/>
        </w:rPr>
        <w:t>cent</w:t>
      </w:r>
      <w:r>
        <w:rPr>
          <w:lang w:eastAsia="en-US"/>
        </w:rPr>
        <w:t xml:space="preserve"> in 2023 compared to 2022, and by a further 31</w:t>
      </w:r>
      <w:r w:rsidR="00BE5FE8">
        <w:rPr>
          <w:lang w:eastAsia="en-US"/>
        </w:rPr>
        <w:t xml:space="preserve"> </w:t>
      </w:r>
      <w:r w:rsidR="00B45850">
        <w:rPr>
          <w:lang w:eastAsia="en-US"/>
        </w:rPr>
        <w:t>per</w:t>
      </w:r>
      <w:r w:rsidR="00D321B2">
        <w:rPr>
          <w:lang w:eastAsia="en-US"/>
        </w:rPr>
        <w:t xml:space="preserve"> </w:t>
      </w:r>
      <w:r w:rsidR="00B45850">
        <w:rPr>
          <w:lang w:eastAsia="en-US"/>
        </w:rPr>
        <w:t>cent</w:t>
      </w:r>
      <w:r>
        <w:rPr>
          <w:lang w:eastAsia="en-US"/>
        </w:rPr>
        <w:t xml:space="preserve"> in 2024. Similar trends have been observed in local courts in civil cases. </w:t>
      </w:r>
    </w:p>
    <w:p w14:paraId="056AD952" w14:textId="2F39E94C" w:rsidR="00822E70" w:rsidRPr="00EC0B22" w:rsidRDefault="00C40570" w:rsidP="00C40570">
      <w:pPr>
        <w:pStyle w:val="Heading3"/>
        <w:ind w:left="1890" w:hanging="720"/>
        <w:rPr>
          <w:lang w:eastAsia="en-US"/>
        </w:rPr>
      </w:pPr>
      <w:bookmarkStart w:id="23" w:name="_Toc200544987"/>
      <w:r w:rsidRPr="00EC0B22">
        <w:rPr>
          <w:u w:val="none"/>
          <w:lang w:eastAsia="en-US"/>
        </w:rPr>
        <w:t>2.3.3</w:t>
      </w:r>
      <w:r w:rsidRPr="00EC0B22">
        <w:rPr>
          <w:u w:val="none"/>
          <w:lang w:eastAsia="en-US"/>
        </w:rPr>
        <w:tab/>
      </w:r>
      <w:r w:rsidR="00822E70" w:rsidRPr="00EC0B22">
        <w:rPr>
          <w:lang w:eastAsia="en-US"/>
        </w:rPr>
        <w:t xml:space="preserve">Innovation support framework and </w:t>
      </w:r>
      <w:r w:rsidR="003E6AFC">
        <w:rPr>
          <w:lang w:eastAsia="en-US"/>
        </w:rPr>
        <w:t>i</w:t>
      </w:r>
      <w:r w:rsidR="00822E70" w:rsidRPr="00EC0B22">
        <w:rPr>
          <w:lang w:eastAsia="en-US"/>
        </w:rPr>
        <w:t>nnovative businesses</w:t>
      </w:r>
      <w:bookmarkEnd w:id="23"/>
      <w:r w:rsidR="00822E70" w:rsidRPr="00EC0B22">
        <w:rPr>
          <w:lang w:eastAsia="en-US"/>
        </w:rPr>
        <w:t xml:space="preserve"> </w:t>
      </w:r>
    </w:p>
    <w:p w14:paraId="0005C09A" w14:textId="77777777" w:rsidR="00C40570" w:rsidRPr="00EC0B22" w:rsidRDefault="00C40570" w:rsidP="00C40570">
      <w:pPr>
        <w:rPr>
          <w:lang w:eastAsia="en-US"/>
        </w:rPr>
      </w:pPr>
    </w:p>
    <w:p w14:paraId="6F1FDDF3" w14:textId="0B57D3FA" w:rsidR="00822E70" w:rsidRDefault="00822E70" w:rsidP="00822E70">
      <w:pPr>
        <w:pStyle w:val="ONUME"/>
        <w:rPr>
          <w:lang w:eastAsia="en-US"/>
        </w:rPr>
      </w:pPr>
      <w:r w:rsidRPr="00EC0B22">
        <w:rPr>
          <w:lang w:eastAsia="en-US"/>
        </w:rPr>
        <w:t xml:space="preserve">According to a UNDP </w:t>
      </w:r>
      <w:r w:rsidR="00EC75DC">
        <w:rPr>
          <w:lang w:eastAsia="en-US"/>
        </w:rPr>
        <w:t>a</w:t>
      </w:r>
      <w:r w:rsidRPr="00EC0B22">
        <w:rPr>
          <w:lang w:eastAsia="en-US"/>
        </w:rPr>
        <w:t xml:space="preserve">ssessment of February 2024, micro, small, and medium-sized enterprises (MSMEs) continue to be the backbone of Ukraine’s economy, comprising </w:t>
      </w:r>
      <w:r w:rsidR="00D321B2">
        <w:rPr>
          <w:lang w:eastAsia="en-US"/>
        </w:rPr>
        <w:t xml:space="preserve">         </w:t>
      </w:r>
      <w:r w:rsidRPr="00EC0B22">
        <w:rPr>
          <w:lang w:eastAsia="en-US"/>
        </w:rPr>
        <w:t>99.98</w:t>
      </w:r>
      <w:r w:rsidR="00A62C3E">
        <w:rPr>
          <w:lang w:eastAsia="en-US"/>
        </w:rPr>
        <w:t xml:space="preserve"> per</w:t>
      </w:r>
      <w:r w:rsidR="00D321B2">
        <w:rPr>
          <w:lang w:eastAsia="en-US"/>
        </w:rPr>
        <w:t xml:space="preserve"> </w:t>
      </w:r>
      <w:r w:rsidR="00A62C3E">
        <w:rPr>
          <w:lang w:eastAsia="en-US"/>
        </w:rPr>
        <w:t xml:space="preserve">cent </w:t>
      </w:r>
      <w:r w:rsidRPr="00EC0B22">
        <w:rPr>
          <w:lang w:eastAsia="en-US"/>
        </w:rPr>
        <w:t>of all business entities, providing 74</w:t>
      </w:r>
      <w:r w:rsidR="00A62C3E">
        <w:rPr>
          <w:lang w:eastAsia="en-US"/>
        </w:rPr>
        <w:t xml:space="preserve"> per</w:t>
      </w:r>
      <w:r w:rsidR="00D321B2">
        <w:rPr>
          <w:lang w:eastAsia="en-US"/>
        </w:rPr>
        <w:t xml:space="preserve"> </w:t>
      </w:r>
      <w:r w:rsidR="00A62C3E">
        <w:rPr>
          <w:lang w:eastAsia="en-US"/>
        </w:rPr>
        <w:t>cent</w:t>
      </w:r>
      <w:r w:rsidRPr="00EC0B22">
        <w:rPr>
          <w:lang w:eastAsia="en-US"/>
        </w:rPr>
        <w:t xml:space="preserve"> of all jobs, and generating </w:t>
      </w:r>
      <w:r w:rsidR="00D321B2">
        <w:rPr>
          <w:lang w:eastAsia="en-US"/>
        </w:rPr>
        <w:t xml:space="preserve">           </w:t>
      </w:r>
      <w:r w:rsidRPr="00EC0B22">
        <w:rPr>
          <w:lang w:eastAsia="en-US"/>
        </w:rPr>
        <w:t>64</w:t>
      </w:r>
      <w:r w:rsidR="00A62C3E">
        <w:rPr>
          <w:lang w:eastAsia="en-US"/>
        </w:rPr>
        <w:t xml:space="preserve"> per</w:t>
      </w:r>
      <w:r w:rsidR="00D321B2">
        <w:rPr>
          <w:lang w:eastAsia="en-US"/>
        </w:rPr>
        <w:t xml:space="preserve"> </w:t>
      </w:r>
      <w:r w:rsidR="00A62C3E">
        <w:rPr>
          <w:lang w:eastAsia="en-US"/>
        </w:rPr>
        <w:t>cent</w:t>
      </w:r>
      <w:r>
        <w:rPr>
          <w:lang w:eastAsia="en-US"/>
        </w:rPr>
        <w:t xml:space="preserve"> of the country’s value added</w:t>
      </w:r>
      <w:r w:rsidR="00742761">
        <w:rPr>
          <w:lang w:eastAsia="en-US"/>
        </w:rPr>
        <w:t>.</w:t>
      </w:r>
      <w:r w:rsidR="00E66514">
        <w:rPr>
          <w:rStyle w:val="FootnoteReference"/>
          <w:lang w:eastAsia="en-US"/>
        </w:rPr>
        <w:footnoteReference w:id="14"/>
      </w:r>
      <w:r>
        <w:rPr>
          <w:lang w:eastAsia="en-US"/>
        </w:rPr>
        <w:t xml:space="preserve">    </w:t>
      </w:r>
    </w:p>
    <w:p w14:paraId="3492B833" w14:textId="2666DB80" w:rsidR="00822E70" w:rsidRDefault="00822E70" w:rsidP="00822E70">
      <w:pPr>
        <w:pStyle w:val="ONUME"/>
        <w:rPr>
          <w:lang w:eastAsia="en-US"/>
        </w:rPr>
      </w:pPr>
      <w:r>
        <w:rPr>
          <w:lang w:eastAsia="en-US"/>
        </w:rPr>
        <w:t xml:space="preserve">The 2024 UNDP </w:t>
      </w:r>
      <w:r w:rsidR="00742761">
        <w:rPr>
          <w:lang w:eastAsia="en-US"/>
        </w:rPr>
        <w:t>a</w:t>
      </w:r>
      <w:r>
        <w:rPr>
          <w:lang w:eastAsia="en-US"/>
        </w:rPr>
        <w:t>ssessment further reiterated that the war has exacerbated existing challenges that MSMEs generally face and created new ones.</w:t>
      </w:r>
      <w:r w:rsidR="00D321B2">
        <w:rPr>
          <w:lang w:eastAsia="en-US"/>
        </w:rPr>
        <w:t xml:space="preserve"> </w:t>
      </w:r>
      <w:r>
        <w:rPr>
          <w:lang w:eastAsia="en-US"/>
        </w:rPr>
        <w:t xml:space="preserve"> The outflow of human capital, intensified by internal displacement </w:t>
      </w:r>
      <w:r w:rsidR="00742761">
        <w:rPr>
          <w:lang w:eastAsia="en-US"/>
        </w:rPr>
        <w:t xml:space="preserve">of the population </w:t>
      </w:r>
      <w:r>
        <w:rPr>
          <w:lang w:eastAsia="en-US"/>
        </w:rPr>
        <w:t xml:space="preserve">and external migration, has continued to create significant labor shortages across sectors. </w:t>
      </w:r>
      <w:r w:rsidR="00D321B2">
        <w:rPr>
          <w:lang w:eastAsia="en-US"/>
        </w:rPr>
        <w:t xml:space="preserve"> </w:t>
      </w:r>
      <w:r>
        <w:rPr>
          <w:lang w:eastAsia="en-US"/>
        </w:rPr>
        <w:t xml:space="preserve">MSMEs have been further impacted by disrupted supply chains, declining domestic demand, and limited access to bank financing, which has constrained working capital and investment. </w:t>
      </w:r>
      <w:r w:rsidR="00D321B2">
        <w:rPr>
          <w:lang w:eastAsia="en-US"/>
        </w:rPr>
        <w:t xml:space="preserve"> </w:t>
      </w:r>
      <w:r>
        <w:rPr>
          <w:lang w:eastAsia="en-US"/>
        </w:rPr>
        <w:t>In addition, the risks and consequences of ongoing hostilities, including loss or damage</w:t>
      </w:r>
      <w:r w:rsidR="00AA7D36">
        <w:rPr>
          <w:lang w:eastAsia="en-US"/>
        </w:rPr>
        <w:t xml:space="preserve"> to assets</w:t>
      </w:r>
      <w:r>
        <w:rPr>
          <w:lang w:eastAsia="en-US"/>
        </w:rPr>
        <w:t>, threats to personnel and data security, and destruction of infrastructure have placed a considerable burden on MSME operations.</w:t>
      </w:r>
    </w:p>
    <w:p w14:paraId="7BB15F5B" w14:textId="0C35B228" w:rsidR="00822E70" w:rsidRDefault="00822E70" w:rsidP="00822E70">
      <w:pPr>
        <w:pStyle w:val="ONUME"/>
        <w:rPr>
          <w:lang w:eastAsia="en-US"/>
        </w:rPr>
      </w:pPr>
      <w:r>
        <w:rPr>
          <w:lang w:eastAsia="en-US"/>
        </w:rPr>
        <w:lastRenderedPageBreak/>
        <w:t xml:space="preserve">Despite the devastating impact of the war, the 2024 UNDP </w:t>
      </w:r>
      <w:r w:rsidR="004E5D43">
        <w:rPr>
          <w:lang w:eastAsia="en-US"/>
        </w:rPr>
        <w:t>a</w:t>
      </w:r>
      <w:r>
        <w:rPr>
          <w:lang w:eastAsia="en-US"/>
        </w:rPr>
        <w:t xml:space="preserve">ssessment highlights the remarkable resilience of MSMEs in Ukraine. </w:t>
      </w:r>
      <w:r w:rsidR="00D321B2">
        <w:rPr>
          <w:lang w:eastAsia="en-US"/>
        </w:rPr>
        <w:t xml:space="preserve"> </w:t>
      </w:r>
      <w:proofErr w:type="gramStart"/>
      <w:r>
        <w:rPr>
          <w:lang w:eastAsia="en-US"/>
        </w:rPr>
        <w:t>The vast majority of</w:t>
      </w:r>
      <w:proofErr w:type="gramEnd"/>
      <w:r>
        <w:rPr>
          <w:lang w:eastAsia="en-US"/>
        </w:rPr>
        <w:t xml:space="preserve"> companies have resumed their business activities, even though in 2022, 6</w:t>
      </w:r>
      <w:r w:rsidR="00A62C3E">
        <w:rPr>
          <w:lang w:eastAsia="en-US"/>
        </w:rPr>
        <w:t>4 per</w:t>
      </w:r>
      <w:r w:rsidR="00D321B2">
        <w:rPr>
          <w:lang w:eastAsia="en-US"/>
        </w:rPr>
        <w:t xml:space="preserve"> </w:t>
      </w:r>
      <w:r w:rsidR="00A62C3E">
        <w:rPr>
          <w:lang w:eastAsia="en-US"/>
        </w:rPr>
        <w:t>cent</w:t>
      </w:r>
      <w:r>
        <w:rPr>
          <w:lang w:eastAsia="en-US"/>
        </w:rPr>
        <w:t xml:space="preserve"> of MSMEs had suspended or ceased operations.  As of October 2023, only 9.6</w:t>
      </w:r>
      <w:r w:rsidR="00A62C3E">
        <w:rPr>
          <w:lang w:eastAsia="en-US"/>
        </w:rPr>
        <w:t xml:space="preserve"> per</w:t>
      </w:r>
      <w:r w:rsidR="00D321B2">
        <w:rPr>
          <w:lang w:eastAsia="en-US"/>
        </w:rPr>
        <w:t xml:space="preserve"> </w:t>
      </w:r>
      <w:r w:rsidR="00A62C3E">
        <w:rPr>
          <w:lang w:eastAsia="en-US"/>
        </w:rPr>
        <w:t>cent</w:t>
      </w:r>
      <w:r>
        <w:rPr>
          <w:lang w:eastAsia="en-US"/>
        </w:rPr>
        <w:t xml:space="preserve"> of companies that had suspended operations remained at risk of permanent closure.</w:t>
      </w:r>
    </w:p>
    <w:p w14:paraId="5EA4164D" w14:textId="0938941F" w:rsidR="00822E70" w:rsidRDefault="00822E70" w:rsidP="00822E70">
      <w:pPr>
        <w:pStyle w:val="ONUME"/>
        <w:rPr>
          <w:lang w:eastAsia="en-US"/>
        </w:rPr>
      </w:pPr>
      <w:r>
        <w:rPr>
          <w:lang w:eastAsia="en-US"/>
        </w:rPr>
        <w:t>The Government’s focus on innovative businesses and tech startups is also showcased by the increased budgetary allocations of the Innovation Development Fund, which implements grant programs to finance startups.</w:t>
      </w:r>
      <w:r w:rsidR="002C73F5">
        <w:rPr>
          <w:lang w:eastAsia="en-US"/>
        </w:rPr>
        <w:t xml:space="preserve"> </w:t>
      </w:r>
      <w:r w:rsidR="0012629B">
        <w:rPr>
          <w:lang w:eastAsia="en-US"/>
        </w:rPr>
        <w:t xml:space="preserve"> </w:t>
      </w:r>
      <w:r>
        <w:rPr>
          <w:lang w:eastAsia="en-US"/>
        </w:rPr>
        <w:t xml:space="preserve">In particular, the Fund's budget continued to increase since 2022 and in 2024 was 50 times higher than in 2023; for 2025, the Fund's budget is almost twice as high as in 2024.  </w:t>
      </w:r>
    </w:p>
    <w:p w14:paraId="57F865B5" w14:textId="07A7D326" w:rsidR="00822E70" w:rsidRDefault="00822E70" w:rsidP="00822E70">
      <w:pPr>
        <w:pStyle w:val="ONUME"/>
        <w:rPr>
          <w:lang w:eastAsia="en-US"/>
        </w:rPr>
      </w:pPr>
      <w:r>
        <w:rPr>
          <w:lang w:eastAsia="en-US"/>
        </w:rPr>
        <w:t xml:space="preserve">According to the feedback provided by the Innovation Development Fund, the war has profoundly reshaped Ukraine’s startup ecosystem. </w:t>
      </w:r>
      <w:r w:rsidR="0012629B">
        <w:rPr>
          <w:lang w:eastAsia="en-US"/>
        </w:rPr>
        <w:t xml:space="preserve"> </w:t>
      </w:r>
      <w:r>
        <w:rPr>
          <w:lang w:eastAsia="en-US"/>
        </w:rPr>
        <w:t xml:space="preserve">Many entrepreneurs have shifted their focus toward dual-use technologies, defense developments, drones, cybersecurity, and medical and agricultural technologies. </w:t>
      </w:r>
      <w:r w:rsidR="0012629B">
        <w:rPr>
          <w:lang w:eastAsia="en-US"/>
        </w:rPr>
        <w:t xml:space="preserve"> </w:t>
      </w:r>
      <w:r>
        <w:rPr>
          <w:lang w:eastAsia="en-US"/>
        </w:rPr>
        <w:t xml:space="preserve">State funding has been almost entirely redirected to support defense-related tech, leaving other sectors dependent on external donors. </w:t>
      </w:r>
      <w:r w:rsidR="0012629B">
        <w:rPr>
          <w:lang w:eastAsia="en-US"/>
        </w:rPr>
        <w:t xml:space="preserve"> </w:t>
      </w:r>
      <w:r>
        <w:rPr>
          <w:lang w:eastAsia="en-US"/>
        </w:rPr>
        <w:t xml:space="preserve">This redirection, combined with constant air raids, shelling, and workplace disruptions, has strained the morale and mental health of staff of the Fund, causing fatigue and anxiety.  In addition, the Fund suffers from understaffing, further limiting its development and support capacity. </w:t>
      </w:r>
    </w:p>
    <w:p w14:paraId="6F62B382" w14:textId="3B011192" w:rsidR="00822E70" w:rsidRDefault="00822E70" w:rsidP="00822E70">
      <w:pPr>
        <w:pStyle w:val="ONUME"/>
        <w:rPr>
          <w:lang w:eastAsia="en-US"/>
        </w:rPr>
      </w:pPr>
      <w:r>
        <w:rPr>
          <w:lang w:eastAsia="en-US"/>
        </w:rPr>
        <w:t xml:space="preserve">Despite these challenges, Ukraine’s </w:t>
      </w:r>
      <w:proofErr w:type="spellStart"/>
      <w:r>
        <w:rPr>
          <w:lang w:eastAsia="en-US"/>
        </w:rPr>
        <w:t>agrotech</w:t>
      </w:r>
      <w:proofErr w:type="spellEnd"/>
      <w:r>
        <w:rPr>
          <w:lang w:eastAsia="en-US"/>
        </w:rPr>
        <w:t xml:space="preserve"> and </w:t>
      </w:r>
      <w:proofErr w:type="spellStart"/>
      <w:r>
        <w:rPr>
          <w:lang w:eastAsia="en-US"/>
        </w:rPr>
        <w:t>medtech</w:t>
      </w:r>
      <w:proofErr w:type="spellEnd"/>
      <w:r>
        <w:rPr>
          <w:lang w:eastAsia="en-US"/>
        </w:rPr>
        <w:t xml:space="preserve"> sectors is dynamic and show emerging potential.   </w:t>
      </w:r>
    </w:p>
    <w:p w14:paraId="388D6B80" w14:textId="6786FA0B" w:rsidR="00822E70" w:rsidRDefault="00822E70" w:rsidP="00822E70">
      <w:pPr>
        <w:pStyle w:val="ONUME"/>
        <w:rPr>
          <w:lang w:eastAsia="en-US"/>
        </w:rPr>
      </w:pPr>
      <w:r>
        <w:rPr>
          <w:lang w:eastAsia="en-US"/>
        </w:rPr>
        <w:t xml:space="preserve">The </w:t>
      </w:r>
      <w:proofErr w:type="spellStart"/>
      <w:r>
        <w:rPr>
          <w:lang w:eastAsia="en-US"/>
        </w:rPr>
        <w:t>agro</w:t>
      </w:r>
      <w:proofErr w:type="spellEnd"/>
      <w:r>
        <w:rPr>
          <w:lang w:eastAsia="en-US"/>
        </w:rPr>
        <w:t>-food sector also remains a vital pillar of Ukraine’s economy and a strategic driver of innovation and recovery.  Prior to the war, agriculture accounted for 10</w:t>
      </w:r>
      <w:r w:rsidR="00A62C3E">
        <w:rPr>
          <w:lang w:eastAsia="en-US"/>
        </w:rPr>
        <w:t xml:space="preserve"> per</w:t>
      </w:r>
      <w:r w:rsidR="0012629B">
        <w:rPr>
          <w:lang w:eastAsia="en-US"/>
        </w:rPr>
        <w:t xml:space="preserve"> </w:t>
      </w:r>
      <w:r w:rsidR="00A62C3E">
        <w:rPr>
          <w:lang w:eastAsia="en-US"/>
        </w:rPr>
        <w:t>cent</w:t>
      </w:r>
      <w:r>
        <w:rPr>
          <w:lang w:eastAsia="en-US"/>
        </w:rPr>
        <w:t xml:space="preserve"> of GDP, nearly half of total exports, and employed close to one-fifth of the workforce.  The sector’s importance has only grown under wartime conditions, with </w:t>
      </w:r>
      <w:proofErr w:type="spellStart"/>
      <w:r>
        <w:rPr>
          <w:lang w:eastAsia="en-US"/>
        </w:rPr>
        <w:t>agrotech</w:t>
      </w:r>
      <w:proofErr w:type="spellEnd"/>
      <w:r>
        <w:rPr>
          <w:lang w:eastAsia="en-US"/>
        </w:rPr>
        <w:t xml:space="preserve"> identified as one of Ukraine’s national innovation priorities within the Strategy for Digital Development of Ukraine's Innovation Activities for the Period up to 2030. </w:t>
      </w:r>
      <w:r w:rsidR="0012629B">
        <w:rPr>
          <w:lang w:eastAsia="en-US"/>
        </w:rPr>
        <w:t xml:space="preserve"> </w:t>
      </w:r>
      <w:r>
        <w:rPr>
          <w:lang w:eastAsia="en-US"/>
        </w:rPr>
        <w:t>The war caused severe disruptions, resulting in a 37</w:t>
      </w:r>
      <w:r w:rsidR="0012629B">
        <w:rPr>
          <w:lang w:eastAsia="en-US"/>
        </w:rPr>
        <w:t xml:space="preserve"> per cent</w:t>
      </w:r>
      <w:r>
        <w:rPr>
          <w:lang w:eastAsia="en-US"/>
        </w:rPr>
        <w:t xml:space="preserve"> decline in grain production between 2021 and 2023, but the sector managed to rebound in 2024.  Moreover, efforts to innovate in this sector are hindered by landmines and infrastructure damage, but adaptation continues.  </w:t>
      </w:r>
    </w:p>
    <w:p w14:paraId="2461EF49" w14:textId="3EE9956B" w:rsidR="00822E70" w:rsidRDefault="00822E70" w:rsidP="00822E70">
      <w:pPr>
        <w:pStyle w:val="ONUME"/>
        <w:rPr>
          <w:lang w:eastAsia="en-US"/>
        </w:rPr>
      </w:pPr>
      <w:r>
        <w:rPr>
          <w:lang w:eastAsia="en-US"/>
        </w:rPr>
        <w:t xml:space="preserve">Ukraine’s </w:t>
      </w:r>
      <w:proofErr w:type="spellStart"/>
      <w:r>
        <w:rPr>
          <w:lang w:eastAsia="en-US"/>
        </w:rPr>
        <w:t>medtech</w:t>
      </w:r>
      <w:proofErr w:type="spellEnd"/>
      <w:r>
        <w:rPr>
          <w:lang w:eastAsia="en-US"/>
        </w:rPr>
        <w:t xml:space="preserve"> sector, encompassing medical devices, diagnostics, telemedicine, and </w:t>
      </w:r>
      <w:r w:rsidR="0012629B">
        <w:rPr>
          <w:lang w:eastAsia="en-US"/>
        </w:rPr>
        <w:t>artificial intelligence (</w:t>
      </w:r>
      <w:r>
        <w:rPr>
          <w:lang w:eastAsia="en-US"/>
        </w:rPr>
        <w:t>AI</w:t>
      </w:r>
      <w:r w:rsidR="0012629B">
        <w:rPr>
          <w:lang w:eastAsia="en-US"/>
        </w:rPr>
        <w:t>)</w:t>
      </w:r>
      <w:r>
        <w:rPr>
          <w:lang w:eastAsia="en-US"/>
        </w:rPr>
        <w:t xml:space="preserve">-powered healthcare, has emerged as a vital pillar for national resilience.  Similarly to the </w:t>
      </w:r>
      <w:proofErr w:type="spellStart"/>
      <w:r>
        <w:rPr>
          <w:lang w:eastAsia="en-US"/>
        </w:rPr>
        <w:t>agro</w:t>
      </w:r>
      <w:proofErr w:type="spellEnd"/>
      <w:r>
        <w:rPr>
          <w:lang w:eastAsia="en-US"/>
        </w:rPr>
        <w:t xml:space="preserve">-food sector, </w:t>
      </w:r>
      <w:r w:rsidR="00F30B43">
        <w:rPr>
          <w:lang w:eastAsia="en-US"/>
        </w:rPr>
        <w:t xml:space="preserve">the </w:t>
      </w:r>
      <w:proofErr w:type="spellStart"/>
      <w:r w:rsidR="00F30B43">
        <w:rPr>
          <w:lang w:eastAsia="en-US"/>
        </w:rPr>
        <w:t>medtech</w:t>
      </w:r>
      <w:proofErr w:type="spellEnd"/>
      <w:r w:rsidR="00F30B43">
        <w:rPr>
          <w:lang w:eastAsia="en-US"/>
        </w:rPr>
        <w:t xml:space="preserve"> sector</w:t>
      </w:r>
      <w:r>
        <w:rPr>
          <w:lang w:eastAsia="en-US"/>
        </w:rPr>
        <w:t xml:space="preserve"> has also been identified in the Strategy for Digital Development of Ukraine’s Innovation Activities up to 2030 as a priority sector.  The sector is supported by a dynamic startup ecosystem and major players such as UTAS, HELSEI UA, and GlobalLogic Ukraine, which continue to develop advanced solutions, including smart diagnostic systems, telehealth platforms, biosensors, and rehabilitation solutions, often supported by active volunteers.  In addition, innovations like AI-driven health apps (</w:t>
      </w:r>
      <w:proofErr w:type="spellStart"/>
      <w:r>
        <w:rPr>
          <w:lang w:eastAsia="en-US"/>
        </w:rPr>
        <w:t>Mark.Health</w:t>
      </w:r>
      <w:proofErr w:type="spellEnd"/>
      <w:r>
        <w:rPr>
          <w:lang w:eastAsia="en-US"/>
        </w:rPr>
        <w:t>), wearable ECG monitors (</w:t>
      </w:r>
      <w:proofErr w:type="spellStart"/>
      <w:r>
        <w:rPr>
          <w:lang w:eastAsia="en-US"/>
        </w:rPr>
        <w:t>Heartin</w:t>
      </w:r>
      <w:proofErr w:type="spellEnd"/>
      <w:r>
        <w:rPr>
          <w:lang w:eastAsia="en-US"/>
        </w:rPr>
        <w:t>), and remote cardiac analytics (</w:t>
      </w:r>
      <w:proofErr w:type="spellStart"/>
      <w:r>
        <w:rPr>
          <w:lang w:eastAsia="en-US"/>
        </w:rPr>
        <w:t>Cardiolyse</w:t>
      </w:r>
      <w:proofErr w:type="spellEnd"/>
      <w:r>
        <w:rPr>
          <w:lang w:eastAsia="en-US"/>
        </w:rPr>
        <w:t xml:space="preserve">) demonstrate Ukraine’s growing expertise in digital health.  </w:t>
      </w:r>
    </w:p>
    <w:p w14:paraId="04122538" w14:textId="786D830C" w:rsidR="002A2F56" w:rsidRDefault="002A2F56" w:rsidP="002A2F56">
      <w:pPr>
        <w:pStyle w:val="ONUME"/>
        <w:rPr>
          <w:lang w:eastAsia="en-US"/>
        </w:rPr>
      </w:pPr>
      <w:r>
        <w:rPr>
          <w:lang w:eastAsia="en-US"/>
        </w:rPr>
        <w:t xml:space="preserve">Digital health solutions expanded rapidly to fill gaps in healthcare, following the massive destruction of over 2,000 healthcare facilities which reached displacement of healthcare workers, disrupted supply chains, and increased mental health and chronic disease burdens.  Platforms like HELSEI and chatbot-based consultations have been used increasingly, enabling remote medical support.  Humanitarian initiatives also accelerated innovation through telemedicine tools like Teladoc Solo and </w:t>
      </w:r>
      <w:proofErr w:type="spellStart"/>
      <w:r>
        <w:rPr>
          <w:lang w:eastAsia="en-US"/>
        </w:rPr>
        <w:t>BrainScan</w:t>
      </w:r>
      <w:proofErr w:type="spellEnd"/>
      <w:r>
        <w:rPr>
          <w:lang w:eastAsia="en-US"/>
        </w:rPr>
        <w:t>, addressing urgent care needs for displaced populations and front-line areas, development of prosthetics and provision of mobile medical units.  The Innovation Development Fund reported that both sectors face challenges that include lack of funding, regulatory hurdles, insufficient skilled personnel, poor science-business collaboration, and investment uncertainty due to the ongoing conflict.</w:t>
      </w:r>
    </w:p>
    <w:p w14:paraId="472A7616" w14:textId="4D5ACE88" w:rsidR="002A2F56" w:rsidRDefault="002A2F56" w:rsidP="002A2F56">
      <w:pPr>
        <w:pStyle w:val="ONUME"/>
        <w:rPr>
          <w:lang w:eastAsia="en-US"/>
        </w:rPr>
      </w:pPr>
      <w:r>
        <w:rPr>
          <w:lang w:eastAsia="en-US"/>
        </w:rPr>
        <w:lastRenderedPageBreak/>
        <w:t>Ukrainian defense startups attracted significant investments.  Investments in drone development and production startups in 2023 amounted to about 5 million</w:t>
      </w:r>
      <w:r w:rsidR="0012629B">
        <w:rPr>
          <w:lang w:eastAsia="en-US"/>
        </w:rPr>
        <w:t xml:space="preserve"> United States dollars</w:t>
      </w:r>
      <w:r>
        <w:rPr>
          <w:lang w:eastAsia="en-US"/>
        </w:rPr>
        <w:t>, and 25 million</w:t>
      </w:r>
      <w:r w:rsidR="0012629B">
        <w:rPr>
          <w:lang w:eastAsia="en-US"/>
        </w:rPr>
        <w:t xml:space="preserve"> United States dollars</w:t>
      </w:r>
      <w:r>
        <w:rPr>
          <w:lang w:eastAsia="en-US"/>
        </w:rPr>
        <w:t xml:space="preserve"> has already been invested in this </w:t>
      </w:r>
      <w:r w:rsidR="0003170B">
        <w:rPr>
          <w:lang w:eastAsia="en-US"/>
        </w:rPr>
        <w:t>industry</w:t>
      </w:r>
      <w:r>
        <w:rPr>
          <w:lang w:eastAsia="en-US"/>
        </w:rPr>
        <w:t xml:space="preserve"> in the first nine months of 2024.  In 2024, Himera, a Ukrainian startup of EW-resistant radios, raised 525,000 </w:t>
      </w:r>
      <w:r w:rsidR="0012629B">
        <w:rPr>
          <w:lang w:eastAsia="en-US"/>
        </w:rPr>
        <w:t xml:space="preserve">United States dollars </w:t>
      </w:r>
      <w:r>
        <w:rPr>
          <w:lang w:eastAsia="en-US"/>
        </w:rPr>
        <w:t>in investment.</w:t>
      </w:r>
      <w:r w:rsidR="0012629B">
        <w:rPr>
          <w:lang w:eastAsia="en-US"/>
        </w:rPr>
        <w:t xml:space="preserve"> </w:t>
      </w:r>
      <w:r>
        <w:rPr>
          <w:lang w:eastAsia="en-US"/>
        </w:rPr>
        <w:t xml:space="preserve"> An important area of private innovation is the use of AI technologies for defense, civilian, and business purposes. </w:t>
      </w:r>
    </w:p>
    <w:p w14:paraId="255F8463" w14:textId="4E95E882" w:rsidR="00822E70" w:rsidRDefault="00822E70" w:rsidP="00822E70">
      <w:pPr>
        <w:pStyle w:val="ONUME"/>
        <w:rPr>
          <w:lang w:eastAsia="en-US"/>
        </w:rPr>
      </w:pPr>
      <w:r>
        <w:rPr>
          <w:lang w:eastAsia="en-US"/>
        </w:rPr>
        <w:t xml:space="preserve">Digitalization has been a national priority in Ukraine, since pre-war years, and its importance has only intensified in the context of the ongoing war.  Prior to the war, Ukraine </w:t>
      </w:r>
      <w:r w:rsidRPr="00EC0B22">
        <w:rPr>
          <w:lang w:eastAsia="en-US"/>
        </w:rPr>
        <w:t>already made significant progress in advancing its digital infrastructure.  The I</w:t>
      </w:r>
      <w:r w:rsidR="0012629B">
        <w:rPr>
          <w:lang w:eastAsia="en-US"/>
        </w:rPr>
        <w:t xml:space="preserve">nformation </w:t>
      </w:r>
      <w:r w:rsidRPr="00EC0B22">
        <w:rPr>
          <w:lang w:eastAsia="en-US"/>
        </w:rPr>
        <w:t>T</w:t>
      </w:r>
      <w:r w:rsidR="0012629B">
        <w:rPr>
          <w:lang w:eastAsia="en-US"/>
        </w:rPr>
        <w:t>echnology (IT)</w:t>
      </w:r>
      <w:r w:rsidRPr="00EC0B22">
        <w:rPr>
          <w:lang w:eastAsia="en-US"/>
        </w:rPr>
        <w:t xml:space="preserve"> sector, recognized as one of the fastest-growing segments of the economy, continues to play a critical role in addressing both the current and emerging challenges brought about by the conflict.  Ukraine's IT industry experienced a remarkable expansion over </w:t>
      </w:r>
      <w:r w:rsidR="00E440C5">
        <w:rPr>
          <w:lang w:eastAsia="en-US"/>
        </w:rPr>
        <w:t>the past decade</w:t>
      </w:r>
      <w:r w:rsidRPr="00EC0B22">
        <w:rPr>
          <w:lang w:eastAsia="en-US"/>
        </w:rPr>
        <w:t xml:space="preserve"> and bec</w:t>
      </w:r>
      <w:r w:rsidR="00E440C5">
        <w:rPr>
          <w:lang w:eastAsia="en-US"/>
        </w:rPr>
        <w:t>a</w:t>
      </w:r>
      <w:r w:rsidRPr="00EC0B22">
        <w:rPr>
          <w:lang w:eastAsia="en-US"/>
        </w:rPr>
        <w:t xml:space="preserve">me a major services exporter. </w:t>
      </w:r>
      <w:r w:rsidR="00E440C5">
        <w:rPr>
          <w:lang w:eastAsia="en-US"/>
        </w:rPr>
        <w:t xml:space="preserve"> </w:t>
      </w:r>
      <w:r w:rsidR="00825EBA">
        <w:rPr>
          <w:lang w:eastAsia="en-US"/>
        </w:rPr>
        <w:t>ICT</w:t>
      </w:r>
      <w:r w:rsidR="00E440C5">
        <w:rPr>
          <w:lang w:eastAsia="en-US"/>
        </w:rPr>
        <w:t xml:space="preserve"> </w:t>
      </w:r>
      <w:r w:rsidR="0016268A">
        <w:rPr>
          <w:lang w:eastAsia="en-US"/>
        </w:rPr>
        <w:t xml:space="preserve">services </w:t>
      </w:r>
      <w:r w:rsidR="00E440C5">
        <w:rPr>
          <w:lang w:eastAsia="en-US"/>
        </w:rPr>
        <w:t xml:space="preserve">exports rose </w:t>
      </w:r>
      <w:r w:rsidR="00E440C5" w:rsidRPr="00E440C5">
        <w:rPr>
          <w:lang w:eastAsia="en-US"/>
        </w:rPr>
        <w:t>from 2.1 billion</w:t>
      </w:r>
      <w:r w:rsidR="0012629B">
        <w:rPr>
          <w:lang w:eastAsia="en-US"/>
        </w:rPr>
        <w:t xml:space="preserve"> United States dollars</w:t>
      </w:r>
      <w:r w:rsidR="00E440C5" w:rsidRPr="00E440C5">
        <w:rPr>
          <w:lang w:eastAsia="en-US"/>
        </w:rPr>
        <w:t xml:space="preserve"> in 2015 to 7.5 billion </w:t>
      </w:r>
      <w:r w:rsidR="0012629B">
        <w:rPr>
          <w:lang w:eastAsia="en-US"/>
        </w:rPr>
        <w:t xml:space="preserve">United States dollars </w:t>
      </w:r>
      <w:r w:rsidR="00E440C5" w:rsidRPr="00E440C5">
        <w:rPr>
          <w:lang w:eastAsia="en-US"/>
        </w:rPr>
        <w:t>in 2022, before stabilizing at 6.9 billion</w:t>
      </w:r>
      <w:r w:rsidR="0012629B">
        <w:rPr>
          <w:lang w:eastAsia="en-US"/>
        </w:rPr>
        <w:t xml:space="preserve"> United States dollars</w:t>
      </w:r>
      <w:r w:rsidR="00E440C5" w:rsidRPr="00E440C5">
        <w:rPr>
          <w:lang w:eastAsia="en-US"/>
        </w:rPr>
        <w:t xml:space="preserve"> in 2023</w:t>
      </w:r>
      <w:r w:rsidR="00E440C5">
        <w:rPr>
          <w:rStyle w:val="FootnoteReference"/>
          <w:lang w:eastAsia="en-US"/>
        </w:rPr>
        <w:footnoteReference w:id="15"/>
      </w:r>
      <w:r w:rsidR="00E440C5" w:rsidRPr="00E440C5">
        <w:rPr>
          <w:lang w:eastAsia="en-US"/>
        </w:rPr>
        <w:t xml:space="preserve">. </w:t>
      </w:r>
      <w:r w:rsidR="0012629B">
        <w:rPr>
          <w:lang w:eastAsia="en-US"/>
        </w:rPr>
        <w:t xml:space="preserve"> </w:t>
      </w:r>
      <w:r w:rsidRPr="00EC0B22">
        <w:rPr>
          <w:lang w:eastAsia="en-US"/>
        </w:rPr>
        <w:t>The authorities note that Ukraine's IT sector comprises many startups focusing on artificial intelligence (e.g. unicorns such as GitLab, Grammarly, People.ai), data analytics, blockchain, and other</w:t>
      </w:r>
      <w:r>
        <w:rPr>
          <w:lang w:eastAsia="en-US"/>
        </w:rPr>
        <w:t xml:space="preserve"> emerging technologies. </w:t>
      </w:r>
    </w:p>
    <w:p w14:paraId="354F5AD7" w14:textId="6805A8AD" w:rsidR="00822E70" w:rsidRDefault="00C40570" w:rsidP="00C40570">
      <w:pPr>
        <w:pStyle w:val="Heading3"/>
        <w:ind w:left="1890" w:hanging="720"/>
        <w:rPr>
          <w:u w:val="none"/>
          <w:lang w:eastAsia="en-US"/>
        </w:rPr>
      </w:pPr>
      <w:bookmarkStart w:id="24" w:name="_Toc200544988"/>
      <w:r>
        <w:rPr>
          <w:u w:val="none"/>
          <w:lang w:eastAsia="en-US"/>
        </w:rPr>
        <w:t>2.3.4</w:t>
      </w:r>
      <w:r>
        <w:rPr>
          <w:u w:val="none"/>
          <w:lang w:eastAsia="en-US"/>
        </w:rPr>
        <w:tab/>
      </w:r>
      <w:r w:rsidR="00822E70" w:rsidRPr="00C40570">
        <w:rPr>
          <w:lang w:eastAsia="en-US"/>
        </w:rPr>
        <w:t>Educational</w:t>
      </w:r>
      <w:r w:rsidR="000841CF">
        <w:rPr>
          <w:lang w:eastAsia="en-US"/>
        </w:rPr>
        <w:t xml:space="preserve"> and</w:t>
      </w:r>
      <w:r w:rsidR="00822E70" w:rsidRPr="00C40570">
        <w:rPr>
          <w:lang w:eastAsia="en-US"/>
        </w:rPr>
        <w:t xml:space="preserve"> research institutions</w:t>
      </w:r>
      <w:bookmarkEnd w:id="24"/>
      <w:r w:rsidR="00822E70" w:rsidRPr="00C40570">
        <w:rPr>
          <w:lang w:eastAsia="en-US"/>
        </w:rPr>
        <w:t xml:space="preserve"> </w:t>
      </w:r>
    </w:p>
    <w:p w14:paraId="77557C0B" w14:textId="77777777" w:rsidR="00C40570" w:rsidRPr="00C40570" w:rsidRDefault="00C40570" w:rsidP="00C40570">
      <w:pPr>
        <w:rPr>
          <w:lang w:eastAsia="en-US"/>
        </w:rPr>
      </w:pPr>
    </w:p>
    <w:p w14:paraId="405CB8A1" w14:textId="307D6EE2" w:rsidR="00822E70" w:rsidRDefault="00822E70" w:rsidP="00822E70">
      <w:pPr>
        <w:pStyle w:val="ONUME"/>
        <w:rPr>
          <w:lang w:eastAsia="en-US"/>
        </w:rPr>
      </w:pPr>
      <w:r>
        <w:rPr>
          <w:lang w:eastAsia="en-US"/>
        </w:rPr>
        <w:t>To update the assessment of the impact of the war on educational and research institutions, the International Bureau surveyed, interviewed and analyzed official data of the Ministry of Education and Science, the National Academy of Sciences, the National Research Foundation, as well as over 45 higher education</w:t>
      </w:r>
      <w:r w:rsidR="005F4959">
        <w:rPr>
          <w:lang w:eastAsia="en-US"/>
        </w:rPr>
        <w:t>al</w:t>
      </w:r>
      <w:r>
        <w:rPr>
          <w:lang w:eastAsia="en-US"/>
        </w:rPr>
        <w:t xml:space="preserve"> and research institutions, as well as relevant international organizations. </w:t>
      </w:r>
      <w:r w:rsidR="001A4E2E">
        <w:rPr>
          <w:lang w:eastAsia="en-US"/>
        </w:rPr>
        <w:t xml:space="preserve"> </w:t>
      </w:r>
      <w:r>
        <w:rPr>
          <w:lang w:eastAsia="en-US"/>
        </w:rPr>
        <w:t xml:space="preserve">The key findings are presented </w:t>
      </w:r>
      <w:r w:rsidR="00557F59">
        <w:rPr>
          <w:lang w:eastAsia="en-US"/>
        </w:rPr>
        <w:t>in the following paragraphs</w:t>
      </w:r>
      <w:r>
        <w:rPr>
          <w:lang w:eastAsia="en-US"/>
        </w:rPr>
        <w:t xml:space="preserve">. </w:t>
      </w:r>
    </w:p>
    <w:p w14:paraId="4023E01D" w14:textId="09D15170" w:rsidR="00822E70" w:rsidRDefault="00822E70" w:rsidP="00822E70">
      <w:pPr>
        <w:pStyle w:val="ONUME"/>
        <w:rPr>
          <w:lang w:eastAsia="en-US"/>
        </w:rPr>
      </w:pPr>
      <w:r>
        <w:rPr>
          <w:lang w:eastAsia="en-US"/>
        </w:rPr>
        <w:t xml:space="preserve">In addition to previously reported numbers, according to the Ministry of Education and Science of Ukraine, between January and May 2025, 119 scientific and higher educational institutions were damaged or destroyed.  </w:t>
      </w:r>
    </w:p>
    <w:p w14:paraId="3B599A64" w14:textId="76AC5985" w:rsidR="00822E70" w:rsidRPr="00EC0B22" w:rsidRDefault="00557F59" w:rsidP="00822E70">
      <w:pPr>
        <w:pStyle w:val="ONUME"/>
        <w:rPr>
          <w:lang w:eastAsia="en-US"/>
        </w:rPr>
      </w:pPr>
      <w:r>
        <w:rPr>
          <w:lang w:eastAsia="en-US"/>
        </w:rPr>
        <w:t xml:space="preserve">The </w:t>
      </w:r>
      <w:r w:rsidR="00822E70">
        <w:rPr>
          <w:lang w:eastAsia="en-US"/>
        </w:rPr>
        <w:t xml:space="preserve">National Academy of Science of Ukraine reported continued significant damage to the infrastructure of </w:t>
      </w:r>
      <w:r w:rsidR="00822E70" w:rsidRPr="00EC0B22">
        <w:rPr>
          <w:lang w:eastAsia="en-US"/>
        </w:rPr>
        <w:t>its different institutions located in Kyiv, Kharkiv, Dnipro, Sumy, and Mykolaiv and noted that about 630 pieces of scientific equipment, machinery, and office equipment were damaged, destroyed</w:t>
      </w:r>
      <w:r w:rsidR="00A31A9A">
        <w:rPr>
          <w:lang w:eastAsia="en-US"/>
        </w:rPr>
        <w:t xml:space="preserve"> completely</w:t>
      </w:r>
      <w:r w:rsidR="00822E70" w:rsidRPr="00EC0B22">
        <w:rPr>
          <w:lang w:eastAsia="en-US"/>
        </w:rPr>
        <w:t>, or stolen.</w:t>
      </w:r>
    </w:p>
    <w:p w14:paraId="7784D0B5" w14:textId="38E48DE7" w:rsidR="00822E70" w:rsidRPr="00EC0B22" w:rsidRDefault="00822E70" w:rsidP="00822E70">
      <w:pPr>
        <w:pStyle w:val="ONUME"/>
        <w:rPr>
          <w:lang w:eastAsia="en-US"/>
        </w:rPr>
      </w:pPr>
      <w:r w:rsidRPr="00EC0B22">
        <w:rPr>
          <w:lang w:eastAsia="en-US"/>
        </w:rPr>
        <w:t xml:space="preserve">The World Bank’s RDNA4 highlighted that Ukraine's scientific infrastructure has suffered extensive physical damage.  </w:t>
      </w:r>
      <w:r w:rsidR="000219B3">
        <w:rPr>
          <w:lang w:eastAsia="en-US"/>
        </w:rPr>
        <w:t>According to</w:t>
      </w:r>
      <w:r w:rsidRPr="00EC0B22">
        <w:rPr>
          <w:lang w:eastAsia="en-US"/>
        </w:rPr>
        <w:t xml:space="preserve"> the report</w:t>
      </w:r>
      <w:r w:rsidR="002777A1">
        <w:rPr>
          <w:lang w:eastAsia="en-US"/>
        </w:rPr>
        <w:t>,</w:t>
      </w:r>
      <w:r w:rsidRPr="00EC0B22">
        <w:rPr>
          <w:lang w:eastAsia="en-US"/>
        </w:rPr>
        <w:t xml:space="preserve"> “between February 2022 and December 31, 2024, an estimated 10.4 per</w:t>
      </w:r>
      <w:r w:rsidR="001A4E2E">
        <w:rPr>
          <w:lang w:eastAsia="en-US"/>
        </w:rPr>
        <w:t xml:space="preserve"> </w:t>
      </w:r>
      <w:r w:rsidRPr="00EC0B22">
        <w:rPr>
          <w:lang w:eastAsia="en-US"/>
        </w:rPr>
        <w:t>cent of the education</w:t>
      </w:r>
      <w:r w:rsidR="002F27A3">
        <w:rPr>
          <w:lang w:eastAsia="en-US"/>
        </w:rPr>
        <w:t>al</w:t>
      </w:r>
      <w:r w:rsidRPr="00EC0B22">
        <w:rPr>
          <w:lang w:eastAsia="en-US"/>
        </w:rPr>
        <w:t xml:space="preserve"> infrastructure was damaged or destroyed, at a cost of around 13.4 billion</w:t>
      </w:r>
      <w:r w:rsidR="001A4E2E">
        <w:rPr>
          <w:lang w:eastAsia="en-US"/>
        </w:rPr>
        <w:t xml:space="preserve"> United States dollars</w:t>
      </w:r>
      <w:r w:rsidRPr="00EC0B22">
        <w:rPr>
          <w:lang w:eastAsia="en-US"/>
        </w:rPr>
        <w:t xml:space="preserve">.  A total of 3,373 educational institutions have suffered damage, of which 385 have been destroyed”. </w:t>
      </w:r>
    </w:p>
    <w:p w14:paraId="3D479C8D" w14:textId="58678A6D" w:rsidR="00822E70" w:rsidRPr="00EC0B22" w:rsidRDefault="00E95774" w:rsidP="00822E70">
      <w:pPr>
        <w:pStyle w:val="ONUME"/>
        <w:rPr>
          <w:lang w:eastAsia="en-US"/>
        </w:rPr>
      </w:pPr>
      <w:r>
        <w:rPr>
          <w:lang w:eastAsia="en-US"/>
        </w:rPr>
        <w:t xml:space="preserve">The </w:t>
      </w:r>
      <w:r w:rsidR="00822E70" w:rsidRPr="00EC0B22">
        <w:rPr>
          <w:lang w:eastAsia="en-US"/>
        </w:rPr>
        <w:t xml:space="preserve">RDNA4 also identifies massive funding requirements to rebuild scientific and educational infrastructure.  </w:t>
      </w:r>
      <w:r w:rsidR="0000171E">
        <w:rPr>
          <w:lang w:eastAsia="en-US"/>
        </w:rPr>
        <w:t xml:space="preserve">According to the report, </w:t>
      </w:r>
      <w:r w:rsidR="00822E70" w:rsidRPr="00EC0B22">
        <w:rPr>
          <w:lang w:eastAsia="en-US"/>
        </w:rPr>
        <w:t>"</w:t>
      </w:r>
      <w:r w:rsidR="0000171E">
        <w:rPr>
          <w:lang w:eastAsia="en-US"/>
        </w:rPr>
        <w:t>[t]</w:t>
      </w:r>
      <w:r w:rsidR="00822E70" w:rsidRPr="00EC0B22">
        <w:rPr>
          <w:lang w:eastAsia="en-US"/>
        </w:rPr>
        <w:t xml:space="preserve">he needs for reconstructing and restoring </w:t>
      </w:r>
      <w:r w:rsidR="00822E70" w:rsidRPr="00834A81">
        <w:rPr>
          <w:lang w:eastAsia="en-US"/>
        </w:rPr>
        <w:t xml:space="preserve">infrastructure required for high-quality in-person education are estimated at 32.9 billion </w:t>
      </w:r>
      <w:r w:rsidR="001A4E2E" w:rsidRPr="00834A81">
        <w:rPr>
          <w:lang w:eastAsia="en-US"/>
        </w:rPr>
        <w:t xml:space="preserve">United States dollars </w:t>
      </w:r>
      <w:r w:rsidR="00822E70" w:rsidRPr="00834A81">
        <w:rPr>
          <w:lang w:eastAsia="en-US"/>
        </w:rPr>
        <w:t xml:space="preserve">for the period 2025–2035. […] The reconstruction of educational institutions is expected to cost 23.7 billion </w:t>
      </w:r>
      <w:r w:rsidR="001A4E2E" w:rsidRPr="00834A81">
        <w:rPr>
          <w:lang w:eastAsia="en-US"/>
        </w:rPr>
        <w:t xml:space="preserve">United States dollars </w:t>
      </w:r>
      <w:r w:rsidR="00822E70" w:rsidRPr="00834A81">
        <w:rPr>
          <w:lang w:eastAsia="en-US"/>
        </w:rPr>
        <w:t>over 10 years"</w:t>
      </w:r>
      <w:r w:rsidR="001809A1" w:rsidRPr="00834A81">
        <w:rPr>
          <w:lang w:eastAsia="en-US"/>
        </w:rPr>
        <w:t>.</w:t>
      </w:r>
      <w:r w:rsidR="00822E70" w:rsidRPr="00834A81">
        <w:rPr>
          <w:lang w:eastAsia="en-US"/>
        </w:rPr>
        <w:t xml:space="preserve"> </w:t>
      </w:r>
      <w:r w:rsidR="001A4E2E" w:rsidRPr="00834A81">
        <w:rPr>
          <w:lang w:eastAsia="en-US"/>
        </w:rPr>
        <w:t xml:space="preserve"> </w:t>
      </w:r>
      <w:r w:rsidR="00822E70" w:rsidRPr="00834A81">
        <w:rPr>
          <w:lang w:eastAsia="en-US"/>
        </w:rPr>
        <w:t xml:space="preserve">Research infrastructure represents the largest single component of these needs: </w:t>
      </w:r>
      <w:r w:rsidR="001A4E2E" w:rsidRPr="00834A81">
        <w:rPr>
          <w:lang w:eastAsia="en-US"/>
        </w:rPr>
        <w:t xml:space="preserve"> </w:t>
      </w:r>
      <w:r w:rsidR="00822E70" w:rsidRPr="00834A81">
        <w:rPr>
          <w:lang w:eastAsia="en-US"/>
        </w:rPr>
        <w:t>"Research infrastructure" is listed among the reconstruction</w:t>
      </w:r>
      <w:r w:rsidR="00822E70" w:rsidRPr="00EC0B22">
        <w:rPr>
          <w:lang w:eastAsia="en-US"/>
        </w:rPr>
        <w:t xml:space="preserve"> needs, with a substantial allocation of around 15.5 billion </w:t>
      </w:r>
      <w:r w:rsidR="001A4E2E">
        <w:rPr>
          <w:lang w:eastAsia="en-US"/>
        </w:rPr>
        <w:t xml:space="preserve">United States dollars </w:t>
      </w:r>
      <w:r w:rsidR="00822E70" w:rsidRPr="00EC0B22">
        <w:rPr>
          <w:lang w:eastAsia="en-US"/>
        </w:rPr>
        <w:t xml:space="preserve">(the largest single category within education and science needs). </w:t>
      </w:r>
    </w:p>
    <w:p w14:paraId="7F4D9D2B" w14:textId="783A8D29" w:rsidR="00822E70" w:rsidRDefault="00822E70" w:rsidP="00822E70">
      <w:pPr>
        <w:pStyle w:val="ONUME"/>
        <w:rPr>
          <w:lang w:eastAsia="en-US"/>
        </w:rPr>
      </w:pPr>
      <w:r>
        <w:rPr>
          <w:lang w:eastAsia="en-US"/>
        </w:rPr>
        <w:lastRenderedPageBreak/>
        <w:t xml:space="preserve">As reported by UNESCO, by January 2024, </w:t>
      </w:r>
      <w:r w:rsidR="001A4E2E">
        <w:rPr>
          <w:lang w:eastAsia="en-US"/>
        </w:rPr>
        <w:t>12</w:t>
      </w:r>
      <w:r>
        <w:rPr>
          <w:lang w:eastAsia="en-US"/>
        </w:rPr>
        <w:t xml:space="preserve"> per</w:t>
      </w:r>
      <w:r w:rsidR="001A4E2E">
        <w:rPr>
          <w:lang w:eastAsia="en-US"/>
        </w:rPr>
        <w:t xml:space="preserve"> </w:t>
      </w:r>
      <w:r>
        <w:rPr>
          <w:lang w:eastAsia="en-US"/>
        </w:rPr>
        <w:t xml:space="preserve">cent of Ukrainian scientists and university teachers had been forced to emigrate or relocate internally, and about </w:t>
      </w:r>
      <w:r w:rsidR="001A4E2E">
        <w:rPr>
          <w:lang w:eastAsia="en-US"/>
        </w:rPr>
        <w:t>30</w:t>
      </w:r>
      <w:r>
        <w:rPr>
          <w:lang w:eastAsia="en-US"/>
        </w:rPr>
        <w:t xml:space="preserve"> per</w:t>
      </w:r>
      <w:r w:rsidR="001A4E2E">
        <w:rPr>
          <w:lang w:eastAsia="en-US"/>
        </w:rPr>
        <w:t xml:space="preserve"> </w:t>
      </w:r>
      <w:r>
        <w:rPr>
          <w:lang w:eastAsia="en-US"/>
        </w:rPr>
        <w:t xml:space="preserve">cent of all Ukrainian scientists </w:t>
      </w:r>
      <w:r w:rsidR="00633A31">
        <w:rPr>
          <w:lang w:eastAsia="en-US"/>
        </w:rPr>
        <w:t xml:space="preserve">had been </w:t>
      </w:r>
      <w:r>
        <w:rPr>
          <w:lang w:eastAsia="en-US"/>
        </w:rPr>
        <w:t xml:space="preserve">forced to work remotely.  </w:t>
      </w:r>
    </w:p>
    <w:p w14:paraId="5F93738E" w14:textId="319C570B" w:rsidR="00822E70" w:rsidRDefault="00822E70" w:rsidP="00822E70">
      <w:pPr>
        <w:pStyle w:val="ONUME"/>
        <w:rPr>
          <w:lang w:eastAsia="en-US"/>
        </w:rPr>
      </w:pPr>
      <w:r>
        <w:rPr>
          <w:lang w:eastAsia="en-US"/>
        </w:rPr>
        <w:t>According to the National Academy of Sciences</w:t>
      </w:r>
      <w:r w:rsidR="006F569A">
        <w:rPr>
          <w:lang w:eastAsia="en-US"/>
        </w:rPr>
        <w:t>,</w:t>
      </w:r>
      <w:r>
        <w:rPr>
          <w:lang w:eastAsia="en-US"/>
        </w:rPr>
        <w:t xml:space="preserve"> at the beginning of the war, 14 per</w:t>
      </w:r>
      <w:r w:rsidR="001A4E2E">
        <w:rPr>
          <w:lang w:eastAsia="en-US"/>
        </w:rPr>
        <w:t xml:space="preserve"> </w:t>
      </w:r>
      <w:r>
        <w:rPr>
          <w:lang w:eastAsia="en-US"/>
        </w:rPr>
        <w:t xml:space="preserve">cent of researchers </w:t>
      </w:r>
      <w:r w:rsidR="006F569A">
        <w:rPr>
          <w:lang w:eastAsia="en-US"/>
        </w:rPr>
        <w:t>were</w:t>
      </w:r>
      <w:r>
        <w:rPr>
          <w:lang w:eastAsia="en-US"/>
        </w:rPr>
        <w:t xml:space="preserve"> forced to relocate to safer places in Ukraine or abroad.  Around </w:t>
      </w:r>
      <w:r w:rsidR="001A4E2E">
        <w:rPr>
          <w:lang w:eastAsia="en-US"/>
        </w:rPr>
        <w:t xml:space="preserve">              </w:t>
      </w:r>
      <w:r>
        <w:rPr>
          <w:lang w:eastAsia="en-US"/>
        </w:rPr>
        <w:t>1.7 per</w:t>
      </w:r>
      <w:r w:rsidR="001A4E2E">
        <w:rPr>
          <w:lang w:eastAsia="en-US"/>
        </w:rPr>
        <w:t xml:space="preserve"> </w:t>
      </w:r>
      <w:r>
        <w:rPr>
          <w:lang w:eastAsia="en-US"/>
        </w:rPr>
        <w:t xml:space="preserve">cent volunteered for military duty. </w:t>
      </w:r>
      <w:r w:rsidR="005E74DD">
        <w:rPr>
          <w:lang w:eastAsia="en-US"/>
        </w:rPr>
        <w:t xml:space="preserve"> </w:t>
      </w:r>
      <w:r>
        <w:rPr>
          <w:lang w:eastAsia="en-US"/>
        </w:rPr>
        <w:t xml:space="preserve">The National Academy of Sciences noted that more than half of them have </w:t>
      </w:r>
      <w:r w:rsidR="006F569A">
        <w:rPr>
          <w:lang w:eastAsia="en-US"/>
        </w:rPr>
        <w:t xml:space="preserve">not </w:t>
      </w:r>
      <w:r w:rsidR="00552E7C">
        <w:rPr>
          <w:lang w:eastAsia="en-US"/>
        </w:rPr>
        <w:t>returned</w:t>
      </w:r>
      <w:r w:rsidR="00A07A84">
        <w:rPr>
          <w:lang w:eastAsia="en-US"/>
        </w:rPr>
        <w:t xml:space="preserve"> to their homes</w:t>
      </w:r>
      <w:r>
        <w:rPr>
          <w:lang w:eastAsia="en-US"/>
        </w:rPr>
        <w:t>.</w:t>
      </w:r>
    </w:p>
    <w:p w14:paraId="13E4F229" w14:textId="794667E9" w:rsidR="00FA7F3D" w:rsidRPr="00FE1758" w:rsidRDefault="00822E70" w:rsidP="001735E1">
      <w:pPr>
        <w:pStyle w:val="ONUME"/>
        <w:rPr>
          <w:lang w:eastAsia="en-US"/>
        </w:rPr>
      </w:pPr>
      <w:r>
        <w:rPr>
          <w:lang w:eastAsia="en-US"/>
        </w:rPr>
        <w:t>According to input received from higher education stakeholders, universities and other higher education</w:t>
      </w:r>
      <w:r w:rsidR="00771D6F">
        <w:rPr>
          <w:lang w:eastAsia="en-US"/>
        </w:rPr>
        <w:t>al</w:t>
      </w:r>
      <w:r>
        <w:rPr>
          <w:lang w:eastAsia="en-US"/>
        </w:rPr>
        <w:t xml:space="preserve"> institutions function differently during the war, depending on the region. </w:t>
      </w:r>
      <w:r w:rsidR="001A4E2E">
        <w:rPr>
          <w:lang w:eastAsia="en-US"/>
        </w:rPr>
        <w:t xml:space="preserve"> </w:t>
      </w:r>
      <w:r>
        <w:rPr>
          <w:lang w:eastAsia="en-US"/>
        </w:rPr>
        <w:t xml:space="preserve">In the western regions of Ukraine, which are not under regular shelling throughout the day, classes are held </w:t>
      </w:r>
      <w:r w:rsidR="007C22A3">
        <w:rPr>
          <w:lang w:eastAsia="en-US"/>
        </w:rPr>
        <w:t>on</w:t>
      </w:r>
      <w:r>
        <w:rPr>
          <w:lang w:eastAsia="en-US"/>
        </w:rPr>
        <w:t xml:space="preserve"> the premises of educational institutions.  In Kyiv and other cities in the central part of Ukraine, education is conducted in a mixed format with lectures and practical classes held online for most of the academic year, and classroom sessions held for about one month of the academic year.  This is due to the lack of space in the shelters of higher education</w:t>
      </w:r>
      <w:r w:rsidR="00D46F61">
        <w:rPr>
          <w:lang w:eastAsia="en-US"/>
        </w:rPr>
        <w:t>al</w:t>
      </w:r>
      <w:r>
        <w:rPr>
          <w:lang w:eastAsia="en-US"/>
        </w:rPr>
        <w:t xml:space="preserve"> institutions and the inability to ensure the safety of </w:t>
      </w:r>
      <w:proofErr w:type="gramStart"/>
      <w:r>
        <w:rPr>
          <w:lang w:eastAsia="en-US"/>
        </w:rPr>
        <w:t>a large number of</w:t>
      </w:r>
      <w:proofErr w:type="gramEnd"/>
      <w:r>
        <w:rPr>
          <w:lang w:eastAsia="en-US"/>
        </w:rPr>
        <w:t xml:space="preserve"> students.  In the eastern and northeastern regions, in particular Kharkiv and Sumy, education is provided completely remotely due to regular shelling.  In some places, air raids last for a whole day or several days in a row, making it impossible to get to the university.  There is not enough space in </w:t>
      </w:r>
      <w:r w:rsidR="00E9768B">
        <w:rPr>
          <w:lang w:eastAsia="en-US"/>
        </w:rPr>
        <w:t xml:space="preserve">the </w:t>
      </w:r>
      <w:r>
        <w:rPr>
          <w:lang w:eastAsia="en-US"/>
        </w:rPr>
        <w:t xml:space="preserve">shelters to </w:t>
      </w:r>
      <w:r w:rsidR="00BB44CF">
        <w:rPr>
          <w:lang w:eastAsia="en-US"/>
        </w:rPr>
        <w:t>accommodate</w:t>
      </w:r>
      <w:r>
        <w:rPr>
          <w:lang w:eastAsia="en-US"/>
        </w:rPr>
        <w:t xml:space="preserve"> all the students during shelling.  Most educational institutions do not have classroom facilities in the shelters, making it impossible to ensure </w:t>
      </w:r>
      <w:r w:rsidR="00C07A68">
        <w:rPr>
          <w:lang w:eastAsia="en-US"/>
        </w:rPr>
        <w:t xml:space="preserve">the </w:t>
      </w:r>
      <w:r>
        <w:rPr>
          <w:lang w:eastAsia="en-US"/>
        </w:rPr>
        <w:t xml:space="preserve">quality of education in such conditions. </w:t>
      </w:r>
      <w:r w:rsidR="00C07A68">
        <w:rPr>
          <w:lang w:eastAsia="en-US"/>
        </w:rPr>
        <w:t xml:space="preserve"> </w:t>
      </w:r>
      <w:r>
        <w:rPr>
          <w:lang w:eastAsia="en-US"/>
        </w:rPr>
        <w:t>Higher education</w:t>
      </w:r>
      <w:r w:rsidR="00B41F23">
        <w:rPr>
          <w:lang w:eastAsia="en-US"/>
        </w:rPr>
        <w:t>al</w:t>
      </w:r>
      <w:r>
        <w:rPr>
          <w:lang w:eastAsia="en-US"/>
        </w:rPr>
        <w:t xml:space="preserve"> institutions have also been forced to build shelters while continuing to experience an acute shortage of funding, which results in low salaries for teachers.  </w:t>
      </w:r>
      <w:r w:rsidR="00C90E84">
        <w:rPr>
          <w:lang w:eastAsia="en-US"/>
        </w:rPr>
        <w:t xml:space="preserve">The </w:t>
      </w:r>
      <w:r w:rsidR="00C90E84" w:rsidRPr="00FE1758">
        <w:rPr>
          <w:lang w:eastAsia="en-US"/>
        </w:rPr>
        <w:t>r</w:t>
      </w:r>
      <w:r w:rsidRPr="00FE1758">
        <w:rPr>
          <w:lang w:eastAsia="en-US"/>
        </w:rPr>
        <w:t>espondents predicted a decline in the quality of education and a gap between the level of preparation of students studying in classrooms and students studying online under constant</w:t>
      </w:r>
      <w:r w:rsidR="00FA7F3D" w:rsidRPr="00FE1758">
        <w:rPr>
          <w:lang w:eastAsia="en-US"/>
        </w:rPr>
        <w:t xml:space="preserve"> shelling.</w:t>
      </w:r>
    </w:p>
    <w:p w14:paraId="3C1263E4" w14:textId="3B7BA9E9" w:rsidR="00822E70" w:rsidRPr="00EC0B22" w:rsidRDefault="00822E70" w:rsidP="00822E70">
      <w:pPr>
        <w:pStyle w:val="ONUME"/>
        <w:rPr>
          <w:lang w:eastAsia="en-US"/>
        </w:rPr>
      </w:pPr>
      <w:r>
        <w:rPr>
          <w:lang w:eastAsia="en-US"/>
        </w:rPr>
        <w:t>The Office of the Presidium of the Academy of Legal Sciences and subordinate scientific institutions are staffed by only 70</w:t>
      </w:r>
      <w:r w:rsidR="001A4E2E">
        <w:rPr>
          <w:lang w:eastAsia="en-US"/>
        </w:rPr>
        <w:t xml:space="preserve"> </w:t>
      </w:r>
      <w:r w:rsidR="008F4B73">
        <w:rPr>
          <w:lang w:eastAsia="en-US"/>
        </w:rPr>
        <w:t>per</w:t>
      </w:r>
      <w:r w:rsidR="001A4E2E">
        <w:rPr>
          <w:lang w:eastAsia="en-US"/>
        </w:rPr>
        <w:t xml:space="preserve"> </w:t>
      </w:r>
      <w:r w:rsidR="008F4B73">
        <w:rPr>
          <w:lang w:eastAsia="en-US"/>
        </w:rPr>
        <w:t>cent</w:t>
      </w:r>
      <w:r w:rsidR="001A4E2E">
        <w:rPr>
          <w:lang w:eastAsia="en-US"/>
        </w:rPr>
        <w:t xml:space="preserve">. </w:t>
      </w:r>
      <w:r>
        <w:rPr>
          <w:lang w:eastAsia="en-US"/>
        </w:rPr>
        <w:t xml:space="preserve"> Hiring new researchers is difficult because of the lack of financial incentives. </w:t>
      </w:r>
      <w:r w:rsidR="001A4E2E">
        <w:rPr>
          <w:lang w:eastAsia="en-US"/>
        </w:rPr>
        <w:t xml:space="preserve"> </w:t>
      </w:r>
      <w:r>
        <w:rPr>
          <w:lang w:eastAsia="en-US"/>
        </w:rPr>
        <w:t xml:space="preserve">The respondents noted that the low level of remuneration for young scientists discourages them from working in research, and that in the long-term, this creates a risk of a large </w:t>
      </w:r>
      <w:r w:rsidRPr="00EC0B22">
        <w:rPr>
          <w:lang w:eastAsia="en-US"/>
        </w:rPr>
        <w:t xml:space="preserve">shortage of scientific personnel </w:t>
      </w:r>
      <w:r w:rsidR="007D3F35">
        <w:rPr>
          <w:lang w:eastAsia="en-US"/>
        </w:rPr>
        <w:t>that</w:t>
      </w:r>
      <w:r w:rsidRPr="00EC0B22">
        <w:rPr>
          <w:lang w:eastAsia="en-US"/>
        </w:rPr>
        <w:t xml:space="preserve"> will negatively affect the development of science.</w:t>
      </w:r>
    </w:p>
    <w:p w14:paraId="288EE9D6" w14:textId="12321A0D" w:rsidR="00822E70" w:rsidRPr="00EC0B22" w:rsidRDefault="00822E70" w:rsidP="00822E70">
      <w:pPr>
        <w:pStyle w:val="ONUME"/>
        <w:rPr>
          <w:lang w:eastAsia="en-US"/>
        </w:rPr>
      </w:pPr>
      <w:r w:rsidRPr="00EC0B22">
        <w:rPr>
          <w:lang w:eastAsia="en-US"/>
        </w:rPr>
        <w:t xml:space="preserve">The war forced the Government of Ukraine to redirect its budget towards defense, social, and humanitarian needs, which continued to significantly impact the financial resources allocated for education, science, culture, and innovation.  Funding for scientific research was reduced due to military expenses, with the National Research Foundation of Ukraine experiencing cuts of around </w:t>
      </w:r>
      <w:r w:rsidR="00D6152E">
        <w:rPr>
          <w:lang w:eastAsia="en-US"/>
        </w:rPr>
        <w:t xml:space="preserve">USD </w:t>
      </w:r>
      <w:r w:rsidRPr="00EC0B22">
        <w:rPr>
          <w:lang w:eastAsia="en-US"/>
        </w:rPr>
        <w:t xml:space="preserve">20.7 million in 2022.  Compared to 2022, the </w:t>
      </w:r>
      <w:r w:rsidR="00E440C5" w:rsidRPr="00EC0B22">
        <w:rPr>
          <w:lang w:eastAsia="en-US"/>
        </w:rPr>
        <w:t>Foun</w:t>
      </w:r>
      <w:r w:rsidR="00E440C5">
        <w:rPr>
          <w:lang w:eastAsia="en-US"/>
        </w:rPr>
        <w:t>datio</w:t>
      </w:r>
      <w:r w:rsidR="00E440C5" w:rsidRPr="00EC0B22">
        <w:rPr>
          <w:lang w:eastAsia="en-US"/>
        </w:rPr>
        <w:t>n’s</w:t>
      </w:r>
      <w:r w:rsidRPr="00EC0B22">
        <w:rPr>
          <w:lang w:eastAsia="en-US"/>
        </w:rPr>
        <w:t xml:space="preserve"> budget decreased by 39.46</w:t>
      </w:r>
      <w:r w:rsidR="00E440C5">
        <w:rPr>
          <w:lang w:eastAsia="en-US"/>
        </w:rPr>
        <w:t xml:space="preserve"> per</w:t>
      </w:r>
      <w:r w:rsidR="001A4E2E">
        <w:rPr>
          <w:lang w:eastAsia="en-US"/>
        </w:rPr>
        <w:t xml:space="preserve"> </w:t>
      </w:r>
      <w:r w:rsidR="00E440C5">
        <w:rPr>
          <w:lang w:eastAsia="en-US"/>
        </w:rPr>
        <w:t xml:space="preserve">cent </w:t>
      </w:r>
      <w:r w:rsidRPr="00EC0B22">
        <w:rPr>
          <w:lang w:eastAsia="en-US"/>
        </w:rPr>
        <w:t>in 2023 and by 20.44</w:t>
      </w:r>
      <w:r w:rsidR="00E440C5">
        <w:rPr>
          <w:lang w:eastAsia="en-US"/>
        </w:rPr>
        <w:t xml:space="preserve"> per</w:t>
      </w:r>
      <w:r w:rsidR="001A4E2E">
        <w:rPr>
          <w:lang w:eastAsia="en-US"/>
        </w:rPr>
        <w:t xml:space="preserve"> </w:t>
      </w:r>
      <w:r w:rsidR="00E440C5">
        <w:rPr>
          <w:lang w:eastAsia="en-US"/>
        </w:rPr>
        <w:t>cent</w:t>
      </w:r>
      <w:r w:rsidRPr="00EC0B22">
        <w:rPr>
          <w:lang w:eastAsia="en-US"/>
        </w:rPr>
        <w:t xml:space="preserve"> in 2024. </w:t>
      </w:r>
      <w:r w:rsidR="001A4E2E">
        <w:rPr>
          <w:lang w:eastAsia="en-US"/>
        </w:rPr>
        <w:t xml:space="preserve"> </w:t>
      </w:r>
      <w:r w:rsidRPr="00EC0B22">
        <w:rPr>
          <w:lang w:eastAsia="en-US"/>
        </w:rPr>
        <w:t>In 2025</w:t>
      </w:r>
      <w:r w:rsidR="00D6152E">
        <w:rPr>
          <w:lang w:eastAsia="en-US"/>
        </w:rPr>
        <w:t>,</w:t>
      </w:r>
      <w:r w:rsidRPr="00EC0B22">
        <w:rPr>
          <w:lang w:eastAsia="en-US"/>
        </w:rPr>
        <w:t xml:space="preserve"> the </w:t>
      </w:r>
      <w:r w:rsidR="00E440C5">
        <w:rPr>
          <w:lang w:eastAsia="en-US"/>
        </w:rPr>
        <w:t>Foundatio</w:t>
      </w:r>
      <w:r w:rsidR="00E440C5" w:rsidRPr="00EC0B22">
        <w:rPr>
          <w:lang w:eastAsia="en-US"/>
        </w:rPr>
        <w:t>n’s</w:t>
      </w:r>
      <w:r w:rsidRPr="00EC0B22">
        <w:rPr>
          <w:lang w:eastAsia="en-US"/>
        </w:rPr>
        <w:t xml:space="preserve"> budget started to grow but </w:t>
      </w:r>
      <w:r w:rsidR="00552E7C" w:rsidRPr="00EC0B22">
        <w:rPr>
          <w:lang w:eastAsia="en-US"/>
        </w:rPr>
        <w:t>remains</w:t>
      </w:r>
      <w:r w:rsidRPr="00EC0B22">
        <w:rPr>
          <w:lang w:eastAsia="en-US"/>
        </w:rPr>
        <w:t xml:space="preserve"> </w:t>
      </w:r>
      <w:r w:rsidR="00D6152E">
        <w:rPr>
          <w:lang w:eastAsia="en-US"/>
        </w:rPr>
        <w:t>five</w:t>
      </w:r>
      <w:r w:rsidR="00E440C5">
        <w:rPr>
          <w:lang w:eastAsia="en-US"/>
        </w:rPr>
        <w:t xml:space="preserve"> per</w:t>
      </w:r>
      <w:r w:rsidR="001A4E2E">
        <w:rPr>
          <w:lang w:eastAsia="en-US"/>
        </w:rPr>
        <w:t xml:space="preserve"> </w:t>
      </w:r>
      <w:r w:rsidR="00E440C5">
        <w:rPr>
          <w:lang w:eastAsia="en-US"/>
        </w:rPr>
        <w:t>cent</w:t>
      </w:r>
      <w:r w:rsidRPr="00EC0B22">
        <w:rPr>
          <w:lang w:eastAsia="en-US"/>
        </w:rPr>
        <w:t xml:space="preserve"> lower than in 2022.   </w:t>
      </w:r>
    </w:p>
    <w:p w14:paraId="0DAD7F93" w14:textId="3B5C6141" w:rsidR="00822E70" w:rsidRPr="00EC0B22" w:rsidRDefault="00822E70" w:rsidP="00822E70">
      <w:pPr>
        <w:pStyle w:val="ONUME"/>
        <w:rPr>
          <w:lang w:eastAsia="en-US"/>
        </w:rPr>
      </w:pPr>
      <w:r w:rsidRPr="00EC0B22">
        <w:rPr>
          <w:lang w:eastAsia="en-US"/>
        </w:rPr>
        <w:t>The budget of the National Academy of Sciences in 2024 increased by 9.9</w:t>
      </w:r>
      <w:r w:rsidR="00D143F0">
        <w:rPr>
          <w:lang w:eastAsia="en-US"/>
        </w:rPr>
        <w:t xml:space="preserve"> per</w:t>
      </w:r>
      <w:r w:rsidR="001A4E2E">
        <w:rPr>
          <w:lang w:eastAsia="en-US"/>
        </w:rPr>
        <w:t xml:space="preserve"> </w:t>
      </w:r>
      <w:r w:rsidR="00D143F0">
        <w:rPr>
          <w:lang w:eastAsia="en-US"/>
        </w:rPr>
        <w:t xml:space="preserve">cent </w:t>
      </w:r>
      <w:r w:rsidRPr="00EC0B22">
        <w:rPr>
          <w:lang w:eastAsia="en-US"/>
        </w:rPr>
        <w:t>compared to 2021.</w:t>
      </w:r>
      <w:r w:rsidR="001A4E2E">
        <w:rPr>
          <w:lang w:eastAsia="en-US"/>
        </w:rPr>
        <w:t xml:space="preserve"> </w:t>
      </w:r>
      <w:r w:rsidRPr="00EC0B22">
        <w:rPr>
          <w:lang w:eastAsia="en-US"/>
        </w:rPr>
        <w:t xml:space="preserve"> However, there is still a lack of funding, forcing the National Academy to pay its employees only for part-time working hours and to take vacations at their own expense. </w:t>
      </w:r>
    </w:p>
    <w:p w14:paraId="5403F328" w14:textId="4BAEA5CD" w:rsidR="00822E70" w:rsidRPr="00EC0B22" w:rsidRDefault="00822E70" w:rsidP="00822E70">
      <w:pPr>
        <w:pStyle w:val="ONUME"/>
        <w:rPr>
          <w:lang w:eastAsia="en-US"/>
        </w:rPr>
      </w:pPr>
      <w:r w:rsidRPr="00EC0B22">
        <w:rPr>
          <w:lang w:eastAsia="en-US"/>
        </w:rPr>
        <w:t>According to World Bank’s RDNA4</w:t>
      </w:r>
      <w:r w:rsidR="0046052A">
        <w:rPr>
          <w:lang w:eastAsia="en-US"/>
        </w:rPr>
        <w:t>,</w:t>
      </w:r>
      <w:r w:rsidRPr="00EC0B22">
        <w:rPr>
          <w:lang w:eastAsia="en-US"/>
        </w:rPr>
        <w:t xml:space="preserve"> the war has significantly reduced Ukraine's scientific output and research investments. </w:t>
      </w:r>
      <w:r w:rsidR="001A4E2E">
        <w:rPr>
          <w:lang w:eastAsia="en-US"/>
        </w:rPr>
        <w:t xml:space="preserve"> </w:t>
      </w:r>
      <w:r w:rsidRPr="00EC0B22">
        <w:rPr>
          <w:lang w:eastAsia="en-US"/>
        </w:rPr>
        <w:t>The report generally notes that “the invasion has also led to research capacity losses, characterized by smaller investments in research and a decline in the number of scientific journal publications by Ukrainian academics; these trends hint at the difficulties faced by the science sector in the current context"</w:t>
      </w:r>
      <w:r w:rsidR="00056F8E">
        <w:rPr>
          <w:lang w:eastAsia="en-US"/>
        </w:rPr>
        <w:t>.</w:t>
      </w:r>
      <w:r w:rsidRPr="00EC0B22">
        <w:rPr>
          <w:lang w:eastAsia="en-US"/>
        </w:rPr>
        <w:t xml:space="preserve"> </w:t>
      </w:r>
    </w:p>
    <w:p w14:paraId="36942DAF" w14:textId="06EEF03C" w:rsidR="00822E70" w:rsidRDefault="00822E70" w:rsidP="00822E70">
      <w:pPr>
        <w:pStyle w:val="ONUME"/>
        <w:rPr>
          <w:lang w:eastAsia="en-US"/>
        </w:rPr>
      </w:pPr>
      <w:r>
        <w:rPr>
          <w:lang w:eastAsia="en-US"/>
        </w:rPr>
        <w:t>Technology transfer by higher education</w:t>
      </w:r>
      <w:r w:rsidR="0074225E">
        <w:rPr>
          <w:lang w:eastAsia="en-US"/>
        </w:rPr>
        <w:t>al</w:t>
      </w:r>
      <w:r>
        <w:rPr>
          <w:lang w:eastAsia="en-US"/>
        </w:rPr>
        <w:t xml:space="preserve"> institutions has also decreased </w:t>
      </w:r>
      <w:r w:rsidR="004053DB">
        <w:rPr>
          <w:lang w:eastAsia="en-US"/>
        </w:rPr>
        <w:t xml:space="preserve">significantly </w:t>
      </w:r>
      <w:r>
        <w:rPr>
          <w:lang w:eastAsia="en-US"/>
        </w:rPr>
        <w:t xml:space="preserve">since the war. </w:t>
      </w:r>
      <w:r w:rsidR="001A4E2E">
        <w:rPr>
          <w:lang w:eastAsia="en-US"/>
        </w:rPr>
        <w:t xml:space="preserve"> </w:t>
      </w:r>
      <w:r>
        <w:rPr>
          <w:lang w:eastAsia="en-US"/>
        </w:rPr>
        <w:t xml:space="preserve">Statistics from the Ministry of Education and Science include the total amount of </w:t>
      </w:r>
      <w:r>
        <w:rPr>
          <w:lang w:eastAsia="en-US"/>
        </w:rPr>
        <w:lastRenderedPageBreak/>
        <w:t xml:space="preserve">technology transferred by universities and research institutes. </w:t>
      </w:r>
      <w:r w:rsidR="001A4E2E">
        <w:rPr>
          <w:lang w:eastAsia="en-US"/>
        </w:rPr>
        <w:t xml:space="preserve"> </w:t>
      </w:r>
      <w:r>
        <w:rPr>
          <w:lang w:eastAsia="en-US"/>
        </w:rPr>
        <w:t>The total number of transferred technologies in 2022 was 51.81 per</w:t>
      </w:r>
      <w:r w:rsidR="001A4E2E">
        <w:rPr>
          <w:lang w:eastAsia="en-US"/>
        </w:rPr>
        <w:t xml:space="preserve"> </w:t>
      </w:r>
      <w:r>
        <w:rPr>
          <w:lang w:eastAsia="en-US"/>
        </w:rPr>
        <w:t>cent less compared to 2021, in 2023 it was 34.71 per</w:t>
      </w:r>
      <w:r w:rsidR="001A4E2E">
        <w:rPr>
          <w:lang w:eastAsia="en-US"/>
        </w:rPr>
        <w:t xml:space="preserve"> </w:t>
      </w:r>
      <w:r>
        <w:rPr>
          <w:lang w:eastAsia="en-US"/>
        </w:rPr>
        <w:t xml:space="preserve">cent less compared to </w:t>
      </w:r>
      <w:r w:rsidR="00C40570">
        <w:rPr>
          <w:lang w:eastAsia="en-US"/>
        </w:rPr>
        <w:t>2022</w:t>
      </w:r>
      <w:r>
        <w:rPr>
          <w:lang w:eastAsia="en-US"/>
        </w:rPr>
        <w:t xml:space="preserve"> and 69.56 per</w:t>
      </w:r>
      <w:r w:rsidR="001A4E2E">
        <w:rPr>
          <w:lang w:eastAsia="en-US"/>
        </w:rPr>
        <w:t xml:space="preserve"> </w:t>
      </w:r>
      <w:r>
        <w:rPr>
          <w:lang w:eastAsia="en-US"/>
        </w:rPr>
        <w:t xml:space="preserve">cent less compared to 2021. </w:t>
      </w:r>
      <w:r w:rsidR="00557F59">
        <w:rPr>
          <w:lang w:eastAsia="en-US"/>
        </w:rPr>
        <w:t xml:space="preserve"> </w:t>
      </w:r>
      <w:r>
        <w:rPr>
          <w:lang w:eastAsia="en-US"/>
        </w:rPr>
        <w:t>So far, the state of technology transfer is even lower than in 2020, when higher education</w:t>
      </w:r>
      <w:r w:rsidR="000E0273">
        <w:rPr>
          <w:lang w:eastAsia="en-US"/>
        </w:rPr>
        <w:t>al</w:t>
      </w:r>
      <w:r>
        <w:rPr>
          <w:lang w:eastAsia="en-US"/>
        </w:rPr>
        <w:t xml:space="preserve"> and research institutions operated remotely due to the restrictions imposed by the COVID</w:t>
      </w:r>
      <w:r w:rsidR="00557F59">
        <w:rPr>
          <w:lang w:eastAsia="en-US"/>
        </w:rPr>
        <w:t>-19</w:t>
      </w:r>
      <w:r>
        <w:rPr>
          <w:lang w:eastAsia="en-US"/>
        </w:rPr>
        <w:t xml:space="preserve"> pandemic, which prevented the creation of technologies.  The respondents note</w:t>
      </w:r>
      <w:r w:rsidR="00557F59">
        <w:rPr>
          <w:lang w:eastAsia="en-US"/>
        </w:rPr>
        <w:t>d</w:t>
      </w:r>
      <w:r>
        <w:rPr>
          <w:lang w:eastAsia="en-US"/>
        </w:rPr>
        <w:t xml:space="preserve"> that in addition to the difficult conditions created by the war, the lack of skills and capacities in IP management and technology transfer, lack of incentive, poor communication networks, lack of knowledge of market prospects and trends</w:t>
      </w:r>
      <w:r w:rsidR="00E92105">
        <w:rPr>
          <w:lang w:eastAsia="en-US"/>
        </w:rPr>
        <w:t>,</w:t>
      </w:r>
      <w:r>
        <w:rPr>
          <w:lang w:eastAsia="en-US"/>
        </w:rPr>
        <w:t xml:space="preserve"> as well business operations</w:t>
      </w:r>
      <w:r w:rsidR="000E1712">
        <w:rPr>
          <w:lang w:eastAsia="en-US"/>
        </w:rPr>
        <w:t>’</w:t>
      </w:r>
      <w:r>
        <w:rPr>
          <w:lang w:eastAsia="en-US"/>
        </w:rPr>
        <w:t xml:space="preserve"> needs</w:t>
      </w:r>
      <w:r w:rsidR="000E1712">
        <w:rPr>
          <w:lang w:eastAsia="en-US"/>
        </w:rPr>
        <w:t>,</w:t>
      </w:r>
      <w:r>
        <w:rPr>
          <w:lang w:eastAsia="en-US"/>
        </w:rPr>
        <w:t xml:space="preserve"> creat</w:t>
      </w:r>
      <w:r w:rsidR="00E6188C">
        <w:rPr>
          <w:lang w:eastAsia="en-US"/>
        </w:rPr>
        <w:t>e</w:t>
      </w:r>
      <w:r>
        <w:rPr>
          <w:lang w:eastAsia="en-US"/>
        </w:rPr>
        <w:t xml:space="preserve"> major obstacles to IP commercialization. </w:t>
      </w:r>
    </w:p>
    <w:p w14:paraId="6DA9587B" w14:textId="7F357C1A" w:rsidR="00822E70" w:rsidRDefault="00822E70" w:rsidP="00822E70">
      <w:pPr>
        <w:pStyle w:val="ONUME"/>
        <w:rPr>
          <w:lang w:eastAsia="en-US"/>
        </w:rPr>
      </w:pPr>
      <w:r>
        <w:rPr>
          <w:lang w:eastAsia="en-US"/>
        </w:rPr>
        <w:t>According to the information provided by the National Academy of Sciences of Ukraine</w:t>
      </w:r>
      <w:r w:rsidR="00731A24">
        <w:rPr>
          <w:lang w:eastAsia="en-US"/>
        </w:rPr>
        <w:t>,</w:t>
      </w:r>
      <w:r>
        <w:rPr>
          <w:lang w:eastAsia="en-US"/>
        </w:rPr>
        <w:t xml:space="preserve"> in 2022</w:t>
      </w:r>
      <w:r w:rsidR="00731A24">
        <w:rPr>
          <w:lang w:eastAsia="en-US"/>
        </w:rPr>
        <w:t>,</w:t>
      </w:r>
      <w:r>
        <w:rPr>
          <w:lang w:eastAsia="en-US"/>
        </w:rPr>
        <w:t xml:space="preserve"> its institutions experienced a 37 per</w:t>
      </w:r>
      <w:r w:rsidR="001A4E2E">
        <w:rPr>
          <w:lang w:eastAsia="en-US"/>
        </w:rPr>
        <w:t xml:space="preserve"> </w:t>
      </w:r>
      <w:r>
        <w:rPr>
          <w:lang w:eastAsia="en-US"/>
        </w:rPr>
        <w:t xml:space="preserve">cent drop in patent filings as compared to 2020-2021 and constituted only 227 applications.  The situation improved in 2023, with 329 applications, and 2024 with 387 applications, but the number of applications remains half that of pre-war years. </w:t>
      </w:r>
      <w:r w:rsidR="001A4E2E">
        <w:rPr>
          <w:lang w:eastAsia="en-US"/>
        </w:rPr>
        <w:t xml:space="preserve"> </w:t>
      </w:r>
      <w:r>
        <w:rPr>
          <w:lang w:eastAsia="en-US"/>
        </w:rPr>
        <w:t xml:space="preserve">Many of the surveyed research institutions reported </w:t>
      </w:r>
      <w:r w:rsidR="005548C9">
        <w:rPr>
          <w:lang w:eastAsia="en-US"/>
        </w:rPr>
        <w:t xml:space="preserve">that </w:t>
      </w:r>
      <w:r>
        <w:rPr>
          <w:lang w:eastAsia="en-US"/>
        </w:rPr>
        <w:t xml:space="preserve">a combination of factors caused by the war (lack of financial resources, difficulties in payment of fees, damage to research equipment, etc.) has led to a decrease in inventive activity and thus reduced the number of patent applications filed by the institutions.  These factors, although the same as reported in 2023, have only intensified over the past two years. </w:t>
      </w:r>
    </w:p>
    <w:p w14:paraId="14B45295" w14:textId="5C41D7D0" w:rsidR="00822E70" w:rsidRDefault="00822E70" w:rsidP="00822E70">
      <w:pPr>
        <w:pStyle w:val="ONUME"/>
        <w:rPr>
          <w:lang w:eastAsia="en-US"/>
        </w:rPr>
      </w:pPr>
      <w:r>
        <w:rPr>
          <w:lang w:eastAsia="en-US"/>
        </w:rPr>
        <w:t>As a positive trend</w:t>
      </w:r>
      <w:r w:rsidR="0098690C">
        <w:rPr>
          <w:lang w:eastAsia="en-US"/>
        </w:rPr>
        <w:t>,</w:t>
      </w:r>
      <w:r>
        <w:rPr>
          <w:lang w:eastAsia="en-US"/>
        </w:rPr>
        <w:t xml:space="preserve"> the war has accelerated Ukraine’s integration into international R&amp;I frameworks, particularly those of the </w:t>
      </w:r>
      <w:r w:rsidR="00557F59">
        <w:rPr>
          <w:lang w:eastAsia="en-US"/>
        </w:rPr>
        <w:t>EU</w:t>
      </w:r>
      <w:r>
        <w:rPr>
          <w:lang w:eastAsia="en-US"/>
        </w:rPr>
        <w:t xml:space="preserve">.  It has received substantial support through the EU’s Horizon 2020 and Horizon Europe programs, to which it has been associated </w:t>
      </w:r>
      <w:r w:rsidR="00145CB0">
        <w:rPr>
          <w:lang w:eastAsia="en-US"/>
        </w:rPr>
        <w:t xml:space="preserve">fully </w:t>
      </w:r>
      <w:r>
        <w:rPr>
          <w:lang w:eastAsia="en-US"/>
        </w:rPr>
        <w:t xml:space="preserve">since 2016.  Key initiatives include funding through the Marie </w:t>
      </w:r>
      <w:proofErr w:type="spellStart"/>
      <w:r>
        <w:rPr>
          <w:lang w:eastAsia="en-US"/>
        </w:rPr>
        <w:t>Skłodowska</w:t>
      </w:r>
      <w:proofErr w:type="spellEnd"/>
      <w:r>
        <w:rPr>
          <w:lang w:eastAsia="en-US"/>
        </w:rPr>
        <w:t xml:space="preserve">-Curie and European Research Council Actions, as well as fundings through the European Innovation Council to support Ukrainian tech startups.  </w:t>
      </w:r>
      <w:r w:rsidR="00557F59">
        <w:rPr>
          <w:lang w:eastAsia="en-US"/>
        </w:rPr>
        <w:t xml:space="preserve">The </w:t>
      </w:r>
      <w:r>
        <w:rPr>
          <w:lang w:eastAsia="en-US"/>
        </w:rPr>
        <w:t>World Bank’s RDNA4 states that "</w:t>
      </w:r>
      <w:r w:rsidR="00145CB0">
        <w:rPr>
          <w:lang w:eastAsia="en-US"/>
        </w:rPr>
        <w:t>[t]</w:t>
      </w:r>
      <w:r>
        <w:rPr>
          <w:lang w:eastAsia="en-US"/>
        </w:rPr>
        <w:t xml:space="preserve">he country's science sector is continuing to integrate into the European research ecosystem. </w:t>
      </w:r>
      <w:r w:rsidR="00145CB0">
        <w:rPr>
          <w:lang w:eastAsia="en-US"/>
        </w:rPr>
        <w:t xml:space="preserve"> </w:t>
      </w:r>
      <w:r>
        <w:rPr>
          <w:lang w:eastAsia="en-US"/>
        </w:rPr>
        <w:t>This step not only provides Ukrainian scientists with greater opportunities for collaboration and facilitates knowledge exchanges</w:t>
      </w:r>
      <w:r w:rsidR="00C40570">
        <w:rPr>
          <w:lang w:eastAsia="en-US"/>
        </w:rPr>
        <w:t xml:space="preserve"> </w:t>
      </w:r>
      <w:r>
        <w:rPr>
          <w:lang w:eastAsia="en-US"/>
        </w:rPr>
        <w:t>but also will help build the resilience of Ukraine's science sector"</w:t>
      </w:r>
      <w:r w:rsidR="005108FB">
        <w:rPr>
          <w:lang w:eastAsia="en-US"/>
        </w:rPr>
        <w:t>.</w:t>
      </w:r>
    </w:p>
    <w:p w14:paraId="64D0E72F" w14:textId="362C2D57" w:rsidR="00822E70" w:rsidRDefault="00822E70" w:rsidP="00822E70">
      <w:pPr>
        <w:pStyle w:val="ONUME"/>
        <w:rPr>
          <w:lang w:eastAsia="en-US"/>
        </w:rPr>
      </w:pPr>
      <w:r>
        <w:rPr>
          <w:lang w:eastAsia="en-US"/>
        </w:rPr>
        <w:t>Similarly, cooperation between Ukrainian universities and foreign higher education</w:t>
      </w:r>
      <w:r w:rsidR="0074225E">
        <w:rPr>
          <w:lang w:eastAsia="en-US"/>
        </w:rPr>
        <w:t>al</w:t>
      </w:r>
      <w:r>
        <w:rPr>
          <w:lang w:eastAsia="en-US"/>
        </w:rPr>
        <w:t xml:space="preserve"> institutions has also developed.  Respondents from Donetsk State University, Kyiv National University, and Sumy State University noted an improvement in mobility for undergraduate and graduate students.  At the same time, there are difficulties for male teachers, as their travel abroad requires approval from the Ministry of Education and Science, </w:t>
      </w:r>
      <w:r w:rsidR="00557F59">
        <w:rPr>
          <w:lang w:eastAsia="en-US"/>
        </w:rPr>
        <w:t xml:space="preserve">which could be a </w:t>
      </w:r>
      <w:r w:rsidR="00AB712A">
        <w:rPr>
          <w:lang w:eastAsia="en-US"/>
        </w:rPr>
        <w:t>time-consuming</w:t>
      </w:r>
      <w:r w:rsidR="00557F59">
        <w:rPr>
          <w:lang w:eastAsia="en-US"/>
        </w:rPr>
        <w:t xml:space="preserve"> process</w:t>
      </w:r>
      <w:r>
        <w:rPr>
          <w:lang w:eastAsia="en-US"/>
        </w:rPr>
        <w:t>.</w:t>
      </w:r>
      <w:r w:rsidR="001A4E2E">
        <w:rPr>
          <w:lang w:eastAsia="en-US"/>
        </w:rPr>
        <w:t xml:space="preserve"> </w:t>
      </w:r>
      <w:r>
        <w:rPr>
          <w:lang w:eastAsia="en-US"/>
        </w:rPr>
        <w:t xml:space="preserve"> Therefore, most male </w:t>
      </w:r>
      <w:r w:rsidR="00131765">
        <w:rPr>
          <w:lang w:eastAsia="en-US"/>
        </w:rPr>
        <w:t xml:space="preserve">teachers </w:t>
      </w:r>
      <w:r w:rsidR="00AB712A">
        <w:rPr>
          <w:lang w:eastAsia="en-US"/>
        </w:rPr>
        <w:t>may not fully</w:t>
      </w:r>
      <w:r>
        <w:rPr>
          <w:lang w:eastAsia="en-US"/>
        </w:rPr>
        <w:t xml:space="preserve"> benefit from </w:t>
      </w:r>
      <w:r w:rsidR="00AB712A">
        <w:rPr>
          <w:lang w:eastAsia="en-US"/>
        </w:rPr>
        <w:t>these</w:t>
      </w:r>
      <w:r>
        <w:rPr>
          <w:lang w:eastAsia="en-US"/>
        </w:rPr>
        <w:t xml:space="preserve"> opportunities for professional development and mobility.</w:t>
      </w:r>
    </w:p>
    <w:p w14:paraId="3D41D3BC" w14:textId="38D589F5" w:rsidR="00822E70" w:rsidRPr="00C40570" w:rsidRDefault="00C40570" w:rsidP="00C40570">
      <w:pPr>
        <w:pStyle w:val="Heading3"/>
        <w:ind w:left="1890" w:hanging="720"/>
        <w:rPr>
          <w:lang w:eastAsia="en-US"/>
        </w:rPr>
      </w:pPr>
      <w:bookmarkStart w:id="25" w:name="_Toc200544989"/>
      <w:r w:rsidRPr="00C40570">
        <w:rPr>
          <w:u w:val="none"/>
          <w:lang w:eastAsia="en-US"/>
        </w:rPr>
        <w:t>2.3.5</w:t>
      </w:r>
      <w:r w:rsidRPr="00C40570">
        <w:rPr>
          <w:u w:val="none"/>
          <w:lang w:eastAsia="en-US"/>
        </w:rPr>
        <w:tab/>
      </w:r>
      <w:r w:rsidR="00822E70" w:rsidRPr="00C40570">
        <w:rPr>
          <w:lang w:eastAsia="en-US"/>
        </w:rPr>
        <w:t>Technology Innovation Support Centers (TISCs)</w:t>
      </w:r>
      <w:bookmarkEnd w:id="25"/>
      <w:r w:rsidR="00822E70" w:rsidRPr="00C40570">
        <w:rPr>
          <w:lang w:eastAsia="en-US"/>
        </w:rPr>
        <w:t xml:space="preserve"> </w:t>
      </w:r>
    </w:p>
    <w:p w14:paraId="52E661F4" w14:textId="77777777" w:rsidR="00C40570" w:rsidRPr="00C40570" w:rsidRDefault="00C40570" w:rsidP="00C40570">
      <w:pPr>
        <w:rPr>
          <w:lang w:eastAsia="en-US"/>
        </w:rPr>
      </w:pPr>
    </w:p>
    <w:p w14:paraId="2164AF16" w14:textId="063DB27F" w:rsidR="00822E70" w:rsidRDefault="00822E70" w:rsidP="00822E70">
      <w:pPr>
        <w:pStyle w:val="ONUME"/>
        <w:rPr>
          <w:lang w:eastAsia="en-US"/>
        </w:rPr>
      </w:pPr>
      <w:r>
        <w:rPr>
          <w:lang w:eastAsia="en-US"/>
        </w:rPr>
        <w:t xml:space="preserve">By the end of 2024, Ukraine’s TISC network expanded to 46 </w:t>
      </w:r>
      <w:r w:rsidR="00C40570">
        <w:rPr>
          <w:lang w:eastAsia="en-US"/>
        </w:rPr>
        <w:t>centers</w:t>
      </w:r>
      <w:r>
        <w:rPr>
          <w:lang w:eastAsia="en-US"/>
        </w:rPr>
        <w:t xml:space="preserve">, including the TISC Focal Point at the UANIPIO.  The demand for TISC services has been consistently increasing, demonstrated by over 1,000 user requests to regional TISCs in 2024, 142 patent searches </w:t>
      </w:r>
      <w:r w:rsidR="00824FF9">
        <w:rPr>
          <w:lang w:eastAsia="en-US"/>
        </w:rPr>
        <w:t xml:space="preserve">through the </w:t>
      </w:r>
      <w:r w:rsidR="008F4951" w:rsidRPr="008F4951">
        <w:rPr>
          <w:lang w:eastAsia="en-US"/>
        </w:rPr>
        <w:t>Access to Specialized Patent Information</w:t>
      </w:r>
      <w:r>
        <w:rPr>
          <w:lang w:eastAsia="en-US"/>
        </w:rPr>
        <w:t xml:space="preserve"> </w:t>
      </w:r>
      <w:r w:rsidR="005A2392">
        <w:rPr>
          <w:lang w:eastAsia="en-US"/>
        </w:rPr>
        <w:t>(ASPI)</w:t>
      </w:r>
      <w:r w:rsidR="00824FF9">
        <w:rPr>
          <w:lang w:eastAsia="en-US"/>
        </w:rPr>
        <w:t xml:space="preserve"> </w:t>
      </w:r>
      <w:r w:rsidR="0084578B">
        <w:rPr>
          <w:lang w:eastAsia="en-US"/>
        </w:rPr>
        <w:t xml:space="preserve">and </w:t>
      </w:r>
      <w:r w:rsidR="00497B31" w:rsidRPr="00497B31">
        <w:rPr>
          <w:lang w:eastAsia="en-US"/>
        </w:rPr>
        <w:t>the Access to Research for Development and Innovation (ARDI)</w:t>
      </w:r>
      <w:r w:rsidR="00497B31">
        <w:rPr>
          <w:lang w:eastAsia="en-US"/>
        </w:rPr>
        <w:t xml:space="preserve"> </w:t>
      </w:r>
      <w:r w:rsidR="0084578B">
        <w:rPr>
          <w:lang w:eastAsia="en-US"/>
        </w:rPr>
        <w:t>p</w:t>
      </w:r>
      <w:r w:rsidR="00824FF9">
        <w:rPr>
          <w:lang w:eastAsia="en-US"/>
        </w:rPr>
        <w:t>rogram</w:t>
      </w:r>
      <w:r w:rsidR="00497B31">
        <w:rPr>
          <w:lang w:eastAsia="en-US"/>
        </w:rPr>
        <w:t>s</w:t>
      </w:r>
      <w:r w:rsidR="005A2392">
        <w:rPr>
          <w:lang w:eastAsia="en-US"/>
        </w:rPr>
        <w:t xml:space="preserve"> </w:t>
      </w:r>
      <w:r>
        <w:rPr>
          <w:lang w:eastAsia="en-US"/>
        </w:rPr>
        <w:t>and consultations on IP rights protection, commercialization, and technology transfer.</w:t>
      </w:r>
    </w:p>
    <w:p w14:paraId="2E9DA607" w14:textId="412F097C" w:rsidR="00822E70" w:rsidRDefault="00822E70" w:rsidP="00822E70">
      <w:pPr>
        <w:pStyle w:val="ONUME"/>
        <w:rPr>
          <w:lang w:eastAsia="en-US"/>
        </w:rPr>
      </w:pPr>
      <w:r>
        <w:rPr>
          <w:lang w:eastAsia="en-US"/>
        </w:rPr>
        <w:t xml:space="preserve">During 2024, regional TISCs organized or participated in 97 events, while the TISC Focal Point led 86 events, including major national forums such as the IP LET FORUM and the National </w:t>
      </w:r>
      <w:proofErr w:type="spellStart"/>
      <w:r>
        <w:rPr>
          <w:lang w:eastAsia="en-US"/>
        </w:rPr>
        <w:t>IP&amp;Innovations</w:t>
      </w:r>
      <w:proofErr w:type="spellEnd"/>
      <w:r>
        <w:rPr>
          <w:lang w:eastAsia="en-US"/>
        </w:rPr>
        <w:t xml:space="preserve"> Hub Day within IP WEEK 2024. </w:t>
      </w:r>
      <w:r w:rsidR="0051650F">
        <w:rPr>
          <w:lang w:eastAsia="en-US"/>
        </w:rPr>
        <w:t xml:space="preserve"> </w:t>
      </w:r>
      <w:r>
        <w:rPr>
          <w:lang w:eastAsia="en-US"/>
        </w:rPr>
        <w:t>These initiatives attracted a broad audience of inventors, businesses, and academia.</w:t>
      </w:r>
    </w:p>
    <w:p w14:paraId="70F71582" w14:textId="77A0B782" w:rsidR="00822E70" w:rsidRDefault="00822E70" w:rsidP="00822E70">
      <w:pPr>
        <w:pStyle w:val="ONUME"/>
        <w:rPr>
          <w:lang w:eastAsia="en-US"/>
        </w:rPr>
      </w:pPr>
      <w:r>
        <w:rPr>
          <w:lang w:eastAsia="en-US"/>
        </w:rPr>
        <w:t xml:space="preserve">The TISC network actively promotes education and awareness, integrating digital learning tools and interactive formats.  In 2024, a specialized training course was conducted, covering </w:t>
      </w:r>
      <w:r>
        <w:rPr>
          <w:lang w:eastAsia="en-US"/>
        </w:rPr>
        <w:lastRenderedPageBreak/>
        <w:t>critical topics such as IP rights acquisition, commercialization strategies, and market research.   Additionally, the network published the IP&amp;I Guide, a business-oriented manual designed to assist innovators in protecting and commercializing their ideas, incorporating real-world case studies and expert recommendations.</w:t>
      </w:r>
    </w:p>
    <w:p w14:paraId="52011A8E" w14:textId="50279ED3" w:rsidR="00822E70" w:rsidRDefault="00822E70" w:rsidP="00822E70">
      <w:pPr>
        <w:pStyle w:val="ONUME"/>
        <w:rPr>
          <w:lang w:eastAsia="en-US"/>
        </w:rPr>
      </w:pPr>
      <w:r>
        <w:rPr>
          <w:lang w:eastAsia="en-US"/>
        </w:rPr>
        <w:t>At the same time, TISCs face</w:t>
      </w:r>
      <w:r w:rsidR="00557F59">
        <w:rPr>
          <w:lang w:eastAsia="en-US"/>
        </w:rPr>
        <w:t>d</w:t>
      </w:r>
      <w:r>
        <w:rPr>
          <w:lang w:eastAsia="en-US"/>
        </w:rPr>
        <w:t xml:space="preserve"> some difficulties during the war. </w:t>
      </w:r>
      <w:r w:rsidR="00653145">
        <w:rPr>
          <w:lang w:eastAsia="en-US"/>
        </w:rPr>
        <w:t xml:space="preserve"> </w:t>
      </w:r>
      <w:r>
        <w:rPr>
          <w:lang w:eastAsia="en-US"/>
        </w:rPr>
        <w:t xml:space="preserve">The TISC Focal Point reported on the temporary suspension of operations of some regional TISCs due to </w:t>
      </w:r>
      <w:r w:rsidR="001553F4">
        <w:rPr>
          <w:lang w:eastAsia="en-US"/>
        </w:rPr>
        <w:t xml:space="preserve">the </w:t>
      </w:r>
      <w:r>
        <w:rPr>
          <w:lang w:eastAsia="en-US"/>
        </w:rPr>
        <w:t>evacuation of personnel or damage to infrastructure and the shortage of qualified personnel as some specialists were forced to change their professional field or left the country.</w:t>
      </w:r>
    </w:p>
    <w:p w14:paraId="0F649D05" w14:textId="398143B3" w:rsidR="00822E70" w:rsidRDefault="00822E70" w:rsidP="00822E70">
      <w:pPr>
        <w:pStyle w:val="ONUME"/>
        <w:rPr>
          <w:lang w:eastAsia="en-US"/>
        </w:rPr>
      </w:pPr>
      <w:r>
        <w:rPr>
          <w:lang w:eastAsia="en-US"/>
        </w:rPr>
        <w:t xml:space="preserve">Adapting to the challenges of war, approaches to information support of innovators were rethought: </w:t>
      </w:r>
      <w:r w:rsidR="000F0B10">
        <w:rPr>
          <w:lang w:eastAsia="en-US"/>
        </w:rPr>
        <w:t xml:space="preserve"> </w:t>
      </w:r>
      <w:r>
        <w:rPr>
          <w:lang w:eastAsia="en-US"/>
        </w:rPr>
        <w:t xml:space="preserve">the emphasis was shifted to practical assistance in the field of international patenting, </w:t>
      </w:r>
      <w:r w:rsidR="00836927">
        <w:rPr>
          <w:lang w:eastAsia="en-US"/>
        </w:rPr>
        <w:t xml:space="preserve">the </w:t>
      </w:r>
      <w:r>
        <w:rPr>
          <w:lang w:eastAsia="en-US"/>
        </w:rPr>
        <w:t xml:space="preserve">development of quickly accessible educational tools, and </w:t>
      </w:r>
      <w:r w:rsidR="00836927">
        <w:rPr>
          <w:lang w:eastAsia="en-US"/>
        </w:rPr>
        <w:t xml:space="preserve">the </w:t>
      </w:r>
      <w:r>
        <w:rPr>
          <w:lang w:eastAsia="en-US"/>
        </w:rPr>
        <w:t xml:space="preserve">establishment of a more systematic dialogue with international partners. </w:t>
      </w:r>
      <w:r w:rsidR="0051650F">
        <w:rPr>
          <w:lang w:eastAsia="en-US"/>
        </w:rPr>
        <w:t xml:space="preserve"> </w:t>
      </w:r>
      <w:r>
        <w:rPr>
          <w:lang w:eastAsia="en-US"/>
        </w:rPr>
        <w:t>The TISC network began to work more actively to identify and record the needs of Ukrainian developers, startups and higher education</w:t>
      </w:r>
      <w:r w:rsidR="006B4388">
        <w:rPr>
          <w:lang w:eastAsia="en-US"/>
        </w:rPr>
        <w:t>al</w:t>
      </w:r>
      <w:r>
        <w:rPr>
          <w:lang w:eastAsia="en-US"/>
        </w:rPr>
        <w:t xml:space="preserve"> institutions in the field of legal protection of </w:t>
      </w:r>
      <w:r w:rsidR="00557F59">
        <w:rPr>
          <w:lang w:eastAsia="en-US"/>
        </w:rPr>
        <w:t>IP</w:t>
      </w:r>
      <w:r>
        <w:rPr>
          <w:lang w:eastAsia="en-US"/>
        </w:rPr>
        <w:t xml:space="preserve"> rights in response to the security, humanitarian and technological challenges of war.</w:t>
      </w:r>
    </w:p>
    <w:p w14:paraId="1E850EA7" w14:textId="30E90CE7" w:rsidR="00822E70" w:rsidRDefault="00822E70" w:rsidP="00822E70">
      <w:pPr>
        <w:pStyle w:val="ONUME"/>
        <w:rPr>
          <w:lang w:eastAsia="en-US"/>
        </w:rPr>
      </w:pPr>
      <w:r>
        <w:rPr>
          <w:lang w:eastAsia="en-US"/>
        </w:rPr>
        <w:t xml:space="preserve">According to the TISC UANIPIO </w:t>
      </w:r>
      <w:r w:rsidR="00C3577D">
        <w:rPr>
          <w:lang w:eastAsia="en-US"/>
        </w:rPr>
        <w:t>Focal Point</w:t>
      </w:r>
      <w:r>
        <w:rPr>
          <w:lang w:eastAsia="en-US"/>
        </w:rPr>
        <w:t>, the long-term impacts of the war on Ukraine’s innovation and creativity sector and ecosystem will be a lack of funding for research and development, a shortage of personnel, and limited access to equipment.</w:t>
      </w:r>
    </w:p>
    <w:p w14:paraId="6F2BB875" w14:textId="1B145C9E" w:rsidR="00822E70" w:rsidRDefault="00C40570" w:rsidP="00C40570">
      <w:pPr>
        <w:pStyle w:val="Heading3"/>
        <w:ind w:left="1890" w:hanging="720"/>
        <w:rPr>
          <w:u w:val="none"/>
          <w:lang w:eastAsia="en-US"/>
        </w:rPr>
      </w:pPr>
      <w:bookmarkStart w:id="26" w:name="_Toc200544990"/>
      <w:r>
        <w:rPr>
          <w:u w:val="none"/>
          <w:lang w:eastAsia="en-US"/>
        </w:rPr>
        <w:t>2.3.6</w:t>
      </w:r>
      <w:r>
        <w:rPr>
          <w:u w:val="none"/>
          <w:lang w:eastAsia="en-US"/>
        </w:rPr>
        <w:tab/>
      </w:r>
      <w:r w:rsidR="00822E70" w:rsidRPr="00C40570">
        <w:rPr>
          <w:lang w:eastAsia="en-US"/>
        </w:rPr>
        <w:t>Creative Sector</w:t>
      </w:r>
      <w:bookmarkEnd w:id="26"/>
      <w:r w:rsidR="00822E70" w:rsidRPr="00C40570">
        <w:rPr>
          <w:u w:val="none"/>
          <w:lang w:eastAsia="en-US"/>
        </w:rPr>
        <w:t xml:space="preserve"> </w:t>
      </w:r>
    </w:p>
    <w:p w14:paraId="4D0079E0" w14:textId="77777777" w:rsidR="00C40570" w:rsidRPr="00C40570" w:rsidRDefault="00C40570" w:rsidP="00C40570">
      <w:pPr>
        <w:rPr>
          <w:lang w:eastAsia="en-US"/>
        </w:rPr>
      </w:pPr>
    </w:p>
    <w:p w14:paraId="7B505EAE" w14:textId="0D29860D" w:rsidR="00822E70" w:rsidRDefault="00E124F3" w:rsidP="00822E70">
      <w:pPr>
        <w:pStyle w:val="ONUME"/>
        <w:rPr>
          <w:lang w:eastAsia="en-US"/>
        </w:rPr>
      </w:pPr>
      <w:r>
        <w:rPr>
          <w:lang w:eastAsia="en-US"/>
        </w:rPr>
        <w:t xml:space="preserve">In addition to the </w:t>
      </w:r>
      <w:r w:rsidR="001256D5">
        <w:rPr>
          <w:lang w:eastAsia="en-US"/>
        </w:rPr>
        <w:t xml:space="preserve">data reported by </w:t>
      </w:r>
      <w:r w:rsidR="00822E70">
        <w:rPr>
          <w:lang w:eastAsia="en-US"/>
        </w:rPr>
        <w:t>UNESCO</w:t>
      </w:r>
      <w:r w:rsidR="0064423D">
        <w:rPr>
          <w:rStyle w:val="FootnoteReference"/>
          <w:lang w:eastAsia="en-US"/>
        </w:rPr>
        <w:footnoteReference w:id="16"/>
      </w:r>
      <w:r w:rsidR="00577071">
        <w:rPr>
          <w:lang w:eastAsia="en-US"/>
        </w:rPr>
        <w:t>, a</w:t>
      </w:r>
      <w:r w:rsidR="00822E70">
        <w:rPr>
          <w:lang w:eastAsia="en-US"/>
        </w:rPr>
        <w:t>ccording to an assessment conducted by the Kyiv School of Economics” in cooperation with the Ministry of Communities and Territories Development of Ukraine, the Ministry of Economy of Ukraine, other relevant ministries and the National Bank of Ukraine, as of November 2024, almost 4,000 different cultural sites were damaged or destroyed</w:t>
      </w:r>
      <w:r w:rsidR="00C82C17">
        <w:rPr>
          <w:lang w:eastAsia="en-US"/>
        </w:rPr>
        <w:t>.</w:t>
      </w:r>
      <w:r w:rsidR="00E66514">
        <w:rPr>
          <w:rStyle w:val="FootnoteReference"/>
          <w:lang w:eastAsia="en-US"/>
        </w:rPr>
        <w:footnoteReference w:id="17"/>
      </w:r>
      <w:r w:rsidR="00822E70">
        <w:rPr>
          <w:lang w:eastAsia="en-US"/>
        </w:rPr>
        <w:t xml:space="preserve">  </w:t>
      </w:r>
    </w:p>
    <w:p w14:paraId="554D34EB" w14:textId="14243156" w:rsidR="00822E70" w:rsidRPr="00EC0B22" w:rsidRDefault="00822E70" w:rsidP="00822E70">
      <w:pPr>
        <w:pStyle w:val="ONUME"/>
        <w:rPr>
          <w:lang w:eastAsia="en-US"/>
        </w:rPr>
      </w:pPr>
      <w:r>
        <w:rPr>
          <w:lang w:eastAsia="en-US"/>
        </w:rPr>
        <w:t>The situation in Ukraine’s creative sector remains deeply affected by the ongoing war.</w:t>
      </w:r>
      <w:r w:rsidR="0051650F">
        <w:rPr>
          <w:lang w:eastAsia="en-US"/>
        </w:rPr>
        <w:t xml:space="preserve"> </w:t>
      </w:r>
      <w:r>
        <w:rPr>
          <w:lang w:eastAsia="en-US"/>
        </w:rPr>
        <w:t xml:space="preserve"> To update the 2023 assessment, consultations were held with stakeholders from across the creative industries, including book publishers, film producers, CMOs, </w:t>
      </w:r>
      <w:r w:rsidR="00BF43E1">
        <w:rPr>
          <w:lang w:eastAsia="en-US"/>
        </w:rPr>
        <w:t>stage actors</w:t>
      </w:r>
      <w:r w:rsidR="000F0B10">
        <w:rPr>
          <w:lang w:eastAsia="en-US"/>
        </w:rPr>
        <w:t>,</w:t>
      </w:r>
      <w:r>
        <w:rPr>
          <w:lang w:eastAsia="en-US"/>
        </w:rPr>
        <w:t xml:space="preserve"> and individual artists, photographers, authors and performers of musical works.  These consultations confirmed that the challenges identified earlier have persisted.  Stakeholders continue to report a decline in the production of creative goods and services, reduced income and exports, the outflow of professional talent abroad or into other fields, the disbanding of creative teams, and a shift toward freelance work that hinders large-</w:t>
      </w:r>
      <w:r w:rsidRPr="00EC0B22">
        <w:rPr>
          <w:lang w:eastAsia="en-US"/>
        </w:rPr>
        <w:t>scale collaboration and affects the overall quality of output.  Many businesses in the sector have lost production capacity and face severe difficulties relocating or operating due to a reduced domestic market for cultural events and performances.</w:t>
      </w:r>
    </w:p>
    <w:p w14:paraId="0DF3F104" w14:textId="0B06AEC3" w:rsidR="00822E70" w:rsidRPr="00EC0B22" w:rsidRDefault="00822E70" w:rsidP="00822E70">
      <w:pPr>
        <w:pStyle w:val="ONUME"/>
        <w:rPr>
          <w:lang w:eastAsia="en-US"/>
        </w:rPr>
      </w:pPr>
      <w:r w:rsidRPr="00EC0B22">
        <w:rPr>
          <w:lang w:eastAsia="en-US"/>
        </w:rPr>
        <w:t xml:space="preserve">As a general negative trend, the share of creative industries in </w:t>
      </w:r>
      <w:r w:rsidR="0051650F">
        <w:rPr>
          <w:lang w:eastAsia="en-US"/>
        </w:rPr>
        <w:t xml:space="preserve">GDP </w:t>
      </w:r>
      <w:r w:rsidRPr="00EC0B22">
        <w:rPr>
          <w:lang w:eastAsia="en-US"/>
        </w:rPr>
        <w:t>decreased from</w:t>
      </w:r>
      <w:r w:rsidR="0051650F">
        <w:rPr>
          <w:lang w:eastAsia="en-US"/>
        </w:rPr>
        <w:t xml:space="preserve">   </w:t>
      </w:r>
      <w:r w:rsidRPr="00EC0B22">
        <w:rPr>
          <w:lang w:eastAsia="en-US"/>
        </w:rPr>
        <w:t xml:space="preserve"> 6.07</w:t>
      </w:r>
      <w:r w:rsidR="00D67C0A">
        <w:rPr>
          <w:lang w:eastAsia="en-US"/>
        </w:rPr>
        <w:t xml:space="preserve"> per</w:t>
      </w:r>
      <w:r w:rsidR="0051650F">
        <w:rPr>
          <w:lang w:eastAsia="en-US"/>
        </w:rPr>
        <w:t xml:space="preserve"> </w:t>
      </w:r>
      <w:r w:rsidR="00D67C0A">
        <w:rPr>
          <w:lang w:eastAsia="en-US"/>
        </w:rPr>
        <w:t>cent</w:t>
      </w:r>
      <w:r w:rsidRPr="00EC0B22">
        <w:rPr>
          <w:lang w:eastAsia="en-US"/>
        </w:rPr>
        <w:t xml:space="preserve"> in 2021 to 2.43 </w:t>
      </w:r>
      <w:r w:rsidR="00D67C0A">
        <w:rPr>
          <w:lang w:eastAsia="en-US"/>
        </w:rPr>
        <w:t>per</w:t>
      </w:r>
      <w:r w:rsidR="0051650F">
        <w:rPr>
          <w:lang w:eastAsia="en-US"/>
        </w:rPr>
        <w:t xml:space="preserve"> </w:t>
      </w:r>
      <w:r w:rsidR="00D67C0A">
        <w:rPr>
          <w:lang w:eastAsia="en-US"/>
        </w:rPr>
        <w:t xml:space="preserve">cent </w:t>
      </w:r>
      <w:r w:rsidRPr="00EC0B22">
        <w:rPr>
          <w:lang w:eastAsia="en-US"/>
        </w:rPr>
        <w:t>in 2023</w:t>
      </w:r>
      <w:r w:rsidR="00552E7C">
        <w:rPr>
          <w:rStyle w:val="FootnoteReference"/>
          <w:lang w:eastAsia="en-US"/>
        </w:rPr>
        <w:footnoteReference w:id="18"/>
      </w:r>
      <w:r w:rsidRPr="00EC0B22">
        <w:rPr>
          <w:lang w:eastAsia="en-US"/>
        </w:rPr>
        <w:t>.  As of 2024, 65.6</w:t>
      </w:r>
      <w:r w:rsidR="0051650F">
        <w:rPr>
          <w:lang w:eastAsia="en-US"/>
        </w:rPr>
        <w:t xml:space="preserve"> per cent</w:t>
      </w:r>
      <w:r w:rsidRPr="00EC0B22">
        <w:rPr>
          <w:lang w:eastAsia="en-US"/>
        </w:rPr>
        <w:t xml:space="preserve"> of creative industry representatives lacked funding for creative projects, 57.6</w:t>
      </w:r>
      <w:r w:rsidR="00D67C0A">
        <w:rPr>
          <w:lang w:eastAsia="en-US"/>
        </w:rPr>
        <w:t xml:space="preserve"> per</w:t>
      </w:r>
      <w:r w:rsidR="0051650F">
        <w:rPr>
          <w:lang w:eastAsia="en-US"/>
        </w:rPr>
        <w:t xml:space="preserve"> </w:t>
      </w:r>
      <w:r w:rsidR="00D67C0A">
        <w:rPr>
          <w:lang w:eastAsia="en-US"/>
        </w:rPr>
        <w:t xml:space="preserve">cent </w:t>
      </w:r>
      <w:r w:rsidRPr="00EC0B22">
        <w:rPr>
          <w:lang w:eastAsia="en-US"/>
        </w:rPr>
        <w:t>lacked material and technical resources, and 49.8</w:t>
      </w:r>
      <w:r w:rsidR="00D67C0A">
        <w:rPr>
          <w:lang w:eastAsia="en-US"/>
        </w:rPr>
        <w:t xml:space="preserve"> per</w:t>
      </w:r>
      <w:r w:rsidR="0051650F">
        <w:rPr>
          <w:lang w:eastAsia="en-US"/>
        </w:rPr>
        <w:t xml:space="preserve"> </w:t>
      </w:r>
      <w:r w:rsidR="00D67C0A">
        <w:rPr>
          <w:lang w:eastAsia="en-US"/>
        </w:rPr>
        <w:t>cent</w:t>
      </w:r>
      <w:r w:rsidRPr="00EC0B22">
        <w:rPr>
          <w:lang w:eastAsia="en-US"/>
        </w:rPr>
        <w:t xml:space="preserve"> lacked funding to pay salaries to employees</w:t>
      </w:r>
      <w:r w:rsidR="00AC4F90">
        <w:rPr>
          <w:lang w:eastAsia="en-US"/>
        </w:rPr>
        <w:t>.</w:t>
      </w:r>
      <w:r w:rsidR="00552E7C">
        <w:rPr>
          <w:rStyle w:val="FootnoteReference"/>
          <w:lang w:eastAsia="en-US"/>
        </w:rPr>
        <w:footnoteReference w:id="19"/>
      </w:r>
      <w:r w:rsidRPr="00EC0B22">
        <w:rPr>
          <w:lang w:eastAsia="en-US"/>
        </w:rPr>
        <w:t xml:space="preserve">   </w:t>
      </w:r>
    </w:p>
    <w:p w14:paraId="6271F188" w14:textId="40382516" w:rsidR="00822E70" w:rsidRDefault="00822E70" w:rsidP="00557F59">
      <w:pPr>
        <w:pStyle w:val="ONUME"/>
        <w:rPr>
          <w:lang w:eastAsia="en-US"/>
        </w:rPr>
      </w:pPr>
      <w:r>
        <w:rPr>
          <w:lang w:eastAsia="en-US"/>
        </w:rPr>
        <w:lastRenderedPageBreak/>
        <w:t>Ukrainian visual artists</w:t>
      </w:r>
      <w:proofErr w:type="gramStart"/>
      <w:r>
        <w:rPr>
          <w:lang w:eastAsia="en-US"/>
        </w:rPr>
        <w:t>, in particular</w:t>
      </w:r>
      <w:r w:rsidR="008D3BF9">
        <w:rPr>
          <w:lang w:eastAsia="en-US"/>
        </w:rPr>
        <w:t>,</w:t>
      </w:r>
      <w:r>
        <w:rPr>
          <w:lang w:eastAsia="en-US"/>
        </w:rPr>
        <w:t xml:space="preserve"> remain</w:t>
      </w:r>
      <w:proofErr w:type="gramEnd"/>
      <w:r>
        <w:rPr>
          <w:lang w:eastAsia="en-US"/>
        </w:rPr>
        <w:t xml:space="preserve"> heavily impacted by the war.  </w:t>
      </w:r>
      <w:r w:rsidR="008D3BF9">
        <w:rPr>
          <w:lang w:eastAsia="en-US"/>
        </w:rPr>
        <w:t>The r</w:t>
      </w:r>
      <w:r>
        <w:rPr>
          <w:lang w:eastAsia="en-US"/>
        </w:rPr>
        <w:t xml:space="preserve">espondents continue to report psychological stress, trauma, and a lack of inspiration, which has disrupted their creative output and narrowed the thematic focus of new work, most of which now centers on war-related experiences.  Material costs remain high, and the loss of equipment, closure of studios, and unaffordable rental spaces further constrain artistic production.  While international interest in Ukrainian art has grown, especially through participation in global exhibitions, artists continue to face barriers in exporting their works and accessing foreign grant opportunities due to logistical, financial, and </w:t>
      </w:r>
      <w:r w:rsidR="00557F59">
        <w:rPr>
          <w:lang w:eastAsia="en-US"/>
        </w:rPr>
        <w:t>other</w:t>
      </w:r>
      <w:r>
        <w:rPr>
          <w:lang w:eastAsia="en-US"/>
        </w:rPr>
        <w:t xml:space="preserve"> challenges.</w:t>
      </w:r>
      <w:r w:rsidR="0051650F">
        <w:rPr>
          <w:lang w:eastAsia="en-US"/>
        </w:rPr>
        <w:t xml:space="preserve"> </w:t>
      </w:r>
      <w:r>
        <w:rPr>
          <w:lang w:eastAsia="en-US"/>
        </w:rPr>
        <w:t xml:space="preserve"> These conditions reflect the broader strain on Ukraine’s cultural ecosystem</w:t>
      </w:r>
      <w:r w:rsidR="00557F59">
        <w:rPr>
          <w:lang w:eastAsia="en-US"/>
        </w:rPr>
        <w:t>.</w:t>
      </w:r>
    </w:p>
    <w:p w14:paraId="484BC865" w14:textId="4B857387" w:rsidR="00822E70" w:rsidRDefault="00822E70" w:rsidP="00822E70">
      <w:pPr>
        <w:pStyle w:val="ONUME"/>
        <w:rPr>
          <w:lang w:eastAsia="en-US"/>
        </w:rPr>
      </w:pPr>
      <w:r>
        <w:rPr>
          <w:lang w:eastAsia="en-US"/>
        </w:rPr>
        <w:t>Representatives of the music industry likewise reported the continued significant impact of the war on their activity, identifying a significant deficit of choreographers, sound engineers, fashion designers, and other professionals involved in video clip filming or show production as most pressing factors.  This leads to the impossibility of carrying out concert activities due to market downturn and security concerns.  At the same time, the Ukrainian digital music market grew by 9</w:t>
      </w:r>
      <w:r w:rsidR="00534102">
        <w:rPr>
          <w:lang w:eastAsia="en-US"/>
        </w:rPr>
        <w:t xml:space="preserve"> per</w:t>
      </w:r>
      <w:r w:rsidR="0051650F">
        <w:rPr>
          <w:lang w:eastAsia="en-US"/>
        </w:rPr>
        <w:t xml:space="preserve"> </w:t>
      </w:r>
      <w:r w:rsidR="00534102">
        <w:rPr>
          <w:lang w:eastAsia="en-US"/>
        </w:rPr>
        <w:t xml:space="preserve">cent </w:t>
      </w:r>
      <w:r>
        <w:rPr>
          <w:lang w:eastAsia="en-US"/>
        </w:rPr>
        <w:t>in 2022 and by another 3</w:t>
      </w:r>
      <w:r w:rsidR="00534102">
        <w:rPr>
          <w:lang w:eastAsia="en-US"/>
        </w:rPr>
        <w:t xml:space="preserve"> per</w:t>
      </w:r>
      <w:r w:rsidR="000F0B10">
        <w:rPr>
          <w:lang w:eastAsia="en-US"/>
        </w:rPr>
        <w:t xml:space="preserve"> </w:t>
      </w:r>
      <w:r w:rsidR="00534102">
        <w:rPr>
          <w:lang w:eastAsia="en-US"/>
        </w:rPr>
        <w:t>cent</w:t>
      </w:r>
      <w:r>
        <w:rPr>
          <w:lang w:eastAsia="en-US"/>
        </w:rPr>
        <w:t xml:space="preserve"> in 2023, and</w:t>
      </w:r>
      <w:r w:rsidR="000105B9">
        <w:rPr>
          <w:lang w:eastAsia="en-US"/>
        </w:rPr>
        <w:t xml:space="preserve"> the</w:t>
      </w:r>
      <w:r>
        <w:rPr>
          <w:lang w:eastAsia="en-US"/>
        </w:rPr>
        <w:t xml:space="preserve"> respondents reported improved opportunities for promoting Ukrainian artists on digital platforms.  Nevertheless, they reported that they still face a significant decrease in income compared to the pre-war period.</w:t>
      </w:r>
    </w:p>
    <w:p w14:paraId="1E53AA4D" w14:textId="4B8E0004" w:rsidR="00822E70" w:rsidRDefault="00822E70" w:rsidP="00822E70">
      <w:pPr>
        <w:pStyle w:val="ONUME"/>
        <w:rPr>
          <w:lang w:eastAsia="en-US"/>
        </w:rPr>
      </w:pPr>
      <w:r>
        <w:rPr>
          <w:lang w:eastAsia="en-US"/>
        </w:rPr>
        <w:t xml:space="preserve">Ukraine’s book publishing industry continued to face substantial disruption due to the war, with a sustained decline in the number of active publishers, published titles, and print circulation.  According to the respondents, publishers continue to struggle with ensuring employee safety, adapting to remote work, protecting existing inventories, and coping with rising production costs.  Book sales remain low, many bookstores have closed, and the readership has decreased significantly due to displacement </w:t>
      </w:r>
      <w:r w:rsidR="00B66D9E">
        <w:rPr>
          <w:lang w:eastAsia="en-US"/>
        </w:rPr>
        <w:t xml:space="preserve">of the population </w:t>
      </w:r>
      <w:r>
        <w:rPr>
          <w:lang w:eastAsia="en-US"/>
        </w:rPr>
        <w:t xml:space="preserve">and emigration.  Power outages further complicate operations.  Although State support for book publishing in 2024 and 2025 is more than one and a half times higher than in the pre-war period, at the same time, the number of books published is much lower.  This is caused by inflation and rising prices for publishing materials and services. </w:t>
      </w:r>
    </w:p>
    <w:p w14:paraId="1314CDBA" w14:textId="35FB2DD5" w:rsidR="00557F59" w:rsidRDefault="00822E70" w:rsidP="00557F59">
      <w:pPr>
        <w:pStyle w:val="ONUME"/>
        <w:rPr>
          <w:lang w:eastAsia="en-US"/>
        </w:rPr>
      </w:pPr>
      <w:r>
        <w:rPr>
          <w:lang w:eastAsia="en-US"/>
        </w:rPr>
        <w:t>Film production during the war has also been hampered</w:t>
      </w:r>
      <w:r w:rsidR="00DA158E" w:rsidRPr="00DA158E">
        <w:rPr>
          <w:lang w:eastAsia="en-US"/>
        </w:rPr>
        <w:t xml:space="preserve"> </w:t>
      </w:r>
      <w:r w:rsidR="00DA158E">
        <w:rPr>
          <w:lang w:eastAsia="en-US"/>
        </w:rPr>
        <w:t>significantly</w:t>
      </w:r>
      <w:r>
        <w:rPr>
          <w:lang w:eastAsia="en-US"/>
        </w:rPr>
        <w:t xml:space="preserve">.  The State Film Agency of Ukraine reported that most of the filmmakers (directors, screenwriters, actors, etc.) joined the army or went abroad, which resulted in many film projects being suspended.  The amount of </w:t>
      </w:r>
      <w:r w:rsidR="00666AB3">
        <w:rPr>
          <w:lang w:eastAsia="en-US"/>
        </w:rPr>
        <w:t xml:space="preserve">Government </w:t>
      </w:r>
      <w:r>
        <w:rPr>
          <w:lang w:eastAsia="en-US"/>
        </w:rPr>
        <w:t xml:space="preserve">support funding </w:t>
      </w:r>
      <w:proofErr w:type="gramStart"/>
      <w:r>
        <w:rPr>
          <w:lang w:eastAsia="en-US"/>
        </w:rPr>
        <w:t>for the production of</w:t>
      </w:r>
      <w:proofErr w:type="gramEnd"/>
      <w:r>
        <w:rPr>
          <w:lang w:eastAsia="en-US"/>
        </w:rPr>
        <w:t xml:space="preserve"> national films has decreased, which has led to a significant drop in their number.  In the period from </w:t>
      </w:r>
      <w:r w:rsidR="00557F59">
        <w:rPr>
          <w:lang w:eastAsia="en-US"/>
        </w:rPr>
        <w:t xml:space="preserve">January </w:t>
      </w:r>
      <w:r>
        <w:rPr>
          <w:lang w:eastAsia="en-US"/>
        </w:rPr>
        <w:t xml:space="preserve">2020 </w:t>
      </w:r>
      <w:proofErr w:type="gramStart"/>
      <w:r>
        <w:rPr>
          <w:lang w:eastAsia="en-US"/>
        </w:rPr>
        <w:t xml:space="preserve">to </w:t>
      </w:r>
      <w:r w:rsidR="0051650F">
        <w:rPr>
          <w:lang w:eastAsia="en-US"/>
        </w:rPr>
        <w:t xml:space="preserve"> </w:t>
      </w:r>
      <w:r w:rsidR="00557F59">
        <w:rPr>
          <w:lang w:eastAsia="en-US"/>
        </w:rPr>
        <w:t>February</w:t>
      </w:r>
      <w:proofErr w:type="gramEnd"/>
      <w:r w:rsidR="00557F59">
        <w:rPr>
          <w:lang w:eastAsia="en-US"/>
        </w:rPr>
        <w:t xml:space="preserve"> </w:t>
      </w:r>
      <w:r>
        <w:rPr>
          <w:lang w:eastAsia="en-US"/>
        </w:rPr>
        <w:t>24</w:t>
      </w:r>
      <w:r w:rsidR="00557F59">
        <w:rPr>
          <w:lang w:eastAsia="en-US"/>
        </w:rPr>
        <w:t xml:space="preserve">, </w:t>
      </w:r>
      <w:r>
        <w:rPr>
          <w:lang w:eastAsia="en-US"/>
        </w:rPr>
        <w:t xml:space="preserve">2022, 118 films were produced with </w:t>
      </w:r>
      <w:r w:rsidR="00730FAF">
        <w:rPr>
          <w:lang w:eastAsia="en-US"/>
        </w:rPr>
        <w:t>S</w:t>
      </w:r>
      <w:r>
        <w:rPr>
          <w:lang w:eastAsia="en-US"/>
        </w:rPr>
        <w:t xml:space="preserve">tate support, and only 52 films </w:t>
      </w:r>
      <w:proofErr w:type="gramStart"/>
      <w:r>
        <w:rPr>
          <w:lang w:eastAsia="en-US"/>
        </w:rPr>
        <w:t>from</w:t>
      </w:r>
      <w:r w:rsidR="00557F59">
        <w:rPr>
          <w:lang w:eastAsia="en-US"/>
        </w:rPr>
        <w:t xml:space="preserve"> </w:t>
      </w:r>
      <w:r w:rsidR="0051650F">
        <w:rPr>
          <w:lang w:eastAsia="en-US"/>
        </w:rPr>
        <w:t xml:space="preserve"> </w:t>
      </w:r>
      <w:r w:rsidR="00557F59">
        <w:rPr>
          <w:lang w:eastAsia="en-US"/>
        </w:rPr>
        <w:t>February</w:t>
      </w:r>
      <w:proofErr w:type="gramEnd"/>
      <w:r w:rsidR="00557F59">
        <w:rPr>
          <w:lang w:eastAsia="en-US"/>
        </w:rPr>
        <w:t xml:space="preserve"> 25, </w:t>
      </w:r>
      <w:r>
        <w:rPr>
          <w:lang w:eastAsia="en-US"/>
        </w:rPr>
        <w:t>2022</w:t>
      </w:r>
      <w:r w:rsidR="00AF7CE3">
        <w:rPr>
          <w:lang w:eastAsia="en-US"/>
        </w:rPr>
        <w:t xml:space="preserve">, </w:t>
      </w:r>
      <w:r>
        <w:rPr>
          <w:lang w:eastAsia="en-US"/>
        </w:rPr>
        <w:t xml:space="preserve">to </w:t>
      </w:r>
      <w:r w:rsidR="00730FAF">
        <w:rPr>
          <w:lang w:eastAsia="en-US"/>
        </w:rPr>
        <w:t xml:space="preserve">the </w:t>
      </w:r>
      <w:r w:rsidR="00557F59">
        <w:rPr>
          <w:lang w:eastAsia="en-US"/>
        </w:rPr>
        <w:t xml:space="preserve">end of December </w:t>
      </w:r>
      <w:r>
        <w:rPr>
          <w:lang w:eastAsia="en-US"/>
        </w:rPr>
        <w:t xml:space="preserve">2024. </w:t>
      </w:r>
      <w:r w:rsidR="00557F59">
        <w:rPr>
          <w:lang w:eastAsia="en-US"/>
        </w:rPr>
        <w:t xml:space="preserve"> </w:t>
      </w:r>
      <w:r>
        <w:rPr>
          <w:lang w:eastAsia="en-US"/>
        </w:rPr>
        <w:t>In 2025, it is planned to produce approximately 40-50 films and TV series.</w:t>
      </w:r>
    </w:p>
    <w:p w14:paraId="1942D896" w14:textId="001A1348" w:rsidR="00B95881" w:rsidRDefault="00822E70" w:rsidP="00B95881">
      <w:pPr>
        <w:pStyle w:val="ONUME"/>
        <w:rPr>
          <w:lang w:eastAsia="en-US"/>
        </w:rPr>
      </w:pPr>
      <w:r>
        <w:rPr>
          <w:lang w:eastAsia="en-US"/>
        </w:rPr>
        <w:t xml:space="preserve">In 2023, the Ukrainian Cultural Foundation resumed its operations, after the suspension of funding in 2022. </w:t>
      </w:r>
      <w:r w:rsidR="0051650F">
        <w:rPr>
          <w:lang w:eastAsia="en-US"/>
        </w:rPr>
        <w:t xml:space="preserve"> </w:t>
      </w:r>
      <w:r>
        <w:rPr>
          <w:lang w:eastAsia="en-US"/>
        </w:rPr>
        <w:t>While some pre-war grant programs were implemented, overall budget allocations remained significantly reduced compared to prewar levels, limiting the scale of public support for creative projects.  This affected the number of projects for which the Foundation provided grants:</w:t>
      </w:r>
      <w:r w:rsidR="0051650F">
        <w:rPr>
          <w:lang w:eastAsia="en-US"/>
        </w:rPr>
        <w:t xml:space="preserve"> </w:t>
      </w:r>
      <w:r>
        <w:rPr>
          <w:lang w:eastAsia="en-US"/>
        </w:rPr>
        <w:t xml:space="preserve"> while in 2021 the Foundation supported 542 projects, in 2024 only 235 projects have been supported.  A slight increase is observed in 2025.</w:t>
      </w:r>
    </w:p>
    <w:p w14:paraId="4F810B06" w14:textId="30A36D2C" w:rsidR="00822E70" w:rsidRPr="00822E70" w:rsidRDefault="00822E70" w:rsidP="00B95881">
      <w:pPr>
        <w:pStyle w:val="ONUME"/>
        <w:rPr>
          <w:lang w:eastAsia="en-US"/>
        </w:rPr>
      </w:pPr>
      <w:r w:rsidRPr="00822E70">
        <w:rPr>
          <w:lang w:eastAsia="en-US"/>
        </w:rPr>
        <w:t>The situation of CMOs in Ukraine remains constrained, building on challenges that began shortly before the war.</w:t>
      </w:r>
      <w:r w:rsidR="00D12D31">
        <w:rPr>
          <w:lang w:eastAsia="en-US"/>
        </w:rPr>
        <w:t xml:space="preserve"> </w:t>
      </w:r>
      <w:r w:rsidRPr="00822E70">
        <w:rPr>
          <w:lang w:eastAsia="en-US"/>
        </w:rPr>
        <w:t xml:space="preserve"> As of February 13, 2022, legislation came into force canceling previously granted accreditations for CMOs in key areas of extended rights management, including the public performance and communication to the public of musical non-dramatic works.</w:t>
      </w:r>
      <w:r w:rsidR="00593BEF">
        <w:rPr>
          <w:lang w:eastAsia="en-US"/>
        </w:rPr>
        <w:t xml:space="preserve"> </w:t>
      </w:r>
      <w:r w:rsidRPr="00822E70">
        <w:rPr>
          <w:lang w:eastAsia="en-US"/>
        </w:rPr>
        <w:t xml:space="preserve"> Although procedures to re-establish accredited CMOs were expected by April 2022, the outbreak of war prevented their announcement. </w:t>
      </w:r>
      <w:r w:rsidR="00593BEF">
        <w:rPr>
          <w:lang w:eastAsia="en-US"/>
        </w:rPr>
        <w:t xml:space="preserve"> </w:t>
      </w:r>
      <w:r w:rsidRPr="00822E70">
        <w:rPr>
          <w:lang w:eastAsia="en-US"/>
        </w:rPr>
        <w:t>The adoption of the new Law on Copyright and Related Rights in December 2022 formalized this suspension, stipulating that no accreditation procedures would be held during martial law, with a postponement of at least 12 months following its termination.</w:t>
      </w:r>
      <w:r w:rsidR="00593BEF">
        <w:rPr>
          <w:lang w:eastAsia="en-US"/>
        </w:rPr>
        <w:t xml:space="preserve"> </w:t>
      </w:r>
      <w:r w:rsidRPr="00822E70">
        <w:rPr>
          <w:lang w:eastAsia="en-US"/>
        </w:rPr>
        <w:t xml:space="preserve"> As a result, CMOs continue to operate only through voluntary </w:t>
      </w:r>
      <w:r w:rsidRPr="00822E70">
        <w:rPr>
          <w:lang w:eastAsia="en-US"/>
        </w:rPr>
        <w:lastRenderedPageBreak/>
        <w:t xml:space="preserve">agreements with right holders, without the mandate to carry out extended or mandatory collective rights management, significantly limiting their capacity to protect and enforce the rights of creators during the ongoing conflict.  Thus, only </w:t>
      </w:r>
      <w:r w:rsidR="00A50370">
        <w:rPr>
          <w:lang w:eastAsia="en-US"/>
        </w:rPr>
        <w:t>eight</w:t>
      </w:r>
      <w:r w:rsidRPr="00822E70">
        <w:rPr>
          <w:lang w:eastAsia="en-US"/>
        </w:rPr>
        <w:t xml:space="preserve"> out of 19 registered CMOs</w:t>
      </w:r>
      <w:r w:rsidRPr="00822E70">
        <w:rPr>
          <w:vertAlign w:val="superscript"/>
          <w:lang w:eastAsia="en-US"/>
        </w:rPr>
        <w:footnoteReference w:id="20"/>
      </w:r>
      <w:r w:rsidRPr="00822E70">
        <w:rPr>
          <w:lang w:eastAsia="en-US"/>
        </w:rPr>
        <w:t xml:space="preserve"> are currently functioning </w:t>
      </w:r>
      <w:proofErr w:type="gramStart"/>
      <w:r w:rsidRPr="00822E70">
        <w:rPr>
          <w:lang w:eastAsia="en-US"/>
        </w:rPr>
        <w:t>more or less stably</w:t>
      </w:r>
      <w:proofErr w:type="gramEnd"/>
      <w:r w:rsidRPr="00822E70">
        <w:rPr>
          <w:lang w:eastAsia="en-US"/>
        </w:rPr>
        <w:t xml:space="preserve"> in Ukraine.  Three of them have decreased the amount of remuneration collected during the full-scale war while five other CMOs have increased it.</w:t>
      </w:r>
      <w:r w:rsidRPr="00822E70">
        <w:rPr>
          <w:vertAlign w:val="superscript"/>
          <w:lang w:eastAsia="en-US"/>
        </w:rPr>
        <w:footnoteReference w:id="21"/>
      </w:r>
      <w:r w:rsidRPr="00822E70">
        <w:rPr>
          <w:lang w:eastAsia="en-US"/>
        </w:rPr>
        <w:t xml:space="preserve"> </w:t>
      </w:r>
      <w:r w:rsidR="00BE508F">
        <w:rPr>
          <w:lang w:eastAsia="en-US"/>
        </w:rPr>
        <w:t xml:space="preserve"> The r</w:t>
      </w:r>
      <w:r w:rsidRPr="00822E70">
        <w:rPr>
          <w:lang w:eastAsia="en-US"/>
        </w:rPr>
        <w:t>espondents reported a problem with staffing as some employees were mobilized, and others went abroad.</w:t>
      </w:r>
      <w:r w:rsidRPr="00822E70" w:rsidDel="00A52F50">
        <w:rPr>
          <w:lang w:eastAsia="en-US"/>
        </w:rPr>
        <w:t xml:space="preserve"> </w:t>
      </w:r>
    </w:p>
    <w:p w14:paraId="2490CAA2" w14:textId="27CBB57D" w:rsidR="00822E70" w:rsidRPr="00EC0B22" w:rsidRDefault="00C40570" w:rsidP="00C40570">
      <w:pPr>
        <w:pStyle w:val="Heading2"/>
        <w:tabs>
          <w:tab w:val="left" w:pos="1170"/>
        </w:tabs>
        <w:spacing w:after="220"/>
        <w:ind w:left="1181" w:hanging="634"/>
        <w:rPr>
          <w:lang w:eastAsia="en-US"/>
        </w:rPr>
      </w:pPr>
      <w:bookmarkStart w:id="27" w:name="_Toc200544991"/>
      <w:r>
        <w:rPr>
          <w:lang w:eastAsia="en-US"/>
        </w:rPr>
        <w:t>2.</w:t>
      </w:r>
      <w:r w:rsidR="00396068">
        <w:rPr>
          <w:lang w:eastAsia="en-US"/>
        </w:rPr>
        <w:t>4</w:t>
      </w:r>
      <w:r>
        <w:rPr>
          <w:lang w:eastAsia="en-US"/>
        </w:rPr>
        <w:tab/>
      </w:r>
      <w:r w:rsidR="00822E70" w:rsidRPr="00EC0B22">
        <w:rPr>
          <w:lang w:eastAsia="en-US"/>
        </w:rPr>
        <w:t>Analysis of the Innovation Performance of Ukraine through the Global Innovation Index (GII)</w:t>
      </w:r>
      <w:bookmarkEnd w:id="27"/>
      <w:r w:rsidR="00822E70" w:rsidRPr="00EC0B22">
        <w:rPr>
          <w:lang w:eastAsia="en-US"/>
        </w:rPr>
        <w:t xml:space="preserve"> </w:t>
      </w:r>
    </w:p>
    <w:p w14:paraId="61BA8071" w14:textId="53B5AD21" w:rsidR="00822E70" w:rsidRPr="00EC0B22" w:rsidRDefault="00C40570" w:rsidP="00C40570">
      <w:pPr>
        <w:pStyle w:val="Heading3"/>
        <w:ind w:left="1890" w:hanging="720"/>
        <w:rPr>
          <w:lang w:eastAsia="en-US"/>
        </w:rPr>
      </w:pPr>
      <w:bookmarkStart w:id="28" w:name="_Toc200544992"/>
      <w:r w:rsidRPr="00EC0B22">
        <w:rPr>
          <w:u w:val="none"/>
          <w:lang w:eastAsia="en-US"/>
        </w:rPr>
        <w:t>2.</w:t>
      </w:r>
      <w:r w:rsidR="00396068">
        <w:rPr>
          <w:u w:val="none"/>
          <w:lang w:eastAsia="en-US"/>
        </w:rPr>
        <w:t>4</w:t>
      </w:r>
      <w:r w:rsidRPr="00EC0B22">
        <w:rPr>
          <w:u w:val="none"/>
          <w:lang w:eastAsia="en-US"/>
        </w:rPr>
        <w:t>.1</w:t>
      </w:r>
      <w:r w:rsidRPr="00EC0B22">
        <w:rPr>
          <w:u w:val="none"/>
          <w:lang w:eastAsia="en-US"/>
        </w:rPr>
        <w:tab/>
      </w:r>
      <w:r w:rsidR="00822E70" w:rsidRPr="00EC0B22">
        <w:rPr>
          <w:lang w:eastAsia="en-US"/>
        </w:rPr>
        <w:t>Summary</w:t>
      </w:r>
      <w:bookmarkEnd w:id="28"/>
    </w:p>
    <w:p w14:paraId="7D2E68BB" w14:textId="77777777" w:rsidR="00C40570" w:rsidRPr="00EC0B22" w:rsidRDefault="00C40570" w:rsidP="00C40570">
      <w:pPr>
        <w:rPr>
          <w:lang w:eastAsia="en-US"/>
        </w:rPr>
      </w:pPr>
    </w:p>
    <w:p w14:paraId="1D107552" w14:textId="64EDE376" w:rsidR="00552E7C" w:rsidRPr="00552E7C" w:rsidRDefault="00552E7C" w:rsidP="00842C14">
      <w:pPr>
        <w:pStyle w:val="ONUME"/>
        <w:tabs>
          <w:tab w:val="clear" w:pos="567"/>
          <w:tab w:val="clear" w:pos="1134"/>
          <w:tab w:val="left" w:pos="540"/>
          <w:tab w:val="left" w:pos="720"/>
        </w:tabs>
        <w:rPr>
          <w:lang w:eastAsia="en-US"/>
        </w:rPr>
      </w:pPr>
      <w:r w:rsidRPr="00552E7C">
        <w:rPr>
          <w:lang w:eastAsia="en-US"/>
        </w:rPr>
        <w:t>Ukraine's innovation trajectory, as captured by recent GII data, reflects both longstanding systemic constraints and emerging post-2022 challenges, but it also reflects data lags, and missing and outdated Ukrainian innovation metrics.</w:t>
      </w:r>
    </w:p>
    <w:p w14:paraId="6BD4EA92" w14:textId="22494233" w:rsidR="00552E7C" w:rsidRPr="00552E7C" w:rsidRDefault="00552E7C" w:rsidP="00842C14">
      <w:pPr>
        <w:pStyle w:val="ONUME"/>
        <w:tabs>
          <w:tab w:val="clear" w:pos="567"/>
          <w:tab w:val="clear" w:pos="1134"/>
          <w:tab w:val="num" w:pos="540"/>
        </w:tabs>
        <w:rPr>
          <w:lang w:eastAsia="en-US"/>
        </w:rPr>
      </w:pPr>
      <w:r w:rsidRPr="00552E7C">
        <w:rPr>
          <w:lang w:eastAsia="en-US"/>
        </w:rPr>
        <w:t>GII 2024 rankings place Ukraine at 60</w:t>
      </w:r>
      <w:r w:rsidRPr="005E74DD">
        <w:rPr>
          <w:vertAlign w:val="superscript"/>
          <w:lang w:eastAsia="en-US"/>
        </w:rPr>
        <w:t>th</w:t>
      </w:r>
      <w:r w:rsidRPr="00552E7C">
        <w:rPr>
          <w:lang w:eastAsia="en-US"/>
        </w:rPr>
        <w:t xml:space="preserve"> globally</w:t>
      </w:r>
      <w:r w:rsidR="00FF73DF">
        <w:rPr>
          <w:lang w:eastAsia="en-US"/>
        </w:rPr>
        <w:t>.</w:t>
      </w:r>
      <w:r>
        <w:rPr>
          <w:rStyle w:val="FootnoteReference"/>
          <w:lang w:eastAsia="en-US"/>
        </w:rPr>
        <w:footnoteReference w:id="22"/>
      </w:r>
      <w:r w:rsidR="007873FC">
        <w:rPr>
          <w:lang w:eastAsia="en-US"/>
        </w:rPr>
        <w:t xml:space="preserve">  </w:t>
      </w:r>
      <w:r w:rsidRPr="00552E7C">
        <w:rPr>
          <w:lang w:eastAsia="en-US"/>
        </w:rPr>
        <w:t xml:space="preserve">As such, Ukraine maintains a strong position within its income group, ranking </w:t>
      </w:r>
      <w:r w:rsidR="00FF73DF">
        <w:rPr>
          <w:lang w:eastAsia="en-US"/>
        </w:rPr>
        <w:t>fourth</w:t>
      </w:r>
      <w:r w:rsidR="003409C4">
        <w:rPr>
          <w:lang w:eastAsia="en-US"/>
        </w:rPr>
        <w:t xml:space="preserve"> </w:t>
      </w:r>
      <w:r w:rsidRPr="00552E7C">
        <w:rPr>
          <w:lang w:eastAsia="en-US"/>
        </w:rPr>
        <w:t xml:space="preserve">among lower-middle-income economies, and </w:t>
      </w:r>
      <w:r w:rsidR="003409C4">
        <w:rPr>
          <w:lang w:eastAsia="en-US"/>
        </w:rPr>
        <w:t>34</w:t>
      </w:r>
      <w:r w:rsidR="003409C4" w:rsidRPr="003409C4">
        <w:rPr>
          <w:vertAlign w:val="superscript"/>
          <w:lang w:eastAsia="en-US"/>
        </w:rPr>
        <w:t>th</w:t>
      </w:r>
      <w:r w:rsidR="003409C4">
        <w:rPr>
          <w:lang w:eastAsia="en-US"/>
        </w:rPr>
        <w:t xml:space="preserve"> </w:t>
      </w:r>
      <w:r w:rsidRPr="00552E7C">
        <w:rPr>
          <w:lang w:eastAsia="en-US"/>
        </w:rPr>
        <w:t xml:space="preserve">within European economies. </w:t>
      </w:r>
      <w:r w:rsidR="00FF73DF">
        <w:rPr>
          <w:lang w:eastAsia="en-US"/>
        </w:rPr>
        <w:t xml:space="preserve"> </w:t>
      </w:r>
      <w:r w:rsidRPr="00552E7C">
        <w:rPr>
          <w:lang w:eastAsia="en-US"/>
        </w:rPr>
        <w:t xml:space="preserve">Its best innovation performance is in Knowledge and Technology Outputs, Business Sophistication and Human Capital and Research. </w:t>
      </w:r>
      <w:r w:rsidR="00EB2D71">
        <w:rPr>
          <w:lang w:eastAsia="en-US"/>
        </w:rPr>
        <w:t xml:space="preserve"> </w:t>
      </w:r>
      <w:r w:rsidRPr="00552E7C">
        <w:rPr>
          <w:lang w:eastAsia="en-US"/>
        </w:rPr>
        <w:t xml:space="preserve">Ukraine also outperforms expectations relative to its GDP per capita in 2024, indicating that it is an economy </w:t>
      </w:r>
      <w:r w:rsidR="00EB2D71">
        <w:rPr>
          <w:lang w:eastAsia="en-US"/>
        </w:rPr>
        <w:t>that</w:t>
      </w:r>
      <w:r w:rsidRPr="00552E7C">
        <w:rPr>
          <w:lang w:eastAsia="en-US"/>
        </w:rPr>
        <w:t xml:space="preserve"> leverages its limited resources more efficiently than most of its income peers.</w:t>
      </w:r>
    </w:p>
    <w:p w14:paraId="5FECFBF9" w14:textId="2E3FEF5F" w:rsidR="00552E7C" w:rsidRPr="00552E7C" w:rsidRDefault="00552E7C" w:rsidP="00842C14">
      <w:pPr>
        <w:pStyle w:val="ONUME"/>
        <w:tabs>
          <w:tab w:val="clear" w:pos="567"/>
          <w:tab w:val="clear" w:pos="1134"/>
          <w:tab w:val="num" w:pos="540"/>
        </w:tabs>
        <w:rPr>
          <w:lang w:eastAsia="en-US"/>
        </w:rPr>
      </w:pPr>
      <w:r w:rsidRPr="00552E7C">
        <w:rPr>
          <w:lang w:eastAsia="en-US"/>
        </w:rPr>
        <w:t xml:space="preserve">Recent data for 2023 and 2024 also suggest continued strong performance in venture capital, international patent filings, and labor productivity. </w:t>
      </w:r>
      <w:r w:rsidR="00EB2D71">
        <w:rPr>
          <w:lang w:eastAsia="en-US"/>
        </w:rPr>
        <w:t xml:space="preserve"> Exports of </w:t>
      </w:r>
      <w:r w:rsidRPr="00552E7C">
        <w:rPr>
          <w:lang w:eastAsia="en-US"/>
        </w:rPr>
        <w:t xml:space="preserve">ICT services and software investment remain strong, positioning Ukraine as a key digital services player despite disruptions. </w:t>
      </w:r>
      <w:r w:rsidR="00EB2D71">
        <w:rPr>
          <w:lang w:eastAsia="en-US"/>
        </w:rPr>
        <w:t xml:space="preserve"> </w:t>
      </w:r>
      <w:r w:rsidRPr="00552E7C">
        <w:rPr>
          <w:lang w:eastAsia="en-US"/>
        </w:rPr>
        <w:t>These trends highlight resilience in investment and economic output, driven by the tech sector and an adaptive workforce.</w:t>
      </w:r>
    </w:p>
    <w:p w14:paraId="218B5CAC" w14:textId="7D5AB4C1" w:rsidR="00552E7C" w:rsidRPr="00552E7C" w:rsidRDefault="00552E7C" w:rsidP="00842C14">
      <w:pPr>
        <w:pStyle w:val="ONUME"/>
        <w:tabs>
          <w:tab w:val="clear" w:pos="567"/>
          <w:tab w:val="clear" w:pos="1134"/>
          <w:tab w:val="num" w:pos="630"/>
        </w:tabs>
        <w:rPr>
          <w:lang w:eastAsia="en-US"/>
        </w:rPr>
      </w:pPr>
      <w:r w:rsidRPr="00552E7C">
        <w:rPr>
          <w:lang w:eastAsia="en-US"/>
        </w:rPr>
        <w:t xml:space="preserve">Still, Ukraine's GII 2024 ranking at 60th </w:t>
      </w:r>
      <w:r w:rsidR="00A960C8">
        <w:rPr>
          <w:lang w:eastAsia="en-US"/>
        </w:rPr>
        <w:t xml:space="preserve">place </w:t>
      </w:r>
      <w:r w:rsidRPr="00552E7C">
        <w:rPr>
          <w:lang w:eastAsia="en-US"/>
        </w:rPr>
        <w:t>represents a decline from its 55</w:t>
      </w:r>
      <w:r w:rsidRPr="00834A81">
        <w:rPr>
          <w:vertAlign w:val="superscript"/>
          <w:lang w:eastAsia="en-US"/>
        </w:rPr>
        <w:t>th</w:t>
      </w:r>
      <w:r w:rsidRPr="00552E7C">
        <w:rPr>
          <w:lang w:eastAsia="en-US"/>
        </w:rPr>
        <w:t xml:space="preserve"> position in 2023 and continues a trend of declining innovation ranking over recent years, with a peak at rank </w:t>
      </w:r>
      <w:proofErr w:type="gramStart"/>
      <w:r w:rsidRPr="00552E7C">
        <w:rPr>
          <w:lang w:eastAsia="en-US"/>
        </w:rPr>
        <w:t>43</w:t>
      </w:r>
      <w:r w:rsidR="000F0B10" w:rsidRPr="00834A81">
        <w:rPr>
          <w:vertAlign w:val="superscript"/>
          <w:lang w:eastAsia="en-US"/>
        </w:rPr>
        <w:t>th</w:t>
      </w:r>
      <w:proofErr w:type="gramEnd"/>
      <w:r w:rsidRPr="00552E7C">
        <w:rPr>
          <w:lang w:eastAsia="en-US"/>
        </w:rPr>
        <w:t xml:space="preserve"> in 2018. </w:t>
      </w:r>
      <w:r w:rsidR="00733B5D">
        <w:rPr>
          <w:lang w:eastAsia="en-US"/>
        </w:rPr>
        <w:t xml:space="preserve"> </w:t>
      </w:r>
      <w:r w:rsidRPr="00552E7C">
        <w:rPr>
          <w:lang w:eastAsia="en-US"/>
        </w:rPr>
        <w:t>Specifically, the Ukrainian GII 2024 innovation input ranking is 78</w:t>
      </w:r>
      <w:r w:rsidRPr="00552E7C">
        <w:rPr>
          <w:vertAlign w:val="superscript"/>
          <w:lang w:eastAsia="en-US"/>
        </w:rPr>
        <w:t>th</w:t>
      </w:r>
      <w:r w:rsidR="003409C4">
        <w:rPr>
          <w:lang w:eastAsia="en-US"/>
        </w:rPr>
        <w:t xml:space="preserve"> </w:t>
      </w:r>
      <w:r w:rsidRPr="00552E7C">
        <w:rPr>
          <w:lang w:eastAsia="en-US"/>
        </w:rPr>
        <w:t>(down from 7</w:t>
      </w:r>
      <w:r w:rsidR="003409C4">
        <w:rPr>
          <w:lang w:eastAsia="en-US"/>
        </w:rPr>
        <w:t>6</w:t>
      </w:r>
      <w:r w:rsidR="003409C4" w:rsidRPr="003409C4">
        <w:rPr>
          <w:vertAlign w:val="superscript"/>
          <w:lang w:eastAsia="en-US"/>
        </w:rPr>
        <w:t>th</w:t>
      </w:r>
      <w:r w:rsidR="003409C4">
        <w:rPr>
          <w:lang w:eastAsia="en-US"/>
        </w:rPr>
        <w:t xml:space="preserve"> </w:t>
      </w:r>
      <w:r w:rsidRPr="00552E7C">
        <w:rPr>
          <w:lang w:eastAsia="en-US"/>
        </w:rPr>
        <w:t>in GII 2021), and its outputs rank stands at 54</w:t>
      </w:r>
      <w:r w:rsidRPr="00552E7C">
        <w:rPr>
          <w:vertAlign w:val="superscript"/>
          <w:lang w:eastAsia="en-US"/>
        </w:rPr>
        <w:t>th</w:t>
      </w:r>
      <w:r w:rsidR="003409C4">
        <w:rPr>
          <w:lang w:eastAsia="en-US"/>
        </w:rPr>
        <w:t xml:space="preserve"> </w:t>
      </w:r>
      <w:r w:rsidRPr="00552E7C">
        <w:rPr>
          <w:lang w:eastAsia="en-US"/>
        </w:rPr>
        <w:t xml:space="preserve">(a decline from </w:t>
      </w:r>
      <w:r w:rsidR="003409C4">
        <w:rPr>
          <w:lang w:eastAsia="en-US"/>
        </w:rPr>
        <w:t>37</w:t>
      </w:r>
      <w:r w:rsidR="003409C4" w:rsidRPr="003409C4">
        <w:rPr>
          <w:vertAlign w:val="superscript"/>
          <w:lang w:eastAsia="en-US"/>
        </w:rPr>
        <w:t>th</w:t>
      </w:r>
      <w:r w:rsidRPr="00552E7C">
        <w:rPr>
          <w:lang w:eastAsia="en-US"/>
        </w:rPr>
        <w:t xml:space="preserve"> in GII 2021).</w:t>
      </w:r>
    </w:p>
    <w:p w14:paraId="7A6EE475" w14:textId="5E90DB41" w:rsidR="00552E7C" w:rsidRPr="00552E7C" w:rsidRDefault="00552E7C" w:rsidP="00842C14">
      <w:pPr>
        <w:pStyle w:val="ONUME"/>
        <w:tabs>
          <w:tab w:val="clear" w:pos="567"/>
          <w:tab w:val="clear" w:pos="1134"/>
          <w:tab w:val="num" w:pos="540"/>
        </w:tabs>
        <w:rPr>
          <w:lang w:eastAsia="en-US"/>
        </w:rPr>
      </w:pPr>
      <w:r w:rsidRPr="00552E7C">
        <w:rPr>
          <w:lang w:eastAsia="en-US"/>
        </w:rPr>
        <w:t>In sum, although the downward trend on specific Ukrainian innovation indicators did not start in 2022, the disruptions since February 2022 have accelerated certain downward trends, such as in scientific output and the number of researchers.</w:t>
      </w:r>
      <w:r w:rsidR="0051650F">
        <w:rPr>
          <w:lang w:eastAsia="en-US"/>
        </w:rPr>
        <w:t xml:space="preserve"> </w:t>
      </w:r>
      <w:r w:rsidRPr="00552E7C">
        <w:rPr>
          <w:lang w:eastAsia="en-US"/>
        </w:rPr>
        <w:t xml:space="preserve"> This deterioration reflects both long-term structural issues and post-2022 shocks.</w:t>
      </w:r>
    </w:p>
    <w:p w14:paraId="51DFE1A0" w14:textId="0F77DD0D" w:rsidR="003B09BC" w:rsidRPr="003B09BC" w:rsidRDefault="003B09BC" w:rsidP="00842C14">
      <w:pPr>
        <w:pStyle w:val="ONUME"/>
        <w:tabs>
          <w:tab w:val="clear" w:pos="567"/>
          <w:tab w:val="clear" w:pos="1134"/>
          <w:tab w:val="num" w:pos="630"/>
        </w:tabs>
        <w:rPr>
          <w:lang w:eastAsia="en-US"/>
        </w:rPr>
      </w:pPr>
      <w:r w:rsidRPr="003B09BC">
        <w:rPr>
          <w:lang w:eastAsia="en-US"/>
        </w:rPr>
        <w:t xml:space="preserve">It must be kept in mind too, however, that GII 2024 data only partially reflect post-2022 developments due to inherent data lags of one to four </w:t>
      </w:r>
      <w:proofErr w:type="gramStart"/>
      <w:r w:rsidRPr="003B09BC">
        <w:rPr>
          <w:lang w:eastAsia="en-US"/>
        </w:rPr>
        <w:t>years, or</w:t>
      </w:r>
      <w:proofErr w:type="gramEnd"/>
      <w:r w:rsidRPr="003B09BC">
        <w:rPr>
          <w:lang w:eastAsia="en-US"/>
        </w:rPr>
        <w:t xml:space="preserve"> outdated/missing Ukrainian data. </w:t>
      </w:r>
      <w:r w:rsidR="003A1B39">
        <w:rPr>
          <w:lang w:eastAsia="en-US"/>
        </w:rPr>
        <w:t xml:space="preserve"> </w:t>
      </w:r>
      <w:r w:rsidRPr="003B09BC">
        <w:rPr>
          <w:lang w:eastAsia="en-US"/>
        </w:rPr>
        <w:t xml:space="preserve">When key innovation indicators are based on outdated data, many older than 2021, this clearly complicates post-2022 performance assessments and clear attribution to </w:t>
      </w:r>
      <w:proofErr w:type="gramStart"/>
      <w:r w:rsidRPr="003B09BC">
        <w:rPr>
          <w:lang w:eastAsia="en-US"/>
        </w:rPr>
        <w:t>particular events</w:t>
      </w:r>
      <w:proofErr w:type="gramEnd"/>
      <w:r w:rsidRPr="003B09BC">
        <w:rPr>
          <w:lang w:eastAsia="en-US"/>
        </w:rPr>
        <w:t>, such as the war.</w:t>
      </w:r>
    </w:p>
    <w:p w14:paraId="2F8D65CF" w14:textId="02F7E11F" w:rsidR="00822E70" w:rsidRPr="00EC0B22" w:rsidRDefault="00C40570" w:rsidP="00C40570">
      <w:pPr>
        <w:pStyle w:val="Heading3"/>
        <w:ind w:left="1890" w:hanging="720"/>
        <w:rPr>
          <w:u w:val="none"/>
          <w:lang w:eastAsia="en-US"/>
        </w:rPr>
      </w:pPr>
      <w:bookmarkStart w:id="29" w:name="_Toc200544993"/>
      <w:r w:rsidRPr="00EC0B22">
        <w:rPr>
          <w:u w:val="none"/>
          <w:lang w:eastAsia="en-US"/>
        </w:rPr>
        <w:t>2.</w:t>
      </w:r>
      <w:r w:rsidR="00396068">
        <w:rPr>
          <w:u w:val="none"/>
          <w:lang w:eastAsia="en-US"/>
        </w:rPr>
        <w:t>4</w:t>
      </w:r>
      <w:r w:rsidRPr="00EC0B22">
        <w:rPr>
          <w:u w:val="none"/>
          <w:lang w:eastAsia="en-US"/>
        </w:rPr>
        <w:t>.2</w:t>
      </w:r>
      <w:r w:rsidRPr="00EC0B22">
        <w:rPr>
          <w:u w:val="none"/>
          <w:lang w:eastAsia="en-US"/>
        </w:rPr>
        <w:tab/>
      </w:r>
      <w:r w:rsidR="00822E70" w:rsidRPr="00EC0B22">
        <w:rPr>
          <w:lang w:eastAsia="en-US"/>
        </w:rPr>
        <w:t>Overall Ranking and Income Group Placement</w:t>
      </w:r>
      <w:bookmarkEnd w:id="29"/>
      <w:r w:rsidR="00822E70" w:rsidRPr="00EC0B22">
        <w:rPr>
          <w:u w:val="none"/>
          <w:lang w:eastAsia="en-US"/>
        </w:rPr>
        <w:t xml:space="preserve"> </w:t>
      </w:r>
    </w:p>
    <w:p w14:paraId="1CAEA10E" w14:textId="77777777" w:rsidR="00C40570" w:rsidRPr="00EC0B22" w:rsidRDefault="00C40570" w:rsidP="00C40570">
      <w:pPr>
        <w:rPr>
          <w:lang w:eastAsia="en-US"/>
        </w:rPr>
      </w:pPr>
    </w:p>
    <w:p w14:paraId="4F2F8264" w14:textId="32653C4D" w:rsidR="003B09BC" w:rsidRPr="003B09BC" w:rsidRDefault="003B09BC" w:rsidP="00842C14">
      <w:pPr>
        <w:pStyle w:val="ONUME"/>
        <w:tabs>
          <w:tab w:val="clear" w:pos="567"/>
          <w:tab w:val="clear" w:pos="1134"/>
          <w:tab w:val="num" w:pos="540"/>
        </w:tabs>
        <w:rPr>
          <w:lang w:eastAsia="en-US"/>
        </w:rPr>
      </w:pPr>
      <w:r w:rsidRPr="003B09BC">
        <w:rPr>
          <w:lang w:eastAsia="en-US"/>
        </w:rPr>
        <w:t>In the GII 2024, Ukraine ranks 60</w:t>
      </w:r>
      <w:r w:rsidRPr="00334EB2">
        <w:rPr>
          <w:vertAlign w:val="superscript"/>
          <w:lang w:eastAsia="en-US"/>
        </w:rPr>
        <w:t>th</w:t>
      </w:r>
      <w:r w:rsidRPr="003B09BC">
        <w:rPr>
          <w:lang w:eastAsia="en-US"/>
        </w:rPr>
        <w:t xml:space="preserve"> out of 133 economies, marking a drop from its 55</w:t>
      </w:r>
      <w:r w:rsidRPr="00334EB2">
        <w:rPr>
          <w:vertAlign w:val="superscript"/>
          <w:lang w:eastAsia="en-US"/>
        </w:rPr>
        <w:t>th</w:t>
      </w:r>
      <w:r w:rsidRPr="003B09BC">
        <w:rPr>
          <w:lang w:eastAsia="en-US"/>
        </w:rPr>
        <w:t xml:space="preserve"> position in 2023, and continuing a trend of declining innovation ranking over recent years </w:t>
      </w:r>
      <w:r w:rsidR="00982580">
        <w:rPr>
          <w:lang w:eastAsia="en-US"/>
        </w:rPr>
        <w:t>that</w:t>
      </w:r>
      <w:r w:rsidRPr="003B09BC">
        <w:rPr>
          <w:lang w:eastAsia="en-US"/>
        </w:rPr>
        <w:t xml:space="preserve"> </w:t>
      </w:r>
      <w:r w:rsidRPr="003B09BC">
        <w:rPr>
          <w:lang w:eastAsia="en-US"/>
        </w:rPr>
        <w:lastRenderedPageBreak/>
        <w:t xml:space="preserve">peaked in earlier GII editions. </w:t>
      </w:r>
      <w:r w:rsidR="0051650F">
        <w:rPr>
          <w:lang w:eastAsia="en-US"/>
        </w:rPr>
        <w:t xml:space="preserve"> </w:t>
      </w:r>
      <w:r w:rsidRPr="003B09BC">
        <w:rPr>
          <w:lang w:eastAsia="en-US"/>
        </w:rPr>
        <w:t>The recent years reflect both a stagnation in inputs and a decline in outputs.</w:t>
      </w:r>
      <w:r w:rsidRPr="003B09BC">
        <w:rPr>
          <w:vertAlign w:val="superscript"/>
          <w:lang w:eastAsia="en-US"/>
        </w:rPr>
        <w:footnoteReference w:id="23"/>
      </w:r>
    </w:p>
    <w:p w14:paraId="56826D87" w14:textId="7CEB42D9" w:rsidR="003B09BC" w:rsidRPr="003B09BC" w:rsidRDefault="003B09BC" w:rsidP="00842C14">
      <w:pPr>
        <w:pStyle w:val="ONUME"/>
        <w:tabs>
          <w:tab w:val="clear" w:pos="567"/>
          <w:tab w:val="clear" w:pos="1134"/>
          <w:tab w:val="num" w:pos="540"/>
        </w:tabs>
        <w:rPr>
          <w:lang w:eastAsia="en-US"/>
        </w:rPr>
      </w:pPr>
      <w:r w:rsidRPr="003B09BC">
        <w:rPr>
          <w:lang w:eastAsia="en-US"/>
        </w:rPr>
        <w:t>Yet, it is important to keep in mind that available innovation data</w:t>
      </w:r>
      <w:r w:rsidR="000F0B10" w:rsidRPr="003B09BC">
        <w:rPr>
          <w:lang w:eastAsia="en-US"/>
        </w:rPr>
        <w:t xml:space="preserve"> – </w:t>
      </w:r>
      <w:r w:rsidRPr="003B09BC">
        <w:rPr>
          <w:lang w:eastAsia="en-US"/>
        </w:rPr>
        <w:t>used in the GII and elsewhere</w:t>
      </w:r>
      <w:r w:rsidR="000F0B10" w:rsidRPr="003B09BC">
        <w:rPr>
          <w:lang w:eastAsia="en-US"/>
        </w:rPr>
        <w:t xml:space="preserve"> – </w:t>
      </w:r>
      <w:r w:rsidRPr="003B09BC">
        <w:rPr>
          <w:lang w:eastAsia="en-US"/>
        </w:rPr>
        <w:t xml:space="preserve">lags by one to four years. </w:t>
      </w:r>
      <w:r w:rsidR="000E4792">
        <w:rPr>
          <w:lang w:eastAsia="en-US"/>
        </w:rPr>
        <w:t xml:space="preserve"> </w:t>
      </w:r>
      <w:r w:rsidRPr="003B09BC">
        <w:rPr>
          <w:lang w:eastAsia="en-US"/>
        </w:rPr>
        <w:t xml:space="preserve">In other words, an increase in ranking from 2022 to 2023, or a decrease from 2023 to 2024 in the case of Ukraine but also other countries cannot be immediately and strictly perceived as the impact of recent occurrences, such as the war in Ukraine. </w:t>
      </w:r>
      <w:r w:rsidR="000E4792">
        <w:rPr>
          <w:lang w:eastAsia="en-US"/>
        </w:rPr>
        <w:t xml:space="preserve"> </w:t>
      </w:r>
      <w:r w:rsidRPr="003B09BC">
        <w:rPr>
          <w:lang w:eastAsia="en-US"/>
        </w:rPr>
        <w:t xml:space="preserve">Moreover, as with other countries, this overall ranking is also impacted by outdated or unavailable innovation data. </w:t>
      </w:r>
      <w:r w:rsidR="00C87E43">
        <w:rPr>
          <w:lang w:eastAsia="en-US"/>
        </w:rPr>
        <w:t xml:space="preserve"> </w:t>
      </w:r>
      <w:r w:rsidRPr="003B09BC">
        <w:rPr>
          <w:lang w:eastAsia="en-US"/>
        </w:rPr>
        <w:t>Key Ukrainian innovation indicators – such as many education variables, the number of researchers, knowledge-intensive employment, and high-tech manufacturing, for example – rely on outdated data, many times older than 2021, complicating post-2022 performance assessments.</w:t>
      </w:r>
    </w:p>
    <w:p w14:paraId="308A50C7" w14:textId="72931685" w:rsidR="003B09BC" w:rsidRPr="003B09BC" w:rsidRDefault="003B09BC" w:rsidP="00842C14">
      <w:pPr>
        <w:pStyle w:val="ONUME"/>
        <w:tabs>
          <w:tab w:val="clear" w:pos="567"/>
          <w:tab w:val="clear" w:pos="1134"/>
          <w:tab w:val="num" w:pos="540"/>
        </w:tabs>
        <w:rPr>
          <w:lang w:eastAsia="en-US"/>
        </w:rPr>
      </w:pPr>
      <w:r w:rsidRPr="003B09BC">
        <w:rPr>
          <w:lang w:eastAsia="en-US"/>
        </w:rPr>
        <w:t xml:space="preserve">Recent data indicates continued venture capital activity in 2023-2024. </w:t>
      </w:r>
      <w:r w:rsidR="002B091A">
        <w:rPr>
          <w:lang w:eastAsia="en-US"/>
        </w:rPr>
        <w:t xml:space="preserve"> Exports of </w:t>
      </w:r>
      <w:r w:rsidRPr="003B09BC">
        <w:rPr>
          <w:lang w:eastAsia="en-US"/>
        </w:rPr>
        <w:t xml:space="preserve">ICT services, GitHub engagement and software investment remain strong, positioning Ukraine as a key digital services player despite disruptions. </w:t>
      </w:r>
      <w:r w:rsidR="002B091A">
        <w:rPr>
          <w:lang w:eastAsia="en-US"/>
        </w:rPr>
        <w:t xml:space="preserve"> </w:t>
      </w:r>
      <w:r w:rsidRPr="003B09BC">
        <w:rPr>
          <w:lang w:eastAsia="en-US"/>
        </w:rPr>
        <w:t>Based on GII</w:t>
      </w:r>
      <w:r w:rsidR="0051650F">
        <w:rPr>
          <w:lang w:eastAsia="en-US"/>
        </w:rPr>
        <w:t xml:space="preserve"> </w:t>
      </w:r>
      <w:r w:rsidRPr="003B09BC">
        <w:rPr>
          <w:lang w:eastAsia="en-US"/>
        </w:rPr>
        <w:t xml:space="preserve">2024, Ukraine ranks </w:t>
      </w:r>
      <w:r w:rsidR="002B091A">
        <w:rPr>
          <w:lang w:eastAsia="en-US"/>
        </w:rPr>
        <w:t>fourth</w:t>
      </w:r>
      <w:r w:rsidRPr="003B09BC">
        <w:rPr>
          <w:lang w:eastAsia="en-US"/>
        </w:rPr>
        <w:t xml:space="preserve"> worldwide for its investment in software as a share of GDP, and </w:t>
      </w:r>
      <w:r w:rsidR="002B091A">
        <w:rPr>
          <w:lang w:eastAsia="en-US"/>
        </w:rPr>
        <w:t>fifth</w:t>
      </w:r>
      <w:r w:rsidRPr="003B09BC">
        <w:rPr>
          <w:lang w:eastAsia="en-US"/>
        </w:rPr>
        <w:t xml:space="preserve"> globally in ICT exports, for example.</w:t>
      </w:r>
      <w:r w:rsidR="00C053E0">
        <w:rPr>
          <w:lang w:eastAsia="en-US"/>
        </w:rPr>
        <w:t xml:space="preserve"> </w:t>
      </w:r>
      <w:r w:rsidRPr="003B09BC">
        <w:rPr>
          <w:lang w:eastAsia="en-US"/>
        </w:rPr>
        <w:t xml:space="preserve"> Patent filing activity in 2023 also shows positive trends, with Ukraine reporting increased patent filings in 2023. </w:t>
      </w:r>
      <w:r w:rsidR="00C053E0">
        <w:rPr>
          <w:lang w:eastAsia="en-US"/>
        </w:rPr>
        <w:t xml:space="preserve"> </w:t>
      </w:r>
      <w:r w:rsidRPr="003B09BC">
        <w:rPr>
          <w:lang w:eastAsia="en-US"/>
        </w:rPr>
        <w:t xml:space="preserve">These trends highlight resilience in investment and economic output, driven by a vibrant tech sector and adaptive workforce. </w:t>
      </w:r>
      <w:r w:rsidR="00C053E0">
        <w:rPr>
          <w:lang w:eastAsia="en-US"/>
        </w:rPr>
        <w:t xml:space="preserve"> </w:t>
      </w:r>
      <w:r w:rsidRPr="003B09BC">
        <w:rPr>
          <w:lang w:eastAsia="en-US"/>
        </w:rPr>
        <w:t xml:space="preserve">At the same time, challenges remain in various innovation metrics, including declines in scientific publications, </w:t>
      </w:r>
      <w:r w:rsidR="0051650F">
        <w:rPr>
          <w:lang w:eastAsia="en-US"/>
        </w:rPr>
        <w:t>research and development (</w:t>
      </w:r>
      <w:r w:rsidRPr="003B09BC">
        <w:rPr>
          <w:lang w:eastAsia="en-US"/>
        </w:rPr>
        <w:t>R&amp;D</w:t>
      </w:r>
      <w:r w:rsidR="0051650F">
        <w:rPr>
          <w:lang w:eastAsia="en-US"/>
        </w:rPr>
        <w:t>)</w:t>
      </w:r>
      <w:r w:rsidRPr="003B09BC">
        <w:rPr>
          <w:lang w:eastAsia="en-US"/>
        </w:rPr>
        <w:t xml:space="preserve"> investments, high-tech exports, and life expectancy indicators during the 2021-2022 or 2023 period.</w:t>
      </w:r>
    </w:p>
    <w:p w14:paraId="4E844BE0" w14:textId="706FE8BC" w:rsidR="003B09BC" w:rsidRPr="003B09BC" w:rsidRDefault="00C40570" w:rsidP="003B09BC">
      <w:pPr>
        <w:pStyle w:val="Heading3"/>
        <w:ind w:left="1890" w:hanging="720"/>
        <w:rPr>
          <w:lang w:eastAsia="en-US"/>
        </w:rPr>
      </w:pPr>
      <w:bookmarkStart w:id="30" w:name="_Toc200544994"/>
      <w:r w:rsidRPr="00EC0B22">
        <w:rPr>
          <w:u w:val="none"/>
          <w:lang w:eastAsia="en-US"/>
        </w:rPr>
        <w:t>2.</w:t>
      </w:r>
      <w:r w:rsidR="00396068">
        <w:rPr>
          <w:u w:val="none"/>
          <w:lang w:eastAsia="en-US"/>
        </w:rPr>
        <w:t>4</w:t>
      </w:r>
      <w:r w:rsidRPr="00EC0B22">
        <w:rPr>
          <w:u w:val="none"/>
          <w:lang w:eastAsia="en-US"/>
        </w:rPr>
        <w:t>.3</w:t>
      </w:r>
      <w:r w:rsidRPr="00EC0B22">
        <w:rPr>
          <w:u w:val="none"/>
          <w:lang w:eastAsia="en-US"/>
        </w:rPr>
        <w:tab/>
      </w:r>
      <w:r w:rsidR="003B09BC" w:rsidRPr="003B09BC">
        <w:rPr>
          <w:lang w:eastAsia="en-US"/>
        </w:rPr>
        <w:t>GII</w:t>
      </w:r>
      <w:r w:rsidR="00873885">
        <w:rPr>
          <w:lang w:eastAsia="en-US"/>
        </w:rPr>
        <w:t xml:space="preserve"> </w:t>
      </w:r>
      <w:r w:rsidR="003B09BC" w:rsidRPr="003B09BC">
        <w:rPr>
          <w:lang w:eastAsia="en-US"/>
        </w:rPr>
        <w:t>2025</w:t>
      </w:r>
      <w:r w:rsidR="00CC29B1" w:rsidRPr="003B09BC">
        <w:rPr>
          <w:lang w:eastAsia="en-US"/>
        </w:rPr>
        <w:t xml:space="preserve"> –</w:t>
      </w:r>
      <w:r w:rsidR="003B09BC" w:rsidRPr="003B09BC">
        <w:rPr>
          <w:lang w:eastAsia="en-US"/>
        </w:rPr>
        <w:t xml:space="preserve"> Trends by Selected Indicators</w:t>
      </w:r>
      <w:r w:rsidR="003B09BC" w:rsidRPr="003B09BC">
        <w:rPr>
          <w:b/>
          <w:vertAlign w:val="superscript"/>
          <w:lang w:eastAsia="en-US"/>
        </w:rPr>
        <w:footnoteReference w:id="24"/>
      </w:r>
      <w:bookmarkEnd w:id="30"/>
    </w:p>
    <w:p w14:paraId="40AFD1A4" w14:textId="77777777" w:rsidR="003B09BC" w:rsidRDefault="003B09BC" w:rsidP="003B09BC">
      <w:pPr>
        <w:pStyle w:val="ONUME"/>
        <w:numPr>
          <w:ilvl w:val="0"/>
          <w:numId w:val="0"/>
        </w:numPr>
        <w:rPr>
          <w:lang w:eastAsia="en-US"/>
        </w:rPr>
      </w:pPr>
    </w:p>
    <w:p w14:paraId="5EFAF043" w14:textId="13FFA14A" w:rsidR="00E66514" w:rsidRPr="003B09BC" w:rsidRDefault="003B09BC" w:rsidP="00842C14">
      <w:pPr>
        <w:pStyle w:val="ONUME"/>
        <w:tabs>
          <w:tab w:val="clear" w:pos="567"/>
          <w:tab w:val="clear" w:pos="1134"/>
          <w:tab w:val="num" w:pos="540"/>
        </w:tabs>
        <w:rPr>
          <w:lang w:eastAsia="en-US"/>
        </w:rPr>
      </w:pPr>
      <w:r w:rsidRPr="003B09BC">
        <w:rPr>
          <w:lang w:eastAsia="en-US"/>
        </w:rPr>
        <w:t>While the GII</w:t>
      </w:r>
      <w:r w:rsidR="00187689">
        <w:rPr>
          <w:lang w:eastAsia="en-US"/>
        </w:rPr>
        <w:t xml:space="preserve"> </w:t>
      </w:r>
      <w:r w:rsidRPr="003B09BC">
        <w:rPr>
          <w:lang w:eastAsia="en-US"/>
        </w:rPr>
        <w:t xml:space="preserve">2025 will only be published in September of this year, the below section sheds light on some selected indicators. </w:t>
      </w:r>
    </w:p>
    <w:p w14:paraId="6FEB1A13" w14:textId="50DB548C" w:rsidR="00635D30" w:rsidRPr="00E01950" w:rsidRDefault="00635D30" w:rsidP="00635D30">
      <w:pPr>
        <w:pStyle w:val="ONUME"/>
        <w:numPr>
          <w:ilvl w:val="0"/>
          <w:numId w:val="0"/>
        </w:numPr>
        <w:ind w:firstLine="567"/>
        <w:rPr>
          <w:b/>
          <w:bCs/>
          <w:lang w:eastAsia="en-US"/>
        </w:rPr>
      </w:pPr>
      <w:r w:rsidRPr="00E01950">
        <w:rPr>
          <w:b/>
          <w:bCs/>
          <w:lang w:eastAsia="en-US"/>
        </w:rPr>
        <w:t xml:space="preserve">Expenditure on education, </w:t>
      </w:r>
      <w:r w:rsidR="0051650F">
        <w:rPr>
          <w:b/>
          <w:bCs/>
          <w:lang w:eastAsia="en-US"/>
        </w:rPr>
        <w:t>percentage of</w:t>
      </w:r>
      <w:r w:rsidRPr="00E01950">
        <w:rPr>
          <w:b/>
          <w:bCs/>
          <w:lang w:eastAsia="en-US"/>
        </w:rPr>
        <w:t xml:space="preserve"> GDP</w:t>
      </w:r>
    </w:p>
    <w:p w14:paraId="29543E12" w14:textId="3FD101A2" w:rsidR="00635D30" w:rsidRPr="00E01950" w:rsidRDefault="00635D30" w:rsidP="00635D30">
      <w:pPr>
        <w:pStyle w:val="ONUME"/>
        <w:tabs>
          <w:tab w:val="clear" w:pos="1134"/>
        </w:tabs>
        <w:rPr>
          <w:lang w:eastAsia="en-US"/>
        </w:rPr>
      </w:pPr>
      <w:r w:rsidRPr="00E01950">
        <w:rPr>
          <w:lang w:eastAsia="en-US"/>
        </w:rPr>
        <w:t>Ukraine’s expenditure on education, as a percentage of GDP, rose steadily to a peak of 7.40</w:t>
      </w:r>
      <w:r>
        <w:rPr>
          <w:lang w:eastAsia="en-US"/>
        </w:rPr>
        <w:t xml:space="preserve"> per</w:t>
      </w:r>
      <w:r w:rsidR="0051650F">
        <w:rPr>
          <w:lang w:eastAsia="en-US"/>
        </w:rPr>
        <w:t xml:space="preserve"> </w:t>
      </w:r>
      <w:r>
        <w:rPr>
          <w:lang w:eastAsia="en-US"/>
        </w:rPr>
        <w:t>cent</w:t>
      </w:r>
      <w:r w:rsidRPr="00E01950">
        <w:rPr>
          <w:lang w:eastAsia="en-US"/>
        </w:rPr>
        <w:t xml:space="preserve"> in 2010.  It then declined, reaching a decade-low of 5.01</w:t>
      </w:r>
      <w:r>
        <w:rPr>
          <w:lang w:eastAsia="en-US"/>
        </w:rPr>
        <w:t xml:space="preserve"> per</w:t>
      </w:r>
      <w:r w:rsidR="0051650F">
        <w:rPr>
          <w:lang w:eastAsia="en-US"/>
        </w:rPr>
        <w:t xml:space="preserve"> </w:t>
      </w:r>
      <w:r>
        <w:rPr>
          <w:lang w:eastAsia="en-US"/>
        </w:rPr>
        <w:t>cent</w:t>
      </w:r>
      <w:r w:rsidRPr="00E01950">
        <w:rPr>
          <w:lang w:eastAsia="en-US"/>
        </w:rPr>
        <w:t xml:space="preserve"> in 2016, before recovering to 5.93</w:t>
      </w:r>
      <w:r>
        <w:rPr>
          <w:lang w:eastAsia="en-US"/>
        </w:rPr>
        <w:t xml:space="preserve"> per</w:t>
      </w:r>
      <w:r w:rsidR="0051650F">
        <w:rPr>
          <w:lang w:eastAsia="en-US"/>
        </w:rPr>
        <w:t xml:space="preserve"> </w:t>
      </w:r>
      <w:r>
        <w:rPr>
          <w:lang w:eastAsia="en-US"/>
        </w:rPr>
        <w:t>cent</w:t>
      </w:r>
      <w:r w:rsidRPr="00E01950">
        <w:rPr>
          <w:lang w:eastAsia="en-US"/>
        </w:rPr>
        <w:t xml:space="preserve"> in 2022.</w:t>
      </w:r>
      <w:r w:rsidRPr="00E01950">
        <w:t xml:space="preserve"> </w:t>
      </w:r>
      <w:r w:rsidR="00187689">
        <w:t xml:space="preserve"> </w:t>
      </w:r>
      <w:r w:rsidRPr="00E01950">
        <w:rPr>
          <w:lang w:eastAsia="en-US"/>
        </w:rPr>
        <w:t>No data is available for 2023 or 2024.</w:t>
      </w:r>
    </w:p>
    <w:p w14:paraId="1FDDF30F" w14:textId="77777777" w:rsidR="00635D30" w:rsidRPr="00E01950" w:rsidRDefault="00635D30" w:rsidP="00635D30">
      <w:pPr>
        <w:pStyle w:val="ONUME"/>
        <w:numPr>
          <w:ilvl w:val="0"/>
          <w:numId w:val="0"/>
        </w:numPr>
        <w:rPr>
          <w:lang w:eastAsia="en-US"/>
        </w:rPr>
      </w:pPr>
      <w:r w:rsidRPr="00E01950">
        <w:rPr>
          <w:noProof/>
          <w:lang w:eastAsia="en-US"/>
        </w:rPr>
        <w:lastRenderedPageBreak/>
        <w:drawing>
          <wp:anchor distT="0" distB="0" distL="114300" distR="114300" simplePos="0" relativeHeight="251685888" behindDoc="1" locked="0" layoutInCell="1" allowOverlap="1" wp14:anchorId="40A9FE4C" wp14:editId="15AD95B4">
            <wp:simplePos x="0" y="0"/>
            <wp:positionH relativeFrom="column">
              <wp:posOffset>299720</wp:posOffset>
            </wp:positionH>
            <wp:positionV relativeFrom="paragraph">
              <wp:posOffset>7620</wp:posOffset>
            </wp:positionV>
            <wp:extent cx="4734593" cy="2728569"/>
            <wp:effectExtent l="0" t="0" r="0" b="0"/>
            <wp:wrapTight wrapText="bothSides">
              <wp:wrapPolygon edited="0">
                <wp:start x="0" y="0"/>
                <wp:lineTo x="0" y="21419"/>
                <wp:lineTo x="21467" y="21419"/>
                <wp:lineTo x="21467" y="0"/>
                <wp:lineTo x="0" y="0"/>
              </wp:wrapPolygon>
            </wp:wrapTight>
            <wp:docPr id="656136232" name="Picture 1" descr="Expenditure on education, percentage of G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136232" name="Picture 1" descr="Expenditure on education, percentage of GD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4593" cy="2728569"/>
                    </a:xfrm>
                    <a:prstGeom prst="rect">
                      <a:avLst/>
                    </a:prstGeom>
                    <a:noFill/>
                  </pic:spPr>
                </pic:pic>
              </a:graphicData>
            </a:graphic>
          </wp:anchor>
        </w:drawing>
      </w:r>
    </w:p>
    <w:p w14:paraId="20C25AF8" w14:textId="77777777" w:rsidR="00635D30" w:rsidRPr="00E01950" w:rsidRDefault="00635D30" w:rsidP="00635D30">
      <w:pPr>
        <w:pStyle w:val="ONUME"/>
        <w:numPr>
          <w:ilvl w:val="0"/>
          <w:numId w:val="0"/>
        </w:numPr>
        <w:ind w:left="603"/>
        <w:rPr>
          <w:b/>
          <w:bCs/>
          <w:lang w:eastAsia="en-US"/>
        </w:rPr>
      </w:pPr>
    </w:p>
    <w:p w14:paraId="5B28B1BC" w14:textId="77777777" w:rsidR="00635D30" w:rsidRPr="00E01950" w:rsidRDefault="00635D30" w:rsidP="00635D30">
      <w:pPr>
        <w:pStyle w:val="ONUME"/>
        <w:numPr>
          <w:ilvl w:val="0"/>
          <w:numId w:val="0"/>
        </w:numPr>
        <w:ind w:left="603"/>
        <w:rPr>
          <w:b/>
          <w:bCs/>
          <w:lang w:eastAsia="en-US"/>
        </w:rPr>
      </w:pPr>
    </w:p>
    <w:p w14:paraId="43376ABD" w14:textId="77777777" w:rsidR="00635D30" w:rsidRPr="00E01950" w:rsidRDefault="00635D30" w:rsidP="00635D30">
      <w:pPr>
        <w:pStyle w:val="ONUME"/>
        <w:numPr>
          <w:ilvl w:val="0"/>
          <w:numId w:val="0"/>
        </w:numPr>
        <w:ind w:left="603"/>
        <w:rPr>
          <w:b/>
          <w:bCs/>
          <w:lang w:eastAsia="en-US"/>
        </w:rPr>
      </w:pPr>
    </w:p>
    <w:p w14:paraId="4006AEA6" w14:textId="77777777" w:rsidR="00635D30" w:rsidRPr="00E01950" w:rsidRDefault="00635D30" w:rsidP="00635D30">
      <w:pPr>
        <w:pStyle w:val="ONUME"/>
        <w:numPr>
          <w:ilvl w:val="0"/>
          <w:numId w:val="0"/>
        </w:numPr>
        <w:ind w:left="603"/>
        <w:rPr>
          <w:b/>
          <w:bCs/>
          <w:lang w:eastAsia="en-US"/>
        </w:rPr>
      </w:pPr>
    </w:p>
    <w:p w14:paraId="5B66F5E9" w14:textId="77777777" w:rsidR="00635D30" w:rsidRPr="00E01950" w:rsidRDefault="00635D30" w:rsidP="00635D30">
      <w:pPr>
        <w:pStyle w:val="ONUME"/>
        <w:numPr>
          <w:ilvl w:val="0"/>
          <w:numId w:val="0"/>
        </w:numPr>
        <w:ind w:left="603"/>
        <w:rPr>
          <w:b/>
          <w:bCs/>
          <w:lang w:eastAsia="en-US"/>
        </w:rPr>
      </w:pPr>
    </w:p>
    <w:p w14:paraId="17F4E328" w14:textId="77777777" w:rsidR="00635D30" w:rsidRPr="00E01950" w:rsidRDefault="00635D30" w:rsidP="00635D30">
      <w:pPr>
        <w:pStyle w:val="ONUME"/>
        <w:numPr>
          <w:ilvl w:val="0"/>
          <w:numId w:val="0"/>
        </w:numPr>
        <w:ind w:left="603"/>
        <w:rPr>
          <w:b/>
          <w:bCs/>
          <w:lang w:eastAsia="en-US"/>
        </w:rPr>
      </w:pPr>
    </w:p>
    <w:p w14:paraId="28BB4482" w14:textId="77777777" w:rsidR="00635D30" w:rsidRPr="00E01950" w:rsidRDefault="00635D30" w:rsidP="00635D30">
      <w:pPr>
        <w:pStyle w:val="ONUME"/>
        <w:numPr>
          <w:ilvl w:val="0"/>
          <w:numId w:val="0"/>
        </w:numPr>
        <w:ind w:left="603"/>
        <w:rPr>
          <w:b/>
          <w:bCs/>
          <w:lang w:eastAsia="en-US"/>
        </w:rPr>
      </w:pPr>
    </w:p>
    <w:p w14:paraId="333FF3F0" w14:textId="77777777" w:rsidR="00635D30" w:rsidRPr="00E01950" w:rsidRDefault="00635D30" w:rsidP="00635D30">
      <w:pPr>
        <w:pStyle w:val="ONUME"/>
        <w:numPr>
          <w:ilvl w:val="0"/>
          <w:numId w:val="0"/>
        </w:numPr>
        <w:ind w:left="603"/>
        <w:rPr>
          <w:b/>
          <w:bCs/>
          <w:lang w:eastAsia="en-US"/>
        </w:rPr>
      </w:pPr>
    </w:p>
    <w:p w14:paraId="377E0752" w14:textId="77777777" w:rsidR="00635D30" w:rsidRPr="00E01950" w:rsidRDefault="00635D30" w:rsidP="00635D30">
      <w:pPr>
        <w:pStyle w:val="ONUME"/>
        <w:numPr>
          <w:ilvl w:val="0"/>
          <w:numId w:val="0"/>
        </w:numPr>
        <w:ind w:left="603"/>
        <w:rPr>
          <w:b/>
          <w:bCs/>
          <w:lang w:eastAsia="en-US"/>
        </w:rPr>
      </w:pPr>
    </w:p>
    <w:p w14:paraId="78EB930D" w14:textId="09474F56" w:rsidR="00635D30" w:rsidRPr="00E01950" w:rsidRDefault="00635D30" w:rsidP="00635D30">
      <w:pPr>
        <w:pStyle w:val="ONUME"/>
        <w:numPr>
          <w:ilvl w:val="0"/>
          <w:numId w:val="0"/>
        </w:numPr>
        <w:ind w:left="603"/>
        <w:rPr>
          <w:b/>
          <w:bCs/>
          <w:lang w:eastAsia="en-US"/>
        </w:rPr>
      </w:pPr>
      <w:r w:rsidRPr="00E01950">
        <w:rPr>
          <w:b/>
          <w:bCs/>
          <w:lang w:eastAsia="en-US"/>
        </w:rPr>
        <w:t xml:space="preserve">Gross expenditure on R&amp;D, </w:t>
      </w:r>
      <w:r w:rsidR="0051650F">
        <w:rPr>
          <w:b/>
          <w:bCs/>
          <w:lang w:eastAsia="en-US"/>
        </w:rPr>
        <w:t>percentage of</w:t>
      </w:r>
      <w:r w:rsidRPr="00E01950">
        <w:rPr>
          <w:b/>
          <w:bCs/>
          <w:lang w:eastAsia="en-US"/>
        </w:rPr>
        <w:t xml:space="preserve"> GDP</w:t>
      </w:r>
    </w:p>
    <w:p w14:paraId="007557C2" w14:textId="4E11AD90" w:rsidR="00635D30" w:rsidRPr="00E01950" w:rsidRDefault="00635D30" w:rsidP="00635D30">
      <w:pPr>
        <w:pStyle w:val="ONUME"/>
        <w:tabs>
          <w:tab w:val="clear" w:pos="567"/>
          <w:tab w:val="clear" w:pos="1134"/>
        </w:tabs>
        <w:rPr>
          <w:b/>
          <w:bCs/>
          <w:lang w:eastAsia="en-US"/>
        </w:rPr>
      </w:pPr>
      <w:r w:rsidRPr="00E01950">
        <w:rPr>
          <w:lang w:eastAsia="en-US"/>
        </w:rPr>
        <w:t>From 1997 to 2023, Ukraine’s investment in R&amp;D, measured as a percentage of GDP, has steadily declined.  In 1997, R&amp;D spending reached its highest point at 1.19</w:t>
      </w:r>
      <w:r>
        <w:rPr>
          <w:lang w:eastAsia="en-US"/>
        </w:rPr>
        <w:t xml:space="preserve"> per</w:t>
      </w:r>
      <w:r w:rsidR="0051650F">
        <w:rPr>
          <w:lang w:eastAsia="en-US"/>
        </w:rPr>
        <w:t xml:space="preserve"> </w:t>
      </w:r>
      <w:r>
        <w:rPr>
          <w:lang w:eastAsia="en-US"/>
        </w:rPr>
        <w:t>cent</w:t>
      </w:r>
      <w:r w:rsidRPr="00E01950">
        <w:rPr>
          <w:lang w:eastAsia="en-US"/>
        </w:rPr>
        <w:t xml:space="preserve"> of GDP.  Since then, the share of GDP allocated to R&amp;D has decreased almost continuously, falling below </w:t>
      </w:r>
      <w:r w:rsidR="00C41C85">
        <w:rPr>
          <w:lang w:eastAsia="en-US"/>
        </w:rPr>
        <w:t>one</w:t>
      </w:r>
      <w:r>
        <w:rPr>
          <w:lang w:eastAsia="en-US"/>
        </w:rPr>
        <w:t xml:space="preserve"> per</w:t>
      </w:r>
      <w:r w:rsidR="0051650F">
        <w:rPr>
          <w:lang w:eastAsia="en-US"/>
        </w:rPr>
        <w:t xml:space="preserve"> </w:t>
      </w:r>
      <w:r>
        <w:rPr>
          <w:lang w:eastAsia="en-US"/>
        </w:rPr>
        <w:t>cent</w:t>
      </w:r>
      <w:r w:rsidRPr="00E01950">
        <w:rPr>
          <w:lang w:eastAsia="en-US"/>
        </w:rPr>
        <w:t xml:space="preserve"> after 2006 and remaining low throughout the past decade.  By 2022 and 2023, R&amp;D expenditure dropped to an estimated 0.3</w:t>
      </w:r>
      <w:r>
        <w:rPr>
          <w:lang w:eastAsia="en-US"/>
        </w:rPr>
        <w:t xml:space="preserve"> per</w:t>
      </w:r>
      <w:r w:rsidR="0051650F">
        <w:rPr>
          <w:lang w:eastAsia="en-US"/>
        </w:rPr>
        <w:t xml:space="preserve"> </w:t>
      </w:r>
      <w:r>
        <w:rPr>
          <w:lang w:eastAsia="en-US"/>
        </w:rPr>
        <w:t>cent</w:t>
      </w:r>
      <w:r w:rsidRPr="00E01950">
        <w:rPr>
          <w:lang w:eastAsia="en-US"/>
        </w:rPr>
        <w:t xml:space="preserve"> of GDP. </w:t>
      </w:r>
      <w:r w:rsidR="00C41C85">
        <w:rPr>
          <w:lang w:eastAsia="en-US"/>
        </w:rPr>
        <w:t xml:space="preserve"> </w:t>
      </w:r>
      <w:r w:rsidRPr="00E01950">
        <w:rPr>
          <w:lang w:eastAsia="en-US"/>
        </w:rPr>
        <w:t>No data is available for 2024.</w:t>
      </w:r>
    </w:p>
    <w:p w14:paraId="30B44EAC" w14:textId="77777777" w:rsidR="00635D30" w:rsidRPr="00E01950" w:rsidRDefault="00635D30" w:rsidP="00635D30">
      <w:pPr>
        <w:pStyle w:val="ONUME"/>
        <w:numPr>
          <w:ilvl w:val="0"/>
          <w:numId w:val="0"/>
        </w:numPr>
        <w:rPr>
          <w:lang w:eastAsia="en-US"/>
        </w:rPr>
      </w:pPr>
      <w:r w:rsidRPr="00E01950">
        <w:rPr>
          <w:noProof/>
          <w:lang w:eastAsia="en-US"/>
        </w:rPr>
        <w:drawing>
          <wp:anchor distT="0" distB="0" distL="114300" distR="114300" simplePos="0" relativeHeight="251682816" behindDoc="1" locked="0" layoutInCell="1" allowOverlap="1" wp14:anchorId="555194EE" wp14:editId="2DA91AC7">
            <wp:simplePos x="0" y="0"/>
            <wp:positionH relativeFrom="column">
              <wp:posOffset>337820</wp:posOffset>
            </wp:positionH>
            <wp:positionV relativeFrom="paragraph">
              <wp:posOffset>1905</wp:posOffset>
            </wp:positionV>
            <wp:extent cx="5008733" cy="2450592"/>
            <wp:effectExtent l="0" t="0" r="1905" b="6985"/>
            <wp:wrapTight wrapText="bothSides">
              <wp:wrapPolygon edited="0">
                <wp:start x="0" y="0"/>
                <wp:lineTo x="0" y="21494"/>
                <wp:lineTo x="21526" y="21494"/>
                <wp:lineTo x="21526" y="0"/>
                <wp:lineTo x="0" y="0"/>
              </wp:wrapPolygon>
            </wp:wrapTight>
            <wp:docPr id="1670509415" name="Picture 2" descr="Gross expenditure on R&amp;D, percentage of GDP&#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509415" name="Picture 2" descr="Gross expenditure on R&amp;D, percentage of GDP&#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8733" cy="2450592"/>
                    </a:xfrm>
                    <a:prstGeom prst="rect">
                      <a:avLst/>
                    </a:prstGeom>
                    <a:noFill/>
                  </pic:spPr>
                </pic:pic>
              </a:graphicData>
            </a:graphic>
          </wp:anchor>
        </w:drawing>
      </w:r>
    </w:p>
    <w:p w14:paraId="103AE1DF" w14:textId="77777777" w:rsidR="00635D30" w:rsidRPr="00E01950" w:rsidRDefault="00635D30" w:rsidP="00635D30">
      <w:pPr>
        <w:pStyle w:val="ONUME"/>
        <w:numPr>
          <w:ilvl w:val="0"/>
          <w:numId w:val="0"/>
        </w:numPr>
        <w:rPr>
          <w:lang w:eastAsia="en-US"/>
        </w:rPr>
      </w:pPr>
    </w:p>
    <w:p w14:paraId="3DF7EEA2" w14:textId="77777777" w:rsidR="00635D30" w:rsidRPr="00E01950" w:rsidRDefault="00635D30" w:rsidP="00635D30">
      <w:pPr>
        <w:pStyle w:val="ONUME"/>
        <w:numPr>
          <w:ilvl w:val="0"/>
          <w:numId w:val="0"/>
        </w:numPr>
        <w:rPr>
          <w:lang w:eastAsia="en-US"/>
        </w:rPr>
      </w:pPr>
    </w:p>
    <w:p w14:paraId="6B8A8B09" w14:textId="77777777" w:rsidR="00635D30" w:rsidRPr="00E01950" w:rsidRDefault="00635D30" w:rsidP="00635D30">
      <w:pPr>
        <w:pStyle w:val="ONUME"/>
        <w:numPr>
          <w:ilvl w:val="0"/>
          <w:numId w:val="0"/>
        </w:numPr>
        <w:rPr>
          <w:lang w:eastAsia="en-US"/>
        </w:rPr>
      </w:pPr>
    </w:p>
    <w:p w14:paraId="3D04DA0C" w14:textId="77777777" w:rsidR="00635D30" w:rsidRPr="00E01950" w:rsidRDefault="00635D30" w:rsidP="00635D30">
      <w:pPr>
        <w:pStyle w:val="ONUME"/>
        <w:numPr>
          <w:ilvl w:val="0"/>
          <w:numId w:val="0"/>
        </w:numPr>
        <w:rPr>
          <w:lang w:eastAsia="en-US"/>
        </w:rPr>
      </w:pPr>
    </w:p>
    <w:p w14:paraId="7E2DC8E9" w14:textId="77777777" w:rsidR="00635D30" w:rsidRPr="00E01950" w:rsidRDefault="00635D30" w:rsidP="00635D30">
      <w:pPr>
        <w:pStyle w:val="ONUME"/>
        <w:numPr>
          <w:ilvl w:val="0"/>
          <w:numId w:val="0"/>
        </w:numPr>
        <w:rPr>
          <w:lang w:eastAsia="en-US"/>
        </w:rPr>
      </w:pPr>
    </w:p>
    <w:p w14:paraId="3D818895" w14:textId="77777777" w:rsidR="00635D30" w:rsidRPr="00E01950" w:rsidRDefault="00635D30" w:rsidP="00635D30">
      <w:pPr>
        <w:pStyle w:val="ONUME"/>
        <w:numPr>
          <w:ilvl w:val="0"/>
          <w:numId w:val="0"/>
        </w:numPr>
        <w:rPr>
          <w:lang w:eastAsia="en-US"/>
        </w:rPr>
      </w:pPr>
    </w:p>
    <w:p w14:paraId="2D61925F" w14:textId="77777777" w:rsidR="00635D30" w:rsidRPr="00E01950" w:rsidRDefault="00635D30" w:rsidP="00635D30">
      <w:pPr>
        <w:pStyle w:val="ONUME"/>
        <w:numPr>
          <w:ilvl w:val="0"/>
          <w:numId w:val="0"/>
        </w:numPr>
        <w:rPr>
          <w:lang w:eastAsia="en-US"/>
        </w:rPr>
      </w:pPr>
    </w:p>
    <w:p w14:paraId="133922FA" w14:textId="77777777" w:rsidR="00635D30" w:rsidRPr="00E01950" w:rsidRDefault="00635D30" w:rsidP="00635D30">
      <w:pPr>
        <w:pStyle w:val="ONUME"/>
        <w:numPr>
          <w:ilvl w:val="0"/>
          <w:numId w:val="0"/>
        </w:numPr>
        <w:rPr>
          <w:lang w:eastAsia="en-US"/>
        </w:rPr>
      </w:pPr>
    </w:p>
    <w:p w14:paraId="11FF89D8" w14:textId="0D990B94" w:rsidR="00635D30" w:rsidRPr="00E01950" w:rsidRDefault="00635D30" w:rsidP="00635D30">
      <w:pPr>
        <w:pStyle w:val="ONUME"/>
        <w:numPr>
          <w:ilvl w:val="0"/>
          <w:numId w:val="0"/>
        </w:numPr>
        <w:ind w:firstLine="567"/>
        <w:rPr>
          <w:b/>
          <w:bCs/>
          <w:lang w:eastAsia="en-US"/>
        </w:rPr>
      </w:pPr>
      <w:r w:rsidRPr="00E01950">
        <w:rPr>
          <w:b/>
          <w:bCs/>
          <w:lang w:eastAsia="en-US"/>
        </w:rPr>
        <w:t xml:space="preserve">Researchers, </w:t>
      </w:r>
      <w:r w:rsidR="0051650F" w:rsidRPr="0051650F">
        <w:rPr>
          <w:b/>
          <w:bCs/>
          <w:lang w:eastAsia="en-US"/>
        </w:rPr>
        <w:t>full-time equivalents per million population</w:t>
      </w:r>
    </w:p>
    <w:p w14:paraId="1357DFB7" w14:textId="76D7427C" w:rsidR="00635D30" w:rsidRPr="00E01950" w:rsidRDefault="00635D30" w:rsidP="00635D30">
      <w:pPr>
        <w:pStyle w:val="ONUME"/>
        <w:tabs>
          <w:tab w:val="clear" w:pos="567"/>
          <w:tab w:val="clear" w:pos="1134"/>
        </w:tabs>
        <w:rPr>
          <w:b/>
          <w:bCs/>
          <w:lang w:eastAsia="en-US"/>
        </w:rPr>
      </w:pPr>
      <w:r w:rsidRPr="00E01950">
        <w:rPr>
          <w:lang w:eastAsia="en-US"/>
        </w:rPr>
        <w:t xml:space="preserve">The number of researchers in Ukraine, measured in </w:t>
      </w:r>
      <w:bookmarkStart w:id="31" w:name="_Hlk200115577"/>
      <w:r w:rsidRPr="00E01950">
        <w:rPr>
          <w:lang w:eastAsia="en-US"/>
        </w:rPr>
        <w:t>full-time equivalents per million population</w:t>
      </w:r>
      <w:bookmarkEnd w:id="31"/>
      <w:r w:rsidRPr="00E01950">
        <w:rPr>
          <w:lang w:eastAsia="en-US"/>
        </w:rPr>
        <w:t>, has declined steadily since 2006.  At that time, the figure stood at over 1,450 researchers per million people, representing its highest level.  In the years that followed, the number gradually decreased, reflecting a persistent downward trend.  The decline became particularly sharp between 2021 and 2022, when the figure dropped by nearly 24</w:t>
      </w:r>
      <w:r>
        <w:rPr>
          <w:lang w:eastAsia="en-US"/>
        </w:rPr>
        <w:t xml:space="preserve"> per</w:t>
      </w:r>
      <w:r w:rsidR="0051650F">
        <w:rPr>
          <w:lang w:eastAsia="en-US"/>
        </w:rPr>
        <w:t xml:space="preserve"> </w:t>
      </w:r>
      <w:r>
        <w:rPr>
          <w:lang w:eastAsia="en-US"/>
        </w:rPr>
        <w:t>cent</w:t>
      </w:r>
      <w:r w:rsidRPr="00E01950">
        <w:rPr>
          <w:lang w:eastAsia="en-US"/>
        </w:rPr>
        <w:t xml:space="preserve">, reaching just 586 researchers per million. </w:t>
      </w:r>
    </w:p>
    <w:p w14:paraId="2D2E2475" w14:textId="77777777" w:rsidR="00635D30" w:rsidRPr="00E01950" w:rsidRDefault="00635D30" w:rsidP="00635D30">
      <w:pPr>
        <w:pStyle w:val="ONUME"/>
        <w:numPr>
          <w:ilvl w:val="0"/>
          <w:numId w:val="0"/>
        </w:numPr>
        <w:rPr>
          <w:lang w:eastAsia="en-US"/>
        </w:rPr>
      </w:pPr>
      <w:r w:rsidRPr="00E01950">
        <w:rPr>
          <w:noProof/>
          <w:lang w:eastAsia="en-US"/>
        </w:rPr>
        <w:lastRenderedPageBreak/>
        <w:drawing>
          <wp:anchor distT="0" distB="0" distL="114300" distR="114300" simplePos="0" relativeHeight="251681792" behindDoc="1" locked="0" layoutInCell="1" allowOverlap="1" wp14:anchorId="53313D2D" wp14:editId="4A327AAD">
            <wp:simplePos x="0" y="0"/>
            <wp:positionH relativeFrom="page">
              <wp:align>center</wp:align>
            </wp:positionH>
            <wp:positionV relativeFrom="paragraph">
              <wp:posOffset>33655</wp:posOffset>
            </wp:positionV>
            <wp:extent cx="5061073" cy="2809037"/>
            <wp:effectExtent l="0" t="0" r="6350" b="0"/>
            <wp:wrapTight wrapText="bothSides">
              <wp:wrapPolygon edited="0">
                <wp:start x="0" y="0"/>
                <wp:lineTo x="0" y="21390"/>
                <wp:lineTo x="21546" y="21390"/>
                <wp:lineTo x="21546" y="0"/>
                <wp:lineTo x="0" y="0"/>
              </wp:wrapPolygon>
            </wp:wrapTight>
            <wp:docPr id="2001256771" name="Picture 1" descr="Researchers, full-time equivalents per million pop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256771" name="Picture 1" descr="Researchers, full-time equivalents per million populatio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1073" cy="2809037"/>
                    </a:xfrm>
                    <a:prstGeom prst="rect">
                      <a:avLst/>
                    </a:prstGeom>
                    <a:noFill/>
                  </pic:spPr>
                </pic:pic>
              </a:graphicData>
            </a:graphic>
          </wp:anchor>
        </w:drawing>
      </w:r>
    </w:p>
    <w:p w14:paraId="5E396016" w14:textId="77777777" w:rsidR="00635D30" w:rsidRPr="00E01950" w:rsidRDefault="00635D30" w:rsidP="00635D30">
      <w:pPr>
        <w:pStyle w:val="ONUME"/>
        <w:numPr>
          <w:ilvl w:val="0"/>
          <w:numId w:val="0"/>
        </w:numPr>
        <w:rPr>
          <w:lang w:eastAsia="en-US"/>
        </w:rPr>
      </w:pPr>
    </w:p>
    <w:p w14:paraId="5A28260D" w14:textId="77777777" w:rsidR="00635D30" w:rsidRPr="00E01950" w:rsidRDefault="00635D30" w:rsidP="00635D30">
      <w:pPr>
        <w:pStyle w:val="ONUME"/>
        <w:numPr>
          <w:ilvl w:val="0"/>
          <w:numId w:val="0"/>
        </w:numPr>
        <w:rPr>
          <w:b/>
          <w:bCs/>
          <w:lang w:eastAsia="en-US"/>
        </w:rPr>
      </w:pPr>
    </w:p>
    <w:p w14:paraId="51489671" w14:textId="77777777" w:rsidR="00635D30" w:rsidRPr="00E01950" w:rsidRDefault="00635D30" w:rsidP="00635D30">
      <w:pPr>
        <w:pStyle w:val="ONUME"/>
        <w:numPr>
          <w:ilvl w:val="0"/>
          <w:numId w:val="0"/>
        </w:numPr>
        <w:ind w:firstLine="567"/>
        <w:rPr>
          <w:b/>
          <w:bCs/>
          <w:lang w:eastAsia="en-US"/>
        </w:rPr>
      </w:pPr>
    </w:p>
    <w:p w14:paraId="68C03F18" w14:textId="77777777" w:rsidR="00635D30" w:rsidRPr="00E01950" w:rsidRDefault="00635D30" w:rsidP="00635D30">
      <w:pPr>
        <w:pStyle w:val="ONUME"/>
        <w:numPr>
          <w:ilvl w:val="0"/>
          <w:numId w:val="0"/>
        </w:numPr>
        <w:ind w:firstLine="567"/>
        <w:rPr>
          <w:b/>
          <w:bCs/>
          <w:lang w:eastAsia="en-US"/>
        </w:rPr>
      </w:pPr>
    </w:p>
    <w:p w14:paraId="324177F3" w14:textId="77777777" w:rsidR="00635D30" w:rsidRPr="00E01950" w:rsidRDefault="00635D30" w:rsidP="00635D30">
      <w:pPr>
        <w:pStyle w:val="ONUME"/>
        <w:numPr>
          <w:ilvl w:val="0"/>
          <w:numId w:val="0"/>
        </w:numPr>
        <w:ind w:firstLine="567"/>
        <w:rPr>
          <w:b/>
          <w:bCs/>
          <w:lang w:eastAsia="en-US"/>
        </w:rPr>
      </w:pPr>
    </w:p>
    <w:p w14:paraId="14A38543" w14:textId="77777777" w:rsidR="00635D30" w:rsidRPr="00E01950" w:rsidRDefault="00635D30" w:rsidP="00635D30">
      <w:pPr>
        <w:pStyle w:val="ONUME"/>
        <w:numPr>
          <w:ilvl w:val="0"/>
          <w:numId w:val="0"/>
        </w:numPr>
        <w:ind w:firstLine="567"/>
        <w:rPr>
          <w:b/>
          <w:bCs/>
          <w:lang w:eastAsia="en-US"/>
        </w:rPr>
      </w:pPr>
    </w:p>
    <w:p w14:paraId="603C28F7" w14:textId="77777777" w:rsidR="00635D30" w:rsidRPr="00E01950" w:rsidRDefault="00635D30" w:rsidP="00635D30">
      <w:pPr>
        <w:pStyle w:val="ONUME"/>
        <w:numPr>
          <w:ilvl w:val="0"/>
          <w:numId w:val="0"/>
        </w:numPr>
        <w:ind w:firstLine="567"/>
        <w:rPr>
          <w:b/>
          <w:bCs/>
          <w:lang w:eastAsia="en-US"/>
        </w:rPr>
      </w:pPr>
    </w:p>
    <w:p w14:paraId="7EFC6C76" w14:textId="77777777" w:rsidR="00635D30" w:rsidRPr="00E01950" w:rsidRDefault="00635D30" w:rsidP="00635D30">
      <w:pPr>
        <w:pStyle w:val="ONUME"/>
        <w:numPr>
          <w:ilvl w:val="0"/>
          <w:numId w:val="0"/>
        </w:numPr>
        <w:ind w:firstLine="567"/>
        <w:rPr>
          <w:b/>
          <w:bCs/>
          <w:lang w:eastAsia="en-US"/>
        </w:rPr>
      </w:pPr>
    </w:p>
    <w:p w14:paraId="34D9D7D0" w14:textId="77777777" w:rsidR="00635D30" w:rsidRPr="00E01950" w:rsidRDefault="00635D30" w:rsidP="00635D30">
      <w:pPr>
        <w:pStyle w:val="ONUME"/>
        <w:numPr>
          <w:ilvl w:val="0"/>
          <w:numId w:val="0"/>
        </w:numPr>
        <w:ind w:firstLine="567"/>
        <w:rPr>
          <w:b/>
          <w:bCs/>
          <w:lang w:eastAsia="en-US"/>
        </w:rPr>
      </w:pPr>
    </w:p>
    <w:p w14:paraId="24392499" w14:textId="27FA1384" w:rsidR="00635D30" w:rsidRPr="00E50A6D" w:rsidRDefault="00635D30" w:rsidP="00635D30">
      <w:pPr>
        <w:pStyle w:val="ONUME"/>
        <w:numPr>
          <w:ilvl w:val="0"/>
          <w:numId w:val="0"/>
        </w:numPr>
        <w:rPr>
          <w:b/>
          <w:bCs/>
          <w:lang w:eastAsia="en-US"/>
        </w:rPr>
      </w:pPr>
      <w:r w:rsidRPr="00B660B2">
        <w:rPr>
          <w:b/>
          <w:bCs/>
          <w:lang w:eastAsia="en-US"/>
        </w:rPr>
        <w:t>Scientific and technical articles/bn</w:t>
      </w:r>
      <w:r w:rsidR="00E50A6D" w:rsidRPr="00B660B2">
        <w:rPr>
          <w:b/>
          <w:bCs/>
          <w:lang w:eastAsia="en-US"/>
        </w:rPr>
        <w:t>,</w:t>
      </w:r>
      <w:r w:rsidRPr="00B660B2">
        <w:rPr>
          <w:b/>
          <w:bCs/>
          <w:lang w:eastAsia="en-US"/>
        </w:rPr>
        <w:t xml:space="preserve"> </w:t>
      </w:r>
      <w:r w:rsidR="00E50A6D" w:rsidRPr="00B660B2">
        <w:rPr>
          <w:b/>
          <w:bCs/>
          <w:lang w:eastAsia="en-US"/>
        </w:rPr>
        <w:t>GDP</w:t>
      </w:r>
      <w:r w:rsidR="00E50A6D" w:rsidRPr="00B660B2">
        <w:rPr>
          <w:b/>
          <w:bCs/>
          <w:i/>
          <w:iCs/>
          <w:lang w:eastAsia="en-US"/>
        </w:rPr>
        <w:t xml:space="preserve"> </w:t>
      </w:r>
      <w:r w:rsidR="00E50A6D" w:rsidRPr="00B660B2">
        <w:rPr>
          <w:b/>
          <w:bCs/>
          <w:lang w:eastAsia="en-US"/>
        </w:rPr>
        <w:t>based on purchasing power parity (PPP).</w:t>
      </w:r>
    </w:p>
    <w:p w14:paraId="3F3DD9D9" w14:textId="449DC3B3" w:rsidR="00635D30" w:rsidRPr="00E01950" w:rsidRDefault="00635D30" w:rsidP="00635D30">
      <w:pPr>
        <w:pStyle w:val="ONUME"/>
        <w:tabs>
          <w:tab w:val="clear" w:pos="1134"/>
        </w:tabs>
        <w:rPr>
          <w:lang w:eastAsia="en-US"/>
        </w:rPr>
      </w:pPr>
      <w:r w:rsidRPr="00E01950">
        <w:rPr>
          <w:lang w:eastAsia="en-US"/>
        </w:rPr>
        <w:t>Ukraine’s output of scientific and technical articles has remained relatively stable over the past decade, increasing from 4,424 articles in 2015 to a peak of 4,694 in 2022.  However, by 2024, the number declined to 4,373, the lowest point in the period, marking a 5.18</w:t>
      </w:r>
      <w:r>
        <w:rPr>
          <w:lang w:eastAsia="en-US"/>
        </w:rPr>
        <w:t xml:space="preserve"> per</w:t>
      </w:r>
      <w:r w:rsidR="0051650F">
        <w:rPr>
          <w:lang w:eastAsia="en-US"/>
        </w:rPr>
        <w:t xml:space="preserve"> </w:t>
      </w:r>
      <w:r>
        <w:rPr>
          <w:lang w:eastAsia="en-US"/>
        </w:rPr>
        <w:t>cent</w:t>
      </w:r>
      <w:r w:rsidRPr="00E01950">
        <w:rPr>
          <w:lang w:eastAsia="en-US"/>
        </w:rPr>
        <w:t xml:space="preserve"> decrease from the 2022 peak.</w:t>
      </w:r>
    </w:p>
    <w:p w14:paraId="42DB329F" w14:textId="77777777" w:rsidR="00635D30" w:rsidRPr="00E01950" w:rsidRDefault="00635D30" w:rsidP="00635D30">
      <w:pPr>
        <w:pStyle w:val="ONUME"/>
        <w:numPr>
          <w:ilvl w:val="0"/>
          <w:numId w:val="0"/>
        </w:numPr>
        <w:rPr>
          <w:lang w:eastAsia="en-US"/>
        </w:rPr>
      </w:pPr>
      <w:r w:rsidRPr="00E01950">
        <w:rPr>
          <w:noProof/>
          <w:lang w:eastAsia="en-US"/>
        </w:rPr>
        <w:drawing>
          <wp:anchor distT="0" distB="0" distL="114300" distR="114300" simplePos="0" relativeHeight="251686912" behindDoc="1" locked="0" layoutInCell="1" allowOverlap="1" wp14:anchorId="0C00773F" wp14:editId="2FF1ED0A">
            <wp:simplePos x="0" y="0"/>
            <wp:positionH relativeFrom="column">
              <wp:posOffset>363220</wp:posOffset>
            </wp:positionH>
            <wp:positionV relativeFrom="paragraph">
              <wp:posOffset>2540</wp:posOffset>
            </wp:positionV>
            <wp:extent cx="5027386" cy="2852928"/>
            <wp:effectExtent l="0" t="0" r="1905" b="5080"/>
            <wp:wrapTight wrapText="bothSides">
              <wp:wrapPolygon edited="0">
                <wp:start x="0" y="0"/>
                <wp:lineTo x="0" y="21494"/>
                <wp:lineTo x="21526" y="21494"/>
                <wp:lineTo x="21526" y="0"/>
                <wp:lineTo x="0" y="0"/>
              </wp:wrapPolygon>
            </wp:wrapTight>
            <wp:docPr id="1826007210" name="Picture 6" descr="Scientific and technical articles/bn, GDP based on purchasing power parity (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007210" name="Picture 6" descr="Scientific and technical articles/bn, GDP based on purchasing power parity (PP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7386" cy="2852928"/>
                    </a:xfrm>
                    <a:prstGeom prst="rect">
                      <a:avLst/>
                    </a:prstGeom>
                    <a:noFill/>
                  </pic:spPr>
                </pic:pic>
              </a:graphicData>
            </a:graphic>
          </wp:anchor>
        </w:drawing>
      </w:r>
    </w:p>
    <w:p w14:paraId="6E31E0F7" w14:textId="77777777" w:rsidR="00635D30" w:rsidRPr="00E01950" w:rsidRDefault="00635D30" w:rsidP="00635D30">
      <w:pPr>
        <w:pStyle w:val="ONUME"/>
        <w:numPr>
          <w:ilvl w:val="0"/>
          <w:numId w:val="0"/>
        </w:numPr>
        <w:rPr>
          <w:lang w:eastAsia="en-US"/>
        </w:rPr>
      </w:pPr>
    </w:p>
    <w:p w14:paraId="0A905074" w14:textId="77777777" w:rsidR="00635D30" w:rsidRPr="00E01950" w:rsidRDefault="00635D30" w:rsidP="00635D30">
      <w:pPr>
        <w:pStyle w:val="ONUME"/>
        <w:numPr>
          <w:ilvl w:val="0"/>
          <w:numId w:val="0"/>
        </w:numPr>
        <w:ind w:firstLine="567"/>
        <w:rPr>
          <w:b/>
          <w:bCs/>
          <w:lang w:eastAsia="en-US"/>
        </w:rPr>
      </w:pPr>
    </w:p>
    <w:p w14:paraId="5D6B3B32" w14:textId="77777777" w:rsidR="00635D30" w:rsidRPr="00B836C4" w:rsidRDefault="00635D30" w:rsidP="00635D30">
      <w:pPr>
        <w:pStyle w:val="ONUME"/>
        <w:numPr>
          <w:ilvl w:val="0"/>
          <w:numId w:val="0"/>
        </w:numPr>
        <w:ind w:firstLine="567"/>
        <w:rPr>
          <w:b/>
          <w:bCs/>
          <w:highlight w:val="green"/>
          <w:lang w:eastAsia="en-US"/>
        </w:rPr>
      </w:pPr>
    </w:p>
    <w:p w14:paraId="75CACAD2" w14:textId="77777777" w:rsidR="00635D30" w:rsidRPr="00B836C4" w:rsidRDefault="00635D30" w:rsidP="00635D30">
      <w:pPr>
        <w:pStyle w:val="ONUME"/>
        <w:numPr>
          <w:ilvl w:val="0"/>
          <w:numId w:val="0"/>
        </w:numPr>
        <w:ind w:firstLine="567"/>
        <w:rPr>
          <w:b/>
          <w:bCs/>
          <w:highlight w:val="green"/>
          <w:lang w:eastAsia="en-US"/>
        </w:rPr>
      </w:pPr>
    </w:p>
    <w:p w14:paraId="7FD3DC70" w14:textId="77777777" w:rsidR="00635D30" w:rsidRPr="00B836C4" w:rsidRDefault="00635D30" w:rsidP="00635D30">
      <w:pPr>
        <w:pStyle w:val="ONUME"/>
        <w:numPr>
          <w:ilvl w:val="0"/>
          <w:numId w:val="0"/>
        </w:numPr>
        <w:ind w:firstLine="567"/>
        <w:rPr>
          <w:b/>
          <w:bCs/>
          <w:highlight w:val="green"/>
          <w:lang w:eastAsia="en-US"/>
        </w:rPr>
      </w:pPr>
    </w:p>
    <w:p w14:paraId="7DBCA228" w14:textId="77777777" w:rsidR="00635D30" w:rsidRPr="00B836C4" w:rsidRDefault="00635D30" w:rsidP="00635D30">
      <w:pPr>
        <w:pStyle w:val="ONUME"/>
        <w:numPr>
          <w:ilvl w:val="0"/>
          <w:numId w:val="0"/>
        </w:numPr>
        <w:ind w:firstLine="567"/>
        <w:rPr>
          <w:b/>
          <w:bCs/>
          <w:highlight w:val="green"/>
          <w:lang w:eastAsia="en-US"/>
        </w:rPr>
      </w:pPr>
    </w:p>
    <w:p w14:paraId="48A5C0E8" w14:textId="77777777" w:rsidR="00635D30" w:rsidRPr="00B836C4" w:rsidRDefault="00635D30" w:rsidP="00635D30">
      <w:pPr>
        <w:pStyle w:val="ONUME"/>
        <w:numPr>
          <w:ilvl w:val="0"/>
          <w:numId w:val="0"/>
        </w:numPr>
        <w:ind w:firstLine="567"/>
        <w:rPr>
          <w:b/>
          <w:bCs/>
          <w:highlight w:val="green"/>
          <w:lang w:eastAsia="en-US"/>
        </w:rPr>
      </w:pPr>
    </w:p>
    <w:p w14:paraId="19E65F2C" w14:textId="77777777" w:rsidR="00635D30" w:rsidRPr="00B836C4" w:rsidRDefault="00635D30" w:rsidP="00635D30">
      <w:pPr>
        <w:pStyle w:val="ONUME"/>
        <w:numPr>
          <w:ilvl w:val="0"/>
          <w:numId w:val="0"/>
        </w:numPr>
        <w:ind w:firstLine="567"/>
        <w:rPr>
          <w:b/>
          <w:bCs/>
          <w:highlight w:val="green"/>
          <w:lang w:eastAsia="en-US"/>
        </w:rPr>
      </w:pPr>
    </w:p>
    <w:p w14:paraId="35DDDB20" w14:textId="77777777" w:rsidR="00635D30" w:rsidRPr="00B836C4" w:rsidRDefault="00635D30" w:rsidP="00635D30">
      <w:pPr>
        <w:pStyle w:val="ONUME"/>
        <w:numPr>
          <w:ilvl w:val="0"/>
          <w:numId w:val="0"/>
        </w:numPr>
        <w:ind w:firstLine="567"/>
        <w:rPr>
          <w:b/>
          <w:bCs/>
          <w:highlight w:val="green"/>
          <w:lang w:eastAsia="en-US"/>
        </w:rPr>
      </w:pPr>
    </w:p>
    <w:p w14:paraId="1B2C20AF" w14:textId="77777777" w:rsidR="00635D30" w:rsidRPr="00E01950" w:rsidRDefault="00635D30" w:rsidP="00635D30">
      <w:pPr>
        <w:pStyle w:val="ONUME"/>
        <w:numPr>
          <w:ilvl w:val="0"/>
          <w:numId w:val="0"/>
        </w:numPr>
        <w:ind w:firstLine="567"/>
        <w:rPr>
          <w:b/>
          <w:bCs/>
          <w:lang w:eastAsia="en-US"/>
        </w:rPr>
      </w:pPr>
    </w:p>
    <w:p w14:paraId="06EEAD0C" w14:textId="639A94B5" w:rsidR="00635D30" w:rsidRPr="00E50A6D" w:rsidRDefault="00635D30" w:rsidP="00635D30">
      <w:pPr>
        <w:pStyle w:val="ONUME"/>
        <w:numPr>
          <w:ilvl w:val="0"/>
          <w:numId w:val="0"/>
        </w:numPr>
        <w:ind w:firstLine="567"/>
        <w:rPr>
          <w:b/>
          <w:bCs/>
          <w:lang w:eastAsia="en-US"/>
        </w:rPr>
      </w:pPr>
      <w:r w:rsidRPr="00E01950">
        <w:rPr>
          <w:b/>
          <w:bCs/>
          <w:lang w:eastAsia="en-US"/>
        </w:rPr>
        <w:t>Venture capital (VC) recipients, deals/bn</w:t>
      </w:r>
      <w:r w:rsidR="00E50A6D">
        <w:rPr>
          <w:b/>
          <w:bCs/>
          <w:lang w:eastAsia="en-US"/>
        </w:rPr>
        <w:t xml:space="preserve">, </w:t>
      </w:r>
      <w:r w:rsidR="00E50A6D" w:rsidRPr="00334EB2">
        <w:rPr>
          <w:b/>
          <w:bCs/>
          <w:lang w:eastAsia="en-US"/>
        </w:rPr>
        <w:t>GDP based on PPP</w:t>
      </w:r>
      <w:r w:rsidR="00E50A6D" w:rsidRPr="00E50A6D">
        <w:rPr>
          <w:b/>
          <w:bCs/>
          <w:lang w:eastAsia="en-US"/>
        </w:rPr>
        <w:t>.</w:t>
      </w:r>
    </w:p>
    <w:p w14:paraId="0D71662D" w14:textId="149F6046" w:rsidR="00635D30" w:rsidRPr="00E01950" w:rsidRDefault="00635D30" w:rsidP="00635D30">
      <w:pPr>
        <w:pStyle w:val="ONUME"/>
        <w:tabs>
          <w:tab w:val="clear" w:pos="1134"/>
        </w:tabs>
        <w:rPr>
          <w:lang w:eastAsia="en-US"/>
        </w:rPr>
      </w:pPr>
      <w:r w:rsidRPr="00E01950">
        <w:rPr>
          <w:lang w:eastAsia="en-US"/>
        </w:rPr>
        <w:t xml:space="preserve">The number of VC deals received in Ukraine has increased notably in recent years, reaching a peak of 12 deals in 2024.  After a moderate start in 2014 with </w:t>
      </w:r>
      <w:r w:rsidR="00284B1C">
        <w:rPr>
          <w:lang w:eastAsia="en-US"/>
        </w:rPr>
        <w:t>three</w:t>
      </w:r>
      <w:r w:rsidRPr="00E01950">
        <w:rPr>
          <w:lang w:eastAsia="en-US"/>
        </w:rPr>
        <w:t xml:space="preserve"> deals and a temporary surge to </w:t>
      </w:r>
      <w:r w:rsidR="00284B1C">
        <w:rPr>
          <w:lang w:eastAsia="en-US"/>
        </w:rPr>
        <w:t>nine</w:t>
      </w:r>
      <w:r w:rsidRPr="00E01950">
        <w:rPr>
          <w:lang w:eastAsia="en-US"/>
        </w:rPr>
        <w:t xml:space="preserve"> in 2015, the number of deals declined sharply, bottoming out at just </w:t>
      </w:r>
      <w:r w:rsidR="00284B1C">
        <w:rPr>
          <w:lang w:eastAsia="en-US"/>
        </w:rPr>
        <w:t>one</w:t>
      </w:r>
      <w:r w:rsidRPr="00E01950">
        <w:rPr>
          <w:lang w:eastAsia="en-US"/>
        </w:rPr>
        <w:t xml:space="preserve"> deal per year between 2018 and 2019.  Following minor fluctuations, the upward trend began in 2022, rising from </w:t>
      </w:r>
      <w:r w:rsidR="00284B1C">
        <w:rPr>
          <w:lang w:eastAsia="en-US"/>
        </w:rPr>
        <w:t>seven</w:t>
      </w:r>
      <w:r w:rsidRPr="00E01950">
        <w:rPr>
          <w:lang w:eastAsia="en-US"/>
        </w:rPr>
        <w:t xml:space="preserve"> deals that year to 10 in 2023 and 12 in 2024.</w:t>
      </w:r>
    </w:p>
    <w:p w14:paraId="52698465" w14:textId="77777777" w:rsidR="00635D30" w:rsidRPr="00B836C4" w:rsidRDefault="00635D30" w:rsidP="00635D30">
      <w:pPr>
        <w:pStyle w:val="ONUME"/>
        <w:numPr>
          <w:ilvl w:val="0"/>
          <w:numId w:val="0"/>
        </w:numPr>
        <w:rPr>
          <w:b/>
          <w:bCs/>
          <w:highlight w:val="green"/>
          <w:lang w:eastAsia="en-US"/>
        </w:rPr>
      </w:pPr>
    </w:p>
    <w:p w14:paraId="3508EB70" w14:textId="77777777" w:rsidR="00635D30" w:rsidRPr="00B836C4" w:rsidRDefault="00635D30" w:rsidP="00635D30">
      <w:pPr>
        <w:pStyle w:val="ONUME"/>
        <w:numPr>
          <w:ilvl w:val="0"/>
          <w:numId w:val="0"/>
        </w:numPr>
        <w:rPr>
          <w:highlight w:val="green"/>
          <w:lang w:eastAsia="en-US"/>
        </w:rPr>
      </w:pPr>
      <w:r w:rsidRPr="00B836C4">
        <w:rPr>
          <w:noProof/>
          <w:highlight w:val="green"/>
          <w:lang w:eastAsia="en-US"/>
        </w:rPr>
        <w:lastRenderedPageBreak/>
        <w:drawing>
          <wp:anchor distT="0" distB="0" distL="114300" distR="114300" simplePos="0" relativeHeight="251687936" behindDoc="1" locked="0" layoutInCell="1" allowOverlap="1" wp14:anchorId="48F5819D" wp14:editId="1540F7E6">
            <wp:simplePos x="0" y="0"/>
            <wp:positionH relativeFrom="column">
              <wp:posOffset>363220</wp:posOffset>
            </wp:positionH>
            <wp:positionV relativeFrom="paragraph">
              <wp:posOffset>-3175</wp:posOffset>
            </wp:positionV>
            <wp:extent cx="5374899" cy="2750515"/>
            <wp:effectExtent l="0" t="0" r="0" b="0"/>
            <wp:wrapTight wrapText="bothSides">
              <wp:wrapPolygon edited="0">
                <wp:start x="0" y="0"/>
                <wp:lineTo x="0" y="21396"/>
                <wp:lineTo x="21513" y="21396"/>
                <wp:lineTo x="21513" y="0"/>
                <wp:lineTo x="0" y="0"/>
              </wp:wrapPolygon>
            </wp:wrapTight>
            <wp:docPr id="171933108" name="Picture 4" descr="Venture capital (VC) recipients, deals/bn, GDP based on 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3108" name="Picture 4" descr="Venture capital (VC) recipients, deals/bn, GDP based on PP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74899" cy="2750515"/>
                    </a:xfrm>
                    <a:prstGeom prst="rect">
                      <a:avLst/>
                    </a:prstGeom>
                    <a:noFill/>
                  </pic:spPr>
                </pic:pic>
              </a:graphicData>
            </a:graphic>
          </wp:anchor>
        </w:drawing>
      </w:r>
    </w:p>
    <w:p w14:paraId="323CEBE0" w14:textId="77777777" w:rsidR="00635D30" w:rsidRPr="00B836C4" w:rsidRDefault="00635D30" w:rsidP="00635D30">
      <w:pPr>
        <w:pStyle w:val="ONUME"/>
        <w:numPr>
          <w:ilvl w:val="0"/>
          <w:numId w:val="0"/>
        </w:numPr>
        <w:ind w:firstLine="567"/>
        <w:rPr>
          <w:b/>
          <w:bCs/>
          <w:highlight w:val="green"/>
          <w:lang w:eastAsia="en-US"/>
        </w:rPr>
      </w:pPr>
    </w:p>
    <w:p w14:paraId="6631AF17" w14:textId="77777777" w:rsidR="00635D30" w:rsidRPr="00E01950" w:rsidRDefault="00635D30" w:rsidP="00635D30">
      <w:pPr>
        <w:pStyle w:val="ONUME"/>
        <w:numPr>
          <w:ilvl w:val="0"/>
          <w:numId w:val="0"/>
        </w:numPr>
        <w:ind w:firstLine="567"/>
        <w:rPr>
          <w:b/>
          <w:bCs/>
          <w:lang w:eastAsia="en-US"/>
        </w:rPr>
      </w:pPr>
      <w:r w:rsidRPr="00E01950">
        <w:rPr>
          <w:b/>
          <w:bCs/>
          <w:lang w:eastAsia="en-US"/>
        </w:rPr>
        <w:t>Venture capital (VC) received, value</w:t>
      </w:r>
    </w:p>
    <w:p w14:paraId="1B16E079" w14:textId="3AD194C8" w:rsidR="00635D30" w:rsidRPr="00E01950" w:rsidRDefault="00635D30" w:rsidP="00635D30">
      <w:pPr>
        <w:pStyle w:val="ONUME"/>
        <w:tabs>
          <w:tab w:val="clear" w:pos="1134"/>
        </w:tabs>
        <w:rPr>
          <w:lang w:eastAsia="en-US"/>
        </w:rPr>
      </w:pPr>
      <w:r w:rsidRPr="00E01950">
        <w:rPr>
          <w:lang w:eastAsia="en-US"/>
        </w:rPr>
        <w:t xml:space="preserve">The value of venture capital (VC) received in Ukraine peaked exceptionally in 2023, reaching nearly 58 </w:t>
      </w:r>
      <w:r w:rsidR="002821EA" w:rsidRPr="00E01950">
        <w:rPr>
          <w:lang w:eastAsia="en-US"/>
        </w:rPr>
        <w:t>million</w:t>
      </w:r>
      <w:r w:rsidR="002821EA">
        <w:rPr>
          <w:lang w:eastAsia="en-US"/>
        </w:rPr>
        <w:t xml:space="preserve"> </w:t>
      </w:r>
      <w:r w:rsidR="0051650F">
        <w:rPr>
          <w:lang w:eastAsia="en-US"/>
        </w:rPr>
        <w:t>United States</w:t>
      </w:r>
      <w:r w:rsidR="002821EA">
        <w:rPr>
          <w:lang w:eastAsia="en-US"/>
        </w:rPr>
        <w:t xml:space="preserve"> dollars</w:t>
      </w:r>
      <w:r w:rsidRPr="00E01950">
        <w:rPr>
          <w:lang w:eastAsia="en-US"/>
        </w:rPr>
        <w:t xml:space="preserve">.  Aside from this exceptional year, VC inflows remained relatively stable over the past decade, rising from 4.72 million </w:t>
      </w:r>
      <w:r w:rsidR="002821EA">
        <w:rPr>
          <w:lang w:eastAsia="en-US"/>
        </w:rPr>
        <w:t xml:space="preserve">United States dollars </w:t>
      </w:r>
      <w:r w:rsidRPr="00E01950">
        <w:rPr>
          <w:lang w:eastAsia="en-US"/>
        </w:rPr>
        <w:t>in 2014 to 12 million</w:t>
      </w:r>
      <w:r w:rsidR="002821EA">
        <w:rPr>
          <w:lang w:eastAsia="en-US"/>
        </w:rPr>
        <w:t xml:space="preserve"> United States dollars</w:t>
      </w:r>
      <w:r w:rsidRPr="00E01950">
        <w:rPr>
          <w:lang w:eastAsia="en-US"/>
        </w:rPr>
        <w:t xml:space="preserve"> in 2020, before declining to 5 million </w:t>
      </w:r>
      <w:r w:rsidR="002821EA">
        <w:rPr>
          <w:lang w:eastAsia="en-US"/>
        </w:rPr>
        <w:t>United States dollars</w:t>
      </w:r>
      <w:r w:rsidR="000F0B10">
        <w:rPr>
          <w:lang w:eastAsia="en-US"/>
        </w:rPr>
        <w:t xml:space="preserve"> </w:t>
      </w:r>
      <w:r w:rsidRPr="00E01950">
        <w:rPr>
          <w:lang w:eastAsia="en-US"/>
        </w:rPr>
        <w:t xml:space="preserve">in 2024.  </w:t>
      </w:r>
    </w:p>
    <w:p w14:paraId="57AE30A3" w14:textId="77777777" w:rsidR="00635D30" w:rsidRPr="0084090E" w:rsidRDefault="00635D30" w:rsidP="00635D30">
      <w:pPr>
        <w:pStyle w:val="ONUME"/>
        <w:numPr>
          <w:ilvl w:val="0"/>
          <w:numId w:val="0"/>
        </w:numPr>
        <w:ind w:firstLine="567"/>
        <w:rPr>
          <w:b/>
          <w:bCs/>
          <w:highlight w:val="yellow"/>
          <w:lang w:eastAsia="en-US"/>
        </w:rPr>
      </w:pPr>
    </w:p>
    <w:p w14:paraId="508CBD46" w14:textId="77777777" w:rsidR="00635D30" w:rsidRPr="0084090E" w:rsidRDefault="00635D30" w:rsidP="00635D30">
      <w:pPr>
        <w:pStyle w:val="ONUME"/>
        <w:numPr>
          <w:ilvl w:val="0"/>
          <w:numId w:val="0"/>
        </w:numPr>
        <w:rPr>
          <w:b/>
          <w:bCs/>
          <w:highlight w:val="yellow"/>
          <w:lang w:eastAsia="en-US"/>
        </w:rPr>
      </w:pPr>
      <w:r w:rsidRPr="0084090E">
        <w:rPr>
          <w:b/>
          <w:bCs/>
          <w:noProof/>
          <w:highlight w:val="yellow"/>
          <w:lang w:eastAsia="en-US"/>
        </w:rPr>
        <w:drawing>
          <wp:anchor distT="0" distB="0" distL="114300" distR="114300" simplePos="0" relativeHeight="251688960" behindDoc="1" locked="0" layoutInCell="1" allowOverlap="1" wp14:anchorId="237CA4E1" wp14:editId="7EDAE8DE">
            <wp:simplePos x="0" y="0"/>
            <wp:positionH relativeFrom="column">
              <wp:posOffset>363220</wp:posOffset>
            </wp:positionH>
            <wp:positionV relativeFrom="paragraph">
              <wp:posOffset>0</wp:posOffset>
            </wp:positionV>
            <wp:extent cx="4934900" cy="3072384"/>
            <wp:effectExtent l="0" t="0" r="0" b="0"/>
            <wp:wrapTight wrapText="bothSides">
              <wp:wrapPolygon edited="0">
                <wp:start x="0" y="0"/>
                <wp:lineTo x="0" y="21430"/>
                <wp:lineTo x="21514" y="21430"/>
                <wp:lineTo x="21514" y="0"/>
                <wp:lineTo x="0" y="0"/>
              </wp:wrapPolygon>
            </wp:wrapTight>
            <wp:docPr id="1390366041" name="Picture 3" descr="Venture capital (VC) received, va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366041" name="Picture 3" descr="Venture capital (VC) received, valu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34900" cy="3072384"/>
                    </a:xfrm>
                    <a:prstGeom prst="rect">
                      <a:avLst/>
                    </a:prstGeom>
                    <a:noFill/>
                  </pic:spPr>
                </pic:pic>
              </a:graphicData>
            </a:graphic>
          </wp:anchor>
        </w:drawing>
      </w:r>
    </w:p>
    <w:p w14:paraId="4245FB06" w14:textId="77777777" w:rsidR="00635D30" w:rsidRPr="00B836C4" w:rsidRDefault="00635D30" w:rsidP="00635D30">
      <w:pPr>
        <w:pStyle w:val="ONUME"/>
        <w:numPr>
          <w:ilvl w:val="0"/>
          <w:numId w:val="0"/>
        </w:numPr>
        <w:ind w:firstLine="567"/>
        <w:rPr>
          <w:b/>
          <w:bCs/>
          <w:highlight w:val="green"/>
          <w:lang w:eastAsia="en-US"/>
        </w:rPr>
      </w:pPr>
    </w:p>
    <w:p w14:paraId="11BBF1CB" w14:textId="35C492EC" w:rsidR="00635D30" w:rsidRPr="00E01950" w:rsidRDefault="00635D30" w:rsidP="00635D30">
      <w:pPr>
        <w:pStyle w:val="ONUME"/>
        <w:numPr>
          <w:ilvl w:val="0"/>
          <w:numId w:val="0"/>
        </w:numPr>
        <w:ind w:firstLine="567"/>
        <w:rPr>
          <w:b/>
          <w:bCs/>
          <w:lang w:eastAsia="en-US"/>
        </w:rPr>
      </w:pPr>
      <w:r w:rsidRPr="00E01950">
        <w:rPr>
          <w:b/>
          <w:bCs/>
          <w:lang w:eastAsia="en-US"/>
        </w:rPr>
        <w:t xml:space="preserve">High-tech exports, </w:t>
      </w:r>
      <w:r w:rsidR="002821EA">
        <w:rPr>
          <w:b/>
          <w:bCs/>
          <w:lang w:eastAsia="en-US"/>
        </w:rPr>
        <w:t>percentage of</w:t>
      </w:r>
      <w:r w:rsidRPr="00E01950">
        <w:rPr>
          <w:b/>
          <w:bCs/>
          <w:lang w:eastAsia="en-US"/>
        </w:rPr>
        <w:t xml:space="preserve"> total trade</w:t>
      </w:r>
    </w:p>
    <w:p w14:paraId="7237BFB3" w14:textId="32D28162" w:rsidR="00635D30" w:rsidRPr="00E01950" w:rsidRDefault="00635D30" w:rsidP="00635D30">
      <w:pPr>
        <w:pStyle w:val="ONUME"/>
        <w:tabs>
          <w:tab w:val="clear" w:pos="1134"/>
        </w:tabs>
        <w:rPr>
          <w:b/>
          <w:bCs/>
          <w:lang w:eastAsia="en-US"/>
        </w:rPr>
      </w:pPr>
      <w:r w:rsidRPr="00E01950">
        <w:rPr>
          <w:lang w:eastAsia="en-US"/>
        </w:rPr>
        <w:t xml:space="preserve">Ukraine’s high-tech exports, measured as a percentage of total trade, have generally declined since 2015. </w:t>
      </w:r>
      <w:r w:rsidR="002821EA">
        <w:rPr>
          <w:lang w:eastAsia="en-US"/>
        </w:rPr>
        <w:t xml:space="preserve"> </w:t>
      </w:r>
      <w:r w:rsidRPr="00E01950">
        <w:rPr>
          <w:lang w:eastAsia="en-US"/>
        </w:rPr>
        <w:t>That year, high-tech products accounted for around 3.1</w:t>
      </w:r>
      <w:r>
        <w:rPr>
          <w:lang w:eastAsia="en-US"/>
        </w:rPr>
        <w:t xml:space="preserve"> per</w:t>
      </w:r>
      <w:r w:rsidR="002821EA">
        <w:rPr>
          <w:lang w:eastAsia="en-US"/>
        </w:rPr>
        <w:t xml:space="preserve"> </w:t>
      </w:r>
      <w:r>
        <w:rPr>
          <w:lang w:eastAsia="en-US"/>
        </w:rPr>
        <w:t>cent</w:t>
      </w:r>
      <w:r w:rsidRPr="00E01950">
        <w:rPr>
          <w:lang w:eastAsia="en-US"/>
        </w:rPr>
        <w:t xml:space="preserve"> of total exports, the highest share.  In the following years, the share gradually decreased, with </w:t>
      </w:r>
      <w:r w:rsidRPr="00E01950">
        <w:rPr>
          <w:lang w:eastAsia="en-US"/>
        </w:rPr>
        <w:lastRenderedPageBreak/>
        <w:t>particularly sharp drops after 2021.  By 2023, high-tech exports represented just 1.3</w:t>
      </w:r>
      <w:r>
        <w:rPr>
          <w:lang w:eastAsia="en-US"/>
        </w:rPr>
        <w:t xml:space="preserve"> per</w:t>
      </w:r>
      <w:r w:rsidR="002821EA">
        <w:rPr>
          <w:lang w:eastAsia="en-US"/>
        </w:rPr>
        <w:t xml:space="preserve"> </w:t>
      </w:r>
      <w:r>
        <w:rPr>
          <w:lang w:eastAsia="en-US"/>
        </w:rPr>
        <w:t>cent</w:t>
      </w:r>
      <w:r w:rsidRPr="00E01950">
        <w:rPr>
          <w:lang w:eastAsia="en-US"/>
        </w:rPr>
        <w:t xml:space="preserve"> of total trade.</w:t>
      </w:r>
      <w:r w:rsidR="000E7388">
        <w:rPr>
          <w:lang w:eastAsia="en-US"/>
        </w:rPr>
        <w:t xml:space="preserve"> </w:t>
      </w:r>
      <w:r w:rsidRPr="00E01950">
        <w:rPr>
          <w:lang w:eastAsia="en-US"/>
        </w:rPr>
        <w:t xml:space="preserve"> In terms of absolute value, high-tech exports fell from</w:t>
      </w:r>
      <w:r w:rsidR="000E7388">
        <w:rPr>
          <w:lang w:eastAsia="en-US"/>
        </w:rPr>
        <w:t xml:space="preserve"> </w:t>
      </w:r>
      <w:r w:rsidRPr="00E01950">
        <w:rPr>
          <w:lang w:eastAsia="en-US"/>
        </w:rPr>
        <w:t xml:space="preserve">1.46 billion </w:t>
      </w:r>
      <w:r w:rsidR="002821EA">
        <w:rPr>
          <w:lang w:eastAsia="en-US"/>
        </w:rPr>
        <w:t xml:space="preserve">United States dollars </w:t>
      </w:r>
      <w:r w:rsidRPr="00E01950">
        <w:rPr>
          <w:lang w:eastAsia="en-US"/>
        </w:rPr>
        <w:t xml:space="preserve">in 2021 to 0.8 billion </w:t>
      </w:r>
      <w:r w:rsidR="002821EA">
        <w:rPr>
          <w:lang w:eastAsia="en-US"/>
        </w:rPr>
        <w:t xml:space="preserve">United States dollars </w:t>
      </w:r>
      <w:r w:rsidRPr="00E01950">
        <w:rPr>
          <w:lang w:eastAsia="en-US"/>
        </w:rPr>
        <w:t>in 2023.</w:t>
      </w:r>
    </w:p>
    <w:p w14:paraId="5FC236C1" w14:textId="77777777" w:rsidR="00635D30" w:rsidRPr="00B836C4" w:rsidRDefault="00635D30" w:rsidP="00635D30">
      <w:pPr>
        <w:pStyle w:val="ONUME"/>
        <w:numPr>
          <w:ilvl w:val="0"/>
          <w:numId w:val="0"/>
        </w:numPr>
        <w:rPr>
          <w:highlight w:val="green"/>
          <w:lang w:eastAsia="en-US"/>
        </w:rPr>
      </w:pPr>
      <w:r w:rsidRPr="00B836C4">
        <w:rPr>
          <w:noProof/>
          <w:highlight w:val="green"/>
          <w:lang w:eastAsia="en-US"/>
        </w:rPr>
        <w:drawing>
          <wp:anchor distT="0" distB="0" distL="114300" distR="114300" simplePos="0" relativeHeight="251683840" behindDoc="1" locked="0" layoutInCell="1" allowOverlap="1" wp14:anchorId="204B4A0C" wp14:editId="0A0044DA">
            <wp:simplePos x="0" y="0"/>
            <wp:positionH relativeFrom="column">
              <wp:posOffset>363220</wp:posOffset>
            </wp:positionH>
            <wp:positionV relativeFrom="paragraph">
              <wp:posOffset>-635</wp:posOffset>
            </wp:positionV>
            <wp:extent cx="4934313" cy="2882189"/>
            <wp:effectExtent l="0" t="0" r="0" b="0"/>
            <wp:wrapTight wrapText="bothSides">
              <wp:wrapPolygon edited="0">
                <wp:start x="0" y="0"/>
                <wp:lineTo x="0" y="21419"/>
                <wp:lineTo x="21517" y="21419"/>
                <wp:lineTo x="21517" y="0"/>
                <wp:lineTo x="0" y="0"/>
              </wp:wrapPolygon>
            </wp:wrapTight>
            <wp:docPr id="2027799362" name="Picture 2" descr="High-tech exports, percentage of total t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9362" name="Picture 2" descr="High-tech exports, percentage of total trad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34313" cy="2882189"/>
                    </a:xfrm>
                    <a:prstGeom prst="rect">
                      <a:avLst/>
                    </a:prstGeom>
                    <a:noFill/>
                  </pic:spPr>
                </pic:pic>
              </a:graphicData>
            </a:graphic>
          </wp:anchor>
        </w:drawing>
      </w:r>
    </w:p>
    <w:p w14:paraId="38BB665A" w14:textId="77777777" w:rsidR="00635D30" w:rsidRPr="00B836C4" w:rsidRDefault="00635D30" w:rsidP="00635D30">
      <w:pPr>
        <w:pStyle w:val="ONUME"/>
        <w:numPr>
          <w:ilvl w:val="0"/>
          <w:numId w:val="0"/>
        </w:numPr>
        <w:ind w:firstLine="567"/>
        <w:rPr>
          <w:highlight w:val="green"/>
          <w:lang w:eastAsia="en-US"/>
        </w:rPr>
      </w:pPr>
    </w:p>
    <w:p w14:paraId="0852552E" w14:textId="50BA49AB" w:rsidR="00635D30" w:rsidRPr="00E01950" w:rsidRDefault="00635D30" w:rsidP="00635D30">
      <w:pPr>
        <w:pStyle w:val="ONUME"/>
        <w:numPr>
          <w:ilvl w:val="0"/>
          <w:numId w:val="0"/>
        </w:numPr>
        <w:ind w:firstLine="567"/>
        <w:rPr>
          <w:b/>
          <w:bCs/>
          <w:lang w:eastAsia="en-US"/>
        </w:rPr>
      </w:pPr>
      <w:r w:rsidRPr="00E01950">
        <w:rPr>
          <w:b/>
          <w:bCs/>
          <w:lang w:eastAsia="en-US"/>
        </w:rPr>
        <w:t xml:space="preserve">High-tech imports, </w:t>
      </w:r>
      <w:r w:rsidR="002821EA">
        <w:rPr>
          <w:b/>
          <w:bCs/>
          <w:lang w:eastAsia="en-US"/>
        </w:rPr>
        <w:t>percentage of</w:t>
      </w:r>
      <w:r w:rsidRPr="00E01950">
        <w:rPr>
          <w:b/>
          <w:bCs/>
          <w:lang w:eastAsia="en-US"/>
        </w:rPr>
        <w:t xml:space="preserve"> total trade</w:t>
      </w:r>
    </w:p>
    <w:p w14:paraId="599A67F4" w14:textId="68706B7A" w:rsidR="00635D30" w:rsidRPr="00E01950" w:rsidRDefault="00635D30" w:rsidP="00635D30">
      <w:pPr>
        <w:pStyle w:val="ONUME"/>
        <w:tabs>
          <w:tab w:val="clear" w:pos="567"/>
          <w:tab w:val="clear" w:pos="1134"/>
        </w:tabs>
        <w:rPr>
          <w:b/>
          <w:bCs/>
          <w:lang w:eastAsia="en-US"/>
        </w:rPr>
      </w:pPr>
      <w:r w:rsidRPr="00E01950">
        <w:rPr>
          <w:lang w:eastAsia="en-US"/>
        </w:rPr>
        <w:t xml:space="preserve">Ukraine’s high-tech imports followed an overall upward trend from 2015 to 2021, increasing from 3.93 billion </w:t>
      </w:r>
      <w:r w:rsidR="002821EA">
        <w:rPr>
          <w:lang w:eastAsia="en-US"/>
        </w:rPr>
        <w:t xml:space="preserve">United States dollars </w:t>
      </w:r>
      <w:r w:rsidRPr="00E01950">
        <w:rPr>
          <w:lang w:eastAsia="en-US"/>
        </w:rPr>
        <w:t>to 8.27 billion</w:t>
      </w:r>
      <w:r w:rsidR="002821EA">
        <w:rPr>
          <w:lang w:eastAsia="en-US"/>
        </w:rPr>
        <w:t xml:space="preserve"> United States dollars</w:t>
      </w:r>
      <w:r w:rsidRPr="00E01950">
        <w:rPr>
          <w:lang w:eastAsia="en-US"/>
        </w:rPr>
        <w:t xml:space="preserve">.  After peaking in 2021, imports declined to 5.63 billion </w:t>
      </w:r>
      <w:r w:rsidR="002821EA">
        <w:rPr>
          <w:lang w:eastAsia="en-US"/>
        </w:rPr>
        <w:t xml:space="preserve">United States dollars </w:t>
      </w:r>
      <w:r w:rsidRPr="00E01950">
        <w:rPr>
          <w:lang w:eastAsia="en-US"/>
        </w:rPr>
        <w:t xml:space="preserve">in 2022, before partially recovering to 6.96 billion </w:t>
      </w:r>
      <w:r w:rsidR="002821EA">
        <w:rPr>
          <w:lang w:eastAsia="en-US"/>
        </w:rPr>
        <w:t xml:space="preserve">United States dollars </w:t>
      </w:r>
      <w:r w:rsidRPr="00E01950">
        <w:rPr>
          <w:lang w:eastAsia="en-US"/>
        </w:rPr>
        <w:t>in 2023.  The share of high-tech imports in total trade remained relatively stable over this period, rising from 8.11</w:t>
      </w:r>
      <w:r>
        <w:rPr>
          <w:lang w:eastAsia="en-US"/>
        </w:rPr>
        <w:t xml:space="preserve"> per</w:t>
      </w:r>
      <w:r w:rsidR="000F0B10">
        <w:rPr>
          <w:lang w:eastAsia="en-US"/>
        </w:rPr>
        <w:t xml:space="preserve"> </w:t>
      </w:r>
      <w:r>
        <w:rPr>
          <w:lang w:eastAsia="en-US"/>
        </w:rPr>
        <w:t>cent</w:t>
      </w:r>
      <w:r w:rsidRPr="00E01950">
        <w:rPr>
          <w:lang w:eastAsia="en-US"/>
        </w:rPr>
        <w:t xml:space="preserve"> in 2015, peaking at 10.62</w:t>
      </w:r>
      <w:r>
        <w:rPr>
          <w:lang w:eastAsia="en-US"/>
        </w:rPr>
        <w:t xml:space="preserve"> per</w:t>
      </w:r>
      <w:r w:rsidR="002821EA">
        <w:rPr>
          <w:lang w:eastAsia="en-US"/>
        </w:rPr>
        <w:t xml:space="preserve"> </w:t>
      </w:r>
      <w:r>
        <w:rPr>
          <w:lang w:eastAsia="en-US"/>
        </w:rPr>
        <w:t>cent</w:t>
      </w:r>
      <w:r w:rsidRPr="00E01950">
        <w:rPr>
          <w:lang w:eastAsia="en-US"/>
        </w:rPr>
        <w:t xml:space="preserve"> in 2019, and standing at 10.16</w:t>
      </w:r>
      <w:r>
        <w:rPr>
          <w:lang w:eastAsia="en-US"/>
        </w:rPr>
        <w:t xml:space="preserve"> per</w:t>
      </w:r>
      <w:r w:rsidR="002821EA">
        <w:rPr>
          <w:lang w:eastAsia="en-US"/>
        </w:rPr>
        <w:t xml:space="preserve"> </w:t>
      </w:r>
      <w:r>
        <w:rPr>
          <w:lang w:eastAsia="en-US"/>
        </w:rPr>
        <w:t>cent</w:t>
      </w:r>
      <w:r w:rsidRPr="00E01950">
        <w:rPr>
          <w:lang w:eastAsia="en-US"/>
        </w:rPr>
        <w:t xml:space="preserve"> in 2023.</w:t>
      </w:r>
    </w:p>
    <w:p w14:paraId="1392D5DB" w14:textId="77777777" w:rsidR="00635D30" w:rsidRPr="00B836C4" w:rsidRDefault="00635D30" w:rsidP="00635D30">
      <w:pPr>
        <w:pStyle w:val="ONUME"/>
        <w:numPr>
          <w:ilvl w:val="0"/>
          <w:numId w:val="0"/>
        </w:numPr>
        <w:ind w:firstLine="567"/>
        <w:rPr>
          <w:b/>
          <w:bCs/>
          <w:highlight w:val="green"/>
          <w:lang w:eastAsia="en-US"/>
        </w:rPr>
      </w:pPr>
    </w:p>
    <w:p w14:paraId="032300B6" w14:textId="77777777" w:rsidR="00635D30" w:rsidRPr="00B836C4" w:rsidRDefault="00635D30" w:rsidP="00635D30">
      <w:pPr>
        <w:pStyle w:val="ONUME"/>
        <w:numPr>
          <w:ilvl w:val="0"/>
          <w:numId w:val="0"/>
        </w:numPr>
        <w:rPr>
          <w:highlight w:val="green"/>
          <w:lang w:eastAsia="en-US"/>
        </w:rPr>
      </w:pPr>
      <w:r w:rsidRPr="00B836C4">
        <w:rPr>
          <w:noProof/>
          <w:highlight w:val="green"/>
          <w:lang w:eastAsia="en-US"/>
        </w:rPr>
        <w:drawing>
          <wp:anchor distT="0" distB="0" distL="114300" distR="114300" simplePos="0" relativeHeight="251684864" behindDoc="1" locked="0" layoutInCell="1" allowOverlap="1" wp14:anchorId="3E858F58" wp14:editId="42DE9BCC">
            <wp:simplePos x="0" y="0"/>
            <wp:positionH relativeFrom="column">
              <wp:posOffset>363220</wp:posOffset>
            </wp:positionH>
            <wp:positionV relativeFrom="paragraph">
              <wp:posOffset>635</wp:posOffset>
            </wp:positionV>
            <wp:extent cx="4837151" cy="2816352"/>
            <wp:effectExtent l="0" t="0" r="1905" b="3175"/>
            <wp:wrapTight wrapText="bothSides">
              <wp:wrapPolygon edited="0">
                <wp:start x="0" y="0"/>
                <wp:lineTo x="0" y="21478"/>
                <wp:lineTo x="21523" y="21478"/>
                <wp:lineTo x="21523" y="0"/>
                <wp:lineTo x="0" y="0"/>
              </wp:wrapPolygon>
            </wp:wrapTight>
            <wp:docPr id="242840543" name="Picture 4" descr="High-tech imports, percentage of total trad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40543" name="Picture 4" descr="High-tech imports, percentage of total trade&#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7151" cy="2816352"/>
                    </a:xfrm>
                    <a:prstGeom prst="rect">
                      <a:avLst/>
                    </a:prstGeom>
                    <a:noFill/>
                  </pic:spPr>
                </pic:pic>
              </a:graphicData>
            </a:graphic>
          </wp:anchor>
        </w:drawing>
      </w:r>
    </w:p>
    <w:p w14:paraId="70DF0AE6" w14:textId="77777777" w:rsidR="00635D30" w:rsidRPr="00B836C4" w:rsidRDefault="00635D30" w:rsidP="00635D30">
      <w:pPr>
        <w:pStyle w:val="ONUME"/>
        <w:numPr>
          <w:ilvl w:val="0"/>
          <w:numId w:val="0"/>
        </w:numPr>
        <w:rPr>
          <w:highlight w:val="green"/>
          <w:lang w:eastAsia="en-US"/>
        </w:rPr>
      </w:pPr>
    </w:p>
    <w:p w14:paraId="37B21005" w14:textId="77777777" w:rsidR="00635D30" w:rsidRPr="00B836C4" w:rsidRDefault="00635D30" w:rsidP="00635D30">
      <w:pPr>
        <w:pStyle w:val="ONUME"/>
        <w:numPr>
          <w:ilvl w:val="0"/>
          <w:numId w:val="0"/>
        </w:numPr>
        <w:rPr>
          <w:highlight w:val="green"/>
          <w:lang w:eastAsia="en-US"/>
        </w:rPr>
      </w:pPr>
    </w:p>
    <w:p w14:paraId="451D60F7" w14:textId="77777777" w:rsidR="00635D30" w:rsidRPr="00B836C4" w:rsidRDefault="00635D30" w:rsidP="00635D30">
      <w:pPr>
        <w:pStyle w:val="ONUME"/>
        <w:numPr>
          <w:ilvl w:val="0"/>
          <w:numId w:val="0"/>
        </w:numPr>
        <w:rPr>
          <w:highlight w:val="green"/>
          <w:lang w:eastAsia="en-US"/>
        </w:rPr>
      </w:pPr>
    </w:p>
    <w:p w14:paraId="131DB2B5" w14:textId="77777777" w:rsidR="00635D30" w:rsidRPr="00B836C4" w:rsidRDefault="00635D30" w:rsidP="00635D30">
      <w:pPr>
        <w:pStyle w:val="ONUME"/>
        <w:numPr>
          <w:ilvl w:val="0"/>
          <w:numId w:val="0"/>
        </w:numPr>
        <w:rPr>
          <w:highlight w:val="green"/>
          <w:lang w:eastAsia="en-US"/>
        </w:rPr>
      </w:pPr>
    </w:p>
    <w:p w14:paraId="755D8E76" w14:textId="77777777" w:rsidR="00635D30" w:rsidRPr="00B836C4" w:rsidRDefault="00635D30" w:rsidP="00635D30">
      <w:pPr>
        <w:pStyle w:val="ONUME"/>
        <w:numPr>
          <w:ilvl w:val="0"/>
          <w:numId w:val="0"/>
        </w:numPr>
        <w:ind w:firstLine="567"/>
        <w:rPr>
          <w:b/>
          <w:bCs/>
          <w:highlight w:val="green"/>
          <w:lang w:eastAsia="en-US"/>
        </w:rPr>
      </w:pPr>
    </w:p>
    <w:p w14:paraId="212F345D" w14:textId="77777777" w:rsidR="00635D30" w:rsidRPr="00B836C4" w:rsidRDefault="00635D30" w:rsidP="00635D30">
      <w:pPr>
        <w:pStyle w:val="ONUME"/>
        <w:numPr>
          <w:ilvl w:val="0"/>
          <w:numId w:val="0"/>
        </w:numPr>
        <w:ind w:firstLine="567"/>
        <w:rPr>
          <w:b/>
          <w:bCs/>
          <w:highlight w:val="green"/>
          <w:lang w:eastAsia="en-US"/>
        </w:rPr>
      </w:pPr>
    </w:p>
    <w:p w14:paraId="2AF8920D" w14:textId="77777777" w:rsidR="00635D30" w:rsidRPr="00B836C4" w:rsidRDefault="00635D30" w:rsidP="00635D30">
      <w:pPr>
        <w:pStyle w:val="ONUME"/>
        <w:numPr>
          <w:ilvl w:val="0"/>
          <w:numId w:val="0"/>
        </w:numPr>
        <w:ind w:firstLine="567"/>
        <w:rPr>
          <w:b/>
          <w:bCs/>
          <w:highlight w:val="green"/>
          <w:lang w:eastAsia="en-US"/>
        </w:rPr>
      </w:pPr>
    </w:p>
    <w:p w14:paraId="1D07D464" w14:textId="77777777" w:rsidR="00635D30" w:rsidRPr="00B836C4" w:rsidRDefault="00635D30" w:rsidP="00635D30">
      <w:pPr>
        <w:pStyle w:val="ONUME"/>
        <w:numPr>
          <w:ilvl w:val="0"/>
          <w:numId w:val="0"/>
        </w:numPr>
        <w:ind w:firstLine="567"/>
        <w:rPr>
          <w:b/>
          <w:bCs/>
          <w:highlight w:val="green"/>
          <w:lang w:eastAsia="en-US"/>
        </w:rPr>
      </w:pPr>
    </w:p>
    <w:p w14:paraId="506BC7BC" w14:textId="77777777" w:rsidR="00635D30" w:rsidRPr="00B836C4" w:rsidRDefault="00635D30" w:rsidP="00635D30">
      <w:pPr>
        <w:pStyle w:val="ONUME"/>
        <w:numPr>
          <w:ilvl w:val="0"/>
          <w:numId w:val="0"/>
        </w:numPr>
        <w:ind w:firstLine="567"/>
        <w:rPr>
          <w:b/>
          <w:bCs/>
          <w:highlight w:val="green"/>
          <w:lang w:eastAsia="en-US"/>
        </w:rPr>
      </w:pPr>
    </w:p>
    <w:p w14:paraId="51DA551B" w14:textId="77777777" w:rsidR="00635D30" w:rsidRDefault="00635D30" w:rsidP="00635D30">
      <w:pPr>
        <w:pStyle w:val="ONUME"/>
        <w:numPr>
          <w:ilvl w:val="0"/>
          <w:numId w:val="0"/>
        </w:numPr>
        <w:ind w:firstLine="567"/>
        <w:rPr>
          <w:b/>
          <w:bCs/>
          <w:highlight w:val="green"/>
          <w:lang w:eastAsia="en-US"/>
        </w:rPr>
      </w:pPr>
    </w:p>
    <w:p w14:paraId="08DFB39D" w14:textId="77777777" w:rsidR="005E74DD" w:rsidRPr="00B836C4" w:rsidRDefault="005E74DD" w:rsidP="00635D30">
      <w:pPr>
        <w:pStyle w:val="ONUME"/>
        <w:numPr>
          <w:ilvl w:val="0"/>
          <w:numId w:val="0"/>
        </w:numPr>
        <w:ind w:firstLine="567"/>
        <w:rPr>
          <w:b/>
          <w:bCs/>
          <w:highlight w:val="green"/>
          <w:lang w:eastAsia="en-US"/>
        </w:rPr>
      </w:pPr>
    </w:p>
    <w:p w14:paraId="3FFFD688" w14:textId="1E5BEE15" w:rsidR="00635D30" w:rsidRPr="00E01950" w:rsidRDefault="00635D30" w:rsidP="00635D30">
      <w:pPr>
        <w:pStyle w:val="ONUME"/>
        <w:numPr>
          <w:ilvl w:val="0"/>
          <w:numId w:val="0"/>
        </w:numPr>
        <w:ind w:firstLine="567"/>
        <w:rPr>
          <w:b/>
          <w:bCs/>
          <w:lang w:eastAsia="en-US"/>
        </w:rPr>
      </w:pPr>
      <w:r w:rsidRPr="00E01950">
        <w:rPr>
          <w:b/>
          <w:bCs/>
          <w:lang w:eastAsia="en-US"/>
        </w:rPr>
        <w:lastRenderedPageBreak/>
        <w:t>ICT services exports,</w:t>
      </w:r>
      <w:r>
        <w:rPr>
          <w:b/>
          <w:bCs/>
          <w:lang w:eastAsia="en-US"/>
        </w:rPr>
        <w:t xml:space="preserve"> percentage of</w:t>
      </w:r>
      <w:r w:rsidRPr="00E01950">
        <w:rPr>
          <w:b/>
          <w:bCs/>
          <w:lang w:eastAsia="en-US"/>
        </w:rPr>
        <w:t xml:space="preserve"> total trade</w:t>
      </w:r>
    </w:p>
    <w:p w14:paraId="3179C408" w14:textId="60DDBB4B" w:rsidR="00635D30" w:rsidRPr="00E01950" w:rsidRDefault="00635D30" w:rsidP="00635D30">
      <w:pPr>
        <w:pStyle w:val="ONUME"/>
        <w:tabs>
          <w:tab w:val="clear" w:pos="567"/>
          <w:tab w:val="clear" w:pos="1134"/>
        </w:tabs>
        <w:rPr>
          <w:b/>
          <w:bCs/>
          <w:lang w:eastAsia="en-US"/>
        </w:rPr>
      </w:pPr>
      <w:r w:rsidRPr="00E01950">
        <w:rPr>
          <w:lang w:eastAsia="en-US"/>
        </w:rPr>
        <w:t xml:space="preserve">Ukraine’s </w:t>
      </w:r>
      <w:r w:rsidR="00E07374">
        <w:rPr>
          <w:lang w:eastAsia="en-US"/>
        </w:rPr>
        <w:t xml:space="preserve">exports of </w:t>
      </w:r>
      <w:r w:rsidRPr="00E01950">
        <w:rPr>
          <w:lang w:eastAsia="en-US"/>
        </w:rPr>
        <w:t xml:space="preserve">ICT services have grown significantly over the past decade.  They rose from 2.1 billion </w:t>
      </w:r>
      <w:r w:rsidR="002821EA">
        <w:rPr>
          <w:lang w:eastAsia="en-US"/>
        </w:rPr>
        <w:t xml:space="preserve">United States dollars </w:t>
      </w:r>
      <w:r w:rsidRPr="00E01950">
        <w:rPr>
          <w:lang w:eastAsia="en-US"/>
        </w:rPr>
        <w:t xml:space="preserve">in 2015 to 7.5 billion </w:t>
      </w:r>
      <w:r w:rsidR="002821EA">
        <w:rPr>
          <w:lang w:eastAsia="en-US"/>
        </w:rPr>
        <w:t xml:space="preserve">United States dollars </w:t>
      </w:r>
      <w:r w:rsidRPr="00E01950">
        <w:rPr>
          <w:lang w:eastAsia="en-US"/>
        </w:rPr>
        <w:t xml:space="preserve">in 2022, before stabilizing at 6.9 billion </w:t>
      </w:r>
      <w:r w:rsidR="002821EA">
        <w:rPr>
          <w:lang w:eastAsia="en-US"/>
        </w:rPr>
        <w:t xml:space="preserve">United States dollars </w:t>
      </w:r>
      <w:r w:rsidRPr="00E01950">
        <w:rPr>
          <w:lang w:eastAsia="en-US"/>
        </w:rPr>
        <w:t>in 2023.  The share of ICT services exports in total trade also increased steadily, from 4.35</w:t>
      </w:r>
      <w:r>
        <w:rPr>
          <w:lang w:eastAsia="en-US"/>
        </w:rPr>
        <w:t xml:space="preserve"> per</w:t>
      </w:r>
      <w:r w:rsidR="002821EA">
        <w:rPr>
          <w:lang w:eastAsia="en-US"/>
        </w:rPr>
        <w:t xml:space="preserve"> </w:t>
      </w:r>
      <w:r>
        <w:rPr>
          <w:lang w:eastAsia="en-US"/>
        </w:rPr>
        <w:t>cent</w:t>
      </w:r>
      <w:r w:rsidRPr="00E01950">
        <w:rPr>
          <w:lang w:eastAsia="en-US"/>
        </w:rPr>
        <w:t xml:space="preserve"> in 2015 to 8.65</w:t>
      </w:r>
      <w:r>
        <w:rPr>
          <w:lang w:eastAsia="en-US"/>
        </w:rPr>
        <w:t xml:space="preserve"> per</w:t>
      </w:r>
      <w:r w:rsidR="002821EA">
        <w:rPr>
          <w:lang w:eastAsia="en-US"/>
        </w:rPr>
        <w:t xml:space="preserve"> </w:t>
      </w:r>
      <w:r>
        <w:rPr>
          <w:lang w:eastAsia="en-US"/>
        </w:rPr>
        <w:t>cent</w:t>
      </w:r>
      <w:r w:rsidRPr="00E01950">
        <w:rPr>
          <w:lang w:eastAsia="en-US"/>
        </w:rPr>
        <w:t xml:space="preserve"> in 2021, reaching a peak of nearly 11</w:t>
      </w:r>
      <w:r>
        <w:rPr>
          <w:lang w:eastAsia="en-US"/>
        </w:rPr>
        <w:t xml:space="preserve"> per</w:t>
      </w:r>
      <w:r w:rsidR="002821EA">
        <w:rPr>
          <w:lang w:eastAsia="en-US"/>
        </w:rPr>
        <w:t xml:space="preserve"> </w:t>
      </w:r>
      <w:r>
        <w:rPr>
          <w:lang w:eastAsia="en-US"/>
        </w:rPr>
        <w:t>cent</w:t>
      </w:r>
      <w:r w:rsidRPr="00E01950">
        <w:rPr>
          <w:lang w:eastAsia="en-US"/>
        </w:rPr>
        <w:t xml:space="preserve"> in 2022.</w:t>
      </w:r>
    </w:p>
    <w:p w14:paraId="276237D5" w14:textId="77777777" w:rsidR="00635D30" w:rsidRPr="00B836C4" w:rsidRDefault="00635D30" w:rsidP="00635D30">
      <w:pPr>
        <w:pStyle w:val="ONUME"/>
        <w:numPr>
          <w:ilvl w:val="0"/>
          <w:numId w:val="0"/>
        </w:numPr>
        <w:ind w:firstLine="567"/>
        <w:rPr>
          <w:b/>
          <w:bCs/>
          <w:highlight w:val="green"/>
          <w:lang w:eastAsia="en-US"/>
        </w:rPr>
      </w:pPr>
    </w:p>
    <w:p w14:paraId="7E04A072" w14:textId="77777777" w:rsidR="00635D30" w:rsidRPr="00B836C4" w:rsidRDefault="00635D30" w:rsidP="00635D30">
      <w:pPr>
        <w:pStyle w:val="ONUME"/>
        <w:numPr>
          <w:ilvl w:val="0"/>
          <w:numId w:val="0"/>
        </w:numPr>
        <w:rPr>
          <w:highlight w:val="green"/>
          <w:lang w:eastAsia="en-US"/>
        </w:rPr>
      </w:pPr>
      <w:r w:rsidRPr="00B836C4">
        <w:rPr>
          <w:noProof/>
          <w:highlight w:val="green"/>
          <w:lang w:eastAsia="en-US"/>
        </w:rPr>
        <w:drawing>
          <wp:anchor distT="0" distB="0" distL="114300" distR="114300" simplePos="0" relativeHeight="251680768" behindDoc="1" locked="0" layoutInCell="1" allowOverlap="1" wp14:anchorId="324DAF8C" wp14:editId="0348BD6D">
            <wp:simplePos x="0" y="0"/>
            <wp:positionH relativeFrom="column">
              <wp:posOffset>363220</wp:posOffset>
            </wp:positionH>
            <wp:positionV relativeFrom="paragraph">
              <wp:posOffset>0</wp:posOffset>
            </wp:positionV>
            <wp:extent cx="4995582" cy="2596896"/>
            <wp:effectExtent l="0" t="0" r="0" b="0"/>
            <wp:wrapTight wrapText="bothSides">
              <wp:wrapPolygon edited="0">
                <wp:start x="0" y="0"/>
                <wp:lineTo x="0" y="21394"/>
                <wp:lineTo x="21498" y="21394"/>
                <wp:lineTo x="21498" y="0"/>
                <wp:lineTo x="0" y="0"/>
              </wp:wrapPolygon>
            </wp:wrapTight>
            <wp:docPr id="1145770472" name="Picture 5" descr="ICT services exports, percentage of total t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70472" name="Picture 5" descr="ICT services exports, percentage of total trad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5582" cy="2596896"/>
                    </a:xfrm>
                    <a:prstGeom prst="rect">
                      <a:avLst/>
                    </a:prstGeom>
                    <a:noFill/>
                  </pic:spPr>
                </pic:pic>
              </a:graphicData>
            </a:graphic>
          </wp:anchor>
        </w:drawing>
      </w:r>
    </w:p>
    <w:p w14:paraId="128C2CDA" w14:textId="77777777" w:rsidR="00635D30" w:rsidRPr="00B836C4" w:rsidRDefault="00635D30" w:rsidP="00635D30">
      <w:pPr>
        <w:pStyle w:val="ONUME"/>
        <w:numPr>
          <w:ilvl w:val="0"/>
          <w:numId w:val="0"/>
        </w:numPr>
        <w:rPr>
          <w:highlight w:val="green"/>
          <w:lang w:eastAsia="en-US"/>
        </w:rPr>
      </w:pPr>
    </w:p>
    <w:p w14:paraId="26A16F5A" w14:textId="77777777" w:rsidR="00635D30" w:rsidRPr="00B836C4" w:rsidRDefault="00635D30" w:rsidP="00635D30">
      <w:pPr>
        <w:pStyle w:val="ONUME"/>
        <w:numPr>
          <w:ilvl w:val="0"/>
          <w:numId w:val="0"/>
        </w:numPr>
        <w:rPr>
          <w:highlight w:val="green"/>
          <w:lang w:eastAsia="en-US"/>
        </w:rPr>
      </w:pPr>
    </w:p>
    <w:p w14:paraId="1A39A677" w14:textId="77777777" w:rsidR="00635D30" w:rsidRPr="00B836C4" w:rsidRDefault="00635D30" w:rsidP="00635D30">
      <w:pPr>
        <w:pStyle w:val="ONUME"/>
        <w:numPr>
          <w:ilvl w:val="0"/>
          <w:numId w:val="0"/>
        </w:numPr>
        <w:rPr>
          <w:highlight w:val="green"/>
          <w:lang w:eastAsia="en-US"/>
        </w:rPr>
      </w:pPr>
    </w:p>
    <w:p w14:paraId="30B3E3BF" w14:textId="77777777" w:rsidR="00635D30" w:rsidRPr="00B836C4" w:rsidRDefault="00635D30" w:rsidP="00635D30">
      <w:pPr>
        <w:pStyle w:val="ONUME"/>
        <w:numPr>
          <w:ilvl w:val="0"/>
          <w:numId w:val="0"/>
        </w:numPr>
        <w:rPr>
          <w:highlight w:val="green"/>
          <w:lang w:eastAsia="en-US"/>
        </w:rPr>
      </w:pPr>
    </w:p>
    <w:p w14:paraId="0034D8ED" w14:textId="77777777" w:rsidR="00635D30" w:rsidRPr="00B836C4" w:rsidRDefault="00635D30" w:rsidP="00635D30">
      <w:pPr>
        <w:pStyle w:val="ONUME"/>
        <w:numPr>
          <w:ilvl w:val="0"/>
          <w:numId w:val="0"/>
        </w:numPr>
        <w:rPr>
          <w:highlight w:val="green"/>
          <w:lang w:eastAsia="en-US"/>
        </w:rPr>
      </w:pPr>
    </w:p>
    <w:p w14:paraId="0672BAF7" w14:textId="77777777" w:rsidR="00635D30" w:rsidRPr="00B836C4" w:rsidRDefault="00635D30" w:rsidP="00635D30">
      <w:pPr>
        <w:pStyle w:val="ONUME"/>
        <w:numPr>
          <w:ilvl w:val="0"/>
          <w:numId w:val="0"/>
        </w:numPr>
        <w:rPr>
          <w:highlight w:val="green"/>
          <w:lang w:eastAsia="en-US"/>
        </w:rPr>
      </w:pPr>
    </w:p>
    <w:p w14:paraId="7A7B586A" w14:textId="77777777" w:rsidR="00635D30" w:rsidRPr="00B836C4" w:rsidRDefault="00635D30" w:rsidP="00635D30">
      <w:pPr>
        <w:pStyle w:val="ONUME"/>
        <w:numPr>
          <w:ilvl w:val="0"/>
          <w:numId w:val="0"/>
        </w:numPr>
        <w:rPr>
          <w:highlight w:val="green"/>
          <w:lang w:eastAsia="en-US"/>
        </w:rPr>
      </w:pPr>
    </w:p>
    <w:p w14:paraId="68FBDC0B" w14:textId="77777777" w:rsidR="00635D30" w:rsidRPr="00B836C4" w:rsidRDefault="00635D30" w:rsidP="00635D30">
      <w:pPr>
        <w:pStyle w:val="ONUME"/>
        <w:numPr>
          <w:ilvl w:val="0"/>
          <w:numId w:val="0"/>
        </w:numPr>
        <w:rPr>
          <w:highlight w:val="green"/>
          <w:lang w:eastAsia="en-US"/>
        </w:rPr>
      </w:pPr>
    </w:p>
    <w:p w14:paraId="1C1D23E5" w14:textId="77777777" w:rsidR="00635D30" w:rsidRPr="00B836C4" w:rsidRDefault="00635D30" w:rsidP="00635D30">
      <w:pPr>
        <w:pStyle w:val="ONUME"/>
        <w:numPr>
          <w:ilvl w:val="0"/>
          <w:numId w:val="0"/>
        </w:numPr>
        <w:ind w:firstLine="567"/>
        <w:rPr>
          <w:b/>
          <w:bCs/>
          <w:highlight w:val="green"/>
          <w:lang w:eastAsia="en-US"/>
        </w:rPr>
      </w:pPr>
      <w:bookmarkStart w:id="32" w:name="_Hlk199183880"/>
    </w:p>
    <w:p w14:paraId="24F6D419" w14:textId="4B6257EF" w:rsidR="00635D30" w:rsidRPr="00E50A6D" w:rsidRDefault="00635D30" w:rsidP="00635D30">
      <w:pPr>
        <w:pStyle w:val="ONUME"/>
        <w:numPr>
          <w:ilvl w:val="0"/>
          <w:numId w:val="0"/>
        </w:numPr>
        <w:ind w:firstLine="567"/>
        <w:rPr>
          <w:b/>
          <w:bCs/>
          <w:lang w:eastAsia="en-US"/>
        </w:rPr>
      </w:pPr>
      <w:r w:rsidRPr="00E01950">
        <w:rPr>
          <w:b/>
          <w:bCs/>
          <w:lang w:eastAsia="en-US"/>
        </w:rPr>
        <w:t>Mobile app creation</w:t>
      </w:r>
      <w:r w:rsidR="00E50A6D">
        <w:rPr>
          <w:b/>
          <w:bCs/>
          <w:lang w:eastAsia="en-US"/>
        </w:rPr>
        <w:t xml:space="preserve">, </w:t>
      </w:r>
      <w:r w:rsidR="00E50A6D" w:rsidRPr="00334EB2">
        <w:rPr>
          <w:b/>
          <w:bCs/>
          <w:lang w:eastAsia="en-US"/>
        </w:rPr>
        <w:t>GDP</w:t>
      </w:r>
      <w:r w:rsidR="00E50A6D" w:rsidRPr="00E50A6D">
        <w:rPr>
          <w:b/>
          <w:bCs/>
          <w:i/>
          <w:iCs/>
          <w:lang w:eastAsia="en-US"/>
        </w:rPr>
        <w:t xml:space="preserve"> </w:t>
      </w:r>
      <w:r w:rsidR="00E50A6D" w:rsidRPr="00334EB2">
        <w:rPr>
          <w:b/>
          <w:bCs/>
          <w:lang w:eastAsia="en-US"/>
        </w:rPr>
        <w:t>based on PPP</w:t>
      </w:r>
      <w:r w:rsidR="00E50A6D" w:rsidRPr="00E50A6D">
        <w:rPr>
          <w:b/>
          <w:bCs/>
          <w:lang w:eastAsia="en-US"/>
        </w:rPr>
        <w:t>.</w:t>
      </w:r>
    </w:p>
    <w:p w14:paraId="2C3376A2" w14:textId="77777777" w:rsidR="00635D30" w:rsidRPr="00E01950" w:rsidRDefault="00635D30" w:rsidP="00635D30">
      <w:pPr>
        <w:pStyle w:val="ONUME"/>
        <w:tabs>
          <w:tab w:val="clear" w:pos="1134"/>
        </w:tabs>
        <w:rPr>
          <w:lang w:eastAsia="en-US"/>
        </w:rPr>
      </w:pPr>
      <w:r w:rsidRPr="00E01950">
        <w:rPr>
          <w:lang w:eastAsia="en-US"/>
        </w:rPr>
        <w:t xml:space="preserve">Mobile app creation grew from 369 million apps in 2017 and 2018 to 511 million in 2019, before surging to 808 million in 2020.  After a modest decrease to 799 million in 2021, it climbed again to a peak of 833 million in 2022, then retraced to 753 million in 2023 and 585 million in 2024. </w:t>
      </w:r>
    </w:p>
    <w:p w14:paraId="4D5AFD7E" w14:textId="77777777" w:rsidR="00635D30" w:rsidRPr="0084090E" w:rsidRDefault="00635D30" w:rsidP="00635D30">
      <w:pPr>
        <w:pStyle w:val="ONUME"/>
        <w:numPr>
          <w:ilvl w:val="0"/>
          <w:numId w:val="0"/>
        </w:numPr>
        <w:ind w:firstLine="567"/>
        <w:rPr>
          <w:b/>
          <w:bCs/>
          <w:highlight w:val="yellow"/>
          <w:lang w:eastAsia="en-US"/>
        </w:rPr>
      </w:pPr>
    </w:p>
    <w:p w14:paraId="36BBA00B" w14:textId="77777777" w:rsidR="00635D30" w:rsidRPr="0084090E" w:rsidRDefault="00635D30" w:rsidP="00635D30">
      <w:pPr>
        <w:pStyle w:val="ONUME"/>
        <w:numPr>
          <w:ilvl w:val="0"/>
          <w:numId w:val="0"/>
        </w:numPr>
        <w:rPr>
          <w:highlight w:val="yellow"/>
          <w:lang w:eastAsia="en-US"/>
        </w:rPr>
      </w:pPr>
      <w:r w:rsidRPr="0084090E">
        <w:rPr>
          <w:noProof/>
          <w:highlight w:val="yellow"/>
          <w:lang w:eastAsia="en-US"/>
        </w:rPr>
        <w:drawing>
          <wp:anchor distT="0" distB="0" distL="114300" distR="114300" simplePos="0" relativeHeight="251679744" behindDoc="1" locked="0" layoutInCell="1" allowOverlap="1" wp14:anchorId="63522FC5" wp14:editId="706B7602">
            <wp:simplePos x="0" y="0"/>
            <wp:positionH relativeFrom="column">
              <wp:posOffset>363220</wp:posOffset>
            </wp:positionH>
            <wp:positionV relativeFrom="paragraph">
              <wp:posOffset>1905</wp:posOffset>
            </wp:positionV>
            <wp:extent cx="5139845" cy="2713939"/>
            <wp:effectExtent l="0" t="0" r="3810" b="0"/>
            <wp:wrapTight wrapText="bothSides">
              <wp:wrapPolygon edited="0">
                <wp:start x="0" y="0"/>
                <wp:lineTo x="0" y="21383"/>
                <wp:lineTo x="21536" y="21383"/>
                <wp:lineTo x="21536" y="0"/>
                <wp:lineTo x="0" y="0"/>
              </wp:wrapPolygon>
            </wp:wrapTight>
            <wp:docPr id="328822731" name="Picture 5" descr="Mobile app creation, GDP based on 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822731" name="Picture 5" descr="Mobile app creation, GDP based on PP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39845" cy="2713939"/>
                    </a:xfrm>
                    <a:prstGeom prst="rect">
                      <a:avLst/>
                    </a:prstGeom>
                    <a:noFill/>
                  </pic:spPr>
                </pic:pic>
              </a:graphicData>
            </a:graphic>
          </wp:anchor>
        </w:drawing>
      </w:r>
    </w:p>
    <w:p w14:paraId="56F79498" w14:textId="77777777" w:rsidR="00635D30" w:rsidRPr="0084090E" w:rsidRDefault="00635D30" w:rsidP="00635D30">
      <w:pPr>
        <w:pStyle w:val="ONUME"/>
        <w:numPr>
          <w:ilvl w:val="0"/>
          <w:numId w:val="0"/>
        </w:numPr>
        <w:rPr>
          <w:highlight w:val="yellow"/>
          <w:lang w:eastAsia="en-US"/>
        </w:rPr>
      </w:pPr>
    </w:p>
    <w:p w14:paraId="730C79CF" w14:textId="77777777" w:rsidR="00635D30" w:rsidRPr="0084090E" w:rsidRDefault="00635D30" w:rsidP="00635D30">
      <w:pPr>
        <w:pStyle w:val="ONUME"/>
        <w:numPr>
          <w:ilvl w:val="0"/>
          <w:numId w:val="0"/>
        </w:numPr>
        <w:rPr>
          <w:highlight w:val="yellow"/>
          <w:lang w:eastAsia="en-US"/>
        </w:rPr>
      </w:pPr>
    </w:p>
    <w:bookmarkEnd w:id="32"/>
    <w:p w14:paraId="5BE014B4" w14:textId="77777777" w:rsidR="00E66514" w:rsidRDefault="00E66514" w:rsidP="00E66514">
      <w:pPr>
        <w:pStyle w:val="ONUME"/>
        <w:numPr>
          <w:ilvl w:val="0"/>
          <w:numId w:val="0"/>
        </w:numPr>
        <w:ind w:left="603"/>
        <w:rPr>
          <w:b/>
          <w:bCs/>
          <w:lang w:eastAsia="en-US"/>
        </w:rPr>
      </w:pPr>
    </w:p>
    <w:p w14:paraId="723E27E8" w14:textId="77777777" w:rsidR="00635D30" w:rsidRDefault="00635D30" w:rsidP="00E66514">
      <w:pPr>
        <w:pStyle w:val="ONUME"/>
        <w:numPr>
          <w:ilvl w:val="0"/>
          <w:numId w:val="0"/>
        </w:numPr>
        <w:ind w:left="603"/>
        <w:rPr>
          <w:b/>
          <w:bCs/>
          <w:lang w:eastAsia="en-US"/>
        </w:rPr>
      </w:pPr>
    </w:p>
    <w:p w14:paraId="50FAD699" w14:textId="77777777" w:rsidR="00635D30" w:rsidRDefault="00635D30" w:rsidP="00E66514">
      <w:pPr>
        <w:pStyle w:val="ONUME"/>
        <w:numPr>
          <w:ilvl w:val="0"/>
          <w:numId w:val="0"/>
        </w:numPr>
        <w:ind w:left="603"/>
        <w:rPr>
          <w:b/>
          <w:bCs/>
          <w:lang w:eastAsia="en-US"/>
        </w:rPr>
      </w:pPr>
    </w:p>
    <w:p w14:paraId="20592A03" w14:textId="77777777" w:rsidR="00635D30" w:rsidRDefault="00635D30" w:rsidP="00E66514">
      <w:pPr>
        <w:pStyle w:val="ONUME"/>
        <w:numPr>
          <w:ilvl w:val="0"/>
          <w:numId w:val="0"/>
        </w:numPr>
        <w:ind w:left="603"/>
        <w:rPr>
          <w:b/>
          <w:bCs/>
          <w:lang w:eastAsia="en-US"/>
        </w:rPr>
      </w:pPr>
    </w:p>
    <w:p w14:paraId="232A86F0" w14:textId="77777777" w:rsidR="00635D30" w:rsidRPr="00EC0B22" w:rsidRDefault="00635D30" w:rsidP="00E66514">
      <w:pPr>
        <w:pStyle w:val="ONUME"/>
        <w:numPr>
          <w:ilvl w:val="0"/>
          <w:numId w:val="0"/>
        </w:numPr>
        <w:ind w:left="603"/>
        <w:rPr>
          <w:b/>
          <w:bCs/>
          <w:lang w:eastAsia="en-US"/>
        </w:rPr>
      </w:pPr>
    </w:p>
    <w:p w14:paraId="2AB20BFB" w14:textId="02E186F1" w:rsidR="00E66514" w:rsidRPr="0030349E" w:rsidRDefault="00E66514" w:rsidP="00E66514">
      <w:pPr>
        <w:pStyle w:val="Heading2"/>
        <w:tabs>
          <w:tab w:val="left" w:pos="1170"/>
        </w:tabs>
        <w:spacing w:after="220"/>
        <w:ind w:left="1181" w:hanging="634"/>
        <w:rPr>
          <w:lang w:eastAsia="en-US"/>
        </w:rPr>
      </w:pPr>
      <w:bookmarkStart w:id="33" w:name="_Toc200544995"/>
      <w:r w:rsidRPr="0030349E">
        <w:rPr>
          <w:lang w:eastAsia="en-US"/>
        </w:rPr>
        <w:lastRenderedPageBreak/>
        <w:t>2.</w:t>
      </w:r>
      <w:r>
        <w:rPr>
          <w:lang w:eastAsia="en-US"/>
        </w:rPr>
        <w:t>5</w:t>
      </w:r>
      <w:r w:rsidRPr="0030349E">
        <w:rPr>
          <w:lang w:eastAsia="en-US"/>
        </w:rPr>
        <w:tab/>
        <w:t>Intellectual Property filing trends</w:t>
      </w:r>
      <w:bookmarkEnd w:id="33"/>
      <w:r w:rsidRPr="0030349E">
        <w:rPr>
          <w:lang w:eastAsia="en-US"/>
        </w:rPr>
        <w:t xml:space="preserve"> </w:t>
      </w:r>
    </w:p>
    <w:p w14:paraId="44F64BAE" w14:textId="77777777" w:rsidR="00061649" w:rsidRDefault="00E66514" w:rsidP="00E66514">
      <w:pPr>
        <w:pStyle w:val="Heading3"/>
        <w:ind w:left="1890" w:hanging="720"/>
        <w:rPr>
          <w:lang w:eastAsia="en-US"/>
        </w:rPr>
      </w:pPr>
      <w:bookmarkStart w:id="34" w:name="_Toc200544996"/>
      <w:r w:rsidRPr="0030349E">
        <w:rPr>
          <w:u w:val="none"/>
          <w:lang w:eastAsia="en-US"/>
        </w:rPr>
        <w:t>2.</w:t>
      </w:r>
      <w:r>
        <w:rPr>
          <w:u w:val="none"/>
          <w:lang w:eastAsia="en-US"/>
        </w:rPr>
        <w:t>5</w:t>
      </w:r>
      <w:r w:rsidRPr="0030349E">
        <w:rPr>
          <w:u w:val="none"/>
          <w:lang w:eastAsia="en-US"/>
        </w:rPr>
        <w:t>.1</w:t>
      </w:r>
      <w:r w:rsidRPr="0030349E">
        <w:rPr>
          <w:u w:val="none"/>
          <w:lang w:eastAsia="en-US"/>
        </w:rPr>
        <w:tab/>
      </w:r>
      <w:r w:rsidRPr="0030349E">
        <w:rPr>
          <w:lang w:eastAsia="en-US"/>
        </w:rPr>
        <w:t>National Filings</w:t>
      </w:r>
      <w:bookmarkEnd w:id="34"/>
    </w:p>
    <w:p w14:paraId="4122D0A7" w14:textId="77777777" w:rsidR="004C55EE" w:rsidRPr="004C55EE" w:rsidRDefault="004C55EE" w:rsidP="00334EB2">
      <w:pPr>
        <w:rPr>
          <w:lang w:eastAsia="en-US"/>
        </w:rPr>
      </w:pPr>
    </w:p>
    <w:p w14:paraId="26AB4900" w14:textId="79A3C1AB" w:rsidR="00061649" w:rsidRPr="0030349E" w:rsidRDefault="00061649" w:rsidP="00842C14">
      <w:pPr>
        <w:pStyle w:val="ONUME"/>
        <w:tabs>
          <w:tab w:val="clear" w:pos="567"/>
          <w:tab w:val="clear" w:pos="1134"/>
          <w:tab w:val="left" w:pos="630"/>
          <w:tab w:val="num" w:pos="720"/>
        </w:tabs>
        <w:rPr>
          <w:lang w:eastAsia="en-US"/>
        </w:rPr>
      </w:pPr>
      <w:r w:rsidRPr="0030349E">
        <w:rPr>
          <w:lang w:eastAsia="en-US"/>
        </w:rPr>
        <w:t xml:space="preserve">As </w:t>
      </w:r>
      <w:r w:rsidR="000A2803">
        <w:rPr>
          <w:lang w:eastAsia="en-US"/>
        </w:rPr>
        <w:t>previously reported in document</w:t>
      </w:r>
      <w:r w:rsidRPr="0030349E">
        <w:rPr>
          <w:lang w:eastAsia="en-US"/>
        </w:rPr>
        <w:t xml:space="preserve"> A/65/7, the filing figures sta</w:t>
      </w:r>
      <w:r w:rsidR="00635D30">
        <w:rPr>
          <w:lang w:eastAsia="en-US"/>
        </w:rPr>
        <w:t>r</w:t>
      </w:r>
      <w:r w:rsidRPr="0030349E">
        <w:rPr>
          <w:lang w:eastAsia="en-US"/>
        </w:rPr>
        <w:t xml:space="preserve">ted to show resilience. </w:t>
      </w:r>
      <w:r w:rsidR="002821EA">
        <w:rPr>
          <w:lang w:eastAsia="en-US"/>
        </w:rPr>
        <w:t xml:space="preserve"> </w:t>
      </w:r>
      <w:r w:rsidRPr="0030349E">
        <w:rPr>
          <w:lang w:eastAsia="en-US"/>
        </w:rPr>
        <w:t xml:space="preserve">In terms of </w:t>
      </w:r>
      <w:r w:rsidRPr="0030349E">
        <w:rPr>
          <w:bCs/>
          <w:lang w:eastAsia="en-US"/>
        </w:rPr>
        <w:t>filing activity of applicants for different IP rights</w:t>
      </w:r>
      <w:r w:rsidRPr="0030349E">
        <w:rPr>
          <w:lang w:eastAsia="en-US"/>
        </w:rPr>
        <w:t xml:space="preserve"> nationally, in contrast to 2022, 2023 saw a return to growth of 5.5</w:t>
      </w:r>
      <w:r w:rsidR="00635D30">
        <w:rPr>
          <w:lang w:eastAsia="en-US"/>
        </w:rPr>
        <w:t xml:space="preserve"> per</w:t>
      </w:r>
      <w:r w:rsidR="002821EA">
        <w:rPr>
          <w:lang w:eastAsia="en-US"/>
        </w:rPr>
        <w:t xml:space="preserve"> </w:t>
      </w:r>
      <w:r w:rsidR="00635D30">
        <w:rPr>
          <w:lang w:eastAsia="en-US"/>
        </w:rPr>
        <w:t>cent</w:t>
      </w:r>
      <w:r w:rsidRPr="0030349E">
        <w:rPr>
          <w:lang w:eastAsia="en-US"/>
        </w:rPr>
        <w:t>, bringing the total to 2,911 applications.  Despite this partial recovery, the figure remains about 480 applications below the 2021 level.  The increase in 2023 was driven entirely by applicants domiciled in Ukraine (residents), which filed 27.2</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more patent applications than in the previous year.  Meanwhile, filings by applicants located abroad (non-residents) decreased by 3.3</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in 2023, representing a second consecutive year of decline.</w:t>
      </w:r>
    </w:p>
    <w:p w14:paraId="141C478A" w14:textId="106B491F" w:rsidR="00061649" w:rsidRPr="0030349E" w:rsidRDefault="00061649" w:rsidP="00842C14">
      <w:pPr>
        <w:pStyle w:val="ONUME"/>
        <w:tabs>
          <w:tab w:val="clear" w:pos="567"/>
          <w:tab w:val="clear" w:pos="1134"/>
        </w:tabs>
        <w:rPr>
          <w:lang w:eastAsia="en-US"/>
        </w:rPr>
      </w:pPr>
      <w:r w:rsidRPr="0030349E">
        <w:rPr>
          <w:lang w:eastAsia="en-US"/>
        </w:rPr>
        <w:t>UANIPIO experience</w:t>
      </w:r>
      <w:r w:rsidR="00B95881">
        <w:rPr>
          <w:lang w:eastAsia="en-US"/>
        </w:rPr>
        <w:t>d</w:t>
      </w:r>
      <w:r w:rsidRPr="0030349E">
        <w:rPr>
          <w:lang w:eastAsia="en-US"/>
        </w:rPr>
        <w:t xml:space="preserve"> significant fluctuations in trademark filing</w:t>
      </w:r>
      <w:r w:rsidR="00D01EDF">
        <w:rPr>
          <w:lang w:eastAsia="en-US"/>
        </w:rPr>
        <w:t>s</w:t>
      </w:r>
      <w:r w:rsidRPr="0030349E">
        <w:rPr>
          <w:lang w:eastAsia="en-US"/>
        </w:rPr>
        <w:t xml:space="preserve"> over the 2021–2023 period, with total trademark fillings declining by 39.5</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in 2022 compared to 2021.</w:t>
      </w:r>
      <w:r w:rsidR="002821EA">
        <w:rPr>
          <w:lang w:eastAsia="en-US"/>
        </w:rPr>
        <w:t xml:space="preserve"> </w:t>
      </w:r>
      <w:r w:rsidRPr="0030349E">
        <w:rPr>
          <w:lang w:eastAsia="en-US"/>
        </w:rPr>
        <w:t xml:space="preserve"> A notable return to growth occurred in 2023, with total trademark filing</w:t>
      </w:r>
      <w:r w:rsidR="00072C5E">
        <w:rPr>
          <w:lang w:eastAsia="en-US"/>
        </w:rPr>
        <w:t>s</w:t>
      </w:r>
      <w:r w:rsidRPr="0030349E">
        <w:rPr>
          <w:lang w:eastAsia="en-US"/>
        </w:rPr>
        <w:t xml:space="preserve"> increasing by 29.2</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to reach an application class count of 55,681. </w:t>
      </w:r>
      <w:r w:rsidR="002821EA">
        <w:rPr>
          <w:lang w:eastAsia="en-US"/>
        </w:rPr>
        <w:t xml:space="preserve"> </w:t>
      </w:r>
      <w:r w:rsidRPr="0030349E">
        <w:rPr>
          <w:lang w:eastAsia="en-US"/>
        </w:rPr>
        <w:t>This increase was solely driven by Ukrainian applicants, whose filing</w:t>
      </w:r>
      <w:r w:rsidR="00DA158E">
        <w:rPr>
          <w:lang w:eastAsia="en-US"/>
        </w:rPr>
        <w:t>s</w:t>
      </w:r>
      <w:r w:rsidRPr="0030349E">
        <w:rPr>
          <w:lang w:eastAsia="en-US"/>
        </w:rPr>
        <w:t xml:space="preserve"> surged by 64.3</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compared to 2022.  However, the overall growth was somewhat tempered by continued weakness in non-resident filing</w:t>
      </w:r>
      <w:r w:rsidR="00DA158E">
        <w:rPr>
          <w:lang w:eastAsia="en-US"/>
        </w:rPr>
        <w:t>s</w:t>
      </w:r>
      <w:r w:rsidRPr="0030349E">
        <w:rPr>
          <w:lang w:eastAsia="en-US"/>
        </w:rPr>
        <w:t>, which decreased by 12.7</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w:t>
      </w:r>
      <w:r w:rsidR="006754D9">
        <w:rPr>
          <w:lang w:eastAsia="en-US"/>
        </w:rPr>
        <w:t>al</w:t>
      </w:r>
      <w:r w:rsidRPr="0030349E">
        <w:rPr>
          <w:lang w:eastAsia="en-US"/>
        </w:rPr>
        <w:t xml:space="preserve">though this represented an improvement over the steeper </w:t>
      </w:r>
      <w:r w:rsidR="002821EA">
        <w:rPr>
          <w:lang w:eastAsia="en-US"/>
        </w:rPr>
        <w:t xml:space="preserve">     </w:t>
      </w:r>
      <w:r w:rsidRPr="0030349E">
        <w:rPr>
          <w:lang w:eastAsia="en-US"/>
        </w:rPr>
        <w:t>27.3</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decline observed in 2022.</w:t>
      </w:r>
    </w:p>
    <w:p w14:paraId="1BF13800" w14:textId="22FE5966" w:rsidR="00061649" w:rsidRPr="0030349E" w:rsidRDefault="00061649" w:rsidP="00842C14">
      <w:pPr>
        <w:pStyle w:val="ONUME"/>
        <w:tabs>
          <w:tab w:val="clear" w:pos="567"/>
          <w:tab w:val="clear" w:pos="1134"/>
        </w:tabs>
        <w:rPr>
          <w:lang w:eastAsia="en-US"/>
        </w:rPr>
      </w:pPr>
      <w:r w:rsidRPr="0030349E">
        <w:rPr>
          <w:lang w:eastAsia="en-US"/>
        </w:rPr>
        <w:t>Industrial design filing</w:t>
      </w:r>
      <w:r w:rsidR="00DA158E">
        <w:rPr>
          <w:lang w:eastAsia="en-US"/>
        </w:rPr>
        <w:t>s</w:t>
      </w:r>
      <w:r w:rsidRPr="0030349E">
        <w:rPr>
          <w:lang w:eastAsia="en-US"/>
        </w:rPr>
        <w:t xml:space="preserve"> in Ukraine saw a return to robust growth in 2023, with 4,780 designs in applications filed, a robust 25</w:t>
      </w:r>
      <w:r w:rsidR="00635D30">
        <w:rPr>
          <w:lang w:eastAsia="en-US"/>
        </w:rPr>
        <w:t xml:space="preserve"> per</w:t>
      </w:r>
      <w:r w:rsidR="005E74DD">
        <w:rPr>
          <w:lang w:eastAsia="en-US"/>
        </w:rPr>
        <w:t xml:space="preserve"> </w:t>
      </w:r>
      <w:r w:rsidR="00635D30">
        <w:rPr>
          <w:lang w:eastAsia="en-US"/>
        </w:rPr>
        <w:t>cent</w:t>
      </w:r>
      <w:r w:rsidRPr="0030349E">
        <w:rPr>
          <w:lang w:eastAsia="en-US"/>
        </w:rPr>
        <w:t xml:space="preserve"> increase over 2022 figures.</w:t>
      </w:r>
      <w:r w:rsidR="007B1A7D">
        <w:rPr>
          <w:lang w:eastAsia="en-US"/>
        </w:rPr>
        <w:t xml:space="preserve"> </w:t>
      </w:r>
      <w:r w:rsidRPr="0030349E">
        <w:rPr>
          <w:lang w:eastAsia="en-US"/>
        </w:rPr>
        <w:t xml:space="preserve"> This increase was exclusively driven by Ukrainian applicants whose filing surged by 55.5</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successfully offsetting a minor </w:t>
      </w:r>
      <w:r w:rsidR="006754D9">
        <w:rPr>
          <w:lang w:eastAsia="en-US"/>
        </w:rPr>
        <w:t>two</w:t>
      </w:r>
      <w:r w:rsidR="00635D30">
        <w:rPr>
          <w:lang w:eastAsia="en-US"/>
        </w:rPr>
        <w:t xml:space="preserve"> per</w:t>
      </w:r>
      <w:r w:rsidR="002821EA">
        <w:rPr>
          <w:lang w:eastAsia="en-US"/>
        </w:rPr>
        <w:t xml:space="preserve"> </w:t>
      </w:r>
      <w:r w:rsidR="00635D30">
        <w:rPr>
          <w:lang w:eastAsia="en-US"/>
        </w:rPr>
        <w:t>cent</w:t>
      </w:r>
      <w:r w:rsidRPr="0030349E">
        <w:rPr>
          <w:lang w:eastAsia="en-US"/>
        </w:rPr>
        <w:t xml:space="preserve"> decrease in filing by non-residents. </w:t>
      </w:r>
    </w:p>
    <w:p w14:paraId="0FFE1AB0" w14:textId="10F6DA28" w:rsidR="00061649" w:rsidRDefault="00061649" w:rsidP="00842C14">
      <w:pPr>
        <w:pStyle w:val="ONUME"/>
        <w:tabs>
          <w:tab w:val="clear" w:pos="567"/>
          <w:tab w:val="clear" w:pos="1134"/>
          <w:tab w:val="num" w:pos="630"/>
        </w:tabs>
        <w:rPr>
          <w:lang w:eastAsia="en-US"/>
        </w:rPr>
      </w:pPr>
      <w:r w:rsidRPr="0030349E">
        <w:rPr>
          <w:lang w:eastAsia="en-US"/>
        </w:rPr>
        <w:t>Along the three IP rights, patents, trademarks and industrial designs, Ukraine witnessed a pattern of growth in 2023, which was entirely driven by increased domestic filing</w:t>
      </w:r>
      <w:r w:rsidR="005B408F">
        <w:rPr>
          <w:lang w:eastAsia="en-US"/>
        </w:rPr>
        <w:t>s</w:t>
      </w:r>
      <w:r w:rsidRPr="0030349E">
        <w:rPr>
          <w:lang w:eastAsia="en-US"/>
        </w:rPr>
        <w:t xml:space="preserve"> by Ukraine-based applicants, while filing</w:t>
      </w:r>
      <w:r w:rsidR="005B408F">
        <w:rPr>
          <w:lang w:eastAsia="en-US"/>
        </w:rPr>
        <w:t>s</w:t>
      </w:r>
      <w:r w:rsidRPr="0030349E">
        <w:rPr>
          <w:lang w:eastAsia="en-US"/>
        </w:rPr>
        <w:t xml:space="preserve"> from abroad continued to decrease for a second consecutive year, albeit less dramatically than in 2022.</w:t>
      </w:r>
      <w:r w:rsidR="002821EA">
        <w:rPr>
          <w:lang w:eastAsia="en-US"/>
        </w:rPr>
        <w:t xml:space="preserve"> </w:t>
      </w:r>
      <w:r w:rsidRPr="0030349E">
        <w:rPr>
          <w:lang w:eastAsia="en-US"/>
        </w:rPr>
        <w:t xml:space="preserve"> Ukrainian resident trademark filing</w:t>
      </w:r>
      <w:r w:rsidR="00573F36">
        <w:rPr>
          <w:lang w:eastAsia="en-US"/>
        </w:rPr>
        <w:t>s</w:t>
      </w:r>
      <w:r w:rsidRPr="0030349E">
        <w:rPr>
          <w:lang w:eastAsia="en-US"/>
        </w:rPr>
        <w:t xml:space="preserve"> in 2023 recovered to the level recorded in 2020, whereas 2023 resident patent and industrial design filing</w:t>
      </w:r>
      <w:r w:rsidR="00573F36">
        <w:rPr>
          <w:lang w:eastAsia="en-US"/>
        </w:rPr>
        <w:t>s</w:t>
      </w:r>
      <w:r w:rsidRPr="0030349E">
        <w:rPr>
          <w:lang w:eastAsia="en-US"/>
        </w:rPr>
        <w:t xml:space="preserve"> remained below their 2020 levels.</w:t>
      </w:r>
    </w:p>
    <w:p w14:paraId="22529EBE" w14:textId="77B2B39D" w:rsidR="00061649" w:rsidRPr="0030349E" w:rsidRDefault="00061649" w:rsidP="00061649">
      <w:pPr>
        <w:pStyle w:val="ONUME"/>
        <w:numPr>
          <w:ilvl w:val="0"/>
          <w:numId w:val="0"/>
        </w:numPr>
        <w:ind w:firstLine="567"/>
        <w:rPr>
          <w:i/>
          <w:iCs/>
          <w:lang w:eastAsia="en-US"/>
        </w:rPr>
      </w:pPr>
      <w:r w:rsidRPr="0030349E">
        <w:rPr>
          <w:i/>
          <w:iCs/>
          <w:lang w:eastAsia="en-US"/>
        </w:rPr>
        <w:t>Ukrainian resident patent, trademark, and industrial design filing</w:t>
      </w:r>
      <w:r w:rsidR="00494B96">
        <w:rPr>
          <w:i/>
          <w:iCs/>
          <w:lang w:eastAsia="en-US"/>
        </w:rPr>
        <w:t>s</w:t>
      </w:r>
      <w:r w:rsidRPr="0030349E">
        <w:rPr>
          <w:i/>
          <w:iCs/>
          <w:lang w:eastAsia="en-US"/>
        </w:rPr>
        <w:t xml:space="preserve"> (indexed)</w:t>
      </w:r>
    </w:p>
    <w:p w14:paraId="6A2C5E24" w14:textId="2E3E40AE" w:rsidR="00061649" w:rsidRPr="00842C14" w:rsidRDefault="00061649" w:rsidP="00842C14">
      <w:pPr>
        <w:pStyle w:val="ONUME"/>
        <w:numPr>
          <w:ilvl w:val="0"/>
          <w:numId w:val="0"/>
        </w:numPr>
        <w:ind w:firstLine="540"/>
        <w:rPr>
          <w:lang w:eastAsia="en-US"/>
        </w:rPr>
      </w:pPr>
      <w:r w:rsidRPr="0084090E">
        <w:rPr>
          <w:noProof/>
          <w:highlight w:val="yellow"/>
          <w:lang w:eastAsia="en-US"/>
        </w:rPr>
        <w:drawing>
          <wp:anchor distT="0" distB="0" distL="114300" distR="114300" simplePos="0" relativeHeight="251689984" behindDoc="1" locked="0" layoutInCell="1" allowOverlap="1" wp14:anchorId="6BFD3AF4" wp14:editId="75351779">
            <wp:simplePos x="0" y="0"/>
            <wp:positionH relativeFrom="column">
              <wp:posOffset>364490</wp:posOffset>
            </wp:positionH>
            <wp:positionV relativeFrom="paragraph">
              <wp:posOffset>635</wp:posOffset>
            </wp:positionV>
            <wp:extent cx="5360670" cy="2891790"/>
            <wp:effectExtent l="0" t="0" r="0" b="3810"/>
            <wp:wrapTight wrapText="bothSides">
              <wp:wrapPolygon edited="0">
                <wp:start x="0" y="0"/>
                <wp:lineTo x="0" y="21486"/>
                <wp:lineTo x="21493" y="21486"/>
                <wp:lineTo x="21493" y="0"/>
                <wp:lineTo x="0" y="0"/>
              </wp:wrapPolygon>
            </wp:wrapTight>
            <wp:docPr id="376089227" name="Picture 1" descr="Ukrainian resident patent, trademark, and industrial design filings (index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89227" name="Picture 1" descr="Ukrainian resident patent, trademark, and industrial design filings (index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0670" cy="2891790"/>
                    </a:xfrm>
                    <a:prstGeom prst="rect">
                      <a:avLst/>
                    </a:prstGeom>
                    <a:noFill/>
                  </pic:spPr>
                </pic:pic>
              </a:graphicData>
            </a:graphic>
            <wp14:sizeRelH relativeFrom="margin">
              <wp14:pctWidth>0</wp14:pctWidth>
            </wp14:sizeRelH>
            <wp14:sizeRelV relativeFrom="margin">
              <wp14:pctHeight>0</wp14:pctHeight>
            </wp14:sizeRelV>
          </wp:anchor>
        </w:drawing>
      </w:r>
      <w:r w:rsidRPr="0030349E">
        <w:rPr>
          <w:i/>
          <w:iCs/>
          <w:lang w:eastAsia="en-US"/>
        </w:rPr>
        <w:t>Source: WIPO Statistics</w:t>
      </w:r>
    </w:p>
    <w:p w14:paraId="43248B35" w14:textId="4EEBB957" w:rsidR="00061649" w:rsidRPr="0030349E" w:rsidRDefault="00061649" w:rsidP="00061649">
      <w:pPr>
        <w:pStyle w:val="ONUME"/>
        <w:rPr>
          <w:lang w:eastAsia="en-US"/>
        </w:rPr>
      </w:pPr>
      <w:r w:rsidRPr="0030349E">
        <w:rPr>
          <w:lang w:eastAsia="en-US"/>
        </w:rPr>
        <w:lastRenderedPageBreak/>
        <w:t>The International Bureau will publish the 2024 national filing figures in November 2025. However, UANIPIO reported a 4.8</w:t>
      </w:r>
      <w:r w:rsidR="003A424A">
        <w:rPr>
          <w:lang w:eastAsia="en-US"/>
        </w:rPr>
        <w:t xml:space="preserve"> per</w:t>
      </w:r>
      <w:r w:rsidR="00347E0A">
        <w:rPr>
          <w:lang w:eastAsia="en-US"/>
        </w:rPr>
        <w:t xml:space="preserve"> </w:t>
      </w:r>
      <w:r w:rsidR="003A424A">
        <w:rPr>
          <w:lang w:eastAsia="en-US"/>
        </w:rPr>
        <w:t>cent</w:t>
      </w:r>
      <w:r w:rsidR="003A424A" w:rsidRPr="0030349E">
        <w:rPr>
          <w:lang w:eastAsia="en-US"/>
        </w:rPr>
        <w:t xml:space="preserve"> </w:t>
      </w:r>
      <w:r w:rsidRPr="0030349E">
        <w:rPr>
          <w:lang w:eastAsia="en-US"/>
        </w:rPr>
        <w:t>increase in total registrations compared to 2023, signaling a degree of recovery and resilience in the domestic IP system.  However, registrations remain significantly below pre-war levels, 35</w:t>
      </w:r>
      <w:r w:rsidR="003A424A">
        <w:rPr>
          <w:lang w:eastAsia="en-US"/>
        </w:rPr>
        <w:t xml:space="preserve"> per</w:t>
      </w:r>
      <w:r w:rsidR="00347E0A">
        <w:rPr>
          <w:lang w:eastAsia="en-US"/>
        </w:rPr>
        <w:t xml:space="preserve"> </w:t>
      </w:r>
      <w:r w:rsidR="003A424A">
        <w:rPr>
          <w:lang w:eastAsia="en-US"/>
        </w:rPr>
        <w:t>cent</w:t>
      </w:r>
      <w:r w:rsidRPr="0030349E">
        <w:rPr>
          <w:lang w:eastAsia="en-US"/>
        </w:rPr>
        <w:t xml:space="preserve"> lower than in 2021 and 33.6</w:t>
      </w:r>
      <w:r w:rsidR="003A424A">
        <w:rPr>
          <w:lang w:eastAsia="en-US"/>
        </w:rPr>
        <w:t xml:space="preserve"> per</w:t>
      </w:r>
      <w:r w:rsidR="00347E0A">
        <w:rPr>
          <w:lang w:eastAsia="en-US"/>
        </w:rPr>
        <w:t xml:space="preserve"> </w:t>
      </w:r>
      <w:r w:rsidR="003A424A">
        <w:rPr>
          <w:lang w:eastAsia="en-US"/>
        </w:rPr>
        <w:t>cent</w:t>
      </w:r>
      <w:r w:rsidR="003A424A" w:rsidRPr="0030349E">
        <w:rPr>
          <w:lang w:eastAsia="en-US"/>
        </w:rPr>
        <w:t xml:space="preserve"> </w:t>
      </w:r>
      <w:r w:rsidRPr="0030349E">
        <w:rPr>
          <w:lang w:eastAsia="en-US"/>
        </w:rPr>
        <w:t>lower than in 2020</w:t>
      </w:r>
      <w:r w:rsidR="00494B96">
        <w:rPr>
          <w:lang w:eastAsia="en-US"/>
        </w:rPr>
        <w:t>.</w:t>
      </w:r>
      <w:r w:rsidRPr="0030349E">
        <w:rPr>
          <w:vertAlign w:val="superscript"/>
          <w:lang w:eastAsia="en-US"/>
        </w:rPr>
        <w:footnoteReference w:id="25"/>
      </w:r>
      <w:r w:rsidRPr="0030349E">
        <w:rPr>
          <w:lang w:eastAsia="en-US"/>
        </w:rPr>
        <w:t xml:space="preserve"> </w:t>
      </w:r>
    </w:p>
    <w:p w14:paraId="27021556" w14:textId="4432155F" w:rsidR="00E66514" w:rsidRPr="00061649" w:rsidRDefault="00061649" w:rsidP="00061649">
      <w:pPr>
        <w:pStyle w:val="Heading3"/>
        <w:ind w:left="1890" w:hanging="720"/>
        <w:rPr>
          <w:u w:val="none"/>
          <w:lang w:eastAsia="en-US"/>
        </w:rPr>
      </w:pPr>
      <w:bookmarkStart w:id="35" w:name="_Toc200544997"/>
      <w:r w:rsidRPr="00061649">
        <w:rPr>
          <w:u w:val="none"/>
          <w:lang w:eastAsia="en-US"/>
        </w:rPr>
        <w:t>2.</w:t>
      </w:r>
      <w:r>
        <w:rPr>
          <w:u w:val="none"/>
          <w:lang w:eastAsia="en-US"/>
        </w:rPr>
        <w:t>5</w:t>
      </w:r>
      <w:r w:rsidRPr="00061649">
        <w:rPr>
          <w:u w:val="none"/>
          <w:lang w:eastAsia="en-US"/>
        </w:rPr>
        <w:t>.2</w:t>
      </w:r>
      <w:r w:rsidRPr="00061649">
        <w:rPr>
          <w:u w:val="none"/>
          <w:lang w:eastAsia="en-US"/>
        </w:rPr>
        <w:tab/>
      </w:r>
      <w:r w:rsidRPr="00061649">
        <w:rPr>
          <w:lang w:eastAsia="en-US"/>
        </w:rPr>
        <w:t>International Filings</w:t>
      </w:r>
      <w:bookmarkEnd w:id="35"/>
    </w:p>
    <w:p w14:paraId="06A8BA4E" w14:textId="0420FDD3" w:rsidR="00822E70" w:rsidRPr="0030349E" w:rsidRDefault="00782A2E" w:rsidP="00E66514">
      <w:pPr>
        <w:pStyle w:val="Heading3"/>
        <w:ind w:left="1890" w:hanging="720"/>
        <w:rPr>
          <w:u w:val="none"/>
          <w:lang w:eastAsia="en-US"/>
        </w:rPr>
      </w:pPr>
      <w:bookmarkStart w:id="36" w:name="_Toc200544998"/>
      <w:r w:rsidRPr="0030349E">
        <w:rPr>
          <w:u w:val="none"/>
          <w:lang w:eastAsia="en-US"/>
        </w:rPr>
        <w:t>2.</w:t>
      </w:r>
      <w:r w:rsidR="00396068">
        <w:rPr>
          <w:u w:val="none"/>
          <w:lang w:eastAsia="en-US"/>
        </w:rPr>
        <w:t>5</w:t>
      </w:r>
      <w:r w:rsidRPr="0030349E">
        <w:rPr>
          <w:u w:val="none"/>
          <w:lang w:eastAsia="en-US"/>
        </w:rPr>
        <w:t>.2.1</w:t>
      </w:r>
      <w:r w:rsidRPr="0030349E">
        <w:rPr>
          <w:u w:val="none"/>
          <w:lang w:eastAsia="en-US"/>
        </w:rPr>
        <w:tab/>
      </w:r>
      <w:r w:rsidR="00822E70" w:rsidRPr="0030349E">
        <w:rPr>
          <w:lang w:eastAsia="en-US"/>
        </w:rPr>
        <w:t>Patent Cooperation Treaty (PCT)</w:t>
      </w:r>
      <w:bookmarkEnd w:id="36"/>
    </w:p>
    <w:p w14:paraId="7E070FE9" w14:textId="77777777" w:rsidR="00782A2E" w:rsidRPr="0030349E" w:rsidRDefault="00782A2E" w:rsidP="00782A2E">
      <w:pPr>
        <w:rPr>
          <w:lang w:eastAsia="en-US"/>
        </w:rPr>
      </w:pPr>
    </w:p>
    <w:p w14:paraId="230A63CC" w14:textId="37D21763" w:rsidR="00822E70" w:rsidRPr="0030349E" w:rsidRDefault="009063B7" w:rsidP="00842C14">
      <w:pPr>
        <w:pStyle w:val="ONUME"/>
        <w:tabs>
          <w:tab w:val="clear" w:pos="567"/>
          <w:tab w:val="clear" w:pos="1134"/>
          <w:tab w:val="num" w:pos="270"/>
          <w:tab w:val="left" w:pos="630"/>
        </w:tabs>
        <w:rPr>
          <w:lang w:eastAsia="en-US"/>
        </w:rPr>
      </w:pPr>
      <w:r w:rsidRPr="0030349E">
        <w:rPr>
          <w:noProof/>
          <w:lang w:eastAsia="en-US"/>
        </w:rPr>
        <w:drawing>
          <wp:anchor distT="0" distB="0" distL="114300" distR="114300" simplePos="0" relativeHeight="251662336" behindDoc="1" locked="0" layoutInCell="1" allowOverlap="1" wp14:anchorId="1D22A1D3" wp14:editId="71A70714">
            <wp:simplePos x="0" y="0"/>
            <wp:positionH relativeFrom="column">
              <wp:posOffset>-100330</wp:posOffset>
            </wp:positionH>
            <wp:positionV relativeFrom="paragraph">
              <wp:posOffset>746760</wp:posOffset>
            </wp:positionV>
            <wp:extent cx="5733415" cy="2242820"/>
            <wp:effectExtent l="0" t="0" r="635" b="5080"/>
            <wp:wrapTight wrapText="bothSides">
              <wp:wrapPolygon edited="0">
                <wp:start x="0" y="0"/>
                <wp:lineTo x="0" y="21465"/>
                <wp:lineTo x="21531" y="21465"/>
                <wp:lineTo x="21531" y="0"/>
                <wp:lineTo x="0" y="0"/>
              </wp:wrapPolygon>
            </wp:wrapTight>
            <wp:docPr id="1067011730" name="Chart 1" descr="PCT applications originating from Ukraine">
              <a:extLst xmlns:a="http://schemas.openxmlformats.org/drawingml/2006/main">
                <a:ext uri="{FF2B5EF4-FFF2-40B4-BE49-F238E27FC236}">
                  <a16:creationId xmlns:a16="http://schemas.microsoft.com/office/drawing/2014/main" id="{8A9C5E53-6B96-2692-27C8-EA116500B4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822E70" w:rsidRPr="0030349E">
        <w:rPr>
          <w:lang w:eastAsia="en-US"/>
        </w:rPr>
        <w:t>In 2024, PCT filings by Ukrainian applicants increased by 20 per</w:t>
      </w:r>
      <w:r w:rsidR="00347E0A">
        <w:rPr>
          <w:lang w:eastAsia="en-US"/>
        </w:rPr>
        <w:t xml:space="preserve"> </w:t>
      </w:r>
      <w:r w:rsidR="00822E70" w:rsidRPr="0030349E">
        <w:rPr>
          <w:lang w:eastAsia="en-US"/>
        </w:rPr>
        <w:t>cent compared to 2023, reaching 108 PCT applications.  Nevertheless, the numbers are still lower as compared to the pre-war 2021.</w:t>
      </w:r>
    </w:p>
    <w:p w14:paraId="74D60FF1" w14:textId="77777777" w:rsidR="00822E70" w:rsidRPr="0030349E" w:rsidRDefault="00822E70" w:rsidP="00822E70">
      <w:pPr>
        <w:pStyle w:val="ONUME"/>
        <w:numPr>
          <w:ilvl w:val="0"/>
          <w:numId w:val="0"/>
        </w:numPr>
        <w:ind w:firstLine="567"/>
        <w:rPr>
          <w:lang w:eastAsia="en-US"/>
        </w:rPr>
      </w:pPr>
      <w:r w:rsidRPr="0030349E">
        <w:rPr>
          <w:i/>
          <w:iCs/>
          <w:lang w:eastAsia="en-US"/>
        </w:rPr>
        <w:t>Source: WIPO statistics database (May 2025)</w:t>
      </w:r>
    </w:p>
    <w:p w14:paraId="3A0A0997" w14:textId="71AEBAAE" w:rsidR="00822E70" w:rsidRPr="0030349E" w:rsidRDefault="00782A2E" w:rsidP="00782A2E">
      <w:pPr>
        <w:pStyle w:val="Heading3"/>
        <w:ind w:left="1890" w:hanging="720"/>
        <w:rPr>
          <w:lang w:eastAsia="en-US"/>
        </w:rPr>
      </w:pPr>
      <w:bookmarkStart w:id="37" w:name="_Toc200544999"/>
      <w:r w:rsidRPr="0030349E">
        <w:rPr>
          <w:u w:val="none"/>
          <w:lang w:eastAsia="en-US"/>
        </w:rPr>
        <w:t>2.</w:t>
      </w:r>
      <w:r w:rsidR="00396068">
        <w:rPr>
          <w:u w:val="none"/>
          <w:lang w:eastAsia="en-US"/>
        </w:rPr>
        <w:t>5</w:t>
      </w:r>
      <w:r w:rsidRPr="0030349E">
        <w:rPr>
          <w:u w:val="none"/>
          <w:lang w:eastAsia="en-US"/>
        </w:rPr>
        <w:t>.2.3</w:t>
      </w:r>
      <w:r w:rsidRPr="0030349E">
        <w:rPr>
          <w:u w:val="none"/>
          <w:lang w:eastAsia="en-US"/>
        </w:rPr>
        <w:tab/>
      </w:r>
      <w:r w:rsidR="00822E70" w:rsidRPr="0030349E">
        <w:rPr>
          <w:lang w:eastAsia="en-US"/>
        </w:rPr>
        <w:t>Madrid System</w:t>
      </w:r>
      <w:bookmarkEnd w:id="37"/>
    </w:p>
    <w:p w14:paraId="78220F64" w14:textId="77777777" w:rsidR="00782A2E" w:rsidRPr="0030349E" w:rsidRDefault="00782A2E" w:rsidP="00782A2E">
      <w:pPr>
        <w:rPr>
          <w:lang w:eastAsia="en-US"/>
        </w:rPr>
      </w:pPr>
    </w:p>
    <w:p w14:paraId="2E1EC2EB" w14:textId="36AD1A6E" w:rsidR="00822E70" w:rsidRPr="0030349E" w:rsidRDefault="009063B7" w:rsidP="00842C14">
      <w:pPr>
        <w:pStyle w:val="ONUME"/>
        <w:tabs>
          <w:tab w:val="clear" w:pos="567"/>
          <w:tab w:val="clear" w:pos="1134"/>
          <w:tab w:val="num" w:pos="630"/>
        </w:tabs>
        <w:rPr>
          <w:lang w:eastAsia="en-US"/>
        </w:rPr>
      </w:pPr>
      <w:r w:rsidRPr="0030349E">
        <w:rPr>
          <w:noProof/>
          <w:lang w:eastAsia="en-US"/>
        </w:rPr>
        <w:drawing>
          <wp:anchor distT="0" distB="0" distL="114300" distR="114300" simplePos="0" relativeHeight="251661312" behindDoc="1" locked="0" layoutInCell="1" allowOverlap="1" wp14:anchorId="2264489F" wp14:editId="77756BCF">
            <wp:simplePos x="0" y="0"/>
            <wp:positionH relativeFrom="margin">
              <wp:align>left</wp:align>
            </wp:positionH>
            <wp:positionV relativeFrom="paragraph">
              <wp:posOffset>645160</wp:posOffset>
            </wp:positionV>
            <wp:extent cx="5733415" cy="2247265"/>
            <wp:effectExtent l="0" t="0" r="635" b="635"/>
            <wp:wrapTight wrapText="bothSides">
              <wp:wrapPolygon edited="0">
                <wp:start x="0" y="0"/>
                <wp:lineTo x="0" y="21423"/>
                <wp:lineTo x="21531" y="21423"/>
                <wp:lineTo x="21531" y="0"/>
                <wp:lineTo x="0" y="0"/>
              </wp:wrapPolygon>
            </wp:wrapTight>
            <wp:docPr id="1246707965" name="Chart 1" descr="Madrid applications originating from Ukraine">
              <a:extLst xmlns:a="http://schemas.openxmlformats.org/drawingml/2006/main">
                <a:ext uri="{FF2B5EF4-FFF2-40B4-BE49-F238E27FC236}">
                  <a16:creationId xmlns:a16="http://schemas.microsoft.com/office/drawing/2014/main" id="{84727509-5AD8-4E78-99AF-C2E089A3F3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00822E70" w:rsidRPr="0030349E">
        <w:rPr>
          <w:lang w:eastAsia="en-US"/>
        </w:rPr>
        <w:t>International trademark applications of Ukrainian origin under WIPO’s Madrid System increased in 2024 compared to 2023 by 2.45 per</w:t>
      </w:r>
      <w:r w:rsidR="00347E0A">
        <w:rPr>
          <w:lang w:eastAsia="en-US"/>
        </w:rPr>
        <w:t xml:space="preserve"> </w:t>
      </w:r>
      <w:r w:rsidR="00822E70" w:rsidRPr="0030349E">
        <w:rPr>
          <w:lang w:eastAsia="en-US"/>
        </w:rPr>
        <w:t>cent</w:t>
      </w:r>
      <w:r w:rsidRPr="0030349E">
        <w:rPr>
          <w:lang w:eastAsia="en-US"/>
        </w:rPr>
        <w:t xml:space="preserve"> </w:t>
      </w:r>
      <w:r w:rsidR="00822E70" w:rsidRPr="0030349E">
        <w:rPr>
          <w:lang w:eastAsia="en-US"/>
        </w:rPr>
        <w:t xml:space="preserve">and reached the number of applications filed in the pre-war 2021. </w:t>
      </w:r>
    </w:p>
    <w:p w14:paraId="281182CC" w14:textId="457A7A85" w:rsidR="00822E70" w:rsidRPr="0030349E" w:rsidRDefault="00822E70" w:rsidP="00842C14">
      <w:pPr>
        <w:pStyle w:val="ONUME"/>
        <w:tabs>
          <w:tab w:val="clear" w:pos="567"/>
          <w:tab w:val="clear" w:pos="1134"/>
          <w:tab w:val="num" w:pos="630"/>
        </w:tabs>
        <w:rPr>
          <w:lang w:eastAsia="en-US"/>
        </w:rPr>
      </w:pPr>
      <w:r w:rsidRPr="0030349E">
        <w:rPr>
          <w:lang w:eastAsia="en-US"/>
        </w:rPr>
        <w:lastRenderedPageBreak/>
        <w:t>The number of designations of Ukraine in international trademark filings received by the International Bureau declined by around 4.5 per</w:t>
      </w:r>
      <w:r w:rsidR="00347E0A">
        <w:rPr>
          <w:lang w:eastAsia="en-US"/>
        </w:rPr>
        <w:t xml:space="preserve"> </w:t>
      </w:r>
      <w:r w:rsidRPr="0030349E">
        <w:rPr>
          <w:lang w:eastAsia="en-US"/>
        </w:rPr>
        <w:t>cent, from 5,619 in 2023 to 5,361 in 2024.</w:t>
      </w:r>
    </w:p>
    <w:p w14:paraId="448AA745" w14:textId="6362CC2E" w:rsidR="00822E70" w:rsidRPr="0030349E" w:rsidRDefault="00822E70" w:rsidP="009063B7">
      <w:pPr>
        <w:pStyle w:val="ONUME"/>
        <w:numPr>
          <w:ilvl w:val="0"/>
          <w:numId w:val="0"/>
        </w:numPr>
        <w:rPr>
          <w:lang w:eastAsia="en-US"/>
        </w:rPr>
      </w:pPr>
      <w:r w:rsidRPr="0084090E">
        <w:rPr>
          <w:noProof/>
          <w:highlight w:val="yellow"/>
          <w:lang w:eastAsia="en-US"/>
        </w:rPr>
        <w:drawing>
          <wp:anchor distT="0" distB="0" distL="114300" distR="114300" simplePos="0" relativeHeight="251660288" behindDoc="1" locked="0" layoutInCell="1" allowOverlap="1" wp14:anchorId="2993976E" wp14:editId="6EB5DACF">
            <wp:simplePos x="0" y="0"/>
            <wp:positionH relativeFrom="margin">
              <wp:align>left</wp:align>
            </wp:positionH>
            <wp:positionV relativeFrom="paragraph">
              <wp:posOffset>59376</wp:posOffset>
            </wp:positionV>
            <wp:extent cx="5733415" cy="2247265"/>
            <wp:effectExtent l="0" t="0" r="635" b="635"/>
            <wp:wrapTight wrapText="bothSides">
              <wp:wrapPolygon edited="0">
                <wp:start x="0" y="0"/>
                <wp:lineTo x="0" y="21423"/>
                <wp:lineTo x="21531" y="21423"/>
                <wp:lineTo x="21531" y="0"/>
                <wp:lineTo x="0" y="0"/>
              </wp:wrapPolygon>
            </wp:wrapTight>
            <wp:docPr id="347128495" name="Chart 1" descr="Designation of Ukraine in Madrid applications">
              <a:extLst xmlns:a="http://schemas.openxmlformats.org/drawingml/2006/main">
                <a:ext uri="{FF2B5EF4-FFF2-40B4-BE49-F238E27FC236}">
                  <a16:creationId xmlns:a16="http://schemas.microsoft.com/office/drawing/2014/main" id="{97066B57-1744-40C7-9793-35FC0C1631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14:paraId="163FE0B4" w14:textId="3E63977D" w:rsidR="00822E70" w:rsidRDefault="00782A2E" w:rsidP="00782A2E">
      <w:pPr>
        <w:pStyle w:val="Heading3"/>
        <w:ind w:left="1890" w:hanging="720"/>
        <w:rPr>
          <w:lang w:eastAsia="en-US"/>
        </w:rPr>
      </w:pPr>
      <w:bookmarkStart w:id="38" w:name="_Toc200545000"/>
      <w:r w:rsidRPr="0030349E">
        <w:rPr>
          <w:u w:val="none"/>
          <w:lang w:eastAsia="en-US"/>
        </w:rPr>
        <w:t>2.</w:t>
      </w:r>
      <w:r w:rsidR="00396068">
        <w:rPr>
          <w:u w:val="none"/>
          <w:lang w:eastAsia="en-US"/>
        </w:rPr>
        <w:t>5</w:t>
      </w:r>
      <w:r w:rsidRPr="0030349E">
        <w:rPr>
          <w:u w:val="none"/>
          <w:lang w:eastAsia="en-US"/>
        </w:rPr>
        <w:t>.2.4</w:t>
      </w:r>
      <w:r w:rsidRPr="0030349E">
        <w:rPr>
          <w:u w:val="none"/>
          <w:lang w:eastAsia="en-US"/>
        </w:rPr>
        <w:tab/>
      </w:r>
      <w:r w:rsidR="00822E70" w:rsidRPr="0030349E">
        <w:rPr>
          <w:lang w:eastAsia="en-US"/>
        </w:rPr>
        <w:t>Hague System</w:t>
      </w:r>
      <w:bookmarkEnd w:id="38"/>
    </w:p>
    <w:p w14:paraId="4D3B5B44" w14:textId="77777777" w:rsidR="004C55EE" w:rsidRPr="004C55EE" w:rsidRDefault="004C55EE" w:rsidP="00334EB2">
      <w:pPr>
        <w:rPr>
          <w:lang w:eastAsia="en-US"/>
        </w:rPr>
      </w:pPr>
    </w:p>
    <w:p w14:paraId="552706B8" w14:textId="4187BE99" w:rsidR="00822E70" w:rsidRPr="0030349E" w:rsidRDefault="009063B7" w:rsidP="00842C14">
      <w:pPr>
        <w:pStyle w:val="ONUME"/>
        <w:tabs>
          <w:tab w:val="clear" w:pos="567"/>
          <w:tab w:val="clear" w:pos="1134"/>
          <w:tab w:val="num" w:pos="630"/>
        </w:tabs>
        <w:spacing w:before="360"/>
        <w:rPr>
          <w:lang w:eastAsia="en-US"/>
        </w:rPr>
      </w:pPr>
      <w:r w:rsidRPr="0030349E">
        <w:rPr>
          <w:noProof/>
          <w:lang w:eastAsia="en-US"/>
        </w:rPr>
        <w:drawing>
          <wp:anchor distT="0" distB="0" distL="114300" distR="114300" simplePos="0" relativeHeight="251659264" behindDoc="1" locked="0" layoutInCell="1" allowOverlap="1" wp14:anchorId="1388FD40" wp14:editId="4F322C2C">
            <wp:simplePos x="0" y="0"/>
            <wp:positionH relativeFrom="margin">
              <wp:align>left</wp:align>
            </wp:positionH>
            <wp:positionV relativeFrom="paragraph">
              <wp:posOffset>803689</wp:posOffset>
            </wp:positionV>
            <wp:extent cx="5733415" cy="2247265"/>
            <wp:effectExtent l="0" t="0" r="635" b="635"/>
            <wp:wrapTight wrapText="bothSides">
              <wp:wrapPolygon edited="0">
                <wp:start x="0" y="0"/>
                <wp:lineTo x="0" y="21423"/>
                <wp:lineTo x="21531" y="21423"/>
                <wp:lineTo x="21531" y="0"/>
                <wp:lineTo x="0" y="0"/>
              </wp:wrapPolygon>
            </wp:wrapTight>
            <wp:docPr id="1664949750" name="Chart 1" descr="Designs contained in Hague applications originating from Ukraine">
              <a:extLst xmlns:a="http://schemas.openxmlformats.org/drawingml/2006/main">
                <a:ext uri="{FF2B5EF4-FFF2-40B4-BE49-F238E27FC236}">
                  <a16:creationId xmlns:a16="http://schemas.microsoft.com/office/drawing/2014/main" id="{A500856F-0F8A-4CE3-A8A3-8CC52E44A5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00822E70" w:rsidRPr="0030349E">
        <w:rPr>
          <w:lang w:eastAsia="en-US"/>
        </w:rPr>
        <w:t>In 2024, the number of designs contained in applications of Ukrainian origin under the Hague System slightly decreased to 111 contained in 33 applications, compared to 126 designs contained in 40 applications in 2023.</w:t>
      </w:r>
    </w:p>
    <w:p w14:paraId="1F740BCA" w14:textId="57689DCC" w:rsidR="00822E70" w:rsidRPr="0030349E" w:rsidRDefault="00822E70" w:rsidP="003D5C6A">
      <w:pPr>
        <w:pStyle w:val="ONUME"/>
        <w:tabs>
          <w:tab w:val="clear" w:pos="567"/>
          <w:tab w:val="clear" w:pos="1134"/>
          <w:tab w:val="num" w:pos="630"/>
        </w:tabs>
        <w:spacing w:before="360"/>
        <w:rPr>
          <w:lang w:eastAsia="en-US"/>
        </w:rPr>
      </w:pPr>
      <w:r w:rsidRPr="0030349E">
        <w:rPr>
          <w:lang w:eastAsia="en-US"/>
        </w:rPr>
        <w:t>The number of designs contained in international applications with the designation of Ukraine also decreased from 1,717 designs contained in 496 applications in 2023; to 1,572 designs contained in 523 applications in 2024.</w:t>
      </w:r>
    </w:p>
    <w:p w14:paraId="5127F589" w14:textId="5CB48D3F" w:rsidR="00822E70" w:rsidRPr="00822E70" w:rsidRDefault="00D31962" w:rsidP="00334EB2">
      <w:pPr>
        <w:pStyle w:val="ONUME"/>
        <w:numPr>
          <w:ilvl w:val="0"/>
          <w:numId w:val="0"/>
        </w:numPr>
        <w:spacing w:after="0"/>
        <w:rPr>
          <w:b/>
          <w:bCs/>
          <w:lang w:eastAsia="en-US"/>
        </w:rPr>
      </w:pPr>
      <w:r w:rsidRPr="0084090E">
        <w:rPr>
          <w:noProof/>
          <w:highlight w:val="yellow"/>
          <w:lang w:eastAsia="en-US"/>
        </w:rPr>
        <w:lastRenderedPageBreak/>
        <w:drawing>
          <wp:anchor distT="0" distB="0" distL="114300" distR="114300" simplePos="0" relativeHeight="251658240" behindDoc="1" locked="0" layoutInCell="1" allowOverlap="1" wp14:anchorId="00D6D2BE" wp14:editId="54EBDAAF">
            <wp:simplePos x="0" y="0"/>
            <wp:positionH relativeFrom="margin">
              <wp:align>left</wp:align>
            </wp:positionH>
            <wp:positionV relativeFrom="paragraph">
              <wp:posOffset>304165</wp:posOffset>
            </wp:positionV>
            <wp:extent cx="5636895" cy="2247265"/>
            <wp:effectExtent l="0" t="0" r="1905" b="635"/>
            <wp:wrapTight wrapText="bothSides">
              <wp:wrapPolygon edited="0">
                <wp:start x="0" y="0"/>
                <wp:lineTo x="0" y="21423"/>
                <wp:lineTo x="21534" y="21423"/>
                <wp:lineTo x="21534" y="0"/>
                <wp:lineTo x="0" y="0"/>
              </wp:wrapPolygon>
            </wp:wrapTight>
            <wp:docPr id="456092286" name="Chart 1" descr="Designation of Ukraine in Hague applications">
              <a:extLst xmlns:a="http://schemas.openxmlformats.org/drawingml/2006/main">
                <a:ext uri="{FF2B5EF4-FFF2-40B4-BE49-F238E27FC236}">
                  <a16:creationId xmlns:a16="http://schemas.microsoft.com/office/drawing/2014/main" id="{2D76AB45-0A3E-43A0-BA5E-4A332A063D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anchor>
        </w:drawing>
      </w:r>
    </w:p>
    <w:p w14:paraId="33542AF9" w14:textId="77777777" w:rsidR="00782A2E" w:rsidRDefault="00782A2E" w:rsidP="00822E70">
      <w:pPr>
        <w:pStyle w:val="ONUME"/>
        <w:numPr>
          <w:ilvl w:val="0"/>
          <w:numId w:val="0"/>
        </w:numPr>
        <w:rPr>
          <w:b/>
          <w:bCs/>
          <w:lang w:eastAsia="en-US"/>
        </w:rPr>
      </w:pPr>
    </w:p>
    <w:p w14:paraId="6EB9C308" w14:textId="58956E04" w:rsidR="00822E70" w:rsidRPr="00822E70" w:rsidRDefault="00782A2E" w:rsidP="00782A2E">
      <w:pPr>
        <w:pStyle w:val="Heading1"/>
        <w:spacing w:after="220"/>
        <w:ind w:left="547" w:hanging="547"/>
        <w:rPr>
          <w:lang w:eastAsia="en-US"/>
        </w:rPr>
      </w:pPr>
      <w:bookmarkStart w:id="39" w:name="_Toc200545001"/>
      <w:r>
        <w:rPr>
          <w:lang w:eastAsia="en-US"/>
        </w:rPr>
        <w:t>3.</w:t>
      </w:r>
      <w:r>
        <w:rPr>
          <w:lang w:eastAsia="en-US"/>
        </w:rPr>
        <w:tab/>
      </w:r>
      <w:r w:rsidR="00822E70" w:rsidRPr="00822E70">
        <w:rPr>
          <w:lang w:eastAsia="en-US"/>
        </w:rPr>
        <w:t>WIPO’s ASSISTANCE AND SUPPORT FOR UKRAINE’S INNOVATION AND CREATIVITY SECTOR AND INTELLECTUAL PROPERTY SYSTEM</w:t>
      </w:r>
      <w:bookmarkEnd w:id="39"/>
      <w:r w:rsidR="00822E70" w:rsidRPr="00822E70">
        <w:rPr>
          <w:lang w:eastAsia="en-US"/>
        </w:rPr>
        <w:t xml:space="preserve"> </w:t>
      </w:r>
    </w:p>
    <w:p w14:paraId="677BED7C" w14:textId="3BD9C42F" w:rsidR="00822E70" w:rsidRPr="00822E70" w:rsidRDefault="00822E70" w:rsidP="00822E70">
      <w:pPr>
        <w:pStyle w:val="ONUME"/>
        <w:rPr>
          <w:lang w:eastAsia="en-US"/>
        </w:rPr>
      </w:pPr>
      <w:r w:rsidRPr="00822E70">
        <w:rPr>
          <w:lang w:eastAsia="en-US"/>
        </w:rPr>
        <w:t>Throughout the reporting period</w:t>
      </w:r>
      <w:r w:rsidR="004F7838">
        <w:rPr>
          <w:lang w:eastAsia="en-US"/>
        </w:rPr>
        <w:t>,</w:t>
      </w:r>
      <w:r w:rsidRPr="00822E70">
        <w:rPr>
          <w:lang w:eastAsia="en-US"/>
        </w:rPr>
        <w:t xml:space="preserve"> the International Bureau continued its close cooperation with Ukraine and ensured ongoing support and assistance to the creators, innovators, and members of the IP community, focusing on mitigating the adverse effects of the war and rebuilding an innovative and creative ecosystem in Ukraine that benefits all stakeholders and strengthens the country’s economy. </w:t>
      </w:r>
      <w:bookmarkStart w:id="40" w:name="_Hlk199316689"/>
    </w:p>
    <w:p w14:paraId="18529753" w14:textId="5DBD7567" w:rsidR="00822E70" w:rsidRPr="00822E70" w:rsidRDefault="00822E70" w:rsidP="00822E70">
      <w:pPr>
        <w:pStyle w:val="ONUME"/>
        <w:rPr>
          <w:lang w:eastAsia="en-US"/>
        </w:rPr>
      </w:pPr>
      <w:r w:rsidRPr="00822E70">
        <w:rPr>
          <w:lang w:eastAsia="en-US"/>
        </w:rPr>
        <w:t xml:space="preserve">Since the previous Assemblies and by </w:t>
      </w:r>
      <w:r w:rsidR="00777EE8">
        <w:rPr>
          <w:lang w:eastAsia="en-US"/>
        </w:rPr>
        <w:t xml:space="preserve">the </w:t>
      </w:r>
      <w:r w:rsidRPr="00822E70">
        <w:rPr>
          <w:lang w:eastAsia="en-US"/>
        </w:rPr>
        <w:t xml:space="preserve">end of May 2025, more than 35 consultation meetings, both virtual and in-person, were held with key national and external stakeholders, on various topics related to WIPO’s assistance provided to Ukraine. </w:t>
      </w:r>
      <w:r w:rsidR="00E96EA1">
        <w:rPr>
          <w:lang w:eastAsia="en-US"/>
        </w:rPr>
        <w:t xml:space="preserve"> </w:t>
      </w:r>
      <w:r w:rsidRPr="00822E70">
        <w:rPr>
          <w:lang w:eastAsia="en-US"/>
        </w:rPr>
        <w:t>This ensured regular dialogue, coordination, and responsiveness in the delivery of assistance.</w:t>
      </w:r>
    </w:p>
    <w:bookmarkEnd w:id="40"/>
    <w:p w14:paraId="3384067F" w14:textId="16C2AB89" w:rsidR="00822E70" w:rsidRPr="00822E70" w:rsidRDefault="00822E70" w:rsidP="00822E70">
      <w:pPr>
        <w:pStyle w:val="ONUME"/>
        <w:rPr>
          <w:bCs/>
          <w:lang w:eastAsia="en-US"/>
        </w:rPr>
      </w:pPr>
      <w:r w:rsidRPr="00822E70">
        <w:rPr>
          <w:lang w:eastAsia="en-US"/>
        </w:rPr>
        <w:t xml:space="preserve">In February 2025, the WIPO Director General met with Mr. Vitaliy </w:t>
      </w:r>
      <w:proofErr w:type="spellStart"/>
      <w:r w:rsidRPr="00822E70">
        <w:rPr>
          <w:lang w:eastAsia="en-US"/>
        </w:rPr>
        <w:t>Kindrativ</w:t>
      </w:r>
      <w:proofErr w:type="spellEnd"/>
      <w:r w:rsidRPr="00822E70">
        <w:rPr>
          <w:lang w:eastAsia="en-US"/>
        </w:rPr>
        <w:t>, Deputy Minister of Economy, to discuss the immediate and medium-term priorities for the cooperation between WIPO and Ukraine.</w:t>
      </w:r>
    </w:p>
    <w:p w14:paraId="6AFA0A94" w14:textId="77777777" w:rsidR="00822E70" w:rsidRPr="00822E70" w:rsidRDefault="00822E70" w:rsidP="00822E70">
      <w:pPr>
        <w:pStyle w:val="ONUME"/>
        <w:rPr>
          <w:lang w:eastAsia="en-US"/>
        </w:rPr>
      </w:pPr>
      <w:r w:rsidRPr="00822E70">
        <w:rPr>
          <w:lang w:eastAsia="en-US"/>
        </w:rPr>
        <w:t xml:space="preserve">The International Bureau continued to ensure adequate financial and human resources within the approved Program of Work and Budget for the implementation of technical and legal assistance, capacity building, and other projects and activities for Ukraine, as appropriate and required, for the restoration and rebuilding of Ukraine’s IP sector and ecosystem. </w:t>
      </w:r>
    </w:p>
    <w:p w14:paraId="3BAEE230" w14:textId="37C0B3D4" w:rsidR="00822E70" w:rsidRPr="00822E70" w:rsidRDefault="00822E70" w:rsidP="00822E70">
      <w:pPr>
        <w:pStyle w:val="ONUME"/>
        <w:rPr>
          <w:lang w:eastAsia="en-US"/>
        </w:rPr>
      </w:pPr>
      <w:r w:rsidRPr="00822E70">
        <w:rPr>
          <w:lang w:eastAsia="en-US"/>
        </w:rPr>
        <w:t xml:space="preserve">The following sections of the Report provide a comprehensive overview of the </w:t>
      </w:r>
      <w:r w:rsidR="00D26DC5">
        <w:rPr>
          <w:lang w:eastAsia="en-US"/>
        </w:rPr>
        <w:t>a</w:t>
      </w:r>
      <w:r w:rsidRPr="00822E70">
        <w:rPr>
          <w:lang w:eastAsia="en-US"/>
        </w:rPr>
        <w:t xml:space="preserve">ssistance and </w:t>
      </w:r>
      <w:r w:rsidR="00D26DC5">
        <w:rPr>
          <w:lang w:eastAsia="en-US"/>
        </w:rPr>
        <w:t>s</w:t>
      </w:r>
      <w:r w:rsidRPr="00822E70">
        <w:rPr>
          <w:lang w:eastAsia="en-US"/>
        </w:rPr>
        <w:t xml:space="preserve">upport for Ukraine’s </w:t>
      </w:r>
      <w:r w:rsidR="0098729F">
        <w:rPr>
          <w:lang w:eastAsia="en-US"/>
        </w:rPr>
        <w:t>i</w:t>
      </w:r>
      <w:r w:rsidRPr="00822E70">
        <w:rPr>
          <w:lang w:eastAsia="en-US"/>
        </w:rPr>
        <w:t xml:space="preserve">nnovation and </w:t>
      </w:r>
      <w:r w:rsidR="0098729F">
        <w:rPr>
          <w:lang w:eastAsia="en-US"/>
        </w:rPr>
        <w:t>c</w:t>
      </w:r>
      <w:r w:rsidRPr="00822E70">
        <w:rPr>
          <w:lang w:eastAsia="en-US"/>
        </w:rPr>
        <w:t xml:space="preserve">reativity </w:t>
      </w:r>
      <w:r w:rsidR="0098729F">
        <w:rPr>
          <w:lang w:eastAsia="en-US"/>
        </w:rPr>
        <w:t>s</w:t>
      </w:r>
      <w:r w:rsidRPr="00822E70">
        <w:rPr>
          <w:lang w:eastAsia="en-US"/>
        </w:rPr>
        <w:t xml:space="preserve">ector and IP </w:t>
      </w:r>
      <w:r w:rsidR="0098729F">
        <w:rPr>
          <w:lang w:eastAsia="en-US"/>
        </w:rPr>
        <w:t>s</w:t>
      </w:r>
      <w:r w:rsidRPr="00822E70">
        <w:rPr>
          <w:lang w:eastAsia="en-US"/>
        </w:rPr>
        <w:t xml:space="preserve">ystem, </w:t>
      </w:r>
      <w:r w:rsidR="00D26DC5">
        <w:rPr>
          <w:lang w:eastAsia="en-US"/>
        </w:rPr>
        <w:t>provided</w:t>
      </w:r>
      <w:r w:rsidRPr="00822E70">
        <w:rPr>
          <w:lang w:eastAsia="en-US"/>
        </w:rPr>
        <w:t xml:space="preserve"> by the International Bureau from July 2024 to May 2025. </w:t>
      </w:r>
    </w:p>
    <w:p w14:paraId="3F280CA0" w14:textId="3503C489" w:rsidR="00822E70" w:rsidRPr="00822E70" w:rsidRDefault="00782A2E" w:rsidP="00782A2E">
      <w:pPr>
        <w:pStyle w:val="Heading2"/>
        <w:tabs>
          <w:tab w:val="left" w:pos="1170"/>
        </w:tabs>
        <w:spacing w:after="220"/>
        <w:ind w:left="1181" w:hanging="634"/>
        <w:rPr>
          <w:lang w:eastAsia="en-US"/>
        </w:rPr>
      </w:pPr>
      <w:bookmarkStart w:id="41" w:name="_Toc200545002"/>
      <w:r>
        <w:rPr>
          <w:lang w:eastAsia="en-US"/>
        </w:rPr>
        <w:t>3.1</w:t>
      </w:r>
      <w:r>
        <w:rPr>
          <w:lang w:eastAsia="en-US"/>
        </w:rPr>
        <w:tab/>
      </w:r>
      <w:r w:rsidR="00822E70" w:rsidRPr="00822E70">
        <w:rPr>
          <w:lang w:eastAsia="en-US"/>
        </w:rPr>
        <w:t>Implementation of the Memorandum of Understanding (MoU) between WIPO and the Ministry of Economy of Ukraine on Cooperation in the Sphere of Intellectual Property</w:t>
      </w:r>
      <w:bookmarkEnd w:id="41"/>
      <w:r w:rsidR="00822E70" w:rsidRPr="00822E70">
        <w:rPr>
          <w:lang w:eastAsia="en-US"/>
        </w:rPr>
        <w:t xml:space="preserve"> </w:t>
      </w:r>
    </w:p>
    <w:p w14:paraId="7E793102" w14:textId="75321525" w:rsidR="00822E70" w:rsidRPr="00822E70" w:rsidRDefault="00822E70" w:rsidP="00822E70">
      <w:pPr>
        <w:pStyle w:val="ONUME"/>
        <w:rPr>
          <w:lang w:eastAsia="en-US"/>
        </w:rPr>
      </w:pPr>
      <w:r w:rsidRPr="00822E70">
        <w:rPr>
          <w:lang w:eastAsia="en-US"/>
        </w:rPr>
        <w:t xml:space="preserve">The MoU signed in 2023 between WIPO and the Ministry of Economy of Ukraine on Cooperation in the Sphere of Intellectual Property continued to play a key </w:t>
      </w:r>
      <w:r w:rsidR="00AB0F6B">
        <w:rPr>
          <w:lang w:eastAsia="en-US"/>
        </w:rPr>
        <w:t xml:space="preserve">role </w:t>
      </w:r>
      <w:r w:rsidRPr="00822E70">
        <w:rPr>
          <w:lang w:eastAsia="en-US"/>
        </w:rPr>
        <w:t>in the efficient implementation of the support to Ukraine in response to the significant disruptions caused by the war, in line with the decisions adopted by the WIPO Assemblies.</w:t>
      </w:r>
    </w:p>
    <w:p w14:paraId="0A5A2698" w14:textId="70D4EB85" w:rsidR="00822E70" w:rsidRPr="00822E70" w:rsidRDefault="00822E70" w:rsidP="00822E70">
      <w:pPr>
        <w:pStyle w:val="ONUME"/>
        <w:rPr>
          <w:lang w:eastAsia="en-US"/>
        </w:rPr>
      </w:pPr>
      <w:r w:rsidRPr="00822E70">
        <w:rPr>
          <w:lang w:eastAsia="en-US"/>
        </w:rPr>
        <w:lastRenderedPageBreak/>
        <w:t xml:space="preserve">Serving as a key framework for collaboration, the MoU guided multiple technical assistance, legal advisory, and capacity-building activities carried out between the International Bureau and Ukrainian institutions over the past two years. </w:t>
      </w:r>
      <w:r w:rsidR="00E96EA1">
        <w:rPr>
          <w:lang w:eastAsia="en-US"/>
        </w:rPr>
        <w:t xml:space="preserve"> </w:t>
      </w:r>
      <w:r w:rsidRPr="00822E70">
        <w:rPr>
          <w:lang w:eastAsia="en-US"/>
        </w:rPr>
        <w:t>Notable progress has been achieved under this cooperation, as further detailed below.</w:t>
      </w:r>
    </w:p>
    <w:p w14:paraId="3F875B47" w14:textId="77777777" w:rsidR="00822E70" w:rsidRPr="00822E70" w:rsidRDefault="00822E70" w:rsidP="00822E70">
      <w:pPr>
        <w:pStyle w:val="ONUME"/>
        <w:rPr>
          <w:lang w:eastAsia="en-US"/>
        </w:rPr>
      </w:pPr>
      <w:r w:rsidRPr="00822E70">
        <w:rPr>
          <w:lang w:eastAsia="en-US"/>
        </w:rPr>
        <w:t xml:space="preserve">As the current MoU expires in July 2025, WIPO and the Ministry of Economy of Ukraine are working on the development of a new MoU that builds on the results achieved so far and reflects the new cooperation priorities of Ukraine. </w:t>
      </w:r>
    </w:p>
    <w:p w14:paraId="46C58643" w14:textId="70AEFD08" w:rsidR="00822E70" w:rsidRPr="00822E70" w:rsidRDefault="00782A2E" w:rsidP="00782A2E">
      <w:pPr>
        <w:pStyle w:val="Heading2"/>
        <w:tabs>
          <w:tab w:val="left" w:pos="1170"/>
        </w:tabs>
        <w:spacing w:after="220"/>
        <w:ind w:left="1181" w:hanging="634"/>
        <w:rPr>
          <w:lang w:eastAsia="en-US"/>
        </w:rPr>
      </w:pPr>
      <w:bookmarkStart w:id="42" w:name="_Toc200545003"/>
      <w:r>
        <w:rPr>
          <w:lang w:eastAsia="en-US"/>
        </w:rPr>
        <w:t>3.2</w:t>
      </w:r>
      <w:r>
        <w:rPr>
          <w:lang w:eastAsia="en-US"/>
        </w:rPr>
        <w:tab/>
      </w:r>
      <w:r w:rsidR="00822E70" w:rsidRPr="00822E70">
        <w:rPr>
          <w:lang w:eastAsia="en-US"/>
        </w:rPr>
        <w:t>Support for the Development of the National IP Strategy</w:t>
      </w:r>
      <w:bookmarkEnd w:id="42"/>
      <w:r w:rsidR="00822E70" w:rsidRPr="00822E70">
        <w:rPr>
          <w:lang w:eastAsia="en-US"/>
        </w:rPr>
        <w:t xml:space="preserve"> </w:t>
      </w:r>
    </w:p>
    <w:p w14:paraId="22BC9F85" w14:textId="12E56256" w:rsidR="00822E70" w:rsidRPr="00822E70" w:rsidRDefault="00822E70" w:rsidP="00822E70">
      <w:pPr>
        <w:pStyle w:val="ONUME"/>
        <w:rPr>
          <w:lang w:eastAsia="en-US"/>
        </w:rPr>
      </w:pPr>
      <w:r w:rsidRPr="00822E70">
        <w:rPr>
          <w:lang w:eastAsia="en-US"/>
        </w:rPr>
        <w:t>During the reporting period</w:t>
      </w:r>
      <w:r w:rsidR="007F7A9F">
        <w:rPr>
          <w:lang w:eastAsia="en-US"/>
        </w:rPr>
        <w:t>,</w:t>
      </w:r>
      <w:r w:rsidRPr="00822E70">
        <w:rPr>
          <w:lang w:eastAsia="en-US"/>
        </w:rPr>
        <w:t xml:space="preserve"> the International Bureau continued to support </w:t>
      </w:r>
      <w:r w:rsidR="007F7A9F">
        <w:rPr>
          <w:lang w:eastAsia="en-US"/>
        </w:rPr>
        <w:t xml:space="preserve">actively </w:t>
      </w:r>
      <w:r w:rsidRPr="00822E70">
        <w:rPr>
          <w:lang w:eastAsia="en-US"/>
        </w:rPr>
        <w:t xml:space="preserve">the development of a five-year National Intellectual Property Strategy (NIPS) for Ukraine. </w:t>
      </w:r>
    </w:p>
    <w:p w14:paraId="3940695D" w14:textId="3321987A" w:rsidR="00822E70" w:rsidRPr="00822E70" w:rsidRDefault="00822E70" w:rsidP="00822E70">
      <w:pPr>
        <w:pStyle w:val="ONUME"/>
        <w:rPr>
          <w:lang w:eastAsia="en-US"/>
        </w:rPr>
      </w:pPr>
      <w:r w:rsidRPr="00822E70">
        <w:rPr>
          <w:lang w:eastAsia="en-US"/>
        </w:rPr>
        <w:t>Following the completion of the diagnostic and fact-finding phase in March 2025, UANIPIO</w:t>
      </w:r>
      <w:r w:rsidR="00DE4DA0">
        <w:rPr>
          <w:lang w:eastAsia="en-US"/>
        </w:rPr>
        <w:t>,</w:t>
      </w:r>
      <w:r w:rsidRPr="00822E70">
        <w:rPr>
          <w:lang w:eastAsia="en-US"/>
        </w:rPr>
        <w:t xml:space="preserve"> in consultation with the International Bureau and the established National Expert Group</w:t>
      </w:r>
      <w:r w:rsidR="00DE4DA0">
        <w:rPr>
          <w:lang w:eastAsia="en-US"/>
        </w:rPr>
        <w:t>,</w:t>
      </w:r>
      <w:r w:rsidRPr="00822E70">
        <w:rPr>
          <w:lang w:eastAsia="en-US"/>
        </w:rPr>
        <w:t xml:space="preserve"> started the process of drafting the NIPS. </w:t>
      </w:r>
      <w:r w:rsidR="00E96EA1">
        <w:rPr>
          <w:lang w:eastAsia="en-US"/>
        </w:rPr>
        <w:t xml:space="preserve"> </w:t>
      </w:r>
      <w:r w:rsidRPr="00822E70">
        <w:rPr>
          <w:lang w:eastAsia="en-US"/>
        </w:rPr>
        <w:t xml:space="preserve">Extensive internal consultations took place to provide Ukraine with feedback and advise on the priorities set out in the Strategy.  </w:t>
      </w:r>
    </w:p>
    <w:p w14:paraId="7716E987" w14:textId="5BBF7451" w:rsidR="00822E70" w:rsidRPr="00822E70" w:rsidRDefault="00822E70" w:rsidP="00822E70">
      <w:pPr>
        <w:pStyle w:val="ONUME"/>
        <w:rPr>
          <w:lang w:eastAsia="en-US"/>
        </w:rPr>
      </w:pPr>
      <w:r w:rsidRPr="00822E70">
        <w:rPr>
          <w:lang w:eastAsia="en-US"/>
        </w:rPr>
        <w:t xml:space="preserve">The NIPS is expected to be finalized before the end of 2025 and will aim to serve as a blueprint for enhancing the IP ecosystem in Ukraine through 2030 as described </w:t>
      </w:r>
      <w:r w:rsidR="003410A2">
        <w:rPr>
          <w:lang w:eastAsia="en-US"/>
        </w:rPr>
        <w:t>at</w:t>
      </w:r>
      <w:r w:rsidRPr="00822E70">
        <w:rPr>
          <w:lang w:eastAsia="en-US"/>
        </w:rPr>
        <w:t xml:space="preserve"> paragraph </w:t>
      </w:r>
      <w:r w:rsidR="00992F4C" w:rsidRPr="00992F4C">
        <w:rPr>
          <w:lang w:eastAsia="en-US"/>
        </w:rPr>
        <w:t>32.</w:t>
      </w:r>
      <w:r w:rsidRPr="00822E70">
        <w:rPr>
          <w:lang w:eastAsia="en-US"/>
        </w:rPr>
        <w:t xml:space="preserve"> </w:t>
      </w:r>
    </w:p>
    <w:p w14:paraId="4509CA97" w14:textId="771F9B4A" w:rsidR="00822E70" w:rsidRPr="00822E70" w:rsidRDefault="00782A2E" w:rsidP="00782A2E">
      <w:pPr>
        <w:pStyle w:val="Heading2"/>
        <w:tabs>
          <w:tab w:val="left" w:pos="1170"/>
        </w:tabs>
        <w:spacing w:after="220"/>
        <w:ind w:left="1181" w:hanging="634"/>
        <w:rPr>
          <w:lang w:eastAsia="en-US"/>
        </w:rPr>
      </w:pPr>
      <w:bookmarkStart w:id="43" w:name="_Toc200545004"/>
      <w:r>
        <w:rPr>
          <w:lang w:eastAsia="en-US"/>
        </w:rPr>
        <w:t>3.3</w:t>
      </w:r>
      <w:r>
        <w:rPr>
          <w:lang w:eastAsia="en-US"/>
        </w:rPr>
        <w:tab/>
      </w:r>
      <w:r w:rsidR="00822E70" w:rsidRPr="00822E70">
        <w:rPr>
          <w:lang w:eastAsia="en-US"/>
        </w:rPr>
        <w:t>Provision of Policy and Legislative Advice</w:t>
      </w:r>
      <w:bookmarkEnd w:id="43"/>
    </w:p>
    <w:p w14:paraId="23ADE816" w14:textId="770D1F4B" w:rsidR="00822E70" w:rsidRPr="00822E70" w:rsidRDefault="00822E70" w:rsidP="00822E70">
      <w:pPr>
        <w:pStyle w:val="ONUME"/>
        <w:rPr>
          <w:lang w:eastAsia="en-US"/>
        </w:rPr>
      </w:pPr>
      <w:r w:rsidRPr="00822E70">
        <w:rPr>
          <w:lang w:eastAsia="en-US"/>
        </w:rPr>
        <w:t xml:space="preserve">In the context of the development of the NIPS and </w:t>
      </w:r>
      <w:r w:rsidR="004706BA">
        <w:rPr>
          <w:lang w:eastAsia="en-US"/>
        </w:rPr>
        <w:t>Ukraine’s</w:t>
      </w:r>
      <w:r w:rsidRPr="00822E70">
        <w:rPr>
          <w:lang w:eastAsia="en-US"/>
        </w:rPr>
        <w:t xml:space="preserve"> EU integration process, UANIPIO requested policy and legislative advice from the International Bureau in the following three key areas: </w:t>
      </w:r>
    </w:p>
    <w:p w14:paraId="61AD56AD" w14:textId="3299D845" w:rsidR="00822E70" w:rsidRPr="00822E70" w:rsidRDefault="00822E70" w:rsidP="00B660B2">
      <w:pPr>
        <w:pStyle w:val="ONUME"/>
        <w:numPr>
          <w:ilvl w:val="0"/>
          <w:numId w:val="17"/>
        </w:numPr>
        <w:tabs>
          <w:tab w:val="clear" w:pos="1134"/>
        </w:tabs>
        <w:spacing w:after="0"/>
        <w:rPr>
          <w:lang w:eastAsia="en-US"/>
        </w:rPr>
      </w:pPr>
      <w:r w:rsidRPr="00822E70">
        <w:rPr>
          <w:lang w:eastAsia="en-US"/>
        </w:rPr>
        <w:t xml:space="preserve">Bolar </w:t>
      </w:r>
      <w:proofErr w:type="gramStart"/>
      <w:r w:rsidRPr="00822E70">
        <w:rPr>
          <w:lang w:eastAsia="en-US"/>
        </w:rPr>
        <w:t>Exception</w:t>
      </w:r>
      <w:r w:rsidR="00DA158E">
        <w:rPr>
          <w:lang w:eastAsia="en-US"/>
        </w:rPr>
        <w:t>;</w:t>
      </w:r>
      <w:proofErr w:type="gramEnd"/>
      <w:r w:rsidRPr="00822E70">
        <w:rPr>
          <w:lang w:eastAsia="en-US"/>
        </w:rPr>
        <w:t xml:space="preserve"> </w:t>
      </w:r>
    </w:p>
    <w:p w14:paraId="51E31E03" w14:textId="6F6570E5" w:rsidR="00822E70" w:rsidRPr="00822E70" w:rsidRDefault="00822E70" w:rsidP="00B660B2">
      <w:pPr>
        <w:pStyle w:val="ONUME"/>
        <w:numPr>
          <w:ilvl w:val="0"/>
          <w:numId w:val="17"/>
        </w:numPr>
        <w:tabs>
          <w:tab w:val="clear" w:pos="1134"/>
        </w:tabs>
        <w:spacing w:after="0"/>
        <w:rPr>
          <w:lang w:eastAsia="en-US"/>
        </w:rPr>
      </w:pPr>
      <w:r w:rsidRPr="00822E70">
        <w:rPr>
          <w:lang w:eastAsia="en-US"/>
        </w:rPr>
        <w:t xml:space="preserve">Utility Model </w:t>
      </w:r>
      <w:proofErr w:type="gramStart"/>
      <w:r w:rsidRPr="00822E70">
        <w:rPr>
          <w:lang w:eastAsia="en-US"/>
        </w:rPr>
        <w:t>Protection</w:t>
      </w:r>
      <w:r w:rsidR="00DA158E">
        <w:rPr>
          <w:lang w:eastAsia="en-US"/>
        </w:rPr>
        <w:t>;</w:t>
      </w:r>
      <w:r w:rsidRPr="00822E70">
        <w:rPr>
          <w:lang w:eastAsia="en-US"/>
        </w:rPr>
        <w:t xml:space="preserve"> </w:t>
      </w:r>
      <w:r w:rsidR="00E96EA1">
        <w:rPr>
          <w:lang w:eastAsia="en-US"/>
        </w:rPr>
        <w:t xml:space="preserve"> </w:t>
      </w:r>
      <w:r w:rsidRPr="00822E70">
        <w:rPr>
          <w:lang w:eastAsia="en-US"/>
        </w:rPr>
        <w:t>and</w:t>
      </w:r>
      <w:proofErr w:type="gramEnd"/>
      <w:r w:rsidRPr="00822E70">
        <w:rPr>
          <w:lang w:eastAsia="en-US"/>
        </w:rPr>
        <w:t xml:space="preserve"> </w:t>
      </w:r>
    </w:p>
    <w:p w14:paraId="110339E6" w14:textId="658AA6F5" w:rsidR="00822E70" w:rsidRDefault="00822E70" w:rsidP="00B660B2">
      <w:pPr>
        <w:pStyle w:val="ONUME"/>
        <w:numPr>
          <w:ilvl w:val="0"/>
          <w:numId w:val="17"/>
        </w:numPr>
        <w:tabs>
          <w:tab w:val="clear" w:pos="1134"/>
        </w:tabs>
        <w:spacing w:after="0"/>
        <w:rPr>
          <w:lang w:eastAsia="en-US"/>
        </w:rPr>
      </w:pPr>
      <w:r w:rsidRPr="00822E70">
        <w:rPr>
          <w:lang w:eastAsia="en-US"/>
        </w:rPr>
        <w:t xml:space="preserve">Trade Secrets  </w:t>
      </w:r>
    </w:p>
    <w:p w14:paraId="11D91EC0" w14:textId="77777777" w:rsidR="00822E70" w:rsidRPr="00822E70" w:rsidRDefault="00822E70" w:rsidP="00822E70">
      <w:pPr>
        <w:pStyle w:val="ONUME"/>
        <w:numPr>
          <w:ilvl w:val="0"/>
          <w:numId w:val="0"/>
        </w:numPr>
        <w:spacing w:after="0"/>
        <w:ind w:left="720"/>
        <w:rPr>
          <w:lang w:eastAsia="en-US"/>
        </w:rPr>
      </w:pPr>
    </w:p>
    <w:p w14:paraId="43D0FA1B" w14:textId="2D9B358E" w:rsidR="00822E70" w:rsidRPr="00822E70" w:rsidRDefault="00822E70" w:rsidP="00822E70">
      <w:pPr>
        <w:pStyle w:val="ONUME"/>
        <w:rPr>
          <w:lang w:eastAsia="en-US"/>
        </w:rPr>
      </w:pPr>
      <w:r w:rsidRPr="00822E70">
        <w:rPr>
          <w:lang w:eastAsia="en-US"/>
        </w:rPr>
        <w:t xml:space="preserve">During the reporting period, discussions between the International Bureau and UANIPIO continued.  Due to the ongoing process of amending the national legislation, and in view of the accelerated EU integration process, the deliverables related to the Utility Model Protection System and Trade Secret Law have been </w:t>
      </w:r>
      <w:r w:rsidR="00AF4C7E">
        <w:rPr>
          <w:lang w:eastAsia="en-US"/>
        </w:rPr>
        <w:t xml:space="preserve">postponed </w:t>
      </w:r>
      <w:r w:rsidRPr="00822E70">
        <w:rPr>
          <w:lang w:eastAsia="en-US"/>
        </w:rPr>
        <w:t>temporarily.</w:t>
      </w:r>
    </w:p>
    <w:p w14:paraId="4317B793" w14:textId="1DEEB1B3" w:rsidR="00822E70" w:rsidRPr="00822E70" w:rsidRDefault="00782A2E" w:rsidP="00782A2E">
      <w:pPr>
        <w:pStyle w:val="Heading2"/>
        <w:tabs>
          <w:tab w:val="left" w:pos="1170"/>
        </w:tabs>
        <w:spacing w:after="220"/>
        <w:ind w:left="1181" w:hanging="634"/>
        <w:rPr>
          <w:lang w:eastAsia="en-US"/>
        </w:rPr>
      </w:pPr>
      <w:bookmarkStart w:id="44" w:name="_Toc200545005"/>
      <w:r>
        <w:rPr>
          <w:lang w:eastAsia="en-US"/>
        </w:rPr>
        <w:t>3.4</w:t>
      </w:r>
      <w:r>
        <w:rPr>
          <w:lang w:eastAsia="en-US"/>
        </w:rPr>
        <w:tab/>
      </w:r>
      <w:r w:rsidR="00822E70" w:rsidRPr="00822E70">
        <w:rPr>
          <w:lang w:eastAsia="en-US"/>
        </w:rPr>
        <w:t>Geneva Act of the Lisbon Agreement</w:t>
      </w:r>
      <w:bookmarkEnd w:id="44"/>
      <w:r w:rsidR="00822E70" w:rsidRPr="00822E70">
        <w:rPr>
          <w:lang w:eastAsia="en-US"/>
        </w:rPr>
        <w:t xml:space="preserve">  </w:t>
      </w:r>
    </w:p>
    <w:p w14:paraId="7FEA4D1A" w14:textId="7A6EBD07" w:rsidR="00822E70" w:rsidRPr="00822E70" w:rsidRDefault="00822E70" w:rsidP="00822E70">
      <w:pPr>
        <w:pStyle w:val="ONUME"/>
        <w:rPr>
          <w:lang w:eastAsia="en-US"/>
        </w:rPr>
      </w:pPr>
      <w:r w:rsidRPr="00822E70">
        <w:rPr>
          <w:lang w:eastAsia="en-US"/>
        </w:rPr>
        <w:t xml:space="preserve">Following interest expressed by Ukraine </w:t>
      </w:r>
      <w:r w:rsidR="00E6188C">
        <w:rPr>
          <w:lang w:eastAsia="en-US"/>
        </w:rPr>
        <w:t>in</w:t>
      </w:r>
      <w:r w:rsidR="00E6188C" w:rsidRPr="00822E70">
        <w:rPr>
          <w:lang w:eastAsia="en-US"/>
        </w:rPr>
        <w:t xml:space="preserve"> </w:t>
      </w:r>
      <w:r w:rsidRPr="00822E70">
        <w:rPr>
          <w:lang w:eastAsia="en-US"/>
        </w:rPr>
        <w:t>join</w:t>
      </w:r>
      <w:r w:rsidR="00E6188C">
        <w:rPr>
          <w:lang w:eastAsia="en-US"/>
        </w:rPr>
        <w:t>ing</w:t>
      </w:r>
      <w:r w:rsidRPr="00822E70">
        <w:rPr>
          <w:lang w:eastAsia="en-US"/>
        </w:rPr>
        <w:t xml:space="preserve"> the Lisbon System, the International Bureau held an in-person consultation meeting in March 2025 with UANIPIO to discuss the accession process to the Geneva Act of the Lisbon Agreement on Appellations of Origin and Geographical Indications. </w:t>
      </w:r>
    </w:p>
    <w:p w14:paraId="5A9CE251" w14:textId="4484B931" w:rsidR="00822E70" w:rsidRPr="00822E70" w:rsidRDefault="00822E70" w:rsidP="00822E70">
      <w:pPr>
        <w:pStyle w:val="ONUME"/>
        <w:rPr>
          <w:lang w:eastAsia="en-US"/>
        </w:rPr>
      </w:pPr>
      <w:r w:rsidRPr="00822E70">
        <w:rPr>
          <w:lang w:eastAsia="en-US"/>
        </w:rPr>
        <w:t xml:space="preserve">During the meeting, the International Bureau provided detailed information on the accession process, including procedural requirements, legal and institutional implications for national legislation, and adjustments needed in the national system for </w:t>
      </w:r>
      <w:r w:rsidR="00F3247F">
        <w:rPr>
          <w:lang w:eastAsia="en-US"/>
        </w:rPr>
        <w:t xml:space="preserve">the </w:t>
      </w:r>
      <w:r w:rsidRPr="00822E70">
        <w:rPr>
          <w:lang w:eastAsia="en-US"/>
        </w:rPr>
        <w:t>registration of geographical indication</w:t>
      </w:r>
      <w:r w:rsidR="005C03F3">
        <w:rPr>
          <w:lang w:eastAsia="en-US"/>
        </w:rPr>
        <w:t>s</w:t>
      </w:r>
      <w:r w:rsidRPr="00822E70">
        <w:rPr>
          <w:lang w:eastAsia="en-US"/>
        </w:rPr>
        <w:t xml:space="preserve"> (GI).  The International Bureau expressed its readiness to provide further assistance to Ukraine in the accession process, including through legislative advice if required.  </w:t>
      </w:r>
    </w:p>
    <w:p w14:paraId="4FA331A4" w14:textId="795902C4" w:rsidR="00822E70" w:rsidRPr="00822E70" w:rsidRDefault="00782A2E" w:rsidP="00782A2E">
      <w:pPr>
        <w:pStyle w:val="Heading2"/>
        <w:tabs>
          <w:tab w:val="left" w:pos="1170"/>
        </w:tabs>
        <w:spacing w:after="220"/>
        <w:ind w:left="1181" w:hanging="634"/>
        <w:rPr>
          <w:lang w:eastAsia="en-US"/>
        </w:rPr>
      </w:pPr>
      <w:bookmarkStart w:id="45" w:name="_Toc200545006"/>
      <w:bookmarkStart w:id="46" w:name="_Hlk198818704"/>
      <w:r>
        <w:rPr>
          <w:lang w:eastAsia="en-US"/>
        </w:rPr>
        <w:lastRenderedPageBreak/>
        <w:t>3.5</w:t>
      </w:r>
      <w:r>
        <w:rPr>
          <w:lang w:eastAsia="en-US"/>
        </w:rPr>
        <w:tab/>
      </w:r>
      <w:r w:rsidR="00822E70" w:rsidRPr="00822E70">
        <w:rPr>
          <w:lang w:eastAsia="en-US"/>
        </w:rPr>
        <w:t xml:space="preserve">International Cooperation on Building Respect </w:t>
      </w:r>
      <w:r w:rsidR="00D60647">
        <w:rPr>
          <w:lang w:eastAsia="en-US"/>
        </w:rPr>
        <w:t>FOR</w:t>
      </w:r>
      <w:r w:rsidR="00822E70" w:rsidRPr="00822E70">
        <w:rPr>
          <w:lang w:eastAsia="en-US"/>
        </w:rPr>
        <w:t xml:space="preserve"> IP – WIPO ALERT</w:t>
      </w:r>
      <w:bookmarkEnd w:id="45"/>
      <w:r w:rsidR="00822E70" w:rsidRPr="00822E70">
        <w:rPr>
          <w:lang w:eastAsia="en-US"/>
        </w:rPr>
        <w:t xml:space="preserve"> </w:t>
      </w:r>
    </w:p>
    <w:p w14:paraId="42B42FDA" w14:textId="306ED930" w:rsidR="00822E70" w:rsidRPr="00822E70" w:rsidRDefault="00822E70" w:rsidP="00822E70">
      <w:pPr>
        <w:pStyle w:val="ONUME"/>
        <w:rPr>
          <w:lang w:eastAsia="en-US"/>
        </w:rPr>
      </w:pPr>
      <w:bookmarkStart w:id="47" w:name="_Hlk198586982"/>
      <w:bookmarkEnd w:id="46"/>
      <w:r w:rsidRPr="00822E70">
        <w:rPr>
          <w:lang w:eastAsia="en-US"/>
        </w:rPr>
        <w:t xml:space="preserve">WIPO ALERT is a secure, online platform to which authorized bodies in WIPO Member States can upload details of websites or applications </w:t>
      </w:r>
      <w:r w:rsidR="00F3247F">
        <w:rPr>
          <w:lang w:eastAsia="en-US"/>
        </w:rPr>
        <w:t>that</w:t>
      </w:r>
      <w:r w:rsidRPr="00822E70">
        <w:rPr>
          <w:lang w:eastAsia="en-US"/>
        </w:rPr>
        <w:t xml:space="preserve"> have been determined to infringe copyright according to national rules. </w:t>
      </w:r>
      <w:r w:rsidR="009902A3">
        <w:rPr>
          <w:lang w:eastAsia="en-US"/>
        </w:rPr>
        <w:t xml:space="preserve"> </w:t>
      </w:r>
      <w:r w:rsidRPr="00822E70">
        <w:rPr>
          <w:lang w:eastAsia="en-US"/>
        </w:rPr>
        <w:t xml:space="preserve">Ukraine has been an authorized contributor to the WIPO ALERT platform since September 2020.  </w:t>
      </w:r>
    </w:p>
    <w:p w14:paraId="159C9EC8" w14:textId="453B61BD" w:rsidR="00822E70" w:rsidRPr="00822E70" w:rsidRDefault="00822E70" w:rsidP="00822E70">
      <w:pPr>
        <w:pStyle w:val="ONUME"/>
        <w:rPr>
          <w:lang w:eastAsia="en-US"/>
        </w:rPr>
      </w:pPr>
      <w:r w:rsidRPr="00822E70">
        <w:rPr>
          <w:lang w:eastAsia="en-US"/>
        </w:rPr>
        <w:t>The International Bureau has support</w:t>
      </w:r>
      <w:r w:rsidR="00E6188C">
        <w:rPr>
          <w:lang w:eastAsia="en-US"/>
        </w:rPr>
        <w:t>ed</w:t>
      </w:r>
      <w:r w:rsidRPr="00822E70">
        <w:rPr>
          <w:lang w:eastAsia="en-US"/>
        </w:rPr>
        <w:t xml:space="preserve"> Ukraine in making full use of the platform.</w:t>
      </w:r>
      <w:r w:rsidR="00E96EA1">
        <w:rPr>
          <w:lang w:eastAsia="en-US"/>
        </w:rPr>
        <w:t xml:space="preserve"> </w:t>
      </w:r>
      <w:r w:rsidRPr="00822E70">
        <w:rPr>
          <w:lang w:eastAsia="en-US"/>
        </w:rPr>
        <w:t xml:space="preserve"> Since the beginning of the war</w:t>
      </w:r>
      <w:r w:rsidR="009902A3">
        <w:rPr>
          <w:lang w:eastAsia="en-US"/>
        </w:rPr>
        <w:t>,</w:t>
      </w:r>
      <w:r w:rsidRPr="00822E70">
        <w:rPr>
          <w:lang w:eastAsia="en-US"/>
        </w:rPr>
        <w:t xml:space="preserve"> contact with Ukraine in this area ha</w:t>
      </w:r>
      <w:r w:rsidR="00C034D3">
        <w:rPr>
          <w:lang w:eastAsia="en-US"/>
        </w:rPr>
        <w:t>s</w:t>
      </w:r>
      <w:r w:rsidRPr="00822E70">
        <w:rPr>
          <w:lang w:eastAsia="en-US"/>
        </w:rPr>
        <w:t xml:space="preserve"> been affected. </w:t>
      </w:r>
      <w:r w:rsidR="009902A3">
        <w:rPr>
          <w:lang w:eastAsia="en-US"/>
        </w:rPr>
        <w:t xml:space="preserve"> </w:t>
      </w:r>
      <w:r w:rsidRPr="00822E70">
        <w:rPr>
          <w:lang w:eastAsia="en-US"/>
        </w:rPr>
        <w:t xml:space="preserve">At </w:t>
      </w:r>
      <w:r w:rsidR="00443285">
        <w:rPr>
          <w:lang w:eastAsia="en-US"/>
        </w:rPr>
        <w:t xml:space="preserve">the </w:t>
      </w:r>
      <w:r w:rsidRPr="00822E70">
        <w:rPr>
          <w:lang w:eastAsia="en-US"/>
        </w:rPr>
        <w:t>beginning of 2025</w:t>
      </w:r>
      <w:r w:rsidR="00C034D3">
        <w:rPr>
          <w:lang w:eastAsia="en-US"/>
        </w:rPr>
        <w:t>,</w:t>
      </w:r>
      <w:r w:rsidRPr="00822E70">
        <w:rPr>
          <w:lang w:eastAsia="en-US"/>
        </w:rPr>
        <w:t xml:space="preserve"> the connection was revitalized with the appointment of a new focal point for WIPO ALERT from the Ministry of Economy of Ukraine. </w:t>
      </w:r>
    </w:p>
    <w:p w14:paraId="3484174E" w14:textId="6EE5F2AE" w:rsidR="00822E70" w:rsidRPr="00822E70" w:rsidRDefault="00822E70" w:rsidP="00822E70">
      <w:pPr>
        <w:pStyle w:val="ONUME"/>
        <w:rPr>
          <w:lang w:eastAsia="en-US"/>
        </w:rPr>
      </w:pPr>
      <w:r w:rsidRPr="00822E70">
        <w:rPr>
          <w:lang w:eastAsia="en-US"/>
        </w:rPr>
        <w:t>In March 2025, the International Bureau held a meeting with the Intellectual Property and Innovations Department of Ukraine’s Ministry of Economy to support the country in utilizing</w:t>
      </w:r>
      <w:r w:rsidR="00AD7A1E">
        <w:rPr>
          <w:lang w:eastAsia="en-US"/>
        </w:rPr>
        <w:t xml:space="preserve"> fully</w:t>
      </w:r>
      <w:r w:rsidRPr="00822E70">
        <w:rPr>
          <w:lang w:eastAsia="en-US"/>
        </w:rPr>
        <w:t xml:space="preserve"> the WIPO ALERT platform. </w:t>
      </w:r>
      <w:r w:rsidR="00AD7A1E">
        <w:rPr>
          <w:lang w:eastAsia="en-US"/>
        </w:rPr>
        <w:t xml:space="preserve"> </w:t>
      </w:r>
      <w:r w:rsidRPr="00822E70">
        <w:rPr>
          <w:lang w:eastAsia="en-US"/>
        </w:rPr>
        <w:t xml:space="preserve">Key outcomes of the meeting included the following: </w:t>
      </w:r>
      <w:r w:rsidR="00E96EA1">
        <w:rPr>
          <w:lang w:eastAsia="en-US"/>
        </w:rPr>
        <w:t xml:space="preserve"> </w:t>
      </w:r>
      <w:r w:rsidRPr="00822E70">
        <w:rPr>
          <w:lang w:eastAsia="en-US"/>
        </w:rPr>
        <w:t>(</w:t>
      </w:r>
      <w:proofErr w:type="spellStart"/>
      <w:r w:rsidRPr="00822E70">
        <w:rPr>
          <w:lang w:eastAsia="en-US"/>
        </w:rPr>
        <w:t>i</w:t>
      </w:r>
      <w:proofErr w:type="spellEnd"/>
      <w:r w:rsidRPr="00822E70">
        <w:rPr>
          <w:lang w:eastAsia="en-US"/>
        </w:rPr>
        <w:t>) finalizing the official name of the authorized entity to display in the platform;</w:t>
      </w:r>
      <w:r w:rsidR="00E96EA1">
        <w:rPr>
          <w:lang w:eastAsia="en-US"/>
        </w:rPr>
        <w:t xml:space="preserve"> </w:t>
      </w:r>
      <w:r w:rsidRPr="00822E70">
        <w:rPr>
          <w:lang w:eastAsia="en-US"/>
        </w:rPr>
        <w:t xml:space="preserve"> (ii) removing four obsolete websites from the platform;</w:t>
      </w:r>
      <w:r w:rsidR="00E96EA1">
        <w:rPr>
          <w:lang w:eastAsia="en-US"/>
        </w:rPr>
        <w:t xml:space="preserve"> </w:t>
      </w:r>
      <w:r w:rsidRPr="00822E70">
        <w:rPr>
          <w:lang w:eastAsia="en-US"/>
        </w:rPr>
        <w:t xml:space="preserve"> (iii) uploading three new websites currently under assessment for inclusion in WIPO ALERT; </w:t>
      </w:r>
      <w:r w:rsidR="00E96EA1">
        <w:rPr>
          <w:lang w:eastAsia="en-US"/>
        </w:rPr>
        <w:t xml:space="preserve"> </w:t>
      </w:r>
      <w:r w:rsidRPr="00822E70">
        <w:rPr>
          <w:lang w:eastAsia="en-US"/>
        </w:rPr>
        <w:t>(iv) preparing a summary of Ukraine's updated site-blocking framework introduced under the amendments to the Law on Advertising (effective March 31, 2023) and  the 2024 Order No. 2945 "</w:t>
      </w:r>
      <w:r w:rsidRPr="00822E70">
        <w:rPr>
          <w:i/>
          <w:iCs/>
          <w:lang w:eastAsia="en-US"/>
        </w:rPr>
        <w:t>On Approval of the Procedure for Formation and Maintenance of the National List of Websites Raising Concerns for the Protection of Intellectual Property Rights</w:t>
      </w:r>
      <w:r w:rsidRPr="00822E70">
        <w:rPr>
          <w:lang w:eastAsia="en-US"/>
        </w:rPr>
        <w:t xml:space="preserve">"; </w:t>
      </w:r>
      <w:r w:rsidR="00B660B2">
        <w:rPr>
          <w:lang w:eastAsia="en-US"/>
        </w:rPr>
        <w:t xml:space="preserve"> </w:t>
      </w:r>
      <w:r w:rsidRPr="00822E70">
        <w:rPr>
          <w:lang w:eastAsia="en-US"/>
        </w:rPr>
        <w:t xml:space="preserve">and (v) activating platform access for the newly appointed focal point. </w:t>
      </w:r>
      <w:r w:rsidR="00CE2FF3">
        <w:rPr>
          <w:lang w:eastAsia="en-US"/>
        </w:rPr>
        <w:t xml:space="preserve"> </w:t>
      </w:r>
      <w:r w:rsidRPr="00822E70">
        <w:rPr>
          <w:lang w:eastAsia="en-US"/>
        </w:rPr>
        <w:t xml:space="preserve">The International Bureau reiterated its availability to continue assisting Ukraine in the implementation of the mentioned actions. </w:t>
      </w:r>
    </w:p>
    <w:p w14:paraId="4A7ECB19" w14:textId="6691396C" w:rsidR="00822E70" w:rsidRPr="00822E70" w:rsidRDefault="0074753B" w:rsidP="0074753B">
      <w:pPr>
        <w:pStyle w:val="Heading2"/>
        <w:tabs>
          <w:tab w:val="left" w:pos="1170"/>
        </w:tabs>
        <w:spacing w:after="220"/>
        <w:ind w:left="1181" w:hanging="634"/>
        <w:rPr>
          <w:lang w:eastAsia="en-US"/>
        </w:rPr>
      </w:pPr>
      <w:bookmarkStart w:id="48" w:name="_Toc200545007"/>
      <w:bookmarkEnd w:id="47"/>
      <w:r>
        <w:rPr>
          <w:lang w:eastAsia="en-US"/>
        </w:rPr>
        <w:t>3.6</w:t>
      </w:r>
      <w:r>
        <w:rPr>
          <w:lang w:eastAsia="en-US"/>
        </w:rPr>
        <w:tab/>
      </w:r>
      <w:r w:rsidR="00822E70" w:rsidRPr="00822E70">
        <w:rPr>
          <w:lang w:eastAsia="en-US"/>
        </w:rPr>
        <w:t xml:space="preserve">Support </w:t>
      </w:r>
      <w:r w:rsidR="00CE2FF3">
        <w:rPr>
          <w:lang w:eastAsia="en-US"/>
        </w:rPr>
        <w:t>for</w:t>
      </w:r>
      <w:r w:rsidR="00822E70" w:rsidRPr="00822E70">
        <w:rPr>
          <w:lang w:eastAsia="en-US"/>
        </w:rPr>
        <w:t xml:space="preserve"> Increased IP Knowledge and Skills</w:t>
      </w:r>
      <w:bookmarkEnd w:id="48"/>
    </w:p>
    <w:p w14:paraId="7D426E05" w14:textId="6F4AE922" w:rsidR="00822E70" w:rsidRDefault="0074753B" w:rsidP="0074753B">
      <w:pPr>
        <w:pStyle w:val="Heading3"/>
        <w:ind w:left="1890" w:hanging="720"/>
        <w:rPr>
          <w:lang w:eastAsia="en-US"/>
        </w:rPr>
      </w:pPr>
      <w:bookmarkStart w:id="49" w:name="_Toc200545008"/>
      <w:bookmarkStart w:id="50" w:name="_Hlk198228341"/>
      <w:r>
        <w:rPr>
          <w:u w:val="none"/>
          <w:lang w:eastAsia="en-US"/>
        </w:rPr>
        <w:t>3.6.1</w:t>
      </w:r>
      <w:r>
        <w:rPr>
          <w:u w:val="none"/>
          <w:lang w:eastAsia="en-US"/>
        </w:rPr>
        <w:tab/>
      </w:r>
      <w:r w:rsidR="00822E70" w:rsidRPr="00822E70">
        <w:rPr>
          <w:lang w:eastAsia="en-US"/>
        </w:rPr>
        <w:t>WIPO Academy – IP Academy of Ukraine</w:t>
      </w:r>
      <w:bookmarkEnd w:id="49"/>
    </w:p>
    <w:p w14:paraId="2706A32A" w14:textId="77777777" w:rsidR="0074753B" w:rsidRPr="00822E70" w:rsidRDefault="0074753B" w:rsidP="0074753B">
      <w:pPr>
        <w:rPr>
          <w:lang w:eastAsia="en-US"/>
        </w:rPr>
      </w:pPr>
    </w:p>
    <w:p w14:paraId="7883C441" w14:textId="1855D04E" w:rsidR="00822E70" w:rsidRPr="00822E70" w:rsidRDefault="00822E70" w:rsidP="00822E70">
      <w:pPr>
        <w:pStyle w:val="ONUME"/>
        <w:rPr>
          <w:b/>
          <w:bCs/>
          <w:lang w:eastAsia="en-US"/>
        </w:rPr>
      </w:pPr>
      <w:r w:rsidRPr="00822E70">
        <w:rPr>
          <w:iCs/>
          <w:lang w:eastAsia="en-US"/>
        </w:rPr>
        <w:t>In 2024,</w:t>
      </w:r>
      <w:r w:rsidRPr="00822E70">
        <w:rPr>
          <w:i/>
          <w:lang w:eastAsia="en-US"/>
        </w:rPr>
        <w:t xml:space="preserve"> </w:t>
      </w:r>
      <w:r w:rsidRPr="00822E70">
        <w:rPr>
          <w:lang w:eastAsia="en-US"/>
        </w:rPr>
        <w:t>the IP Academy of Ukraine (IPA) organized around 115 activities for more than 21,520 participants, of which 59</w:t>
      </w:r>
      <w:r w:rsidR="00E96EA1">
        <w:rPr>
          <w:lang w:eastAsia="en-US"/>
        </w:rPr>
        <w:t xml:space="preserve"> per cent</w:t>
      </w:r>
      <w:r w:rsidRPr="00822E70">
        <w:rPr>
          <w:lang w:eastAsia="en-US"/>
        </w:rPr>
        <w:t xml:space="preserve"> were women and 63</w:t>
      </w:r>
      <w:r w:rsidR="00E96EA1">
        <w:rPr>
          <w:lang w:eastAsia="en-US"/>
        </w:rPr>
        <w:t xml:space="preserve"> per cent</w:t>
      </w:r>
      <w:r w:rsidRPr="00822E70">
        <w:rPr>
          <w:lang w:eastAsia="en-US"/>
        </w:rPr>
        <w:t xml:space="preserve"> from </w:t>
      </w:r>
      <w:r w:rsidR="00CE2FF3">
        <w:rPr>
          <w:lang w:eastAsia="en-US"/>
        </w:rPr>
        <w:t xml:space="preserve">the </w:t>
      </w:r>
      <w:r w:rsidRPr="00822E70">
        <w:rPr>
          <w:lang w:eastAsia="en-US"/>
        </w:rPr>
        <w:t>private sector.</w:t>
      </w:r>
    </w:p>
    <w:p w14:paraId="720CD6FD" w14:textId="64FAE5F7" w:rsidR="00822E70" w:rsidRPr="00822E70" w:rsidRDefault="00822E70" w:rsidP="00822E70">
      <w:pPr>
        <w:pStyle w:val="ONUME"/>
        <w:rPr>
          <w:lang w:eastAsia="en-US"/>
        </w:rPr>
      </w:pPr>
      <w:r w:rsidRPr="00822E70">
        <w:rPr>
          <w:lang w:eastAsia="en-US"/>
        </w:rPr>
        <w:t xml:space="preserve">Since May 2024, as part of </w:t>
      </w:r>
      <w:r w:rsidR="00927EF1">
        <w:rPr>
          <w:lang w:eastAsia="en-US"/>
        </w:rPr>
        <w:t xml:space="preserve">the support provided by </w:t>
      </w:r>
      <w:r w:rsidRPr="00822E70">
        <w:rPr>
          <w:lang w:eastAsia="en-US"/>
        </w:rPr>
        <w:t xml:space="preserve">WIPO Academy to </w:t>
      </w:r>
      <w:r w:rsidR="00763F15">
        <w:rPr>
          <w:lang w:eastAsia="en-US"/>
        </w:rPr>
        <w:t xml:space="preserve">the </w:t>
      </w:r>
      <w:r w:rsidRPr="00822E70">
        <w:rPr>
          <w:lang w:eastAsia="en-US"/>
        </w:rPr>
        <w:t>IPA</w:t>
      </w:r>
      <w:r w:rsidR="00CE2FF3">
        <w:rPr>
          <w:lang w:eastAsia="en-US"/>
        </w:rPr>
        <w:t>,</w:t>
      </w:r>
      <w:r w:rsidRPr="00822E70">
        <w:rPr>
          <w:lang w:eastAsia="en-US"/>
        </w:rPr>
        <w:t xml:space="preserve"> the following projects have been carried out:</w:t>
      </w:r>
    </w:p>
    <w:p w14:paraId="71A09EF8" w14:textId="6AE4BA37" w:rsidR="00822E70" w:rsidRPr="00822E70" w:rsidRDefault="00822E70" w:rsidP="00822E70">
      <w:pPr>
        <w:pStyle w:val="ONUME"/>
        <w:numPr>
          <w:ilvl w:val="0"/>
          <w:numId w:val="8"/>
        </w:numPr>
        <w:rPr>
          <w:lang w:eastAsia="en-US"/>
        </w:rPr>
      </w:pPr>
      <w:r w:rsidRPr="00822E70">
        <w:rPr>
          <w:lang w:eastAsia="en-US"/>
        </w:rPr>
        <w:t>Capacity-Building Project on IP and Emerging Technologies for University Curricula.  The project benefited more than 120 IP professors from around 48 universities.</w:t>
      </w:r>
      <w:r w:rsidR="002E5412">
        <w:rPr>
          <w:lang w:eastAsia="en-US"/>
        </w:rPr>
        <w:t xml:space="preserve">  </w:t>
      </w:r>
      <w:r w:rsidR="007B1A7D">
        <w:rPr>
          <w:lang w:eastAsia="en-US"/>
        </w:rPr>
        <w:t xml:space="preserve">13 </w:t>
      </w:r>
      <w:r w:rsidRPr="00822E70">
        <w:rPr>
          <w:lang w:eastAsia="en-US"/>
        </w:rPr>
        <w:t xml:space="preserve">IP professors from </w:t>
      </w:r>
      <w:r w:rsidR="00CE2FF3">
        <w:rPr>
          <w:lang w:eastAsia="en-US"/>
        </w:rPr>
        <w:t>seven</w:t>
      </w:r>
      <w:r w:rsidRPr="00822E70">
        <w:rPr>
          <w:lang w:eastAsia="en-US"/>
        </w:rPr>
        <w:t xml:space="preserve"> universities developed and integrated new curricula on IP and Emerging Technologies into their university programs for the 2024-2025 academic year, as the result of this project.</w:t>
      </w:r>
    </w:p>
    <w:p w14:paraId="39FF820F" w14:textId="3AA5F2E3" w:rsidR="00822E70" w:rsidRPr="00822E70" w:rsidRDefault="00822E70" w:rsidP="00822E70">
      <w:pPr>
        <w:pStyle w:val="ONUME"/>
        <w:numPr>
          <w:ilvl w:val="0"/>
          <w:numId w:val="8"/>
        </w:numPr>
        <w:rPr>
          <w:lang w:eastAsia="en-US"/>
        </w:rPr>
      </w:pPr>
      <w:r w:rsidRPr="00822E70">
        <w:rPr>
          <w:lang w:eastAsia="en-US"/>
        </w:rPr>
        <w:t xml:space="preserve">Digital Presence Project. </w:t>
      </w:r>
      <w:r w:rsidR="00C65B7F">
        <w:rPr>
          <w:lang w:eastAsia="en-US"/>
        </w:rPr>
        <w:t xml:space="preserve"> </w:t>
      </w:r>
      <w:r w:rsidRPr="00822E70">
        <w:rPr>
          <w:lang w:eastAsia="en-US"/>
        </w:rPr>
        <w:t>This project benefitted the IPA through the development of a new website, the creation of a digital marketing strategy, and a new design for the IPA.  Currently, the focus is on supporting the creation of a digital content library and of the resources for digital content.</w:t>
      </w:r>
    </w:p>
    <w:p w14:paraId="1A2D5DEE" w14:textId="504BA0CE" w:rsidR="00822E70" w:rsidRPr="00822E70" w:rsidRDefault="00822E70" w:rsidP="00822E70">
      <w:pPr>
        <w:pStyle w:val="ONUME"/>
        <w:numPr>
          <w:ilvl w:val="0"/>
          <w:numId w:val="8"/>
        </w:numPr>
        <w:rPr>
          <w:lang w:eastAsia="en-US"/>
        </w:rPr>
      </w:pPr>
      <w:r w:rsidRPr="00822E70">
        <w:rPr>
          <w:lang w:eastAsia="en-US"/>
        </w:rPr>
        <w:t xml:space="preserve">IP Project for Folk Craft Entrepreneurs under the Build-Back Fund. </w:t>
      </w:r>
      <w:r w:rsidR="00C65B7F">
        <w:rPr>
          <w:lang w:eastAsia="en-US"/>
        </w:rPr>
        <w:t xml:space="preserve"> </w:t>
      </w:r>
      <w:r w:rsidRPr="00822E70">
        <w:rPr>
          <w:lang w:eastAsia="en-US"/>
        </w:rPr>
        <w:t>The project benefitted 30 folk craft entrepreneurs through a training program implemented as the first phase of the project in November-December 2024.  Furthermore, the mentorship phase of the project concluded in April 2025.  As a result of the mentorship, six female participants received four one-on-one sessions with</w:t>
      </w:r>
      <w:r w:rsidR="00927EF1">
        <w:rPr>
          <w:lang w:eastAsia="en-US"/>
        </w:rPr>
        <w:t xml:space="preserve"> a</w:t>
      </w:r>
      <w:r w:rsidRPr="00822E70">
        <w:rPr>
          <w:lang w:eastAsia="en-US"/>
        </w:rPr>
        <w:t xml:space="preserve"> national expert and continued their engagement afterward to finalize their IP strategies. </w:t>
      </w:r>
      <w:r w:rsidR="00FB0283">
        <w:rPr>
          <w:lang w:eastAsia="en-US"/>
        </w:rPr>
        <w:t xml:space="preserve"> </w:t>
      </w:r>
      <w:r w:rsidRPr="00822E70">
        <w:rPr>
          <w:lang w:eastAsia="en-US"/>
        </w:rPr>
        <w:t xml:space="preserve">One of the project participants has applied for a trademark registration, which is also a first step in implementing her IP strategy developed in this process.  The project concluded with an onsite </w:t>
      </w:r>
      <w:r w:rsidR="00CA072F">
        <w:rPr>
          <w:lang w:eastAsia="en-US"/>
        </w:rPr>
        <w:t xml:space="preserve">dialogue on </w:t>
      </w:r>
      <w:r w:rsidRPr="00822E70">
        <w:rPr>
          <w:lang w:eastAsia="en-US"/>
        </w:rPr>
        <w:t xml:space="preserve">IP </w:t>
      </w:r>
      <w:r w:rsidRPr="00822E70">
        <w:rPr>
          <w:lang w:eastAsia="en-US"/>
        </w:rPr>
        <w:lastRenderedPageBreak/>
        <w:t xml:space="preserve">of the craft communities and </w:t>
      </w:r>
      <w:r w:rsidR="00CA072F">
        <w:rPr>
          <w:lang w:eastAsia="en-US"/>
        </w:rPr>
        <w:t>an e</w:t>
      </w:r>
      <w:r w:rsidRPr="00822E70">
        <w:rPr>
          <w:lang w:eastAsia="en-US"/>
        </w:rPr>
        <w:t xml:space="preserve">xhibition attended by 84 participants in May 2025. </w:t>
      </w:r>
      <w:r w:rsidR="00EF3275">
        <w:rPr>
          <w:lang w:eastAsia="en-US"/>
        </w:rPr>
        <w:t xml:space="preserve"> </w:t>
      </w:r>
      <w:r w:rsidRPr="00822E70">
        <w:rPr>
          <w:lang w:eastAsia="en-US"/>
        </w:rPr>
        <w:t xml:space="preserve">A practical guide was created and shared with project beneficiaries, </w:t>
      </w:r>
      <w:r w:rsidR="0008014C">
        <w:rPr>
          <w:lang w:eastAsia="en-US"/>
        </w:rPr>
        <w:t xml:space="preserve">and attendees of the </w:t>
      </w:r>
      <w:r w:rsidRPr="00822E70">
        <w:rPr>
          <w:lang w:eastAsia="en-US"/>
        </w:rPr>
        <w:t xml:space="preserve">IP </w:t>
      </w:r>
      <w:r w:rsidR="0008014C">
        <w:rPr>
          <w:lang w:eastAsia="en-US"/>
        </w:rPr>
        <w:t>d</w:t>
      </w:r>
      <w:r w:rsidRPr="00822E70">
        <w:rPr>
          <w:lang w:eastAsia="en-US"/>
        </w:rPr>
        <w:t xml:space="preserve">ialogue and </w:t>
      </w:r>
      <w:r w:rsidR="0008014C">
        <w:rPr>
          <w:lang w:eastAsia="en-US"/>
        </w:rPr>
        <w:t>e</w:t>
      </w:r>
      <w:r w:rsidRPr="00822E70">
        <w:rPr>
          <w:lang w:eastAsia="en-US"/>
        </w:rPr>
        <w:t xml:space="preserve">xhibition, and made available online as a post-training resource to ensure the sustainability of the project outcomes. </w:t>
      </w:r>
    </w:p>
    <w:p w14:paraId="59793D30" w14:textId="6949784A" w:rsidR="00822E70" w:rsidRPr="00822E70" w:rsidRDefault="00822E70" w:rsidP="00822E70">
      <w:pPr>
        <w:pStyle w:val="ONUME"/>
        <w:numPr>
          <w:ilvl w:val="0"/>
          <w:numId w:val="8"/>
        </w:numPr>
        <w:rPr>
          <w:lang w:eastAsia="en-US"/>
        </w:rPr>
      </w:pPr>
      <w:r w:rsidRPr="00822E70">
        <w:rPr>
          <w:lang w:eastAsia="en-US"/>
        </w:rPr>
        <w:t xml:space="preserve">Translation and adaptation of two foundational WIPO eLearning courses for the Ukrainian national context – the Primer on Intellectual Property (DL-001) and the General Course on Intellectual Property (DL-101). </w:t>
      </w:r>
      <w:r w:rsidR="003B2EAD">
        <w:rPr>
          <w:lang w:eastAsia="en-US"/>
        </w:rPr>
        <w:t xml:space="preserve"> </w:t>
      </w:r>
      <w:r w:rsidRPr="00822E70">
        <w:rPr>
          <w:lang w:eastAsia="en-US"/>
        </w:rPr>
        <w:t xml:space="preserve">This project is delivered as a joint initiative between the WIPO Academy and </w:t>
      </w:r>
      <w:r w:rsidR="003B2EAD">
        <w:rPr>
          <w:lang w:eastAsia="en-US"/>
        </w:rPr>
        <w:t xml:space="preserve">the </w:t>
      </w:r>
      <w:r w:rsidRPr="00822E70">
        <w:rPr>
          <w:lang w:eastAsia="en-US"/>
        </w:rPr>
        <w:t xml:space="preserve">IPA at their request. </w:t>
      </w:r>
      <w:r w:rsidR="003B2EAD">
        <w:rPr>
          <w:lang w:eastAsia="en-US"/>
        </w:rPr>
        <w:t xml:space="preserve"> </w:t>
      </w:r>
      <w:r w:rsidRPr="00822E70">
        <w:rPr>
          <w:lang w:eastAsia="en-US"/>
        </w:rPr>
        <w:t xml:space="preserve">The translation of DL-001 was initiated in </w:t>
      </w:r>
      <w:proofErr w:type="gramStart"/>
      <w:r w:rsidRPr="00822E70">
        <w:rPr>
          <w:lang w:eastAsia="en-US"/>
        </w:rPr>
        <w:t>July 2024, and</w:t>
      </w:r>
      <w:proofErr w:type="gramEnd"/>
      <w:r w:rsidRPr="00822E70">
        <w:rPr>
          <w:lang w:eastAsia="en-US"/>
        </w:rPr>
        <w:t xml:space="preserve"> has been completed and formally validated by the UANIPIO, while the work on finalizing the translation and contextualization of DL-101 is </w:t>
      </w:r>
      <w:r w:rsidR="006718D0">
        <w:rPr>
          <w:lang w:eastAsia="en-US"/>
        </w:rPr>
        <w:t>in its</w:t>
      </w:r>
      <w:r w:rsidRPr="00822E70">
        <w:rPr>
          <w:lang w:eastAsia="en-US"/>
        </w:rPr>
        <w:t xml:space="preserve"> final stages. </w:t>
      </w:r>
      <w:r w:rsidR="006718D0">
        <w:rPr>
          <w:lang w:eastAsia="en-US"/>
        </w:rPr>
        <w:t xml:space="preserve"> </w:t>
      </w:r>
      <w:r w:rsidRPr="00822E70">
        <w:rPr>
          <w:lang w:eastAsia="en-US"/>
        </w:rPr>
        <w:t xml:space="preserve">Upon completion, the International Bureau is planning to deliver </w:t>
      </w:r>
      <w:bookmarkStart w:id="51" w:name="_Hlk198303478"/>
      <w:r w:rsidRPr="00822E70">
        <w:rPr>
          <w:lang w:eastAsia="en-US"/>
        </w:rPr>
        <w:t xml:space="preserve">comprehensive training on the administration and pedagogical use of these courses </w:t>
      </w:r>
      <w:bookmarkEnd w:id="51"/>
      <w:r w:rsidRPr="00822E70">
        <w:rPr>
          <w:lang w:eastAsia="en-US"/>
        </w:rPr>
        <w:t xml:space="preserve">via the WIPO eLearning platform, with a particular emphasis on online teaching methodologies. </w:t>
      </w:r>
    </w:p>
    <w:p w14:paraId="1B2D5074" w14:textId="582C80B9" w:rsidR="00822E70" w:rsidRDefault="0074753B" w:rsidP="0074753B">
      <w:pPr>
        <w:pStyle w:val="Heading3"/>
        <w:ind w:left="1890" w:hanging="720"/>
        <w:rPr>
          <w:lang w:eastAsia="en-US"/>
        </w:rPr>
      </w:pPr>
      <w:bookmarkStart w:id="52" w:name="_Toc200545009"/>
      <w:r>
        <w:rPr>
          <w:u w:val="none"/>
          <w:lang w:eastAsia="en-US"/>
        </w:rPr>
        <w:t>3.6.2</w:t>
      </w:r>
      <w:r>
        <w:rPr>
          <w:u w:val="none"/>
          <w:lang w:eastAsia="en-US"/>
        </w:rPr>
        <w:tab/>
      </w:r>
      <w:r w:rsidR="00822E70" w:rsidRPr="00822E70">
        <w:rPr>
          <w:lang w:eastAsia="en-US"/>
        </w:rPr>
        <w:t>Collaboration in other WIPO Academy Programs</w:t>
      </w:r>
      <w:bookmarkEnd w:id="52"/>
    </w:p>
    <w:p w14:paraId="22F12F1B" w14:textId="77777777" w:rsidR="009063B7" w:rsidRPr="00822E70" w:rsidRDefault="009063B7" w:rsidP="009063B7">
      <w:pPr>
        <w:rPr>
          <w:lang w:eastAsia="en-US"/>
        </w:rPr>
      </w:pPr>
    </w:p>
    <w:p w14:paraId="347428D7" w14:textId="63C8CDA2" w:rsidR="00822E70" w:rsidRPr="00822E70" w:rsidRDefault="00822E70" w:rsidP="00822E70">
      <w:pPr>
        <w:pStyle w:val="ONUME"/>
        <w:rPr>
          <w:lang w:eastAsia="en-US"/>
        </w:rPr>
      </w:pPr>
      <w:r w:rsidRPr="00822E70">
        <w:rPr>
          <w:lang w:eastAsia="en-US"/>
        </w:rPr>
        <w:t xml:space="preserve">In 2024, around 670 Ukrainian nationals have benefited from </w:t>
      </w:r>
      <w:r w:rsidR="00F361C2">
        <w:rPr>
          <w:lang w:eastAsia="en-US"/>
        </w:rPr>
        <w:t>the</w:t>
      </w:r>
      <w:r w:rsidRPr="00822E70">
        <w:rPr>
          <w:lang w:eastAsia="en-US"/>
        </w:rPr>
        <w:t xml:space="preserve"> hybrid or distance learning courses</w:t>
      </w:r>
      <w:r w:rsidR="00F361C2">
        <w:rPr>
          <w:lang w:eastAsia="en-US"/>
        </w:rPr>
        <w:t xml:space="preserve"> offered by the WIPO Academy</w:t>
      </w:r>
      <w:r w:rsidRPr="00822E70">
        <w:rPr>
          <w:lang w:eastAsia="en-US"/>
        </w:rPr>
        <w:t xml:space="preserve">. </w:t>
      </w:r>
      <w:r w:rsidR="007B1A7D">
        <w:rPr>
          <w:lang w:eastAsia="en-US"/>
        </w:rPr>
        <w:t xml:space="preserve"> </w:t>
      </w:r>
      <w:r w:rsidRPr="00822E70">
        <w:rPr>
          <w:lang w:eastAsia="en-US"/>
        </w:rPr>
        <w:t>These participants included representatives of academia, the private sector, as well as IP practitioners.</w:t>
      </w:r>
      <w:r w:rsidR="007B1A7D">
        <w:rPr>
          <w:lang w:eastAsia="en-US"/>
        </w:rPr>
        <w:t xml:space="preserve"> </w:t>
      </w:r>
      <w:r w:rsidRPr="00822E70">
        <w:rPr>
          <w:lang w:eastAsia="en-US"/>
        </w:rPr>
        <w:t xml:space="preserve"> Women accounted for more than </w:t>
      </w:r>
      <w:r w:rsidR="007B1A7D">
        <w:rPr>
          <w:lang w:eastAsia="en-US"/>
        </w:rPr>
        <w:t xml:space="preserve">      </w:t>
      </w:r>
      <w:r w:rsidRPr="00822E70">
        <w:rPr>
          <w:lang w:eastAsia="en-US"/>
        </w:rPr>
        <w:t>60</w:t>
      </w:r>
      <w:r w:rsidR="007B1A7D">
        <w:rPr>
          <w:lang w:eastAsia="en-US"/>
        </w:rPr>
        <w:t xml:space="preserve"> per cent</w:t>
      </w:r>
      <w:r w:rsidRPr="00822E70">
        <w:rPr>
          <w:lang w:eastAsia="en-US"/>
        </w:rPr>
        <w:t xml:space="preserve"> of </w:t>
      </w:r>
      <w:r w:rsidR="00502277">
        <w:rPr>
          <w:lang w:eastAsia="en-US"/>
        </w:rPr>
        <w:t xml:space="preserve">the </w:t>
      </w:r>
      <w:r w:rsidRPr="00822E70">
        <w:rPr>
          <w:lang w:eastAsia="en-US"/>
        </w:rPr>
        <w:t>participa</w:t>
      </w:r>
      <w:r w:rsidR="00502277">
        <w:rPr>
          <w:lang w:eastAsia="en-US"/>
        </w:rPr>
        <w:t>nts</w:t>
      </w:r>
      <w:r w:rsidRPr="00822E70">
        <w:rPr>
          <w:lang w:eastAsia="en-US"/>
        </w:rPr>
        <w:t xml:space="preserve">.  </w:t>
      </w:r>
    </w:p>
    <w:p w14:paraId="674F8A82" w14:textId="2985B138" w:rsidR="00822E70" w:rsidRPr="00822E70" w:rsidRDefault="00822E70" w:rsidP="00822E70">
      <w:pPr>
        <w:pStyle w:val="ONUME"/>
        <w:rPr>
          <w:lang w:eastAsia="en-US"/>
        </w:rPr>
      </w:pPr>
      <w:r w:rsidRPr="00822E70">
        <w:rPr>
          <w:lang w:eastAsia="en-US"/>
        </w:rPr>
        <w:t xml:space="preserve">Between July 2024 and May 2025, </w:t>
      </w:r>
      <w:r w:rsidR="007B1A7D">
        <w:rPr>
          <w:lang w:eastAsia="en-US"/>
        </w:rPr>
        <w:t>11</w:t>
      </w:r>
      <w:r w:rsidRPr="00822E70">
        <w:rPr>
          <w:lang w:eastAsia="en-US"/>
        </w:rPr>
        <w:t xml:space="preserve"> Ukrainian professionals participated in the</w:t>
      </w:r>
      <w:r w:rsidR="007B1A7D">
        <w:rPr>
          <w:lang w:eastAsia="en-US"/>
        </w:rPr>
        <w:t xml:space="preserve">    </w:t>
      </w:r>
      <w:r w:rsidRPr="00822E70">
        <w:rPr>
          <w:lang w:eastAsia="en-US"/>
        </w:rPr>
        <w:t xml:space="preserve"> WIPO-Harvard Law School Course on Patent Law and Global Public Health, six in the fourth edition (September to December 2024) and five in the fifth edition (January to May 2025). </w:t>
      </w:r>
    </w:p>
    <w:p w14:paraId="71818539" w14:textId="2FD761DE" w:rsidR="00822E70" w:rsidRPr="00822E70" w:rsidRDefault="00822E70" w:rsidP="00822E70">
      <w:pPr>
        <w:pStyle w:val="ONUME"/>
        <w:rPr>
          <w:lang w:eastAsia="en-US"/>
        </w:rPr>
      </w:pPr>
      <w:r w:rsidRPr="00822E70">
        <w:rPr>
          <w:lang w:eastAsia="en-US"/>
        </w:rPr>
        <w:t xml:space="preserve">Furthermore, one Ukrainian participant, funded </w:t>
      </w:r>
      <w:r w:rsidR="001B2A79">
        <w:rPr>
          <w:lang w:eastAsia="en-US"/>
        </w:rPr>
        <w:t xml:space="preserve">fully </w:t>
      </w:r>
      <w:r w:rsidRPr="00822E70">
        <w:rPr>
          <w:lang w:eastAsia="en-US"/>
        </w:rPr>
        <w:t xml:space="preserve">by WIPO, has been enrolled in the Master’s Degree Program in Intellectual Property and New Technologies, jointly offered by the Jagiellonian University in Krakow, WIPO, and the Patent Office of the Republic of Poland. </w:t>
      </w:r>
      <w:r w:rsidR="001B2A79">
        <w:rPr>
          <w:lang w:eastAsia="en-US"/>
        </w:rPr>
        <w:t xml:space="preserve"> </w:t>
      </w:r>
      <w:r w:rsidRPr="00822E70">
        <w:rPr>
          <w:lang w:eastAsia="en-US"/>
        </w:rPr>
        <w:t>This program runs from October 2024 to February 2026.</w:t>
      </w:r>
      <w:bookmarkEnd w:id="50"/>
    </w:p>
    <w:p w14:paraId="10E0E069" w14:textId="43D29D76" w:rsidR="00822E70" w:rsidRDefault="0074753B" w:rsidP="0074753B">
      <w:pPr>
        <w:pStyle w:val="Heading3"/>
        <w:ind w:left="1890" w:hanging="720"/>
        <w:rPr>
          <w:lang w:eastAsia="en-US"/>
        </w:rPr>
      </w:pPr>
      <w:bookmarkStart w:id="53" w:name="_Toc200545010"/>
      <w:r>
        <w:rPr>
          <w:u w:val="none"/>
          <w:lang w:eastAsia="en-US"/>
        </w:rPr>
        <w:t>3.6.3</w:t>
      </w:r>
      <w:r>
        <w:rPr>
          <w:u w:val="none"/>
          <w:lang w:eastAsia="en-US"/>
        </w:rPr>
        <w:tab/>
      </w:r>
      <w:r w:rsidR="00822E70" w:rsidRPr="00822E70">
        <w:rPr>
          <w:lang w:eastAsia="en-US"/>
        </w:rPr>
        <w:t>Capacity and Network Building for Patent and Trademark Examiners</w:t>
      </w:r>
      <w:bookmarkEnd w:id="53"/>
    </w:p>
    <w:p w14:paraId="47CDD4BF" w14:textId="77777777" w:rsidR="009063B7" w:rsidRPr="00822E70" w:rsidRDefault="009063B7" w:rsidP="009063B7">
      <w:pPr>
        <w:rPr>
          <w:lang w:eastAsia="en-US"/>
        </w:rPr>
      </w:pPr>
    </w:p>
    <w:p w14:paraId="1E0DC3A2" w14:textId="1465EAD6" w:rsidR="00822E70" w:rsidRPr="00822E70" w:rsidRDefault="00822E70" w:rsidP="00822E70">
      <w:pPr>
        <w:pStyle w:val="ONUME"/>
        <w:rPr>
          <w:lang w:eastAsia="en-US"/>
        </w:rPr>
      </w:pPr>
      <w:r w:rsidRPr="00822E70">
        <w:rPr>
          <w:lang w:eastAsia="en-US"/>
        </w:rPr>
        <w:t>During the reporting period, the International Bureau concluded two Pilot Projects for Needs-Assessment, Network Building and Capacity Building of Trademark and Patent Examiners in the Central European and Baltic States and Mediterranean Countries (CEBSMC).</w:t>
      </w:r>
      <w:r w:rsidR="00E96EA1">
        <w:rPr>
          <w:lang w:eastAsia="en-US"/>
        </w:rPr>
        <w:t xml:space="preserve"> </w:t>
      </w:r>
      <w:r w:rsidRPr="00822E70">
        <w:rPr>
          <w:lang w:eastAsia="en-US"/>
        </w:rPr>
        <w:t xml:space="preserve"> The Projects enhanced the capacities of trademark and patent examiners in the region, including in Ukraine, and</w:t>
      </w:r>
      <w:r w:rsidR="00E96EA1">
        <w:rPr>
          <w:lang w:eastAsia="en-US"/>
        </w:rPr>
        <w:t xml:space="preserve"> </w:t>
      </w:r>
      <w:r w:rsidRPr="00822E70">
        <w:rPr>
          <w:lang w:eastAsia="en-US"/>
        </w:rPr>
        <w:t xml:space="preserve">facilitated experience and knowledge sharing between IP offices. </w:t>
      </w:r>
    </w:p>
    <w:p w14:paraId="1116ED21" w14:textId="36D3A1A7" w:rsidR="00822E70" w:rsidRPr="00822E70" w:rsidRDefault="00822E70" w:rsidP="00822E70">
      <w:pPr>
        <w:pStyle w:val="ONUME"/>
        <w:rPr>
          <w:lang w:eastAsia="en-US"/>
        </w:rPr>
      </w:pPr>
      <w:r w:rsidRPr="00822E70">
        <w:rPr>
          <w:lang w:eastAsia="en-US"/>
        </w:rPr>
        <w:t xml:space="preserve">The second phase of the trademark examiner project was concluded in April 2025 and focused on the assessment of Relative Grounds for Refusal of trademark registration. </w:t>
      </w:r>
      <w:r w:rsidR="0051188D">
        <w:rPr>
          <w:lang w:eastAsia="en-US"/>
        </w:rPr>
        <w:t xml:space="preserve"> </w:t>
      </w:r>
      <w:r w:rsidRPr="00822E70">
        <w:rPr>
          <w:lang w:eastAsia="en-US"/>
        </w:rPr>
        <w:t xml:space="preserve">Seven online training sessions were held from February 18 to April 10, 2025. </w:t>
      </w:r>
    </w:p>
    <w:p w14:paraId="3793C535" w14:textId="1F6FAAAC" w:rsidR="00822E70" w:rsidRPr="00822E70" w:rsidRDefault="00822E70" w:rsidP="00822E70">
      <w:pPr>
        <w:pStyle w:val="ONUME"/>
        <w:rPr>
          <w:lang w:eastAsia="en-US"/>
        </w:rPr>
      </w:pPr>
      <w:r w:rsidRPr="00822E70">
        <w:rPr>
          <w:lang w:eastAsia="en-US"/>
        </w:rPr>
        <w:t xml:space="preserve">The training included case-based sessions on issues such as identical and similar marks, likelihood of confusion, likelihood of association, unfair advantage, detriment, non-registered signs, well-known marks, dilution, and the use of non-registered trademarks and other signs </w:t>
      </w:r>
      <w:proofErr w:type="gramStart"/>
      <w:r w:rsidRPr="00822E70">
        <w:rPr>
          <w:lang w:eastAsia="en-US"/>
        </w:rPr>
        <w:t>in the course of</w:t>
      </w:r>
      <w:proofErr w:type="gramEnd"/>
      <w:r w:rsidRPr="00822E70">
        <w:rPr>
          <w:lang w:eastAsia="en-US"/>
        </w:rPr>
        <w:t xml:space="preserve"> trade. </w:t>
      </w:r>
      <w:r w:rsidR="008F57CD">
        <w:rPr>
          <w:lang w:eastAsia="en-US"/>
        </w:rPr>
        <w:t xml:space="preserve"> </w:t>
      </w:r>
      <w:r w:rsidRPr="00822E70">
        <w:rPr>
          <w:lang w:eastAsia="en-US"/>
        </w:rPr>
        <w:t>The sessions provided practical guidance for examiners on how to assess these relative grounds for refusal and strengthened the alignment of examination practices across the region.</w:t>
      </w:r>
    </w:p>
    <w:p w14:paraId="3B016143" w14:textId="24EEC0B3" w:rsidR="00822E70" w:rsidRPr="00822E70" w:rsidRDefault="00822E70" w:rsidP="00822E70">
      <w:pPr>
        <w:pStyle w:val="ONUME"/>
        <w:rPr>
          <w:lang w:eastAsia="en-US"/>
        </w:rPr>
      </w:pPr>
      <w:r w:rsidRPr="00822E70">
        <w:rPr>
          <w:lang w:eastAsia="en-US"/>
        </w:rPr>
        <w:t xml:space="preserve">The second phase of the project saw sustained high levels of engagement, with the participation of 199 trademark examiners from 17 countries of the region, including </w:t>
      </w:r>
      <w:r w:rsidR="00E96EA1">
        <w:rPr>
          <w:lang w:eastAsia="en-US"/>
        </w:rPr>
        <w:t xml:space="preserve">59 </w:t>
      </w:r>
      <w:r w:rsidRPr="00822E70">
        <w:rPr>
          <w:lang w:eastAsia="en-US"/>
        </w:rPr>
        <w:t xml:space="preserve">from Ukraine. </w:t>
      </w:r>
      <w:r w:rsidR="00EF7E82">
        <w:rPr>
          <w:lang w:eastAsia="en-US"/>
        </w:rPr>
        <w:t xml:space="preserve"> </w:t>
      </w:r>
      <w:r w:rsidRPr="00822E70">
        <w:rPr>
          <w:lang w:eastAsia="en-US"/>
        </w:rPr>
        <w:t>The level of satisfaction reached 97</w:t>
      </w:r>
      <w:r w:rsidR="00286BED">
        <w:rPr>
          <w:lang w:eastAsia="en-US"/>
        </w:rPr>
        <w:t xml:space="preserve"> per</w:t>
      </w:r>
      <w:r w:rsidR="00F222AC">
        <w:rPr>
          <w:lang w:eastAsia="en-US"/>
        </w:rPr>
        <w:t xml:space="preserve"> </w:t>
      </w:r>
      <w:r w:rsidR="00286BED">
        <w:rPr>
          <w:lang w:eastAsia="en-US"/>
        </w:rPr>
        <w:t>cent.</w:t>
      </w:r>
      <w:r w:rsidR="00286BED" w:rsidRPr="00822E70">
        <w:rPr>
          <w:lang w:eastAsia="en-US"/>
        </w:rPr>
        <w:t xml:space="preserve"> </w:t>
      </w:r>
    </w:p>
    <w:p w14:paraId="3EFD2D78" w14:textId="04EEDD65" w:rsidR="00822E70" w:rsidRPr="00822E70" w:rsidRDefault="00822E70" w:rsidP="00822E70">
      <w:pPr>
        <w:pStyle w:val="ONUME"/>
        <w:rPr>
          <w:lang w:eastAsia="en-US"/>
        </w:rPr>
      </w:pPr>
      <w:r w:rsidRPr="00822E70">
        <w:rPr>
          <w:lang w:eastAsia="en-US"/>
        </w:rPr>
        <w:lastRenderedPageBreak/>
        <w:t xml:space="preserve">The Capacity and Network Building project for patent examiners was concluded in February 2025 and further strengthened cooperation among patent offices in the CEBSMC region. </w:t>
      </w:r>
      <w:r w:rsidR="00EF7E82">
        <w:rPr>
          <w:lang w:eastAsia="en-US"/>
        </w:rPr>
        <w:t xml:space="preserve"> </w:t>
      </w:r>
      <w:r w:rsidRPr="00822E70">
        <w:rPr>
          <w:lang w:eastAsia="en-US"/>
        </w:rPr>
        <w:t>Seven online training sessions were held from May 28 to December 3, 2024, providing structured learning opportunities for 159 patent examiners from 14 participating countries, including forty-three from Ukraine.</w:t>
      </w:r>
    </w:p>
    <w:p w14:paraId="11C61E2D" w14:textId="76636C44" w:rsidR="00822E70" w:rsidRPr="00822E70" w:rsidRDefault="00822E70" w:rsidP="00822E70">
      <w:pPr>
        <w:pStyle w:val="ONUME"/>
        <w:rPr>
          <w:lang w:eastAsia="en-US"/>
        </w:rPr>
      </w:pPr>
      <w:r w:rsidRPr="00822E70">
        <w:rPr>
          <w:lang w:eastAsia="en-US"/>
        </w:rPr>
        <w:t xml:space="preserve">Ukrainian patent examiners participated </w:t>
      </w:r>
      <w:r w:rsidR="002D2D14">
        <w:rPr>
          <w:lang w:eastAsia="en-US"/>
        </w:rPr>
        <w:t xml:space="preserve">actively </w:t>
      </w:r>
      <w:r w:rsidRPr="00822E70">
        <w:rPr>
          <w:lang w:eastAsia="en-US"/>
        </w:rPr>
        <w:t>in the training sessions, which covered a range of key topics</w:t>
      </w:r>
      <w:r w:rsidR="00AC2939">
        <w:rPr>
          <w:lang w:eastAsia="en-US"/>
        </w:rPr>
        <w:t>,</w:t>
      </w:r>
      <w:r w:rsidRPr="00822E70">
        <w:rPr>
          <w:lang w:eastAsia="en-US"/>
        </w:rPr>
        <w:t xml:space="preserve"> including patentability criteria, prior art search techniques, utilization of international search and examination work products under the PCT, and preparation of examination reports. </w:t>
      </w:r>
      <w:r w:rsidR="002D2D14">
        <w:rPr>
          <w:lang w:eastAsia="en-US"/>
        </w:rPr>
        <w:t xml:space="preserve"> </w:t>
      </w:r>
      <w:r w:rsidRPr="00822E70">
        <w:rPr>
          <w:lang w:eastAsia="en-US"/>
        </w:rPr>
        <w:t>Later sessions focused on examiner-applicant interactions and the examination of specific technical fields, including pharmaceutical and computer-implemented inventions, with a dedicated segment on AI-related case studies.</w:t>
      </w:r>
      <w:r w:rsidR="00E96EA1">
        <w:rPr>
          <w:lang w:eastAsia="en-US"/>
        </w:rPr>
        <w:t xml:space="preserve"> </w:t>
      </w:r>
      <w:r w:rsidRPr="00822E70">
        <w:rPr>
          <w:lang w:eastAsia="en-US"/>
        </w:rPr>
        <w:t xml:space="preserve"> The initiative supported the ongoing development of technical expertise, fostered meaningful exchanges among examiners from participating countries, and promoted the alignment of examination practices across the region.</w:t>
      </w:r>
    </w:p>
    <w:p w14:paraId="7880660F" w14:textId="2AE17F70" w:rsidR="00822E70" w:rsidRPr="00822E70" w:rsidRDefault="00822E70" w:rsidP="00822E70">
      <w:pPr>
        <w:pStyle w:val="ONUME"/>
        <w:rPr>
          <w:lang w:eastAsia="en-US"/>
        </w:rPr>
      </w:pPr>
      <w:r w:rsidRPr="00822E70">
        <w:rPr>
          <w:lang w:eastAsia="en-US"/>
        </w:rPr>
        <w:t>The training was well received, with a satisfaction rate reaching 94</w:t>
      </w:r>
      <w:r w:rsidR="00AD4C4D">
        <w:rPr>
          <w:lang w:eastAsia="en-US"/>
        </w:rPr>
        <w:t xml:space="preserve"> per</w:t>
      </w:r>
      <w:r w:rsidR="00C5036E">
        <w:rPr>
          <w:lang w:eastAsia="en-US"/>
        </w:rPr>
        <w:t xml:space="preserve"> </w:t>
      </w:r>
      <w:r w:rsidR="00AD4C4D">
        <w:rPr>
          <w:lang w:eastAsia="en-US"/>
        </w:rPr>
        <w:t>cent</w:t>
      </w:r>
      <w:r w:rsidRPr="00822E70">
        <w:rPr>
          <w:lang w:eastAsia="en-US"/>
        </w:rPr>
        <w:t>. To ensure sustainability, all training sessions under both projects were recorded, and the recordings along with the training materials were shared with participating offices for future use and training purposes.</w:t>
      </w:r>
    </w:p>
    <w:p w14:paraId="311FDFC5" w14:textId="74F9B009" w:rsidR="00822E70" w:rsidRDefault="0074753B" w:rsidP="0074753B">
      <w:pPr>
        <w:pStyle w:val="Heading3"/>
        <w:ind w:left="1890" w:hanging="720"/>
        <w:rPr>
          <w:lang w:eastAsia="en-US"/>
        </w:rPr>
      </w:pPr>
      <w:bookmarkStart w:id="54" w:name="_Toc200545011"/>
      <w:r>
        <w:rPr>
          <w:u w:val="none"/>
          <w:lang w:eastAsia="en-US"/>
        </w:rPr>
        <w:t>3.6.4</w:t>
      </w:r>
      <w:r>
        <w:rPr>
          <w:u w:val="none"/>
          <w:lang w:eastAsia="en-US"/>
        </w:rPr>
        <w:tab/>
      </w:r>
      <w:r w:rsidR="00822E70" w:rsidRPr="00822E70">
        <w:rPr>
          <w:lang w:eastAsia="en-US"/>
        </w:rPr>
        <w:t>Support for the Judiciary</w:t>
      </w:r>
      <w:bookmarkStart w:id="55" w:name="_Hlk198329296"/>
      <w:bookmarkEnd w:id="54"/>
    </w:p>
    <w:p w14:paraId="0D1994A4" w14:textId="77777777" w:rsidR="0074753B" w:rsidRPr="00822E70" w:rsidRDefault="0074753B" w:rsidP="0074753B">
      <w:pPr>
        <w:rPr>
          <w:lang w:eastAsia="en-US"/>
        </w:rPr>
      </w:pPr>
    </w:p>
    <w:p w14:paraId="2ED85153" w14:textId="77777777" w:rsidR="00822E70" w:rsidRPr="00822E70" w:rsidRDefault="00822E70" w:rsidP="00822E70">
      <w:pPr>
        <w:pStyle w:val="ONUME"/>
        <w:rPr>
          <w:lang w:eastAsia="en-US"/>
        </w:rPr>
      </w:pPr>
      <w:bookmarkStart w:id="56" w:name="_Hlk199756422"/>
      <w:r w:rsidRPr="00822E70">
        <w:rPr>
          <w:lang w:eastAsia="en-US"/>
        </w:rPr>
        <w:t>Sixteen Ukrainian judges attended the 2024 Intellectual Property Judges Forum held in November 2024, benefiting from the opportunity to expand their professional networks and increase their knowledge of IP issues and comparative jurisprudence.</w:t>
      </w:r>
    </w:p>
    <w:p w14:paraId="3BB49EF1" w14:textId="5BC90A0E" w:rsidR="00822E70" w:rsidRPr="00822E70" w:rsidRDefault="00822E70" w:rsidP="00822E70">
      <w:pPr>
        <w:pStyle w:val="ONUME"/>
        <w:rPr>
          <w:lang w:eastAsia="en-US"/>
        </w:rPr>
      </w:pPr>
      <w:r w:rsidRPr="00822E70">
        <w:rPr>
          <w:lang w:eastAsia="en-US"/>
        </w:rPr>
        <w:t xml:space="preserve">In addition, </w:t>
      </w:r>
      <w:r w:rsidR="00F162E8">
        <w:rPr>
          <w:lang w:eastAsia="en-US"/>
        </w:rPr>
        <w:t>pursuant to</w:t>
      </w:r>
      <w:r w:rsidRPr="00822E70">
        <w:rPr>
          <w:lang w:eastAsia="en-US"/>
        </w:rPr>
        <w:t xml:space="preserve"> the MoU signed in 2023 between WIPO and the Supreme Court of Justice of Ukraine, a formal request was submitted to revise the “Intellectual Property </w:t>
      </w:r>
      <w:proofErr w:type="spellStart"/>
      <w:r w:rsidRPr="00822E70">
        <w:rPr>
          <w:lang w:eastAsia="en-US"/>
        </w:rPr>
        <w:t>Benchbook</w:t>
      </w:r>
      <w:proofErr w:type="spellEnd"/>
      <w:r w:rsidRPr="00822E70">
        <w:rPr>
          <w:lang w:eastAsia="en-US"/>
        </w:rPr>
        <w:t xml:space="preserve"> for Ukraine.”</w:t>
      </w:r>
      <w:r w:rsidR="00E96EA1">
        <w:rPr>
          <w:lang w:eastAsia="en-US"/>
        </w:rPr>
        <w:t xml:space="preserve"> </w:t>
      </w:r>
      <w:r w:rsidRPr="00822E70">
        <w:rPr>
          <w:lang w:eastAsia="en-US"/>
        </w:rPr>
        <w:t xml:space="preserve"> The International Bureau held follow-up consultations on this matter with UANIPIO to align the scope of the revision taking into consideration the ongoing amendments of Ukrainian IP-related legislation, as part of </w:t>
      </w:r>
      <w:r w:rsidR="00A2072B">
        <w:rPr>
          <w:lang w:eastAsia="en-US"/>
        </w:rPr>
        <w:t xml:space="preserve">its </w:t>
      </w:r>
      <w:r w:rsidRPr="00822E70">
        <w:rPr>
          <w:lang w:eastAsia="en-US"/>
        </w:rPr>
        <w:t xml:space="preserve">EU integration process. </w:t>
      </w:r>
    </w:p>
    <w:p w14:paraId="1B424976" w14:textId="4A939AC5" w:rsidR="00822E70" w:rsidRPr="00822E70" w:rsidRDefault="00822E70" w:rsidP="00822E70">
      <w:pPr>
        <w:pStyle w:val="ONUME"/>
        <w:rPr>
          <w:lang w:eastAsia="en-US"/>
        </w:rPr>
      </w:pPr>
      <w:r w:rsidRPr="00822E70">
        <w:rPr>
          <w:lang w:eastAsia="en-US"/>
        </w:rPr>
        <w:t xml:space="preserve">As a follow-up, UANIPIO and the Supreme Court of Justice have consulted on the possibility </w:t>
      </w:r>
      <w:r w:rsidR="00FD059A">
        <w:rPr>
          <w:lang w:eastAsia="en-US"/>
        </w:rPr>
        <w:t>of</w:t>
      </w:r>
      <w:r w:rsidRPr="00822E70">
        <w:rPr>
          <w:lang w:eastAsia="en-US"/>
        </w:rPr>
        <w:t xml:space="preserve"> initiat</w:t>
      </w:r>
      <w:r w:rsidR="00FD059A">
        <w:rPr>
          <w:lang w:eastAsia="en-US"/>
        </w:rPr>
        <w:t>ing</w:t>
      </w:r>
      <w:r w:rsidRPr="00822E70">
        <w:rPr>
          <w:lang w:eastAsia="en-US"/>
        </w:rPr>
        <w:t xml:space="preserve"> the revision on the chapters related to copyright and related rights.  Following a formal confirmation to the International Bureau, work on the revision of the IP </w:t>
      </w:r>
      <w:proofErr w:type="spellStart"/>
      <w:r w:rsidRPr="00822E70">
        <w:rPr>
          <w:lang w:eastAsia="en-US"/>
        </w:rPr>
        <w:t>B</w:t>
      </w:r>
      <w:r w:rsidR="00A2072B">
        <w:rPr>
          <w:lang w:eastAsia="en-US"/>
        </w:rPr>
        <w:t>ench</w:t>
      </w:r>
      <w:r w:rsidRPr="00822E70">
        <w:rPr>
          <w:lang w:eastAsia="en-US"/>
        </w:rPr>
        <w:t>book</w:t>
      </w:r>
      <w:proofErr w:type="spellEnd"/>
      <w:r w:rsidRPr="00822E70">
        <w:rPr>
          <w:lang w:eastAsia="en-US"/>
        </w:rPr>
        <w:t xml:space="preserve"> will be initiated. </w:t>
      </w:r>
      <w:bookmarkEnd w:id="55"/>
    </w:p>
    <w:p w14:paraId="5908F966" w14:textId="335E3ADD" w:rsidR="00822E70" w:rsidRDefault="0074753B" w:rsidP="0074753B">
      <w:pPr>
        <w:pStyle w:val="Heading3"/>
        <w:ind w:left="1890" w:hanging="720"/>
        <w:rPr>
          <w:u w:val="none"/>
          <w:lang w:eastAsia="en-US"/>
        </w:rPr>
      </w:pPr>
      <w:bookmarkStart w:id="57" w:name="_Toc200545012"/>
      <w:bookmarkEnd w:id="56"/>
      <w:r>
        <w:rPr>
          <w:u w:val="none"/>
          <w:lang w:eastAsia="en-US"/>
        </w:rPr>
        <w:t>3.6.5</w:t>
      </w:r>
      <w:r>
        <w:rPr>
          <w:u w:val="none"/>
          <w:lang w:eastAsia="en-US"/>
        </w:rPr>
        <w:tab/>
      </w:r>
      <w:r w:rsidR="00822E70" w:rsidRPr="00822E70">
        <w:rPr>
          <w:u w:val="none"/>
          <w:lang w:eastAsia="en-US"/>
        </w:rPr>
        <w:t>Other initiatives</w:t>
      </w:r>
      <w:bookmarkEnd w:id="57"/>
    </w:p>
    <w:p w14:paraId="78C9E626" w14:textId="77777777" w:rsidR="0074753B" w:rsidRPr="00822E70" w:rsidRDefault="0074753B" w:rsidP="0074753B">
      <w:pPr>
        <w:rPr>
          <w:lang w:eastAsia="en-US"/>
        </w:rPr>
      </w:pPr>
    </w:p>
    <w:p w14:paraId="4854AD79" w14:textId="4F085DAD" w:rsidR="00822E70" w:rsidRPr="00822E70" w:rsidRDefault="00822E70" w:rsidP="00822E70">
      <w:pPr>
        <w:pStyle w:val="ONUME"/>
        <w:rPr>
          <w:lang w:eastAsia="en-US"/>
        </w:rPr>
      </w:pPr>
      <w:r w:rsidRPr="00822E70">
        <w:rPr>
          <w:lang w:eastAsia="en-US"/>
        </w:rPr>
        <w:t xml:space="preserve">During the reporting period, Ukraine has participated and contributed to various capacity building and awareness raising activities organized by the International Bureau. </w:t>
      </w:r>
      <w:r w:rsidR="00E96EA1">
        <w:rPr>
          <w:lang w:eastAsia="en-US"/>
        </w:rPr>
        <w:t xml:space="preserve"> </w:t>
      </w:r>
      <w:r w:rsidRPr="00822E70">
        <w:rPr>
          <w:lang w:eastAsia="en-US"/>
        </w:rPr>
        <w:t>For example, Ukraine shared its experience as a speaker in the WIPO Cross Regional Online Workshop on “Communicating for Impact”</w:t>
      </w:r>
      <w:r w:rsidR="00030DCA">
        <w:rPr>
          <w:lang w:eastAsia="en-US"/>
        </w:rPr>
        <w:t>,</w:t>
      </w:r>
      <w:r w:rsidRPr="00822E70">
        <w:rPr>
          <w:lang w:eastAsia="en-US"/>
        </w:rPr>
        <w:t xml:space="preserve"> which was organized to build capacities of communication focal points within the IP Offices.  The workshop took place in December 2024, in a virtual format.  </w:t>
      </w:r>
    </w:p>
    <w:p w14:paraId="738FD89D" w14:textId="4AC557B2" w:rsidR="00822E70" w:rsidRPr="00822E70" w:rsidRDefault="00822E70" w:rsidP="00822E70">
      <w:pPr>
        <w:pStyle w:val="ONUME"/>
        <w:rPr>
          <w:lang w:eastAsia="en-US"/>
        </w:rPr>
      </w:pPr>
      <w:r w:rsidRPr="00822E70">
        <w:rPr>
          <w:lang w:eastAsia="en-US"/>
        </w:rPr>
        <w:t>Furthermore, Ukraine also contributed to the launch of the pilot Study on Gender Gap in Industrial Designs of Central European and Baltic States, held in March 2025.</w:t>
      </w:r>
      <w:r w:rsidR="00E96EA1">
        <w:rPr>
          <w:lang w:eastAsia="en-US"/>
        </w:rPr>
        <w:t xml:space="preserve"> </w:t>
      </w:r>
      <w:r w:rsidRPr="00822E70">
        <w:rPr>
          <w:lang w:eastAsia="en-US"/>
        </w:rPr>
        <w:t xml:space="preserve"> In that context, Ukraine presented some of its impactful initiatives that support women participation in industrial designs. </w:t>
      </w:r>
    </w:p>
    <w:p w14:paraId="7076012F" w14:textId="142DA077" w:rsidR="00822E70" w:rsidRPr="00822E70" w:rsidRDefault="00822E70" w:rsidP="00822E70">
      <w:pPr>
        <w:pStyle w:val="ONUME"/>
        <w:rPr>
          <w:lang w:eastAsia="en-US"/>
        </w:rPr>
      </w:pPr>
      <w:r w:rsidRPr="00822E70">
        <w:rPr>
          <w:lang w:eastAsia="en-US"/>
        </w:rPr>
        <w:t xml:space="preserve">Ukraine’s participation in the above-mentioned events allowed an opportunity to share </w:t>
      </w:r>
      <w:r w:rsidR="00030DCA">
        <w:rPr>
          <w:lang w:eastAsia="en-US"/>
        </w:rPr>
        <w:t>its</w:t>
      </w:r>
      <w:r w:rsidRPr="00822E70">
        <w:rPr>
          <w:lang w:eastAsia="en-US"/>
        </w:rPr>
        <w:t xml:space="preserve"> own experience, as well as learn from others, promote good practices, and strengthen regional dialogue on topics such as diversity, communication, and IP.  </w:t>
      </w:r>
    </w:p>
    <w:p w14:paraId="7A18558B" w14:textId="19E898DE" w:rsidR="00822E70" w:rsidRPr="00822E70" w:rsidRDefault="00822E70" w:rsidP="00822E70">
      <w:pPr>
        <w:pStyle w:val="ONUME"/>
        <w:rPr>
          <w:lang w:eastAsia="en-US"/>
        </w:rPr>
      </w:pPr>
      <w:r w:rsidRPr="00822E70">
        <w:rPr>
          <w:lang w:eastAsia="en-US"/>
        </w:rPr>
        <w:lastRenderedPageBreak/>
        <w:t xml:space="preserve">On the other hand, the International Bureau has also participated and contributed to various national activities organized by relevant local stakeholders.  In November 2024, it delivered a Keynote address at the IP LET Forum: Law, Economy and Technology. </w:t>
      </w:r>
      <w:r w:rsidR="00664ABD">
        <w:rPr>
          <w:lang w:eastAsia="en-US"/>
        </w:rPr>
        <w:t xml:space="preserve"> </w:t>
      </w:r>
      <w:r w:rsidRPr="00822E70">
        <w:rPr>
          <w:lang w:eastAsia="en-US"/>
        </w:rPr>
        <w:t xml:space="preserve">The Forum is a major annual event in Ukraine, that brings together representatives from the government, international community, and experts in IP, law, economics, business, and creative industries.  The 2024 edition of the Forum aimed at exchanging views and identifying key vectors for the development of the IP sphere on Ukraine's path to integration in the European Union. </w:t>
      </w:r>
    </w:p>
    <w:p w14:paraId="37334EE7" w14:textId="30CA11BC" w:rsidR="00822E70" w:rsidRPr="00822E70" w:rsidRDefault="0074753B" w:rsidP="0074753B">
      <w:pPr>
        <w:pStyle w:val="Heading2"/>
        <w:tabs>
          <w:tab w:val="left" w:pos="1170"/>
        </w:tabs>
        <w:spacing w:after="220"/>
        <w:ind w:left="1181" w:hanging="634"/>
        <w:rPr>
          <w:lang w:eastAsia="en-US"/>
        </w:rPr>
      </w:pPr>
      <w:bookmarkStart w:id="58" w:name="_Toc200545013"/>
      <w:r>
        <w:rPr>
          <w:lang w:eastAsia="en-US"/>
        </w:rPr>
        <w:t>3.7</w:t>
      </w:r>
      <w:r>
        <w:rPr>
          <w:lang w:eastAsia="en-US"/>
        </w:rPr>
        <w:tab/>
      </w:r>
      <w:r w:rsidR="00822E70" w:rsidRPr="00822E70">
        <w:rPr>
          <w:lang w:eastAsia="en-US"/>
        </w:rPr>
        <w:t>Support to Innovators, Creators, SMEs, Universities and Research Institutions</w:t>
      </w:r>
      <w:bookmarkEnd w:id="58"/>
      <w:r w:rsidR="00822E70" w:rsidRPr="00822E70">
        <w:rPr>
          <w:lang w:eastAsia="en-US"/>
        </w:rPr>
        <w:t xml:space="preserve"> </w:t>
      </w:r>
    </w:p>
    <w:p w14:paraId="4666B40E" w14:textId="73F6AE28" w:rsidR="00822E70" w:rsidRDefault="0074753B" w:rsidP="0074753B">
      <w:pPr>
        <w:pStyle w:val="Heading3"/>
        <w:ind w:left="1890" w:hanging="720"/>
        <w:rPr>
          <w:lang w:eastAsia="en-US"/>
        </w:rPr>
      </w:pPr>
      <w:bookmarkStart w:id="59" w:name="_Toc200545014"/>
      <w:r>
        <w:rPr>
          <w:u w:val="none"/>
          <w:lang w:eastAsia="en-US"/>
        </w:rPr>
        <w:t>3.7.1</w:t>
      </w:r>
      <w:r>
        <w:rPr>
          <w:u w:val="none"/>
          <w:lang w:eastAsia="en-US"/>
        </w:rPr>
        <w:tab/>
      </w:r>
      <w:r w:rsidR="00822E70" w:rsidRPr="00822E70">
        <w:rPr>
          <w:lang w:eastAsia="en-US"/>
        </w:rPr>
        <w:t>Technology and Innovation Support Centers (TISC) Network</w:t>
      </w:r>
      <w:bookmarkEnd w:id="59"/>
    </w:p>
    <w:p w14:paraId="3C78499E" w14:textId="77777777" w:rsidR="0074753B" w:rsidRPr="00822E70" w:rsidRDefault="0074753B" w:rsidP="0074753B">
      <w:pPr>
        <w:rPr>
          <w:lang w:eastAsia="en-US"/>
        </w:rPr>
      </w:pPr>
    </w:p>
    <w:p w14:paraId="6D166981" w14:textId="51398A7E" w:rsidR="00822E70" w:rsidRPr="00822E70" w:rsidRDefault="00822E70" w:rsidP="00822E70">
      <w:pPr>
        <w:pStyle w:val="ONUME"/>
        <w:rPr>
          <w:lang w:eastAsia="en-US"/>
        </w:rPr>
      </w:pPr>
      <w:r w:rsidRPr="00822E70">
        <w:rPr>
          <w:lang w:eastAsia="en-US"/>
        </w:rPr>
        <w:t xml:space="preserve">As reported </w:t>
      </w:r>
      <w:r w:rsidR="00FC4E53">
        <w:rPr>
          <w:lang w:eastAsia="en-US"/>
        </w:rPr>
        <w:t>at</w:t>
      </w:r>
      <w:r w:rsidRPr="00822E70">
        <w:rPr>
          <w:lang w:eastAsia="en-US"/>
        </w:rPr>
        <w:t xml:space="preserve"> </w:t>
      </w:r>
      <w:r w:rsidR="0012692E" w:rsidRPr="007B1A7D">
        <w:rPr>
          <w:lang w:eastAsia="en-US"/>
        </w:rPr>
        <w:t xml:space="preserve">paragraph </w:t>
      </w:r>
      <w:r w:rsidR="0012692E" w:rsidRPr="00834A81">
        <w:rPr>
          <w:lang w:eastAsia="en-US"/>
        </w:rPr>
        <w:t>73</w:t>
      </w:r>
      <w:r w:rsidR="00FC4E53" w:rsidRPr="007B1A7D">
        <w:rPr>
          <w:lang w:eastAsia="en-US"/>
        </w:rPr>
        <w:t>,</w:t>
      </w:r>
      <w:r w:rsidRPr="00822E70">
        <w:rPr>
          <w:lang w:eastAsia="en-US"/>
        </w:rPr>
        <w:t xml:space="preserve"> the TISC Network continued its positive development and delivery of </w:t>
      </w:r>
      <w:r w:rsidR="004F15CA">
        <w:rPr>
          <w:lang w:eastAsia="en-US"/>
        </w:rPr>
        <w:t xml:space="preserve">a </w:t>
      </w:r>
      <w:r w:rsidRPr="00822E70">
        <w:rPr>
          <w:lang w:eastAsia="en-US"/>
        </w:rPr>
        <w:t xml:space="preserve">growing range of IP services. </w:t>
      </w:r>
    </w:p>
    <w:p w14:paraId="5ED08841" w14:textId="6C0D7B7A" w:rsidR="00822E70" w:rsidRPr="00822E70" w:rsidRDefault="00822E70" w:rsidP="00834A81">
      <w:pPr>
        <w:pStyle w:val="ONUME"/>
        <w:rPr>
          <w:lang w:eastAsia="en-US"/>
        </w:rPr>
      </w:pPr>
      <w:r w:rsidRPr="00822E70">
        <w:rPr>
          <w:lang w:eastAsia="en-US"/>
        </w:rPr>
        <w:t>Priorities set by the national TISC network in Ukraine for 2025 and beyond, as laid out by the national TISC focal point in consultations with the International Bureau held in April 2025, include:</w:t>
      </w:r>
      <w:r w:rsidR="007B1A7D">
        <w:rPr>
          <w:lang w:eastAsia="en-US"/>
        </w:rPr>
        <w:t xml:space="preserve">  </w:t>
      </w:r>
      <w:r w:rsidRPr="00822E70">
        <w:rPr>
          <w:lang w:eastAsia="en-US"/>
        </w:rPr>
        <w:t>(</w:t>
      </w:r>
      <w:proofErr w:type="spellStart"/>
      <w:r w:rsidRPr="00822E70">
        <w:rPr>
          <w:lang w:eastAsia="en-US"/>
        </w:rPr>
        <w:t>i</w:t>
      </w:r>
      <w:proofErr w:type="spellEnd"/>
      <w:r w:rsidRPr="00822E70">
        <w:rPr>
          <w:lang w:eastAsia="en-US"/>
        </w:rPr>
        <w:t xml:space="preserve">) Strengthening linkages between the national TISC network in Ukraine and other national TISC networks to enable an exchange of experiences and lessons learned; </w:t>
      </w:r>
      <w:r w:rsidR="007B1A7D">
        <w:rPr>
          <w:lang w:eastAsia="en-US"/>
        </w:rPr>
        <w:t xml:space="preserve"> </w:t>
      </w:r>
      <w:r w:rsidRPr="00822E70">
        <w:rPr>
          <w:lang w:eastAsia="en-US"/>
        </w:rPr>
        <w:t>and</w:t>
      </w:r>
      <w:r w:rsidR="00E96EA1">
        <w:rPr>
          <w:lang w:eastAsia="en-US"/>
        </w:rPr>
        <w:t xml:space="preserve"> </w:t>
      </w:r>
      <w:r w:rsidRPr="00822E70">
        <w:rPr>
          <w:lang w:eastAsia="en-US"/>
        </w:rPr>
        <w:t>(ii) Reinforcing the capacity of the national TISC network in Ukraine to deliver services related to patent analytics, technology transfer, and IP commercialization. </w:t>
      </w:r>
    </w:p>
    <w:p w14:paraId="0108187C" w14:textId="470E437C" w:rsidR="00822E70" w:rsidRPr="00822E70" w:rsidRDefault="00822E70" w:rsidP="00822E70">
      <w:pPr>
        <w:pStyle w:val="ONUME"/>
        <w:rPr>
          <w:lang w:eastAsia="en-US"/>
        </w:rPr>
      </w:pPr>
      <w:r w:rsidRPr="00822E70">
        <w:rPr>
          <w:lang w:eastAsia="en-US"/>
        </w:rPr>
        <w:t>Effective monitoring and evaluation of activities for the development of the national TISC network in Ukraine, including training activities, is considered essential for ensuring their effectiveness and impact, as highlighted by the national TISC focal point. </w:t>
      </w:r>
    </w:p>
    <w:p w14:paraId="5AD6FC6D" w14:textId="4CF6B4C5" w:rsidR="00822E70" w:rsidRPr="00822E70" w:rsidRDefault="00822E70" w:rsidP="003D5C6A">
      <w:pPr>
        <w:pStyle w:val="ONUME"/>
        <w:rPr>
          <w:lang w:eastAsia="en-US"/>
        </w:rPr>
      </w:pPr>
      <w:r w:rsidRPr="00822E70">
        <w:rPr>
          <w:lang w:eastAsia="en-US"/>
        </w:rPr>
        <w:t xml:space="preserve">The International Bureau will continue </w:t>
      </w:r>
      <w:r w:rsidR="00A70C29">
        <w:rPr>
          <w:lang w:eastAsia="en-US"/>
        </w:rPr>
        <w:t xml:space="preserve">to </w:t>
      </w:r>
      <w:r w:rsidRPr="00822E70">
        <w:rPr>
          <w:lang w:eastAsia="en-US"/>
        </w:rPr>
        <w:t>work with the national TISC focal point to:</w:t>
      </w:r>
      <w:r w:rsidR="003D5C6A">
        <w:rPr>
          <w:lang w:eastAsia="en-US"/>
        </w:rPr>
        <w:t>..</w:t>
      </w:r>
      <w:r w:rsidRPr="00822E70">
        <w:rPr>
          <w:lang w:eastAsia="en-US"/>
        </w:rPr>
        <w:t>(</w:t>
      </w:r>
      <w:proofErr w:type="spellStart"/>
      <w:r w:rsidRPr="00822E70">
        <w:rPr>
          <w:lang w:eastAsia="en-US"/>
        </w:rPr>
        <w:t>i</w:t>
      </w:r>
      <w:proofErr w:type="spellEnd"/>
      <w:r w:rsidRPr="00822E70">
        <w:rPr>
          <w:lang w:eastAsia="en-US"/>
        </w:rPr>
        <w:t>) design and maintain a results-oriented project framework to develop the national TISC network in Ukraine appropriate to the situation and needs of the country;</w:t>
      </w:r>
      <w:r w:rsidR="003D5C6A">
        <w:rPr>
          <w:lang w:eastAsia="en-US"/>
        </w:rPr>
        <w:t xml:space="preserve">  </w:t>
      </w:r>
      <w:r w:rsidRPr="00822E70">
        <w:rPr>
          <w:lang w:eastAsia="en-US"/>
        </w:rPr>
        <w:t>(ii) monitor and evaluate the development of the national TISC network in Ukraine, including through the use of the WIPO TISC Project and Performance Management (TPPM) platform;</w:t>
      </w:r>
      <w:r w:rsidR="003D5C6A">
        <w:rPr>
          <w:lang w:eastAsia="en-US"/>
        </w:rPr>
        <w:t xml:space="preserve">   </w:t>
      </w:r>
      <w:r w:rsidRPr="00822E70">
        <w:rPr>
          <w:lang w:eastAsia="en-US"/>
        </w:rPr>
        <w:t xml:space="preserve">(iii) deliver training activities and other support required to reinforce the capacity of the national TISC network in Ukraine, which has included online participation by a representative of the International Bureau in </w:t>
      </w:r>
      <w:r w:rsidR="00A70C29">
        <w:rPr>
          <w:lang w:eastAsia="en-US"/>
        </w:rPr>
        <w:t>a</w:t>
      </w:r>
      <w:r w:rsidRPr="00822E70">
        <w:rPr>
          <w:lang w:eastAsia="en-US"/>
        </w:rPr>
        <w:t xml:space="preserve"> seminar </w:t>
      </w:r>
      <w:r w:rsidR="0059165E">
        <w:rPr>
          <w:lang w:eastAsia="en-US"/>
        </w:rPr>
        <w:t xml:space="preserve">entitled </w:t>
      </w:r>
      <w:r w:rsidRPr="00822E70">
        <w:rPr>
          <w:lang w:eastAsia="en-US"/>
        </w:rPr>
        <w:t xml:space="preserve">“Collaborate to Innovate: A Dialogue Between Science and Business” held in December 2024; </w:t>
      </w:r>
      <w:r w:rsidR="00E96EA1">
        <w:rPr>
          <w:lang w:eastAsia="en-US"/>
        </w:rPr>
        <w:t xml:space="preserve"> </w:t>
      </w:r>
      <w:r w:rsidRPr="00822E70">
        <w:rPr>
          <w:lang w:eastAsia="en-US"/>
        </w:rPr>
        <w:t>and</w:t>
      </w:r>
      <w:r w:rsidR="003D5C6A">
        <w:rPr>
          <w:lang w:eastAsia="en-US"/>
        </w:rPr>
        <w:t xml:space="preserve"> </w:t>
      </w:r>
      <w:r w:rsidRPr="00822E70">
        <w:rPr>
          <w:lang w:eastAsia="en-US"/>
        </w:rPr>
        <w:t>(iv) facilitat</w:t>
      </w:r>
      <w:r w:rsidR="00410E8C">
        <w:rPr>
          <w:lang w:eastAsia="en-US"/>
        </w:rPr>
        <w:t>e</w:t>
      </w:r>
      <w:r w:rsidRPr="00822E70">
        <w:rPr>
          <w:lang w:eastAsia="en-US"/>
        </w:rPr>
        <w:t xml:space="preserve"> contacts with other national TISC networks around the world. </w:t>
      </w:r>
    </w:p>
    <w:p w14:paraId="049ED058" w14:textId="6D9A8288" w:rsidR="00822E70" w:rsidRDefault="0074753B" w:rsidP="0074753B">
      <w:pPr>
        <w:pStyle w:val="Heading3"/>
        <w:ind w:left="1890" w:hanging="720"/>
        <w:rPr>
          <w:u w:val="none"/>
          <w:lang w:eastAsia="en-US"/>
        </w:rPr>
      </w:pPr>
      <w:bookmarkStart w:id="60" w:name="_Toc200545015"/>
      <w:r>
        <w:rPr>
          <w:u w:val="none"/>
          <w:lang w:eastAsia="en-US"/>
        </w:rPr>
        <w:t>3.7.2</w:t>
      </w:r>
      <w:r>
        <w:rPr>
          <w:u w:val="none"/>
          <w:lang w:eastAsia="en-US"/>
        </w:rPr>
        <w:tab/>
      </w:r>
      <w:r w:rsidR="00822E70" w:rsidRPr="00822E70">
        <w:rPr>
          <w:lang w:eastAsia="en-US"/>
        </w:rPr>
        <w:t>Support Tools for SMEs and Startups</w:t>
      </w:r>
      <w:bookmarkEnd w:id="60"/>
    </w:p>
    <w:p w14:paraId="0582090D" w14:textId="77777777" w:rsidR="0074753B" w:rsidRPr="00822E70" w:rsidRDefault="0074753B" w:rsidP="0074753B">
      <w:pPr>
        <w:rPr>
          <w:lang w:eastAsia="en-US"/>
        </w:rPr>
      </w:pPr>
    </w:p>
    <w:p w14:paraId="5BAB8547" w14:textId="4E3AC441" w:rsidR="00822E70" w:rsidRPr="00822E70" w:rsidRDefault="00822E70" w:rsidP="00822E70">
      <w:pPr>
        <w:pStyle w:val="ONUME"/>
        <w:rPr>
          <w:lang w:eastAsia="en-US"/>
        </w:rPr>
      </w:pPr>
      <w:bookmarkStart w:id="61" w:name="_Hlk198331036"/>
      <w:r w:rsidRPr="00822E70">
        <w:rPr>
          <w:lang w:eastAsia="en-US"/>
        </w:rPr>
        <w:t>Since October 2024, the International Bureau has support</w:t>
      </w:r>
      <w:r w:rsidR="00DA158E">
        <w:rPr>
          <w:lang w:eastAsia="en-US"/>
        </w:rPr>
        <w:t>ed</w:t>
      </w:r>
      <w:r w:rsidRPr="00822E70">
        <w:rPr>
          <w:lang w:eastAsia="en-US"/>
        </w:rPr>
        <w:t xml:space="preserve"> the adaptation of two key IP resources for Ukrainian businesses: the WIPO IP Diagnostic tool and the guidebook </w:t>
      </w:r>
      <w:r w:rsidRPr="00822E70">
        <w:rPr>
          <w:i/>
          <w:iCs/>
          <w:lang w:eastAsia="en-US"/>
        </w:rPr>
        <w:t>Enterprising Ideas: A Guide to IP for Startups</w:t>
      </w:r>
      <w:r w:rsidRPr="00822E70">
        <w:rPr>
          <w:lang w:eastAsia="en-US"/>
        </w:rPr>
        <w:t xml:space="preserve">. </w:t>
      </w:r>
      <w:r w:rsidR="00410E8C">
        <w:rPr>
          <w:lang w:eastAsia="en-US"/>
        </w:rPr>
        <w:t xml:space="preserve"> </w:t>
      </w:r>
      <w:r w:rsidRPr="00822E70">
        <w:rPr>
          <w:lang w:eastAsia="en-US"/>
        </w:rPr>
        <w:t>These tools have been translated and are currently being adapted to the local legal, regulatory, and commercial context.</w:t>
      </w:r>
      <w:r w:rsidR="00410E8C">
        <w:rPr>
          <w:lang w:eastAsia="en-US"/>
        </w:rPr>
        <w:t xml:space="preserve"> </w:t>
      </w:r>
      <w:r w:rsidRPr="00822E70">
        <w:rPr>
          <w:lang w:eastAsia="en-US"/>
        </w:rPr>
        <w:t xml:space="preserve"> Both the IP Diagnostic Tool </w:t>
      </w:r>
      <w:r w:rsidR="00090F26">
        <w:rPr>
          <w:lang w:eastAsia="en-US"/>
        </w:rPr>
        <w:t xml:space="preserve">and </w:t>
      </w:r>
      <w:r w:rsidRPr="00822E70">
        <w:rPr>
          <w:lang w:eastAsia="en-US"/>
        </w:rPr>
        <w:t xml:space="preserve">the Guide to IP for Startups are expected to be finalized by </w:t>
      </w:r>
      <w:r w:rsidR="00090F26">
        <w:rPr>
          <w:lang w:eastAsia="en-US"/>
        </w:rPr>
        <w:t xml:space="preserve">the </w:t>
      </w:r>
      <w:r w:rsidRPr="00822E70">
        <w:rPr>
          <w:lang w:eastAsia="en-US"/>
        </w:rPr>
        <w:t xml:space="preserve">end of July 2025. </w:t>
      </w:r>
    </w:p>
    <w:p w14:paraId="5E24CF4E" w14:textId="77691EB5" w:rsidR="00822E70" w:rsidRPr="00822E70" w:rsidRDefault="00822E70" w:rsidP="00295154">
      <w:pPr>
        <w:pStyle w:val="ONUME"/>
        <w:rPr>
          <w:lang w:eastAsia="en-US"/>
        </w:rPr>
      </w:pPr>
      <w:r w:rsidRPr="00822E70">
        <w:rPr>
          <w:lang w:eastAsia="en-US"/>
        </w:rPr>
        <w:t xml:space="preserve">This initiative aims to strengthen the institutional capacity of the Ukrainian IP Office by enhancing its ability to serve startups and small businesses more effectively. </w:t>
      </w:r>
      <w:r w:rsidR="00090F26">
        <w:rPr>
          <w:lang w:eastAsia="en-US"/>
        </w:rPr>
        <w:t xml:space="preserve"> </w:t>
      </w:r>
      <w:r w:rsidRPr="00822E70">
        <w:rPr>
          <w:lang w:eastAsia="en-US"/>
        </w:rPr>
        <w:t xml:space="preserve">By contextualizing the tools to the local context and illustrating case studies, they would be more accessible and practically relevant to Ukrainian users. </w:t>
      </w:r>
      <w:r w:rsidR="00090F26">
        <w:rPr>
          <w:lang w:eastAsia="en-US"/>
        </w:rPr>
        <w:t xml:space="preserve"> </w:t>
      </w:r>
      <w:r w:rsidRPr="00822E70">
        <w:rPr>
          <w:lang w:eastAsia="en-US"/>
        </w:rPr>
        <w:t xml:space="preserve">Notably, the </w:t>
      </w:r>
      <w:r w:rsidR="00295154">
        <w:rPr>
          <w:lang w:eastAsia="en-US"/>
        </w:rPr>
        <w:t>G</w:t>
      </w:r>
      <w:r w:rsidRPr="00822E70">
        <w:rPr>
          <w:lang w:eastAsia="en-US"/>
        </w:rPr>
        <w:t xml:space="preserve">uide </w:t>
      </w:r>
      <w:r w:rsidR="00295154" w:rsidRPr="00295154">
        <w:rPr>
          <w:i/>
          <w:iCs/>
          <w:lang w:eastAsia="en-US"/>
        </w:rPr>
        <w:t>to IP for Startups</w:t>
      </w:r>
      <w:r w:rsidR="00295154" w:rsidRPr="00295154">
        <w:rPr>
          <w:lang w:eastAsia="en-US"/>
        </w:rPr>
        <w:t xml:space="preserve"> </w:t>
      </w:r>
      <w:r w:rsidRPr="00822E70">
        <w:rPr>
          <w:lang w:eastAsia="en-US"/>
        </w:rPr>
        <w:t>includes five domestic success stories to illustrate effective IP use, with the goal of inspiring greater entrepreneurship and the uptake of IP among Ukrainian startups and innovators.</w:t>
      </w:r>
    </w:p>
    <w:p w14:paraId="4531CD5C" w14:textId="1AB70C2D" w:rsidR="00822E70" w:rsidRPr="00822E70" w:rsidRDefault="00822E70" w:rsidP="00822E70">
      <w:pPr>
        <w:pStyle w:val="ONUME"/>
        <w:rPr>
          <w:lang w:eastAsia="en-US"/>
        </w:rPr>
      </w:pPr>
      <w:r w:rsidRPr="00822E70">
        <w:rPr>
          <w:lang w:eastAsia="en-US"/>
        </w:rPr>
        <w:lastRenderedPageBreak/>
        <w:t>Furthermore, the International Bureau ha</w:t>
      </w:r>
      <w:r w:rsidR="00E8153C">
        <w:rPr>
          <w:lang w:eastAsia="en-US"/>
        </w:rPr>
        <w:t>s</w:t>
      </w:r>
      <w:r w:rsidRPr="00822E70">
        <w:rPr>
          <w:lang w:eastAsia="en-US"/>
        </w:rPr>
        <w:t xml:space="preserve"> consult</w:t>
      </w:r>
      <w:r w:rsidR="00DA158E">
        <w:rPr>
          <w:lang w:eastAsia="en-US"/>
        </w:rPr>
        <w:t>ed</w:t>
      </w:r>
      <w:r w:rsidRPr="00822E70">
        <w:rPr>
          <w:lang w:eastAsia="en-US"/>
        </w:rPr>
        <w:t xml:space="preserve"> with UANIPIO on the implementation of an IP Management Clinic for Ukrainian SMEs and startups as part of its support to the “</w:t>
      </w:r>
      <w:proofErr w:type="spellStart"/>
      <w:r w:rsidRPr="00822E70">
        <w:rPr>
          <w:lang w:eastAsia="en-US"/>
        </w:rPr>
        <w:t>IP&amp;Innovations</w:t>
      </w:r>
      <w:proofErr w:type="spellEnd"/>
      <w:r w:rsidRPr="00822E70">
        <w:rPr>
          <w:lang w:eastAsia="en-US"/>
        </w:rPr>
        <w:t xml:space="preserve"> Hub” established by UANIPIO in 2023.  A call for interest has been launched by UANIPIO in February 2025, to select companies that would participate in the Clinic. Following the identification of companies, the International Bureau, in cooperation with UANIPIO, would design a customized program that aligns with their sectoral profiles and specific needs.   </w:t>
      </w:r>
    </w:p>
    <w:p w14:paraId="22A01D16" w14:textId="77777777" w:rsidR="00822E70" w:rsidRPr="00822E70" w:rsidRDefault="00822E70" w:rsidP="00822E70">
      <w:pPr>
        <w:pStyle w:val="ONUME"/>
        <w:rPr>
          <w:lang w:eastAsia="en-US"/>
        </w:rPr>
      </w:pPr>
      <w:r w:rsidRPr="00822E70">
        <w:rPr>
          <w:lang w:eastAsia="en-US"/>
        </w:rPr>
        <w:t>The IP Management Clinic would run over a four-month period and would feature targeted training sessions, individualized mentoring, and strategic guidance aimed at helping participating companies to identify, manage, and commercialize their IP assets effectively.</w:t>
      </w:r>
    </w:p>
    <w:p w14:paraId="7388A696" w14:textId="26E0C077" w:rsidR="00822E70" w:rsidRPr="00822E70" w:rsidRDefault="00822E70" w:rsidP="00822E70">
      <w:pPr>
        <w:pStyle w:val="ONUME"/>
        <w:rPr>
          <w:lang w:eastAsia="en-US"/>
        </w:rPr>
      </w:pPr>
      <w:r w:rsidRPr="00822E70">
        <w:rPr>
          <w:lang w:eastAsia="en-US"/>
        </w:rPr>
        <w:t xml:space="preserve">To further support local SMEs, in </w:t>
      </w:r>
      <w:r w:rsidR="00E92C7A" w:rsidRPr="00822E70">
        <w:rPr>
          <w:lang w:eastAsia="en-US"/>
        </w:rPr>
        <w:t>February</w:t>
      </w:r>
      <w:r w:rsidRPr="00822E70">
        <w:rPr>
          <w:lang w:eastAsia="en-US"/>
        </w:rPr>
        <w:t xml:space="preserve"> 2025, the International Bureau signed an MoU with the International Chamber of Commerce (ICC) and the Ukrainian Chamber of Commerce. </w:t>
      </w:r>
      <w:r w:rsidR="008376C1">
        <w:rPr>
          <w:lang w:eastAsia="en-US"/>
        </w:rPr>
        <w:t xml:space="preserve"> </w:t>
      </w:r>
      <w:r w:rsidRPr="00822E70">
        <w:rPr>
          <w:lang w:eastAsia="en-US"/>
        </w:rPr>
        <w:t xml:space="preserve">The aim of the MoU is to promote “IP for business” programs and services.  Under this cooperation framework, the </w:t>
      </w:r>
      <w:r w:rsidR="00295154">
        <w:rPr>
          <w:lang w:eastAsia="en-US"/>
        </w:rPr>
        <w:t xml:space="preserve">above-mentioned </w:t>
      </w:r>
      <w:r w:rsidRPr="00822E70">
        <w:rPr>
          <w:lang w:eastAsia="en-US"/>
        </w:rPr>
        <w:t>Chambers of Commerce serve as national focal points for the WIPO</w:t>
      </w:r>
      <w:r w:rsidR="007B1A7D">
        <w:rPr>
          <w:lang w:eastAsia="en-US"/>
        </w:rPr>
        <w:t>-</w:t>
      </w:r>
      <w:r w:rsidRPr="00822E70">
        <w:rPr>
          <w:lang w:eastAsia="en-US"/>
        </w:rPr>
        <w:t xml:space="preserve">ICC IP for Entrepreneurs Network. </w:t>
      </w:r>
      <w:r w:rsidR="008376C1">
        <w:rPr>
          <w:lang w:eastAsia="en-US"/>
        </w:rPr>
        <w:t xml:space="preserve"> </w:t>
      </w:r>
      <w:r w:rsidRPr="00822E70">
        <w:rPr>
          <w:lang w:eastAsia="en-US"/>
        </w:rPr>
        <w:t xml:space="preserve">Their role includes cooperating with WIPO to promote SME’s resources, organizing workshops and training activities, identifying SMEs, business leaders, and legal professionals to participate in joint initiatives, and facilitating the local adaptation of WIPO materials. </w:t>
      </w:r>
    </w:p>
    <w:p w14:paraId="5C6BC146" w14:textId="1289A360" w:rsidR="00822E70" w:rsidRDefault="0074753B" w:rsidP="0074753B">
      <w:pPr>
        <w:pStyle w:val="Heading3"/>
        <w:ind w:left="1890" w:hanging="720"/>
        <w:rPr>
          <w:lang w:eastAsia="en-US"/>
        </w:rPr>
      </w:pPr>
      <w:bookmarkStart w:id="62" w:name="_Toc200545016"/>
      <w:bookmarkEnd w:id="61"/>
      <w:r>
        <w:rPr>
          <w:u w:val="none"/>
          <w:lang w:eastAsia="en-US"/>
        </w:rPr>
        <w:t>3.7.3</w:t>
      </w:r>
      <w:r>
        <w:rPr>
          <w:u w:val="none"/>
          <w:lang w:eastAsia="en-US"/>
        </w:rPr>
        <w:tab/>
      </w:r>
      <w:r w:rsidR="00822E70" w:rsidRPr="00822E70">
        <w:rPr>
          <w:lang w:eastAsia="en-US"/>
        </w:rPr>
        <w:t>Provision of Access to Information and Technologies</w:t>
      </w:r>
      <w:bookmarkEnd w:id="62"/>
    </w:p>
    <w:p w14:paraId="0115D877" w14:textId="77777777" w:rsidR="009063B7" w:rsidRPr="00822E70" w:rsidRDefault="009063B7" w:rsidP="009063B7">
      <w:pPr>
        <w:rPr>
          <w:lang w:eastAsia="en-US"/>
        </w:rPr>
      </w:pPr>
    </w:p>
    <w:p w14:paraId="2CE29324" w14:textId="39B59D76" w:rsidR="00822E70" w:rsidRPr="00822E70" w:rsidRDefault="00822E70" w:rsidP="00822E70">
      <w:pPr>
        <w:pStyle w:val="ONUME"/>
        <w:rPr>
          <w:lang w:eastAsia="en-US"/>
        </w:rPr>
      </w:pPr>
      <w:r w:rsidRPr="00822E70">
        <w:rPr>
          <w:lang w:eastAsia="en-US"/>
        </w:rPr>
        <w:t>The International Bureau continued to facilitate access to patent and non-patent databases and literature for UANIPIO and other Ukrainian institutions through two key public-private programs:</w:t>
      </w:r>
      <w:r w:rsidR="00E96EA1">
        <w:rPr>
          <w:lang w:eastAsia="en-US"/>
        </w:rPr>
        <w:t xml:space="preserve"> </w:t>
      </w:r>
      <w:r w:rsidRPr="00822E70">
        <w:rPr>
          <w:lang w:eastAsia="en-US"/>
        </w:rPr>
        <w:t xml:space="preserve"> the Access to Research for Development and Innovation (ARDI) program offering access to subscription-based scientific and technical journals, and the Access to Specialized Patent Information (ASPI) program, which provides access to commercial, more sophisticated search and analytics patent databases. </w:t>
      </w:r>
    </w:p>
    <w:p w14:paraId="0B339776" w14:textId="77777777" w:rsidR="00822E70" w:rsidRPr="00822E70" w:rsidRDefault="00822E70" w:rsidP="00822E70">
      <w:pPr>
        <w:pStyle w:val="ONUME"/>
        <w:rPr>
          <w:lang w:eastAsia="en-US"/>
        </w:rPr>
      </w:pPr>
      <w:r w:rsidRPr="00822E70">
        <w:rPr>
          <w:lang w:eastAsia="en-US"/>
        </w:rPr>
        <w:t>The free access to ASPI, ARDI and other Research4Life programs for eligible national institutions of Ukraine, including the TISCs network, has been extended until the end of 2025.  This extension is part of a strategy to ensure that Ukrainian institutions continue to benefit from global knowledge repositories and technology databases amidst ongoing challenges.</w:t>
      </w:r>
    </w:p>
    <w:p w14:paraId="011F7C7E" w14:textId="12FFE9A3" w:rsidR="00822E70" w:rsidRPr="00822E70" w:rsidRDefault="00822E70" w:rsidP="003D5C6A">
      <w:pPr>
        <w:pStyle w:val="ONUME"/>
        <w:tabs>
          <w:tab w:val="clear" w:pos="567"/>
          <w:tab w:val="clear" w:pos="1134"/>
          <w:tab w:val="num" w:pos="540"/>
        </w:tabs>
        <w:rPr>
          <w:lang w:eastAsia="en-US"/>
        </w:rPr>
      </w:pPr>
      <w:r w:rsidRPr="00822E70">
        <w:rPr>
          <w:lang w:eastAsia="en-US"/>
        </w:rPr>
        <w:t>During the reporting period, 14 academic institutions in Ukraine were registered in ASPI, reflecting a growing commitment to evidence-based innovation and enhanced research capabilities within the country’s higher education and R&amp;D sectors.</w:t>
      </w:r>
      <w:bookmarkStart w:id="63" w:name="_Hlk198587595"/>
    </w:p>
    <w:p w14:paraId="2FF79A0F" w14:textId="010613FC" w:rsidR="00822E70" w:rsidRDefault="0074753B" w:rsidP="0074753B">
      <w:pPr>
        <w:pStyle w:val="Heading3"/>
        <w:ind w:left="1890" w:hanging="720"/>
        <w:rPr>
          <w:u w:val="none"/>
          <w:lang w:eastAsia="en-US"/>
        </w:rPr>
      </w:pPr>
      <w:bookmarkStart w:id="64" w:name="_Toc200545017"/>
      <w:r>
        <w:rPr>
          <w:u w:val="none"/>
          <w:lang w:eastAsia="en-US"/>
        </w:rPr>
        <w:t>3.7.4</w:t>
      </w:r>
      <w:r>
        <w:rPr>
          <w:u w:val="none"/>
          <w:lang w:eastAsia="en-US"/>
        </w:rPr>
        <w:tab/>
      </w:r>
      <w:r w:rsidR="00822E70" w:rsidRPr="00822E70">
        <w:rPr>
          <w:lang w:eastAsia="en-US"/>
        </w:rPr>
        <w:t>Enhanced IP Infrastructure</w:t>
      </w:r>
      <w:bookmarkEnd w:id="64"/>
      <w:r w:rsidR="00822E70" w:rsidRPr="00822E70">
        <w:rPr>
          <w:u w:val="none"/>
          <w:lang w:eastAsia="en-US"/>
        </w:rPr>
        <w:t xml:space="preserve"> </w:t>
      </w:r>
    </w:p>
    <w:p w14:paraId="6FC20A65" w14:textId="77777777" w:rsidR="0074753B" w:rsidRPr="00822E70" w:rsidRDefault="0074753B" w:rsidP="0074753B">
      <w:pPr>
        <w:rPr>
          <w:lang w:eastAsia="en-US"/>
        </w:rPr>
      </w:pPr>
    </w:p>
    <w:bookmarkEnd w:id="63"/>
    <w:p w14:paraId="48DDF257" w14:textId="350BC889" w:rsidR="00822E70" w:rsidRPr="00822E70" w:rsidRDefault="00822E70" w:rsidP="00822E70">
      <w:pPr>
        <w:pStyle w:val="ONUME"/>
        <w:rPr>
          <w:lang w:eastAsia="en-US"/>
        </w:rPr>
      </w:pPr>
      <w:r w:rsidRPr="00822E70">
        <w:rPr>
          <w:lang w:eastAsia="en-US"/>
        </w:rPr>
        <w:t xml:space="preserve">In early 2025, Ukraine started the process </w:t>
      </w:r>
      <w:r w:rsidR="007A26B3">
        <w:rPr>
          <w:lang w:eastAsia="en-US"/>
        </w:rPr>
        <w:t>of</w:t>
      </w:r>
      <w:r w:rsidRPr="00822E70">
        <w:rPr>
          <w:lang w:eastAsia="en-US"/>
        </w:rPr>
        <w:t xml:space="preserve"> join</w:t>
      </w:r>
      <w:r w:rsidR="007A26B3">
        <w:rPr>
          <w:lang w:eastAsia="en-US"/>
        </w:rPr>
        <w:t>ing</w:t>
      </w:r>
      <w:r w:rsidRPr="00822E70">
        <w:rPr>
          <w:lang w:eastAsia="en-US"/>
        </w:rPr>
        <w:t xml:space="preserve"> WIPO</w:t>
      </w:r>
      <w:r w:rsidR="00295154" w:rsidRPr="00295154">
        <w:t xml:space="preserve"> </w:t>
      </w:r>
      <w:r w:rsidR="00295154" w:rsidRPr="00295154">
        <w:rPr>
          <w:lang w:eastAsia="en-US"/>
        </w:rPr>
        <w:t>Digital Access Service</w:t>
      </w:r>
      <w:r w:rsidRPr="00822E70">
        <w:rPr>
          <w:lang w:eastAsia="en-US"/>
        </w:rPr>
        <w:t xml:space="preserve"> </w:t>
      </w:r>
      <w:r w:rsidR="002A2F56">
        <w:rPr>
          <w:lang w:eastAsia="en-US"/>
        </w:rPr>
        <w:t>(</w:t>
      </w:r>
      <w:r w:rsidRPr="00822E70">
        <w:rPr>
          <w:lang w:eastAsia="en-US"/>
        </w:rPr>
        <w:t>DAS</w:t>
      </w:r>
      <w:r w:rsidR="002A2F56">
        <w:rPr>
          <w:lang w:eastAsia="en-US"/>
        </w:rPr>
        <w:t>)</w:t>
      </w:r>
      <w:r w:rsidRPr="00822E70">
        <w:rPr>
          <w:lang w:eastAsia="en-US"/>
        </w:rPr>
        <w:t xml:space="preserve">, a secure, electronic platform </w:t>
      </w:r>
      <w:r w:rsidR="005709C0">
        <w:rPr>
          <w:lang w:eastAsia="en-US"/>
        </w:rPr>
        <w:t xml:space="preserve">that </w:t>
      </w:r>
      <w:r w:rsidRPr="00822E70">
        <w:rPr>
          <w:lang w:eastAsia="en-US"/>
        </w:rPr>
        <w:t>facilitates the exchange of priority documents and related materials between participating IP offices, enabling applicants and offices to comply with the certification requirements under the Paris Convention in a digital environment.</w:t>
      </w:r>
    </w:p>
    <w:p w14:paraId="05A6BE20" w14:textId="1FDFD854" w:rsidR="00822E70" w:rsidRPr="00822E70" w:rsidRDefault="00822E70" w:rsidP="00822E70">
      <w:pPr>
        <w:pStyle w:val="ONUME"/>
        <w:rPr>
          <w:lang w:eastAsia="en-US"/>
        </w:rPr>
      </w:pPr>
      <w:r w:rsidRPr="00822E70">
        <w:rPr>
          <w:lang w:eastAsia="en-US"/>
        </w:rPr>
        <w:t>Two in-person meetings were held in Geneva between representatives of the International Bureau and UANIPIO to discuss the new technical changes to WIPO DAS.</w:t>
      </w:r>
      <w:r w:rsidR="007B1A7D">
        <w:rPr>
          <w:lang w:eastAsia="en-US"/>
        </w:rPr>
        <w:t xml:space="preserve"> </w:t>
      </w:r>
      <w:r w:rsidRPr="00822E70">
        <w:rPr>
          <w:lang w:eastAsia="en-US"/>
        </w:rPr>
        <w:t xml:space="preserve"> A dedicated online session to provide more detailed technical guidance to relevant UANIPIO staff followed in April 2025.  The International Bureau provided Ukraine with a comprehensive set of resources, including information on test account creation for the DAS portal, REST API integration guidelines, and specifications for acceptable file formats for submission. </w:t>
      </w:r>
      <w:r w:rsidR="00981079">
        <w:rPr>
          <w:lang w:eastAsia="en-US"/>
        </w:rPr>
        <w:t xml:space="preserve"> </w:t>
      </w:r>
      <w:r w:rsidRPr="00822E70">
        <w:rPr>
          <w:lang w:eastAsia="en-US"/>
        </w:rPr>
        <w:t xml:space="preserve">The International Bureau remains available for further guidance and support, should Ukraine officially request to join WIPO DAS. </w:t>
      </w:r>
    </w:p>
    <w:p w14:paraId="68D88A91" w14:textId="3626C8DD" w:rsidR="00822E70" w:rsidRDefault="0074753B" w:rsidP="0074753B">
      <w:pPr>
        <w:pStyle w:val="Heading3"/>
        <w:ind w:left="1890" w:hanging="720"/>
        <w:rPr>
          <w:u w:val="none"/>
          <w:lang w:eastAsia="en-US"/>
        </w:rPr>
      </w:pPr>
      <w:bookmarkStart w:id="65" w:name="_Toc200545018"/>
      <w:r>
        <w:rPr>
          <w:u w:val="none"/>
          <w:lang w:eastAsia="en-US"/>
        </w:rPr>
        <w:lastRenderedPageBreak/>
        <w:t>3.7.5</w:t>
      </w:r>
      <w:r>
        <w:rPr>
          <w:u w:val="none"/>
          <w:lang w:eastAsia="en-US"/>
        </w:rPr>
        <w:tab/>
      </w:r>
      <w:r w:rsidR="00822E70" w:rsidRPr="00822E70">
        <w:rPr>
          <w:lang w:eastAsia="en-US"/>
        </w:rPr>
        <w:t>Copyright Management</w:t>
      </w:r>
      <w:bookmarkEnd w:id="65"/>
      <w:r w:rsidR="00822E70" w:rsidRPr="00822E70">
        <w:rPr>
          <w:u w:val="none"/>
          <w:lang w:eastAsia="en-US"/>
        </w:rPr>
        <w:t xml:space="preserve"> </w:t>
      </w:r>
    </w:p>
    <w:p w14:paraId="2C1458C6" w14:textId="77777777" w:rsidR="0074753B" w:rsidRPr="00822E70" w:rsidRDefault="0074753B" w:rsidP="0074753B">
      <w:pPr>
        <w:rPr>
          <w:lang w:eastAsia="en-US"/>
        </w:rPr>
      </w:pPr>
    </w:p>
    <w:p w14:paraId="5648DEAD" w14:textId="353B85BA" w:rsidR="00822E70" w:rsidRPr="00822E70" w:rsidRDefault="00822E70" w:rsidP="00822E70">
      <w:pPr>
        <w:pStyle w:val="ONUME"/>
        <w:rPr>
          <w:lang w:eastAsia="en-US"/>
        </w:rPr>
      </w:pPr>
      <w:r w:rsidRPr="00822E70">
        <w:rPr>
          <w:lang w:eastAsia="en-US"/>
        </w:rPr>
        <w:t xml:space="preserve">In March 2025, the International Bureau initiated consultations with the Ministry of Economy of Ukraine to explore the potential deployment of WIPO Connect with selected CMOs in Ukraine. </w:t>
      </w:r>
      <w:r w:rsidR="007B1A7D">
        <w:rPr>
          <w:lang w:eastAsia="en-US"/>
        </w:rPr>
        <w:t xml:space="preserve"> </w:t>
      </w:r>
      <w:r w:rsidRPr="00822E70">
        <w:rPr>
          <w:lang w:eastAsia="en-US"/>
        </w:rPr>
        <w:t xml:space="preserve">The objective of this project would be to strengthen the efficiency and transparency of rights revenue collection and distribution in Ukraine’s collective management system, areas that have been highlighted as priority by the Deputy Minister of Economy, Mr. Vitaly </w:t>
      </w:r>
      <w:proofErr w:type="spellStart"/>
      <w:r w:rsidRPr="00822E70">
        <w:rPr>
          <w:lang w:eastAsia="en-US"/>
        </w:rPr>
        <w:t>Kindrativ</w:t>
      </w:r>
      <w:proofErr w:type="spellEnd"/>
      <w:r w:rsidRPr="00822E70">
        <w:rPr>
          <w:lang w:eastAsia="en-US"/>
        </w:rPr>
        <w:t>.</w:t>
      </w:r>
    </w:p>
    <w:p w14:paraId="4493724E" w14:textId="13521B2C" w:rsidR="00822E70" w:rsidRPr="00822E70" w:rsidRDefault="00822E70" w:rsidP="00822E70">
      <w:pPr>
        <w:pStyle w:val="ONUME"/>
        <w:rPr>
          <w:lang w:eastAsia="en-US"/>
        </w:rPr>
      </w:pPr>
      <w:r w:rsidRPr="00822E70">
        <w:rPr>
          <w:lang w:eastAsia="en-US"/>
        </w:rPr>
        <w:t>In March and April 2025</w:t>
      </w:r>
      <w:r w:rsidR="00932389">
        <w:rPr>
          <w:lang w:eastAsia="en-US"/>
        </w:rPr>
        <w:t>,</w:t>
      </w:r>
      <w:r w:rsidRPr="00822E70">
        <w:rPr>
          <w:lang w:eastAsia="en-US"/>
        </w:rPr>
        <w:t xml:space="preserve"> consultations were held between the International Bureau, the Ministry of Economy, and UANIPIO.  During these meetings</w:t>
      </w:r>
      <w:r w:rsidR="00932389">
        <w:rPr>
          <w:lang w:eastAsia="en-US"/>
        </w:rPr>
        <w:t>,</w:t>
      </w:r>
      <w:r w:rsidRPr="00822E70">
        <w:rPr>
          <w:lang w:eastAsia="en-US"/>
        </w:rPr>
        <w:t xml:space="preserve"> the International Bureau delivered a live demo of the software with detailed presentations on the functionalities, implementation requirements, and benefits of the WIPO Connect platform.</w:t>
      </w:r>
    </w:p>
    <w:p w14:paraId="679503E8" w14:textId="40A06089" w:rsidR="00822E70" w:rsidRPr="00822E70" w:rsidRDefault="00822E70" w:rsidP="00822E70">
      <w:pPr>
        <w:pStyle w:val="ONUME"/>
        <w:rPr>
          <w:lang w:eastAsia="en-US"/>
        </w:rPr>
      </w:pPr>
      <w:r w:rsidRPr="00822E70">
        <w:rPr>
          <w:lang w:eastAsia="en-US"/>
        </w:rPr>
        <w:t xml:space="preserve">The Ministry of Economy and local CMOs expressed strong interest in adopting the system. </w:t>
      </w:r>
      <w:r w:rsidR="00932389">
        <w:rPr>
          <w:lang w:eastAsia="en-US"/>
        </w:rPr>
        <w:t xml:space="preserve"> </w:t>
      </w:r>
      <w:r w:rsidRPr="00822E70">
        <w:rPr>
          <w:lang w:eastAsia="en-US"/>
        </w:rPr>
        <w:t xml:space="preserve">In Ukraine, discussions remain ongoing to determine the most appropriate and feasible pathway for implementing WIPO Connect, taking into consideration local technical and institutional capacities. </w:t>
      </w:r>
      <w:r w:rsidR="003C2099">
        <w:rPr>
          <w:lang w:eastAsia="en-US"/>
        </w:rPr>
        <w:t xml:space="preserve"> </w:t>
      </w:r>
      <w:r w:rsidRPr="00822E70">
        <w:rPr>
          <w:lang w:eastAsia="en-US"/>
        </w:rPr>
        <w:t xml:space="preserve">The International Bureau remains available to provide any further support if required. </w:t>
      </w:r>
    </w:p>
    <w:p w14:paraId="5AC3D8DC" w14:textId="303FE62D" w:rsidR="00822E70" w:rsidRPr="00822E70" w:rsidRDefault="00822E70" w:rsidP="00822E70">
      <w:pPr>
        <w:pStyle w:val="ONUME"/>
        <w:rPr>
          <w:lang w:eastAsia="en-US"/>
        </w:rPr>
      </w:pPr>
      <w:r w:rsidRPr="00822E70">
        <w:rPr>
          <w:lang w:eastAsia="en-US"/>
        </w:rPr>
        <w:t xml:space="preserve">In parallel, to further support the modernization of the collective management framework, the International Bureau shared with Ukraine the latest edition of the WIPO Good Practice Toolkit for Collective Management Organizations. </w:t>
      </w:r>
      <w:r w:rsidR="003C2099">
        <w:rPr>
          <w:lang w:eastAsia="en-US"/>
        </w:rPr>
        <w:t xml:space="preserve"> </w:t>
      </w:r>
      <w:r w:rsidRPr="00822E70">
        <w:rPr>
          <w:lang w:eastAsia="en-US"/>
        </w:rPr>
        <w:t xml:space="preserve">This resource is intended to help Member States and CMOs in designing an approach suitable for their </w:t>
      </w:r>
      <w:proofErr w:type="gramStart"/>
      <w:r w:rsidRPr="00822E70">
        <w:rPr>
          <w:lang w:eastAsia="en-US"/>
        </w:rPr>
        <w:t>particular context</w:t>
      </w:r>
      <w:proofErr w:type="gramEnd"/>
      <w:r w:rsidRPr="00822E70">
        <w:rPr>
          <w:lang w:eastAsia="en-US"/>
        </w:rPr>
        <w:t xml:space="preserve"> based on international good practices</w:t>
      </w:r>
      <w:r w:rsidRPr="00822E70">
        <w:rPr>
          <w:i/>
          <w:iCs/>
          <w:lang w:eastAsia="en-US"/>
        </w:rPr>
        <w:t>.</w:t>
      </w:r>
    </w:p>
    <w:p w14:paraId="26635A3F" w14:textId="068FD458" w:rsidR="00822E70" w:rsidRDefault="0074753B" w:rsidP="0074753B">
      <w:pPr>
        <w:pStyle w:val="Heading3"/>
        <w:ind w:left="1890" w:hanging="720"/>
        <w:rPr>
          <w:u w:val="none"/>
          <w:lang w:eastAsia="en-US"/>
        </w:rPr>
      </w:pPr>
      <w:bookmarkStart w:id="66" w:name="_Toc200545019"/>
      <w:r>
        <w:rPr>
          <w:u w:val="none"/>
          <w:lang w:eastAsia="en-US"/>
        </w:rPr>
        <w:t>3.7.6</w:t>
      </w:r>
      <w:r>
        <w:rPr>
          <w:u w:val="none"/>
          <w:lang w:eastAsia="en-US"/>
        </w:rPr>
        <w:tab/>
      </w:r>
      <w:r w:rsidR="00822E70" w:rsidRPr="00822E70">
        <w:rPr>
          <w:lang w:eastAsia="en-US"/>
        </w:rPr>
        <w:t>Accessible Books Consortium (ABC)</w:t>
      </w:r>
      <w:bookmarkEnd w:id="66"/>
    </w:p>
    <w:p w14:paraId="4D1078F1" w14:textId="77777777" w:rsidR="0074753B" w:rsidRPr="00822E70" w:rsidRDefault="0074753B" w:rsidP="0074753B">
      <w:pPr>
        <w:rPr>
          <w:lang w:eastAsia="en-US"/>
        </w:rPr>
      </w:pPr>
    </w:p>
    <w:p w14:paraId="4C89F30F" w14:textId="317F3B64" w:rsidR="00822E70" w:rsidRPr="00822E70" w:rsidRDefault="00822E70" w:rsidP="00822E70">
      <w:pPr>
        <w:pStyle w:val="ONUME"/>
        <w:rPr>
          <w:lang w:eastAsia="en-US"/>
        </w:rPr>
      </w:pPr>
      <w:r w:rsidRPr="00822E70">
        <w:rPr>
          <w:lang w:eastAsia="en-US"/>
        </w:rPr>
        <w:t>The Central Specialized Library of the Ukrainian Association of the Blind (CLBU), which joined the Accessible Books Consortium (ABC) Global Book Service (GBS) in 2019, now has full access to the GBS platform</w:t>
      </w:r>
      <w:r w:rsidR="007B1A7D">
        <w:rPr>
          <w:lang w:eastAsia="en-US"/>
        </w:rPr>
        <w:t xml:space="preserve"> - </w:t>
      </w:r>
      <w:r w:rsidRPr="00822E70">
        <w:rPr>
          <w:lang w:eastAsia="en-US"/>
        </w:rPr>
        <w:t>commonly referred to as the Library Application - which currently hosts over one million titles in accessible formats all available for cross-border exchange under the framework of the Marrakesh VIP Treaty.</w:t>
      </w:r>
    </w:p>
    <w:p w14:paraId="633E6DEC" w14:textId="1EC4CE05" w:rsidR="00822E70" w:rsidRPr="00822E70" w:rsidRDefault="00822E70" w:rsidP="00822E70">
      <w:pPr>
        <w:pStyle w:val="ONUME"/>
        <w:rPr>
          <w:lang w:eastAsia="en-US"/>
        </w:rPr>
      </w:pPr>
      <w:r w:rsidRPr="00822E70">
        <w:rPr>
          <w:lang w:eastAsia="en-US"/>
        </w:rPr>
        <w:t xml:space="preserve">In February 2025, CLBU also expressed interest in joining ABC’s Beneficiary Application (formerly known as the Supplementary Application), which is offered at no cost to participating Authorized Entities (AEs). </w:t>
      </w:r>
      <w:r w:rsidR="003C2099">
        <w:rPr>
          <w:lang w:eastAsia="en-US"/>
        </w:rPr>
        <w:t xml:space="preserve"> </w:t>
      </w:r>
      <w:r w:rsidRPr="00822E70">
        <w:rPr>
          <w:lang w:eastAsia="en-US"/>
        </w:rPr>
        <w:t>The Beneficiary Application gives patrons of participating AEs located in countries that have both joined and transposed the provisions of the Marrakesh VIP Treaty the ability to search for, and immediately download, accessible format copies of works contained in its catalogue.</w:t>
      </w:r>
    </w:p>
    <w:p w14:paraId="7E2A1113" w14:textId="79A05916" w:rsidR="00822E70" w:rsidRPr="00822E70" w:rsidRDefault="00822E70" w:rsidP="00822E70">
      <w:pPr>
        <w:pStyle w:val="ONUME"/>
        <w:rPr>
          <w:lang w:eastAsia="en-US"/>
        </w:rPr>
      </w:pPr>
      <w:r w:rsidRPr="00822E70">
        <w:rPr>
          <w:lang w:eastAsia="en-US"/>
        </w:rPr>
        <w:t xml:space="preserve">In May 2025, CLBU agreed to the Terms and Conditions of the Beneficiary Application and will soon begin contributing its own accessible titles to the ABC collection. </w:t>
      </w:r>
      <w:r w:rsidR="009928D4">
        <w:rPr>
          <w:lang w:eastAsia="en-US"/>
        </w:rPr>
        <w:t xml:space="preserve"> </w:t>
      </w:r>
      <w:r w:rsidRPr="00822E70">
        <w:rPr>
          <w:lang w:eastAsia="en-US"/>
        </w:rPr>
        <w:t>Once the integration is complete, CLBU will be able to introduce its users to the Beneficiary Application, giving them access to a catalogue of 460,000 accessible books, which they can independently browse and download to their preferred devices.</w:t>
      </w:r>
      <w:bookmarkStart w:id="67" w:name="_Hlk198587611"/>
    </w:p>
    <w:p w14:paraId="2EDDF206" w14:textId="0CE53E7D" w:rsidR="00822E70" w:rsidRDefault="0074753B" w:rsidP="0074753B">
      <w:pPr>
        <w:pStyle w:val="Heading3"/>
        <w:ind w:left="1890" w:hanging="720"/>
        <w:rPr>
          <w:u w:val="none"/>
          <w:lang w:eastAsia="en-US"/>
        </w:rPr>
      </w:pPr>
      <w:bookmarkStart w:id="68" w:name="_Toc200545020"/>
      <w:r>
        <w:rPr>
          <w:u w:val="none"/>
          <w:lang w:eastAsia="en-US"/>
        </w:rPr>
        <w:t>3.7.7</w:t>
      </w:r>
      <w:r>
        <w:rPr>
          <w:u w:val="none"/>
          <w:lang w:eastAsia="en-US"/>
        </w:rPr>
        <w:tab/>
      </w:r>
      <w:r w:rsidR="00822E70" w:rsidRPr="00822E70">
        <w:rPr>
          <w:lang w:eastAsia="en-US"/>
        </w:rPr>
        <w:t>CDIP Project on “Enhancing the Capacities of National Intellectual Property Offices in Times of Crisis”</w:t>
      </w:r>
      <w:bookmarkEnd w:id="68"/>
      <w:r w:rsidR="00822E70" w:rsidRPr="00822E70">
        <w:rPr>
          <w:u w:val="none"/>
          <w:lang w:eastAsia="en-US"/>
        </w:rPr>
        <w:t xml:space="preserve"> </w:t>
      </w:r>
    </w:p>
    <w:p w14:paraId="202AB023" w14:textId="77777777" w:rsidR="009063B7" w:rsidRPr="00822E70" w:rsidRDefault="009063B7" w:rsidP="009063B7">
      <w:pPr>
        <w:rPr>
          <w:lang w:eastAsia="en-US"/>
        </w:rPr>
      </w:pPr>
    </w:p>
    <w:bookmarkEnd w:id="67"/>
    <w:p w14:paraId="139AAE38" w14:textId="00AC90BB" w:rsidR="00822E70" w:rsidRPr="00822E70" w:rsidRDefault="00192D35" w:rsidP="00822E70">
      <w:pPr>
        <w:pStyle w:val="ONUME"/>
        <w:rPr>
          <w:lang w:eastAsia="en-US"/>
        </w:rPr>
      </w:pPr>
      <w:r>
        <w:rPr>
          <w:lang w:eastAsia="en-US"/>
        </w:rPr>
        <w:t>At its 32</w:t>
      </w:r>
      <w:r w:rsidRPr="00334EB2">
        <w:rPr>
          <w:vertAlign w:val="superscript"/>
          <w:lang w:eastAsia="en-US"/>
        </w:rPr>
        <w:t>nd</w:t>
      </w:r>
      <w:r>
        <w:rPr>
          <w:lang w:eastAsia="en-US"/>
        </w:rPr>
        <w:t xml:space="preserve"> session, the Committee on Development and Intellectual Property (CDIP)</w:t>
      </w:r>
      <w:r w:rsidR="00822E70" w:rsidRPr="00822E70">
        <w:rPr>
          <w:lang w:eastAsia="en-US"/>
        </w:rPr>
        <w:t xml:space="preserve"> adoption </w:t>
      </w:r>
      <w:r w:rsidR="0054412B">
        <w:rPr>
          <w:lang w:eastAsia="en-US"/>
        </w:rPr>
        <w:t>a</w:t>
      </w:r>
      <w:r w:rsidR="00822E70" w:rsidRPr="00822E70">
        <w:rPr>
          <w:lang w:eastAsia="en-US"/>
        </w:rPr>
        <w:t xml:space="preserve"> Development Agenda Project proposed by the United Kingdom and the Czech Republic on “Enhancing the Capacities of National Intellectual Property Offices in Times of Crisis”</w:t>
      </w:r>
      <w:r w:rsidR="0054412B">
        <w:rPr>
          <w:lang w:eastAsia="en-US"/>
        </w:rPr>
        <w:t>.</w:t>
      </w:r>
      <w:r w:rsidR="00822E70" w:rsidRPr="00822E70">
        <w:rPr>
          <w:lang w:eastAsia="en-US"/>
        </w:rPr>
        <w:t xml:space="preserve"> </w:t>
      </w:r>
      <w:r w:rsidR="0054412B">
        <w:rPr>
          <w:lang w:eastAsia="en-US"/>
        </w:rPr>
        <w:t xml:space="preserve"> </w:t>
      </w:r>
      <w:r w:rsidR="00822E70" w:rsidRPr="00822E70">
        <w:rPr>
          <w:lang w:eastAsia="en-US"/>
        </w:rPr>
        <w:t xml:space="preserve">Ukraine has expressed its interest </w:t>
      </w:r>
      <w:r w:rsidR="00F81538">
        <w:rPr>
          <w:lang w:eastAsia="en-US"/>
        </w:rPr>
        <w:t>in</w:t>
      </w:r>
      <w:r w:rsidR="00822E70" w:rsidRPr="00822E70">
        <w:rPr>
          <w:lang w:eastAsia="en-US"/>
        </w:rPr>
        <w:t xml:space="preserve"> participat</w:t>
      </w:r>
      <w:r w:rsidR="00F81538">
        <w:rPr>
          <w:lang w:eastAsia="en-US"/>
        </w:rPr>
        <w:t>ing</w:t>
      </w:r>
      <w:r w:rsidR="00822E70" w:rsidRPr="00822E70">
        <w:rPr>
          <w:lang w:eastAsia="en-US"/>
        </w:rPr>
        <w:t xml:space="preserve"> in th</w:t>
      </w:r>
      <w:r w:rsidR="00F81538">
        <w:rPr>
          <w:lang w:eastAsia="en-US"/>
        </w:rPr>
        <w:t>is</w:t>
      </w:r>
      <w:r w:rsidR="00822E70" w:rsidRPr="00822E70">
        <w:rPr>
          <w:lang w:eastAsia="en-US"/>
        </w:rPr>
        <w:t xml:space="preserve"> project, which would entail </w:t>
      </w:r>
      <w:r w:rsidR="00822E70" w:rsidRPr="00822E70">
        <w:rPr>
          <w:lang w:eastAsia="en-US"/>
        </w:rPr>
        <w:lastRenderedPageBreak/>
        <w:t xml:space="preserve">elaborating a case study, and potentially developing and adopting materials, alongside other Member States. </w:t>
      </w:r>
    </w:p>
    <w:p w14:paraId="301A4C3F" w14:textId="773916AB" w:rsidR="00822E70" w:rsidRPr="00822E70" w:rsidRDefault="00822E70" w:rsidP="00822E70">
      <w:pPr>
        <w:pStyle w:val="ONUME"/>
        <w:rPr>
          <w:lang w:eastAsia="en-US"/>
        </w:rPr>
      </w:pPr>
      <w:r w:rsidRPr="00822E70">
        <w:rPr>
          <w:lang w:eastAsia="en-US"/>
        </w:rPr>
        <w:t>As a first step in the implementation of the project</w:t>
      </w:r>
      <w:r w:rsidR="00F81538">
        <w:rPr>
          <w:lang w:eastAsia="en-US"/>
        </w:rPr>
        <w:t>,</w:t>
      </w:r>
      <w:r w:rsidRPr="00822E70">
        <w:rPr>
          <w:lang w:eastAsia="en-US"/>
        </w:rPr>
        <w:t xml:space="preserve"> a comprehensive survey was circulated to Ukraine, as well as all participating countries. </w:t>
      </w:r>
      <w:r w:rsidR="003B683A">
        <w:rPr>
          <w:lang w:eastAsia="en-US"/>
        </w:rPr>
        <w:t xml:space="preserve"> </w:t>
      </w:r>
      <w:r w:rsidRPr="00822E70">
        <w:rPr>
          <w:lang w:eastAsia="en-US"/>
        </w:rPr>
        <w:t>The survey is designed to identify commonalities and divergences across IP offices with respect to their institutional resilience, legal frameworks for crisis management, preparedness levels, emergency response mechanisms, recovery strategies, and adherence to recognized international standards.</w:t>
      </w:r>
    </w:p>
    <w:p w14:paraId="7BEBE5AC" w14:textId="7C2541C8" w:rsidR="00822E70" w:rsidRPr="00822E70" w:rsidRDefault="00822E70" w:rsidP="00822E70">
      <w:pPr>
        <w:pStyle w:val="ONUME"/>
        <w:rPr>
          <w:lang w:eastAsia="en-US"/>
        </w:rPr>
      </w:pPr>
      <w:r w:rsidRPr="00822E70">
        <w:rPr>
          <w:lang w:eastAsia="en-US"/>
        </w:rPr>
        <w:t>Based on the data collected, the International Bureau w</w:t>
      </w:r>
      <w:r w:rsidR="002A2F56">
        <w:rPr>
          <w:lang w:eastAsia="en-US"/>
        </w:rPr>
        <w:t>ill</w:t>
      </w:r>
      <w:r w:rsidRPr="00822E70">
        <w:rPr>
          <w:lang w:eastAsia="en-US"/>
        </w:rPr>
        <w:t xml:space="preserve"> conduct a comparative analysis of participating Member States to evaluate strengths, vulnerabilities, and specific contextual challenges. </w:t>
      </w:r>
      <w:r w:rsidR="003B683A">
        <w:rPr>
          <w:lang w:eastAsia="en-US"/>
        </w:rPr>
        <w:t xml:space="preserve"> </w:t>
      </w:r>
      <w:r w:rsidRPr="00822E70">
        <w:rPr>
          <w:lang w:eastAsia="en-US"/>
        </w:rPr>
        <w:t xml:space="preserve">The analysis </w:t>
      </w:r>
      <w:r w:rsidR="002A2F56" w:rsidRPr="00822E70">
        <w:rPr>
          <w:lang w:eastAsia="en-US"/>
        </w:rPr>
        <w:t>w</w:t>
      </w:r>
      <w:r w:rsidR="002A2F56">
        <w:rPr>
          <w:lang w:eastAsia="en-US"/>
        </w:rPr>
        <w:t>ill</w:t>
      </w:r>
      <w:r w:rsidR="002A2F56" w:rsidRPr="00822E70">
        <w:rPr>
          <w:lang w:eastAsia="en-US"/>
        </w:rPr>
        <w:t xml:space="preserve"> </w:t>
      </w:r>
      <w:r w:rsidRPr="00822E70">
        <w:rPr>
          <w:lang w:eastAsia="en-US"/>
        </w:rPr>
        <w:t>also examine each country’s alignment with international crisis management standards, such as ISO 22301 (Business Continuity), ISO 27001 (Information Security), and United Nations Disaster Risk Reduction (UNDRR) guidelines.</w:t>
      </w:r>
    </w:p>
    <w:p w14:paraId="23D7010E" w14:textId="77777777" w:rsidR="00822E70" w:rsidRPr="00822E70" w:rsidRDefault="00822E70" w:rsidP="00822E70">
      <w:pPr>
        <w:pStyle w:val="ONUME"/>
        <w:rPr>
          <w:lang w:eastAsia="en-US"/>
        </w:rPr>
      </w:pPr>
      <w:r w:rsidRPr="00822E70">
        <w:rPr>
          <w:lang w:eastAsia="en-US"/>
        </w:rPr>
        <w:t xml:space="preserve">Following Ukraine’s completion of the survey, countries, including Ukraine, would be categorized into three tiers based on the maturity of their crisis management systems: advanced, intermediate, and developing. </w:t>
      </w:r>
    </w:p>
    <w:p w14:paraId="432BAA65" w14:textId="55B66BBB" w:rsidR="00822E70" w:rsidRPr="00822E70" w:rsidRDefault="002D6BD3" w:rsidP="002D6BD3">
      <w:pPr>
        <w:pStyle w:val="Heading1"/>
        <w:spacing w:after="220"/>
        <w:ind w:left="547" w:hanging="547"/>
        <w:rPr>
          <w:lang w:eastAsia="en-US"/>
        </w:rPr>
      </w:pPr>
      <w:bookmarkStart w:id="69" w:name="_Toc200545021"/>
      <w:r>
        <w:rPr>
          <w:lang w:eastAsia="en-US"/>
        </w:rPr>
        <w:t>4.</w:t>
      </w:r>
      <w:r>
        <w:rPr>
          <w:lang w:eastAsia="en-US"/>
        </w:rPr>
        <w:tab/>
      </w:r>
      <w:r w:rsidR="00822E70" w:rsidRPr="00822E70">
        <w:rPr>
          <w:lang w:eastAsia="en-US"/>
        </w:rPr>
        <w:t>ACCESS TO WIPO’S IP SERVICES</w:t>
      </w:r>
      <w:r>
        <w:rPr>
          <w:lang w:eastAsia="en-US"/>
        </w:rPr>
        <w:t xml:space="preserve"> and </w:t>
      </w:r>
      <w:r w:rsidRPr="00822E70">
        <w:rPr>
          <w:lang w:eastAsia="en-US"/>
        </w:rPr>
        <w:t xml:space="preserve">STEPS UNDERTAKEN TO ENSURE </w:t>
      </w:r>
      <w:r>
        <w:rPr>
          <w:lang w:eastAsia="en-US"/>
        </w:rPr>
        <w:t>that publications on wipo resource</w:t>
      </w:r>
      <w:r w:rsidR="004615ED">
        <w:rPr>
          <w:lang w:eastAsia="en-US"/>
        </w:rPr>
        <w:t>s</w:t>
      </w:r>
      <w:r>
        <w:rPr>
          <w:lang w:eastAsia="en-US"/>
        </w:rPr>
        <w:t xml:space="preserve"> and platforms </w:t>
      </w:r>
      <w:r w:rsidRPr="00822E70">
        <w:rPr>
          <w:lang w:eastAsia="en-US"/>
        </w:rPr>
        <w:t>COMPL</w:t>
      </w:r>
      <w:r>
        <w:rPr>
          <w:lang w:eastAsia="en-US"/>
        </w:rPr>
        <w:t>y</w:t>
      </w:r>
      <w:r w:rsidRPr="00822E70">
        <w:rPr>
          <w:lang w:eastAsia="en-US"/>
        </w:rPr>
        <w:t xml:space="preserve"> WITH THE PRINCIPLES OF SOVEREIGNTY, INDEPENDENCE, AND TERRITORIAL INTEGRITY OF UKRAINE</w:t>
      </w:r>
      <w:bookmarkEnd w:id="69"/>
      <w:r w:rsidRPr="00822E70">
        <w:rPr>
          <w:lang w:eastAsia="en-US"/>
        </w:rPr>
        <w:t xml:space="preserve"> </w:t>
      </w:r>
    </w:p>
    <w:p w14:paraId="6B057E82" w14:textId="7CF7BD5A" w:rsidR="00822E70" w:rsidRDefault="002D6BD3" w:rsidP="0074753B">
      <w:pPr>
        <w:pStyle w:val="Heading3"/>
        <w:ind w:left="1890" w:hanging="720"/>
        <w:rPr>
          <w:u w:val="none"/>
          <w:lang w:eastAsia="en-US"/>
        </w:rPr>
      </w:pPr>
      <w:bookmarkStart w:id="70" w:name="_Toc200545022"/>
      <w:r>
        <w:rPr>
          <w:u w:val="none"/>
          <w:lang w:eastAsia="en-US"/>
        </w:rPr>
        <w:t>4</w:t>
      </w:r>
      <w:r w:rsidR="0074753B">
        <w:rPr>
          <w:u w:val="none"/>
          <w:lang w:eastAsia="en-US"/>
        </w:rPr>
        <w:t>.1</w:t>
      </w:r>
      <w:r w:rsidR="0074753B">
        <w:rPr>
          <w:u w:val="none"/>
          <w:lang w:eastAsia="en-US"/>
        </w:rPr>
        <w:tab/>
      </w:r>
      <w:r w:rsidR="00822E70" w:rsidRPr="00822E70">
        <w:rPr>
          <w:lang w:eastAsia="en-US"/>
        </w:rPr>
        <w:t>Patent Cooperation Treaty (PCT)</w:t>
      </w:r>
      <w:bookmarkEnd w:id="70"/>
    </w:p>
    <w:p w14:paraId="4A684201" w14:textId="77777777" w:rsidR="0074753B" w:rsidRPr="00822E70" w:rsidRDefault="0074753B" w:rsidP="0074753B">
      <w:pPr>
        <w:rPr>
          <w:lang w:eastAsia="en-US"/>
        </w:rPr>
      </w:pPr>
    </w:p>
    <w:p w14:paraId="5CA20BD0" w14:textId="611D33CF" w:rsidR="00822E70" w:rsidRPr="00822E70" w:rsidRDefault="00822E70" w:rsidP="003D5C6A">
      <w:pPr>
        <w:pStyle w:val="ONUME"/>
        <w:tabs>
          <w:tab w:val="clear" w:pos="567"/>
          <w:tab w:val="clear" w:pos="1134"/>
          <w:tab w:val="num" w:pos="630"/>
        </w:tabs>
        <w:rPr>
          <w:lang w:eastAsia="en-US"/>
        </w:rPr>
      </w:pPr>
      <w:r w:rsidRPr="00822E70">
        <w:rPr>
          <w:lang w:eastAsia="en-US"/>
        </w:rPr>
        <w:t xml:space="preserve">Ukrainian applicants have continued to use the PCT System during the reporting period. </w:t>
      </w:r>
      <w:r w:rsidR="00385B28">
        <w:rPr>
          <w:lang w:eastAsia="en-US"/>
        </w:rPr>
        <w:t xml:space="preserve"> </w:t>
      </w:r>
      <w:r w:rsidRPr="00822E70">
        <w:rPr>
          <w:lang w:eastAsia="en-US"/>
        </w:rPr>
        <w:t>If applicants experience delays in meeting time limits, the PCT System provides appropriate extensions, exceptions, and other remedies, as set out in paragraph 106 of document A/64/8.</w:t>
      </w:r>
    </w:p>
    <w:p w14:paraId="4FAC1E1A" w14:textId="77777777" w:rsidR="00822E70" w:rsidRPr="00822E70" w:rsidRDefault="00822E70" w:rsidP="003D5C6A">
      <w:pPr>
        <w:pStyle w:val="ONUME"/>
        <w:tabs>
          <w:tab w:val="clear" w:pos="567"/>
          <w:tab w:val="clear" w:pos="1134"/>
          <w:tab w:val="num" w:pos="720"/>
        </w:tabs>
        <w:rPr>
          <w:lang w:eastAsia="en-US"/>
        </w:rPr>
      </w:pPr>
      <w:r w:rsidRPr="00822E70">
        <w:rPr>
          <w:lang w:eastAsia="en-US"/>
        </w:rPr>
        <w:t xml:space="preserve">Within the period from May 2024 to April 2025, UANIPIO has produced 50 international search reports as an International Searching Authority and International Preliminary Examining Authority. </w:t>
      </w:r>
    </w:p>
    <w:p w14:paraId="281E3F2A" w14:textId="3A021E4D" w:rsidR="00822E70" w:rsidRDefault="002D6BD3" w:rsidP="0074753B">
      <w:pPr>
        <w:pStyle w:val="Heading3"/>
        <w:ind w:left="1890" w:hanging="720"/>
        <w:rPr>
          <w:lang w:eastAsia="en-US"/>
        </w:rPr>
      </w:pPr>
      <w:bookmarkStart w:id="71" w:name="_Toc200545023"/>
      <w:r>
        <w:rPr>
          <w:u w:val="none"/>
          <w:lang w:eastAsia="en-US"/>
        </w:rPr>
        <w:t>4.2</w:t>
      </w:r>
      <w:r w:rsidR="0074753B">
        <w:rPr>
          <w:u w:val="none"/>
          <w:lang w:eastAsia="en-US"/>
        </w:rPr>
        <w:tab/>
      </w:r>
      <w:r w:rsidR="00822E70" w:rsidRPr="00822E70">
        <w:rPr>
          <w:lang w:eastAsia="en-US"/>
        </w:rPr>
        <w:t>Madrid System</w:t>
      </w:r>
      <w:bookmarkEnd w:id="71"/>
    </w:p>
    <w:p w14:paraId="7CF73ED0" w14:textId="77777777" w:rsidR="0074753B" w:rsidRPr="00822E70" w:rsidRDefault="0074753B" w:rsidP="0074753B">
      <w:pPr>
        <w:rPr>
          <w:lang w:eastAsia="en-US"/>
        </w:rPr>
      </w:pPr>
    </w:p>
    <w:p w14:paraId="18E03125" w14:textId="04E0EE10" w:rsidR="00822E70" w:rsidRPr="00822E70" w:rsidRDefault="00822E70" w:rsidP="003D5C6A">
      <w:pPr>
        <w:pStyle w:val="ONUME"/>
        <w:tabs>
          <w:tab w:val="clear" w:pos="567"/>
          <w:tab w:val="clear" w:pos="1134"/>
          <w:tab w:val="num" w:pos="630"/>
        </w:tabs>
        <w:rPr>
          <w:lang w:eastAsia="en-US"/>
        </w:rPr>
      </w:pPr>
      <w:r w:rsidRPr="00822E70">
        <w:rPr>
          <w:lang w:eastAsia="en-US"/>
        </w:rPr>
        <w:t xml:space="preserve">The International Bureau continued to facilitate access to relief measures for missed deadlines due to </w:t>
      </w:r>
      <w:r w:rsidRPr="002A2F56">
        <w:rPr>
          <w:i/>
          <w:iCs/>
          <w:lang w:eastAsia="en-US"/>
        </w:rPr>
        <w:t>force majeure</w:t>
      </w:r>
      <w:r w:rsidRPr="00822E70">
        <w:rPr>
          <w:lang w:eastAsia="en-US"/>
        </w:rPr>
        <w:t>, as provided for in Rule 5 of the Regulations under the Madrid Protocol, by waiving the evidence requirement and enabling late online payments for these such missed deadlines upon request to streamline this the process.</w:t>
      </w:r>
    </w:p>
    <w:p w14:paraId="403553AF" w14:textId="30D1D1FC" w:rsidR="00822E70" w:rsidRPr="00822E70" w:rsidRDefault="00822E70" w:rsidP="003D5C6A">
      <w:pPr>
        <w:pStyle w:val="ONUME"/>
        <w:tabs>
          <w:tab w:val="clear" w:pos="567"/>
          <w:tab w:val="clear" w:pos="1134"/>
          <w:tab w:val="num" w:pos="630"/>
        </w:tabs>
        <w:rPr>
          <w:lang w:eastAsia="en-US"/>
        </w:rPr>
      </w:pPr>
      <w:r w:rsidRPr="00822E70">
        <w:rPr>
          <w:lang w:eastAsia="en-US"/>
        </w:rPr>
        <w:t>Assistance regarding use of the Madrid e-Filing by Ukrainian applicants continued in 2024. Communication and cooperation on technical matters between the Ukrainian Office and International Bureau have ensured smooth operations and service delivery under the Madrid System in the country.</w:t>
      </w:r>
    </w:p>
    <w:p w14:paraId="784BDCF0" w14:textId="6FC5FD24" w:rsidR="00822E70" w:rsidRDefault="002D6BD3" w:rsidP="0074753B">
      <w:pPr>
        <w:pStyle w:val="Heading3"/>
        <w:ind w:left="1890" w:hanging="720"/>
        <w:rPr>
          <w:lang w:eastAsia="en-US"/>
        </w:rPr>
      </w:pPr>
      <w:bookmarkStart w:id="72" w:name="_Toc200545024"/>
      <w:r>
        <w:rPr>
          <w:u w:val="none"/>
          <w:lang w:eastAsia="en-US"/>
        </w:rPr>
        <w:t>4.3</w:t>
      </w:r>
      <w:r w:rsidR="0074753B">
        <w:rPr>
          <w:u w:val="none"/>
          <w:lang w:eastAsia="en-US"/>
        </w:rPr>
        <w:tab/>
      </w:r>
      <w:r w:rsidR="00822E70" w:rsidRPr="00822E70">
        <w:rPr>
          <w:lang w:eastAsia="en-US"/>
        </w:rPr>
        <w:t>Hague System</w:t>
      </w:r>
      <w:bookmarkEnd w:id="72"/>
    </w:p>
    <w:p w14:paraId="6FF3AFBD" w14:textId="77777777" w:rsidR="0074753B" w:rsidRPr="00822E70" w:rsidRDefault="0074753B" w:rsidP="0074753B">
      <w:pPr>
        <w:rPr>
          <w:lang w:eastAsia="en-US"/>
        </w:rPr>
      </w:pPr>
    </w:p>
    <w:p w14:paraId="58F00C0F" w14:textId="269A960C" w:rsidR="00822E70" w:rsidRPr="00822E70" w:rsidRDefault="00822E70" w:rsidP="003D5C6A">
      <w:pPr>
        <w:pStyle w:val="ONUME"/>
        <w:tabs>
          <w:tab w:val="clear" w:pos="567"/>
          <w:tab w:val="clear" w:pos="1134"/>
          <w:tab w:val="num" w:pos="630"/>
        </w:tabs>
        <w:rPr>
          <w:lang w:eastAsia="en-US"/>
        </w:rPr>
      </w:pPr>
      <w:r w:rsidRPr="00822E70">
        <w:rPr>
          <w:lang w:eastAsia="en-US"/>
        </w:rPr>
        <w:t>During the reporting period, there has been no request for application of Rule 5 “</w:t>
      </w:r>
      <w:r w:rsidRPr="00822E70">
        <w:rPr>
          <w:i/>
          <w:iCs/>
          <w:lang w:eastAsia="en-US"/>
        </w:rPr>
        <w:t>Excuse of Delay in Meeting Time Limits</w:t>
      </w:r>
      <w:r w:rsidRPr="00822E70">
        <w:rPr>
          <w:lang w:eastAsia="en-US"/>
        </w:rPr>
        <w:t xml:space="preserve">” of the Common Regulations under the 1999 Act and the 1960 Act of the Hague Agreement. </w:t>
      </w:r>
    </w:p>
    <w:p w14:paraId="0C0B742B" w14:textId="77777777" w:rsidR="00822E70" w:rsidRPr="00822E70" w:rsidRDefault="00822E70" w:rsidP="003D5C6A">
      <w:pPr>
        <w:pStyle w:val="ONUME"/>
        <w:tabs>
          <w:tab w:val="clear" w:pos="567"/>
          <w:tab w:val="clear" w:pos="1134"/>
          <w:tab w:val="num" w:pos="630"/>
        </w:tabs>
        <w:rPr>
          <w:lang w:eastAsia="en-US"/>
        </w:rPr>
      </w:pPr>
      <w:r w:rsidRPr="00822E70">
        <w:rPr>
          <w:lang w:eastAsia="en-US"/>
        </w:rPr>
        <w:t>Several participants from Ukraine took part in the Hague System public webinars during the reporting period.</w:t>
      </w:r>
    </w:p>
    <w:p w14:paraId="788DA300" w14:textId="220F8C9F" w:rsidR="00822E70" w:rsidRPr="002D6BD3" w:rsidRDefault="002D6BD3" w:rsidP="0074753B">
      <w:pPr>
        <w:pStyle w:val="Heading2"/>
        <w:tabs>
          <w:tab w:val="left" w:pos="1170"/>
        </w:tabs>
        <w:spacing w:after="220"/>
        <w:ind w:left="1181" w:hanging="634"/>
        <w:rPr>
          <w:iCs w:val="0"/>
          <w:caps w:val="0"/>
          <w:szCs w:val="26"/>
          <w:u w:val="single"/>
          <w:lang w:eastAsia="en-US"/>
        </w:rPr>
      </w:pPr>
      <w:r>
        <w:rPr>
          <w:iCs w:val="0"/>
          <w:caps w:val="0"/>
          <w:szCs w:val="26"/>
          <w:lang w:eastAsia="en-US"/>
        </w:rPr>
        <w:lastRenderedPageBreak/>
        <w:tab/>
      </w:r>
      <w:bookmarkStart w:id="73" w:name="_Toc200545025"/>
      <w:r w:rsidRPr="002D6BD3">
        <w:rPr>
          <w:iCs w:val="0"/>
          <w:caps w:val="0"/>
          <w:szCs w:val="26"/>
          <w:lang w:eastAsia="en-US"/>
        </w:rPr>
        <w:t>4.</w:t>
      </w:r>
      <w:r w:rsidR="004D3BE8">
        <w:rPr>
          <w:iCs w:val="0"/>
          <w:caps w:val="0"/>
          <w:szCs w:val="26"/>
          <w:lang w:eastAsia="en-US"/>
        </w:rPr>
        <w:t>4</w:t>
      </w:r>
      <w:r w:rsidR="0074753B" w:rsidRPr="002D6BD3">
        <w:rPr>
          <w:iCs w:val="0"/>
          <w:caps w:val="0"/>
          <w:szCs w:val="26"/>
          <w:lang w:eastAsia="en-US"/>
        </w:rPr>
        <w:tab/>
      </w:r>
      <w:r w:rsidR="00822E70" w:rsidRPr="002D6BD3">
        <w:rPr>
          <w:iCs w:val="0"/>
          <w:caps w:val="0"/>
          <w:szCs w:val="26"/>
          <w:u w:val="single"/>
          <w:lang w:eastAsia="en-US"/>
        </w:rPr>
        <w:t>Arbitration and Mediation</w:t>
      </w:r>
      <w:bookmarkEnd w:id="73"/>
    </w:p>
    <w:p w14:paraId="3267F6EB" w14:textId="79162E50" w:rsidR="00822E70" w:rsidRPr="00822E70" w:rsidRDefault="00822E70" w:rsidP="00822E70">
      <w:pPr>
        <w:pStyle w:val="ONUME"/>
        <w:rPr>
          <w:lang w:eastAsia="en-US"/>
        </w:rPr>
      </w:pPr>
      <w:r w:rsidRPr="00822E70">
        <w:rPr>
          <w:lang w:eastAsia="en-US"/>
        </w:rPr>
        <w:t xml:space="preserve">The WIPO Arbitration and Mediation Center (AMC) continued its cooperation with the Ministry of Economic of Ukraine to develop and promote IP </w:t>
      </w:r>
      <w:r w:rsidR="00396EF7">
        <w:rPr>
          <w:lang w:eastAsia="en-US"/>
        </w:rPr>
        <w:t>alternative dispute resolution (</w:t>
      </w:r>
      <w:r w:rsidRPr="00822E70">
        <w:rPr>
          <w:lang w:eastAsia="en-US"/>
        </w:rPr>
        <w:t>ADR</w:t>
      </w:r>
      <w:r w:rsidR="00396EF7">
        <w:rPr>
          <w:lang w:eastAsia="en-US"/>
        </w:rPr>
        <w:t>)</w:t>
      </w:r>
      <w:r w:rsidRPr="00822E70">
        <w:rPr>
          <w:lang w:eastAsia="en-US"/>
        </w:rPr>
        <w:t xml:space="preserve"> in Ukraine, including through raising awareness, capacity building, training specialized IP mediators and arbitrators and case administration. </w:t>
      </w:r>
      <w:r w:rsidR="007B1A7D">
        <w:rPr>
          <w:lang w:eastAsia="en-US"/>
        </w:rPr>
        <w:t xml:space="preserve"> </w:t>
      </w:r>
      <w:r w:rsidRPr="00822E70">
        <w:rPr>
          <w:lang w:eastAsia="en-US"/>
        </w:rPr>
        <w:t xml:space="preserve">In July 2024, the AMC participated in the International Forum on Mediation and Law, organized by the Ukrainian Academy of Mediation and the UANIPIO. </w:t>
      </w:r>
    </w:p>
    <w:p w14:paraId="59785A3B" w14:textId="6992720E" w:rsidR="00822E70" w:rsidRPr="00822E70" w:rsidRDefault="00822E70" w:rsidP="00822E70">
      <w:pPr>
        <w:pStyle w:val="ONUME"/>
        <w:rPr>
          <w:lang w:eastAsia="en-US"/>
        </w:rPr>
      </w:pPr>
      <w:r w:rsidRPr="00822E70">
        <w:rPr>
          <w:lang w:eastAsia="en-US"/>
        </w:rPr>
        <w:t xml:space="preserve">In the area of Internet domain names, the AMC is the dispute resolution provider for the national .UA domains, for which it has administered </w:t>
      </w:r>
      <w:r w:rsidR="004F456B">
        <w:rPr>
          <w:lang w:eastAsia="en-US"/>
        </w:rPr>
        <w:t>16</w:t>
      </w:r>
      <w:r w:rsidRPr="00822E70">
        <w:rPr>
          <w:lang w:eastAsia="en-US"/>
        </w:rPr>
        <w:t xml:space="preserve"> cases since last reported in 2024. </w:t>
      </w:r>
      <w:r w:rsidR="007B1A7D">
        <w:rPr>
          <w:lang w:eastAsia="en-US"/>
        </w:rPr>
        <w:t xml:space="preserve"> </w:t>
      </w:r>
      <w:r w:rsidRPr="00822E70">
        <w:rPr>
          <w:lang w:eastAsia="en-US"/>
        </w:rPr>
        <w:t xml:space="preserve">The AMC has also provided policy advice to the most recent updates to the </w:t>
      </w:r>
      <w:r w:rsidR="00396EF7">
        <w:rPr>
          <w:lang w:eastAsia="en-US"/>
        </w:rPr>
        <w:t>.</w:t>
      </w:r>
      <w:r w:rsidRPr="00822E70">
        <w:rPr>
          <w:lang w:eastAsia="en-US"/>
        </w:rPr>
        <w:t>UA authority’s dispute policy in February 2025.  </w:t>
      </w:r>
    </w:p>
    <w:p w14:paraId="792A607F" w14:textId="77777777" w:rsidR="00822E70" w:rsidRPr="00822E70" w:rsidRDefault="00822E70" w:rsidP="00822E70">
      <w:pPr>
        <w:pStyle w:val="ONUME"/>
        <w:rPr>
          <w:lang w:eastAsia="en-US"/>
        </w:rPr>
      </w:pPr>
      <w:r w:rsidRPr="00822E70">
        <w:rPr>
          <w:lang w:eastAsia="en-US"/>
        </w:rPr>
        <w:t>The AMC has also been organizing and participating in online events for Ukrainian stakeholders in 2024 and it remains available to provide further support when requested.  </w:t>
      </w:r>
    </w:p>
    <w:p w14:paraId="4273DEF5" w14:textId="16A04ECC" w:rsidR="00822E70" w:rsidRDefault="004D3BE8" w:rsidP="004D3BE8">
      <w:pPr>
        <w:pStyle w:val="Heading3"/>
        <w:ind w:left="1890" w:hanging="720"/>
        <w:rPr>
          <w:u w:val="none"/>
          <w:lang w:eastAsia="en-US"/>
        </w:rPr>
      </w:pPr>
      <w:bookmarkStart w:id="74" w:name="_Toc200545026"/>
      <w:r>
        <w:rPr>
          <w:u w:val="none"/>
          <w:lang w:eastAsia="en-US"/>
        </w:rPr>
        <w:t>4.5</w:t>
      </w:r>
      <w:r>
        <w:rPr>
          <w:u w:val="none"/>
          <w:lang w:eastAsia="en-US"/>
        </w:rPr>
        <w:tab/>
      </w:r>
      <w:r w:rsidRPr="004D3BE8">
        <w:rPr>
          <w:lang w:eastAsia="en-US"/>
        </w:rPr>
        <w:t>Steps Undertaken to Ensure that Publications on WIPO Resources and Platforms comply with the Principles of Sovereignty, Independence, and Territorial Integrity of Ukraine Within its Internationally Recognized Borders</w:t>
      </w:r>
      <w:bookmarkEnd w:id="74"/>
      <w:r w:rsidRPr="004D3BE8">
        <w:rPr>
          <w:u w:val="none"/>
          <w:lang w:eastAsia="en-US"/>
        </w:rPr>
        <w:t xml:space="preserve"> </w:t>
      </w:r>
    </w:p>
    <w:p w14:paraId="5F740D89" w14:textId="77777777" w:rsidR="004D3BE8" w:rsidRPr="004D3BE8" w:rsidRDefault="004D3BE8" w:rsidP="004D3BE8">
      <w:pPr>
        <w:rPr>
          <w:lang w:eastAsia="en-US"/>
        </w:rPr>
      </w:pPr>
    </w:p>
    <w:p w14:paraId="2C3794D5" w14:textId="77777777" w:rsidR="002A2F56" w:rsidRPr="00822E70" w:rsidRDefault="002A2F56" w:rsidP="003D5C6A">
      <w:pPr>
        <w:pStyle w:val="ONUME"/>
        <w:tabs>
          <w:tab w:val="clear" w:pos="567"/>
          <w:tab w:val="clear" w:pos="1134"/>
          <w:tab w:val="left" w:pos="540"/>
        </w:tabs>
        <w:rPr>
          <w:lang w:eastAsia="en-US"/>
        </w:rPr>
      </w:pPr>
      <w:r w:rsidRPr="00822E70">
        <w:rPr>
          <w:lang w:eastAsia="en-US"/>
        </w:rPr>
        <w:t xml:space="preserve">At the 2024 Assemblies of the Member States of WIPO, the International Bureau was requested “to take steps to ensure that publications on WIPO resources and platforms comply with the principles of sovereignty, independence, and territorial integrity of Ukraine within its internationally recognized borders”.  </w:t>
      </w:r>
    </w:p>
    <w:p w14:paraId="6B5569BF" w14:textId="77777777" w:rsidR="002A2F56" w:rsidRPr="00822E70" w:rsidRDefault="002A2F56" w:rsidP="002A2F56">
      <w:pPr>
        <w:pStyle w:val="ONUME"/>
        <w:rPr>
          <w:lang w:eastAsia="en-US"/>
        </w:rPr>
      </w:pPr>
      <w:r w:rsidRPr="00822E70">
        <w:rPr>
          <w:lang w:eastAsia="en-US"/>
        </w:rPr>
        <w:t>Further to the request of the Member States, the International Bureau considered carefully the steps it could take under the PCT, Madrid, Hague and Lisbon Systems, consistent with their respective treaty frameworks.  To implement the decision of the Member States, the International Bureau has:</w:t>
      </w:r>
    </w:p>
    <w:p w14:paraId="46C6B155" w14:textId="3C599915" w:rsidR="002A2F56" w:rsidRPr="00822E70" w:rsidRDefault="002A2F56" w:rsidP="002A2F56">
      <w:pPr>
        <w:pStyle w:val="ONUME"/>
        <w:numPr>
          <w:ilvl w:val="0"/>
          <w:numId w:val="0"/>
        </w:numPr>
        <w:ind w:left="567"/>
        <w:rPr>
          <w:lang w:eastAsia="en-US"/>
        </w:rPr>
      </w:pPr>
      <w:r w:rsidRPr="00822E70">
        <w:rPr>
          <w:lang w:eastAsia="en-US"/>
        </w:rPr>
        <w:t>a)</w:t>
      </w:r>
      <w:r w:rsidRPr="00822E70">
        <w:rPr>
          <w:lang w:eastAsia="en-US"/>
        </w:rPr>
        <w:tab/>
        <w:t>amended the existing general disclaimers in the terms of use of the PATENTSCOPE Database, the Global Brand Database and the Global Design Database</w:t>
      </w:r>
      <w:r>
        <w:rPr>
          <w:lang w:eastAsia="en-US"/>
        </w:rPr>
        <w:t>,</w:t>
      </w:r>
      <w:r w:rsidRPr="00822E70">
        <w:rPr>
          <w:vertAlign w:val="superscript"/>
          <w:lang w:eastAsia="en-US"/>
        </w:rPr>
        <w:footnoteReference w:id="26"/>
      </w:r>
      <w:r w:rsidRPr="00822E70">
        <w:rPr>
          <w:lang w:eastAsia="en-US"/>
        </w:rPr>
        <w:t xml:space="preserve"> by adding that no opinion is expressed either in relation to the legal status of any authorities or concerning the delimitation of frontiers or </w:t>
      </w:r>
      <w:proofErr w:type="gramStart"/>
      <w:r w:rsidRPr="00822E70">
        <w:rPr>
          <w:lang w:eastAsia="en-US"/>
        </w:rPr>
        <w:t>boundaries;</w:t>
      </w:r>
      <w:r w:rsidR="00E96EA1">
        <w:rPr>
          <w:lang w:eastAsia="en-US"/>
        </w:rPr>
        <w:t xml:space="preserve"> </w:t>
      </w:r>
      <w:r w:rsidRPr="00822E70">
        <w:rPr>
          <w:lang w:eastAsia="en-US"/>
        </w:rPr>
        <w:t xml:space="preserve"> and</w:t>
      </w:r>
      <w:proofErr w:type="gramEnd"/>
      <w:r w:rsidRPr="00822E70">
        <w:rPr>
          <w:lang w:eastAsia="en-US"/>
        </w:rPr>
        <w:t xml:space="preserve"> </w:t>
      </w:r>
    </w:p>
    <w:p w14:paraId="4F8DE7EA" w14:textId="77777777" w:rsidR="002A2F56" w:rsidRPr="00822E70" w:rsidRDefault="002A2F56" w:rsidP="002A2F56">
      <w:pPr>
        <w:pStyle w:val="ONUME"/>
        <w:numPr>
          <w:ilvl w:val="0"/>
          <w:numId w:val="0"/>
        </w:numPr>
        <w:ind w:left="567"/>
        <w:rPr>
          <w:lang w:eastAsia="en-US"/>
        </w:rPr>
      </w:pPr>
      <w:r w:rsidRPr="00822E70">
        <w:rPr>
          <w:lang w:eastAsia="en-US"/>
        </w:rPr>
        <w:t>b)</w:t>
      </w:r>
      <w:r w:rsidRPr="00822E70">
        <w:rPr>
          <w:lang w:eastAsia="en-US"/>
        </w:rPr>
        <w:tab/>
        <w:t>broadened the scope of existing disclaimers applicable to all international registrations through the Madrid System</w:t>
      </w:r>
      <w:r>
        <w:rPr>
          <w:rStyle w:val="FootnoteReference"/>
          <w:lang w:eastAsia="en-US"/>
        </w:rPr>
        <w:footnoteReference w:id="27"/>
      </w:r>
      <w:r w:rsidRPr="00822E70">
        <w:rPr>
          <w:lang w:eastAsia="en-US"/>
        </w:rPr>
        <w:t>, and where they did not exist already, introduced disclaimers for each record (PCT, Hague and Lisbon Systems)</w:t>
      </w:r>
      <w:r>
        <w:rPr>
          <w:lang w:eastAsia="en-US"/>
        </w:rPr>
        <w:t>,</w:t>
      </w:r>
      <w:r w:rsidRPr="00822E70">
        <w:rPr>
          <w:vertAlign w:val="superscript"/>
          <w:lang w:eastAsia="en-US"/>
        </w:rPr>
        <w:footnoteReference w:id="28"/>
      </w:r>
      <w:r w:rsidRPr="00822E70">
        <w:rPr>
          <w:lang w:eastAsia="en-US"/>
        </w:rPr>
        <w:t xml:space="preserve"> making it clear that the publication of data should not be interpreted as WIPO expressing any </w:t>
      </w:r>
      <w:r w:rsidRPr="00822E70">
        <w:rPr>
          <w:lang w:eastAsia="en-US"/>
        </w:rPr>
        <w:lastRenderedPageBreak/>
        <w:t>opinion concerning the legal status of any country, territory, city or area or of its authorities, or concerning the delimitation of its frontiers or boundaries.</w:t>
      </w:r>
    </w:p>
    <w:p w14:paraId="1206D447" w14:textId="77777777" w:rsidR="002A2F56" w:rsidRPr="0030349E" w:rsidRDefault="002A2F56" w:rsidP="002A2F56">
      <w:pPr>
        <w:pStyle w:val="ONUME"/>
        <w:rPr>
          <w:lang w:eastAsia="en-US"/>
        </w:rPr>
      </w:pPr>
      <w:r w:rsidRPr="00822E70">
        <w:rPr>
          <w:lang w:eastAsia="en-US"/>
        </w:rPr>
        <w:t xml:space="preserve">Similar disclaimers have been inserted in WIPO publications that report on or draw data from </w:t>
      </w:r>
      <w:r w:rsidRPr="0030349E">
        <w:rPr>
          <w:lang w:eastAsia="en-US"/>
        </w:rPr>
        <w:t>the above-mentioned four IP systems</w:t>
      </w:r>
      <w:r>
        <w:rPr>
          <w:lang w:eastAsia="en-US"/>
        </w:rPr>
        <w:t>.</w:t>
      </w:r>
      <w:r w:rsidRPr="0030349E">
        <w:rPr>
          <w:vertAlign w:val="superscript"/>
          <w:lang w:eastAsia="en-US"/>
        </w:rPr>
        <w:footnoteReference w:id="29"/>
      </w:r>
    </w:p>
    <w:p w14:paraId="50BD2857" w14:textId="51B4553E" w:rsidR="00822E70" w:rsidRPr="0030349E" w:rsidRDefault="0074753B" w:rsidP="0074753B">
      <w:pPr>
        <w:pStyle w:val="Heading1"/>
        <w:spacing w:after="220"/>
        <w:ind w:left="547" w:hanging="547"/>
        <w:rPr>
          <w:lang w:eastAsia="en-US"/>
        </w:rPr>
      </w:pPr>
      <w:bookmarkStart w:id="75" w:name="_Toc200545027"/>
      <w:r w:rsidRPr="0030349E">
        <w:rPr>
          <w:lang w:eastAsia="en-US"/>
        </w:rPr>
        <w:t>5.</w:t>
      </w:r>
      <w:r w:rsidRPr="0030349E">
        <w:rPr>
          <w:lang w:eastAsia="en-US"/>
        </w:rPr>
        <w:tab/>
      </w:r>
      <w:r w:rsidR="00822E70" w:rsidRPr="0030349E">
        <w:rPr>
          <w:lang w:eastAsia="en-US"/>
        </w:rPr>
        <w:t>CONCLUSIONS</w:t>
      </w:r>
      <w:bookmarkEnd w:id="75"/>
    </w:p>
    <w:p w14:paraId="03C1606F" w14:textId="618965EA" w:rsidR="00822E70" w:rsidRPr="00A35A1D" w:rsidRDefault="00DA158E" w:rsidP="00A35A1D">
      <w:pPr>
        <w:pStyle w:val="ONUME"/>
        <w:rPr>
          <w:lang w:eastAsia="en-US"/>
        </w:rPr>
      </w:pPr>
      <w:r>
        <w:rPr>
          <w:lang w:eastAsia="en-US"/>
        </w:rPr>
        <w:t>The</w:t>
      </w:r>
      <w:r w:rsidR="00822E70" w:rsidRPr="00A35A1D">
        <w:rPr>
          <w:lang w:eastAsia="en-US"/>
        </w:rPr>
        <w:t xml:space="preserve"> assessment undertaken</w:t>
      </w:r>
      <w:r>
        <w:rPr>
          <w:lang w:eastAsia="en-US"/>
        </w:rPr>
        <w:t xml:space="preserve"> by the International Bureau</w:t>
      </w:r>
      <w:r w:rsidR="00822E70" w:rsidRPr="00A35A1D">
        <w:rPr>
          <w:lang w:eastAsia="en-US"/>
        </w:rPr>
        <w:t>, through empirical, statistical, and anecdotal evidence from respondents, as well as</w:t>
      </w:r>
      <w:r>
        <w:rPr>
          <w:lang w:eastAsia="en-US"/>
        </w:rPr>
        <w:t xml:space="preserve"> through</w:t>
      </w:r>
      <w:r w:rsidR="00822E70" w:rsidRPr="00A35A1D">
        <w:rPr>
          <w:lang w:eastAsia="en-US"/>
        </w:rPr>
        <w:t xml:space="preserve"> data collected </w:t>
      </w:r>
      <w:r w:rsidR="005B1D71">
        <w:rPr>
          <w:lang w:eastAsia="en-US"/>
        </w:rPr>
        <w:t xml:space="preserve">both </w:t>
      </w:r>
      <w:r w:rsidR="00822E70" w:rsidRPr="00A35A1D">
        <w:rPr>
          <w:lang w:eastAsia="en-US"/>
        </w:rPr>
        <w:t xml:space="preserve">by WIPO and other international organizations, </w:t>
      </w:r>
      <w:r w:rsidR="005B1D71">
        <w:rPr>
          <w:lang w:eastAsia="en-US"/>
        </w:rPr>
        <w:t xml:space="preserve">demonstrates that </w:t>
      </w:r>
      <w:r w:rsidR="00822E70" w:rsidRPr="00A35A1D">
        <w:rPr>
          <w:lang w:eastAsia="en-US"/>
        </w:rPr>
        <w:t xml:space="preserve">the ongoing war </w:t>
      </w:r>
      <w:r w:rsidR="00A35A1D" w:rsidRPr="00A35A1D">
        <w:rPr>
          <w:lang w:eastAsia="en-US"/>
        </w:rPr>
        <w:t>continues</w:t>
      </w:r>
      <w:r w:rsidR="00822E70" w:rsidRPr="00A35A1D">
        <w:rPr>
          <w:lang w:eastAsia="en-US"/>
        </w:rPr>
        <w:t xml:space="preserve"> to</w:t>
      </w:r>
      <w:r w:rsidR="00A35A1D" w:rsidRPr="00A35A1D">
        <w:rPr>
          <w:lang w:eastAsia="en-US"/>
        </w:rPr>
        <w:t xml:space="preserve"> have a</w:t>
      </w:r>
      <w:r w:rsidR="00822E70" w:rsidRPr="00A35A1D">
        <w:rPr>
          <w:lang w:eastAsia="en-US"/>
        </w:rPr>
        <w:t xml:space="preserve"> significant negative impact </w:t>
      </w:r>
      <w:r w:rsidR="00A35A1D" w:rsidRPr="00A35A1D">
        <w:rPr>
          <w:lang w:eastAsia="en-US"/>
        </w:rPr>
        <w:t xml:space="preserve">on </w:t>
      </w:r>
      <w:r w:rsidR="00822E70" w:rsidRPr="00A35A1D">
        <w:rPr>
          <w:lang w:eastAsia="en-US"/>
        </w:rPr>
        <w:t>the innovation and creativity sector and ecosystem in Ukraine. The mid- and long-term outlook remains uncertain given the evolving security situation</w:t>
      </w:r>
      <w:r w:rsidR="00A35A1D" w:rsidRPr="00A35A1D">
        <w:rPr>
          <w:lang w:eastAsia="en-US"/>
        </w:rPr>
        <w:t xml:space="preserve"> and prospects for peace and recovery</w:t>
      </w:r>
      <w:r w:rsidR="00822E70" w:rsidRPr="00A35A1D">
        <w:rPr>
          <w:lang w:eastAsia="en-US"/>
        </w:rPr>
        <w:t xml:space="preserve">. </w:t>
      </w:r>
    </w:p>
    <w:p w14:paraId="26A44575" w14:textId="24385062" w:rsidR="00822E70" w:rsidRPr="0030349E" w:rsidRDefault="00822E70" w:rsidP="00471B8A">
      <w:pPr>
        <w:pStyle w:val="ONUME"/>
        <w:rPr>
          <w:lang w:eastAsia="en-US"/>
        </w:rPr>
      </w:pPr>
      <w:bookmarkStart w:id="76" w:name="_Hlk199490417"/>
      <w:r w:rsidRPr="0030349E">
        <w:rPr>
          <w:lang w:eastAsia="en-US"/>
        </w:rPr>
        <w:t>The International Bureau</w:t>
      </w:r>
      <w:r w:rsidR="00072DCE">
        <w:rPr>
          <w:lang w:eastAsia="en-US"/>
        </w:rPr>
        <w:t>,</w:t>
      </w:r>
      <w:r w:rsidRPr="0030349E">
        <w:rPr>
          <w:lang w:eastAsia="en-US"/>
        </w:rPr>
        <w:t xml:space="preserve"> in close cooperation with Ukraine</w:t>
      </w:r>
      <w:r w:rsidR="00072DCE">
        <w:rPr>
          <w:lang w:eastAsia="en-US"/>
        </w:rPr>
        <w:t>,</w:t>
      </w:r>
      <w:r w:rsidRPr="0030349E">
        <w:rPr>
          <w:lang w:eastAsia="en-US"/>
        </w:rPr>
        <w:t xml:space="preserve"> continued to ensure </w:t>
      </w:r>
      <w:r w:rsidR="00A35A1D">
        <w:rPr>
          <w:lang w:eastAsia="en-US"/>
        </w:rPr>
        <w:t xml:space="preserve">a </w:t>
      </w:r>
      <w:r w:rsidRPr="0030349E">
        <w:rPr>
          <w:lang w:eastAsia="en-US"/>
        </w:rPr>
        <w:t xml:space="preserve">comprehensive framework </w:t>
      </w:r>
      <w:r w:rsidR="005B1D71">
        <w:rPr>
          <w:lang w:eastAsia="en-US"/>
        </w:rPr>
        <w:t>for</w:t>
      </w:r>
      <w:r w:rsidR="005B1D71" w:rsidRPr="0030349E">
        <w:rPr>
          <w:lang w:eastAsia="en-US"/>
        </w:rPr>
        <w:t xml:space="preserve"> </w:t>
      </w:r>
      <w:r w:rsidRPr="0030349E">
        <w:rPr>
          <w:lang w:eastAsia="en-US"/>
        </w:rPr>
        <w:t xml:space="preserve">support and assistance from across various programs and initiatives to the creators, innovators, and members of the IP community, focusing on mitigating the adverse effects of the war and rebuilding an innovative and creative ecosystem in Ukraine that benefits all stakeholders and strengthens the country’s economy. </w:t>
      </w:r>
      <w:bookmarkEnd w:id="76"/>
      <w:r w:rsidR="00E96EA1">
        <w:rPr>
          <w:lang w:eastAsia="en-US"/>
        </w:rPr>
        <w:t xml:space="preserve"> </w:t>
      </w:r>
      <w:r w:rsidRPr="0030349E">
        <w:rPr>
          <w:lang w:eastAsia="en-US"/>
        </w:rPr>
        <w:t xml:space="preserve">The International Bureau reiterates its commitment to </w:t>
      </w:r>
      <w:r w:rsidR="00471B8A">
        <w:rPr>
          <w:lang w:eastAsia="en-US"/>
        </w:rPr>
        <w:t xml:space="preserve">continuing its </w:t>
      </w:r>
      <w:r w:rsidRPr="0030349E">
        <w:rPr>
          <w:lang w:eastAsia="en-US"/>
        </w:rPr>
        <w:t>close co</w:t>
      </w:r>
      <w:r w:rsidR="00471B8A">
        <w:rPr>
          <w:lang w:eastAsia="en-US"/>
        </w:rPr>
        <w:t xml:space="preserve">operation </w:t>
      </w:r>
      <w:r w:rsidRPr="0030349E">
        <w:rPr>
          <w:lang w:eastAsia="en-US"/>
        </w:rPr>
        <w:t>with Ukraine and provid</w:t>
      </w:r>
      <w:r w:rsidR="00471B8A">
        <w:rPr>
          <w:lang w:eastAsia="en-US"/>
        </w:rPr>
        <w:t>ing</w:t>
      </w:r>
      <w:r w:rsidRPr="0030349E">
        <w:rPr>
          <w:lang w:eastAsia="en-US"/>
        </w:rPr>
        <w:t xml:space="preserve"> </w:t>
      </w:r>
      <w:r w:rsidR="00471B8A">
        <w:rPr>
          <w:lang w:eastAsia="en-US"/>
        </w:rPr>
        <w:t>its full</w:t>
      </w:r>
      <w:r w:rsidRPr="0030349E">
        <w:rPr>
          <w:lang w:eastAsia="en-US"/>
        </w:rPr>
        <w:t xml:space="preserve"> support and assistance. </w:t>
      </w:r>
    </w:p>
    <w:p w14:paraId="3AD4F806" w14:textId="13487A13" w:rsidR="00657256" w:rsidRPr="00822E70" w:rsidRDefault="00822E70" w:rsidP="00822E70">
      <w:pPr>
        <w:pStyle w:val="ONUME"/>
        <w:rPr>
          <w:b/>
          <w:bCs/>
          <w:lang w:eastAsia="en-US"/>
        </w:rPr>
      </w:pPr>
      <w:r w:rsidRPr="00822E70">
        <w:rPr>
          <w:lang w:eastAsia="en-US"/>
        </w:rPr>
        <w:t>The International Bureau remains ready to provide any additional information requested by Member States</w:t>
      </w:r>
      <w:r w:rsidR="00471B8A">
        <w:rPr>
          <w:lang w:eastAsia="en-US"/>
        </w:rPr>
        <w:t>.</w:t>
      </w:r>
    </w:p>
    <w:sectPr w:rsidR="00657256" w:rsidRPr="00822E70" w:rsidSect="00C9293C">
      <w:headerReference w:type="default" r:id="rId2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ACD6" w14:textId="77777777" w:rsidR="004029FF" w:rsidRDefault="004029FF">
      <w:r>
        <w:separator/>
      </w:r>
    </w:p>
  </w:endnote>
  <w:endnote w:type="continuationSeparator" w:id="0">
    <w:p w14:paraId="495BD516" w14:textId="77777777" w:rsidR="004029FF" w:rsidRDefault="004029FF" w:rsidP="003B38C1">
      <w:r>
        <w:separator/>
      </w:r>
    </w:p>
    <w:p w14:paraId="630A7B97" w14:textId="77777777" w:rsidR="004029FF" w:rsidRPr="003B38C1" w:rsidRDefault="004029FF" w:rsidP="003B38C1">
      <w:pPr>
        <w:spacing w:after="60"/>
        <w:rPr>
          <w:sz w:val="17"/>
        </w:rPr>
      </w:pPr>
      <w:r>
        <w:rPr>
          <w:sz w:val="17"/>
        </w:rPr>
        <w:t>[Endnote continued from previous page]</w:t>
      </w:r>
    </w:p>
  </w:endnote>
  <w:endnote w:type="continuationNotice" w:id="1">
    <w:p w14:paraId="034C9F84" w14:textId="77777777" w:rsidR="004029FF" w:rsidRPr="003B38C1" w:rsidRDefault="004029F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779D" w14:textId="77777777" w:rsidR="004029FF" w:rsidRDefault="004029FF">
      <w:r>
        <w:separator/>
      </w:r>
    </w:p>
  </w:footnote>
  <w:footnote w:type="continuationSeparator" w:id="0">
    <w:p w14:paraId="240E2D73" w14:textId="77777777" w:rsidR="004029FF" w:rsidRDefault="004029FF" w:rsidP="008B60B2">
      <w:r>
        <w:separator/>
      </w:r>
    </w:p>
    <w:p w14:paraId="4EF25ECE" w14:textId="77777777" w:rsidR="004029FF" w:rsidRPr="00ED77FB" w:rsidRDefault="004029FF" w:rsidP="008B60B2">
      <w:pPr>
        <w:spacing w:after="60"/>
        <w:rPr>
          <w:sz w:val="17"/>
          <w:szCs w:val="17"/>
        </w:rPr>
      </w:pPr>
      <w:r w:rsidRPr="00ED77FB">
        <w:rPr>
          <w:sz w:val="17"/>
          <w:szCs w:val="17"/>
        </w:rPr>
        <w:t>[Footnote continued from previous page]</w:t>
      </w:r>
    </w:p>
  </w:footnote>
  <w:footnote w:type="continuationNotice" w:id="1">
    <w:p w14:paraId="07B0C601" w14:textId="77777777" w:rsidR="004029FF" w:rsidRPr="00ED77FB" w:rsidRDefault="004029FF" w:rsidP="008B60B2">
      <w:pPr>
        <w:spacing w:before="60"/>
        <w:jc w:val="right"/>
        <w:rPr>
          <w:sz w:val="17"/>
          <w:szCs w:val="17"/>
        </w:rPr>
      </w:pPr>
      <w:r w:rsidRPr="00ED77FB">
        <w:rPr>
          <w:sz w:val="17"/>
          <w:szCs w:val="17"/>
        </w:rPr>
        <w:t>[Footnote continued on next page]</w:t>
      </w:r>
    </w:p>
  </w:footnote>
  <w:footnote w:id="2">
    <w:p w14:paraId="082B0AC6" w14:textId="77777777" w:rsidR="00FD6164" w:rsidRPr="00280CF9" w:rsidRDefault="00FD6164" w:rsidP="00FD6164">
      <w:pPr>
        <w:pStyle w:val="FootnoteText"/>
      </w:pPr>
      <w:r>
        <w:rPr>
          <w:rStyle w:val="FootnoteReference"/>
        </w:rPr>
        <w:footnoteRef/>
      </w:r>
      <w:r>
        <w:t xml:space="preserve"> </w:t>
      </w:r>
      <w:r w:rsidRPr="00280CF9">
        <w:t>Anne Himmelfarb.</w:t>
      </w:r>
    </w:p>
    <w:p w14:paraId="76490F6A" w14:textId="716CFD2E" w:rsidR="00FD6164" w:rsidRPr="00E0193C" w:rsidRDefault="00FD6164" w:rsidP="00FD6164">
      <w:pPr>
        <w:pStyle w:val="FootnoteText"/>
      </w:pPr>
      <w:r w:rsidRPr="00280CF9">
        <w:rPr>
          <w:i/>
          <w:iCs/>
        </w:rPr>
        <w:t>Ukraine - Fourth Rapid Damage and Needs Assessment (RDNA4) : February 2022 - December 2024 (English). </w:t>
      </w:r>
      <w:r w:rsidRPr="00280CF9">
        <w:t>Washington, D.C.: World Bank Group. </w:t>
      </w:r>
      <w:hyperlink r:id="rId1" w:history="1">
        <w:r w:rsidR="00A10BFF" w:rsidRPr="004B19EA">
          <w:rPr>
            <w:rStyle w:val="Hyperlink"/>
          </w:rPr>
          <w:t>http://documents.worldbank.org/curated/en/099022025114040022</w:t>
        </w:r>
      </w:hyperlink>
      <w:r w:rsidR="00A10BFF">
        <w:t xml:space="preserve"> </w:t>
      </w:r>
    </w:p>
  </w:footnote>
  <w:footnote w:id="3">
    <w:p w14:paraId="6BE14C44" w14:textId="2DF9579E" w:rsidR="00FD6164" w:rsidRDefault="00FD6164" w:rsidP="00FD6164">
      <w:pPr>
        <w:pStyle w:val="FootnoteText"/>
      </w:pPr>
      <w:r>
        <w:rPr>
          <w:rStyle w:val="FootnoteReference"/>
        </w:rPr>
        <w:footnoteRef/>
      </w:r>
      <w:r>
        <w:t xml:space="preserve"> </w:t>
      </w:r>
      <w:r w:rsidR="00DB49DA" w:rsidRPr="00DB49DA">
        <w:t>UNESCO</w:t>
      </w:r>
      <w:r w:rsidR="007F20E3">
        <w:t>, “</w:t>
      </w:r>
      <w:r w:rsidR="00DB49DA" w:rsidRPr="00DB49DA">
        <w:t>Damaged Cultural Sites in Ukraine Verified by UNESCO</w:t>
      </w:r>
      <w:bookmarkStart w:id="14" w:name="_Hlk199953178"/>
      <w:r w:rsidR="007F20E3">
        <w:t>”</w:t>
      </w:r>
      <w:bookmarkEnd w:id="14"/>
      <w:r w:rsidR="007F20E3">
        <w:t xml:space="preserve">, </w:t>
      </w:r>
      <w:r w:rsidR="00DB49DA" w:rsidRPr="00DB49DA">
        <w:t xml:space="preserve">July 2023. </w:t>
      </w:r>
      <w:hyperlink r:id="rId2" w:history="1">
        <w:r w:rsidR="00A10BFF" w:rsidRPr="004B19EA">
          <w:rPr>
            <w:rStyle w:val="Hyperlink"/>
          </w:rPr>
          <w:t>https://www.unesco.org/en/articles/damaged-cultural-sites-ukraine-verified-unesco</w:t>
        </w:r>
      </w:hyperlink>
      <w:r w:rsidR="00A10BFF">
        <w:t xml:space="preserve"> </w:t>
      </w:r>
    </w:p>
  </w:footnote>
  <w:footnote w:id="4">
    <w:p w14:paraId="3D37C929" w14:textId="78DE616B" w:rsidR="00FD6164" w:rsidRDefault="00FD6164" w:rsidP="00FD6164">
      <w:pPr>
        <w:pStyle w:val="FootnoteText"/>
      </w:pPr>
      <w:r>
        <w:rPr>
          <w:rStyle w:val="FootnoteReference"/>
        </w:rPr>
        <w:footnoteRef/>
      </w:r>
      <w:r>
        <w:t xml:space="preserve"> </w:t>
      </w:r>
      <w:r w:rsidR="00522557" w:rsidRPr="00522557">
        <w:t>OHCHR</w:t>
      </w:r>
      <w:r w:rsidR="00B25551">
        <w:t>,</w:t>
      </w:r>
      <w:r w:rsidR="00522557" w:rsidRPr="00522557">
        <w:t xml:space="preserve"> </w:t>
      </w:r>
      <w:r w:rsidR="00B25551">
        <w:t>“</w:t>
      </w:r>
      <w:r w:rsidR="00E5598F">
        <w:t xml:space="preserve">Fact </w:t>
      </w:r>
      <w:r w:rsidR="00195AB7">
        <w:t>sheet - Three</w:t>
      </w:r>
      <w:r w:rsidR="00522557" w:rsidRPr="00522557">
        <w:t xml:space="preserve"> years</w:t>
      </w:r>
      <w:r w:rsidR="00195AB7">
        <w:t xml:space="preserve"> since the full</w:t>
      </w:r>
      <w:r w:rsidR="00A654EB">
        <w:t>-</w:t>
      </w:r>
      <w:r w:rsidR="00195AB7">
        <w:t>scale invasion</w:t>
      </w:r>
      <w:r w:rsidR="00A654EB">
        <w:t xml:space="preserve"> </w:t>
      </w:r>
      <w:r w:rsidR="00522557" w:rsidRPr="00522557">
        <w:t>of Ukraine</w:t>
      </w:r>
      <w:r w:rsidR="00A654EB">
        <w:t xml:space="preserve">: Key facts and findings about the impact on human rights </w:t>
      </w:r>
      <w:r w:rsidR="000275FF">
        <w:t>24 February 2022 to February 2025</w:t>
      </w:r>
      <w:r w:rsidR="00134EE8">
        <w:t>”,</w:t>
      </w:r>
      <w:r w:rsidR="00522557" w:rsidRPr="00522557">
        <w:t xml:space="preserve"> February 2025. </w:t>
      </w:r>
      <w:hyperlink r:id="rId3" w:history="1">
        <w:r w:rsidR="009E386E" w:rsidRPr="00FE3911">
          <w:rPr>
            <w:rStyle w:val="Hyperlink"/>
          </w:rPr>
          <w:t>https://ukraine.ohchr.org/sites/default/files/2025-02/Human%20rights%203%20years%20into%20Russia%27s%20full-scale%20invasion%20of%20Ukraine_factsheet%20%28ENG%29.pdf</w:t>
        </w:r>
      </w:hyperlink>
      <w:r w:rsidR="009E386E">
        <w:t xml:space="preserve"> </w:t>
      </w:r>
      <w:r w:rsidR="00A10BFF">
        <w:t xml:space="preserve">  </w:t>
      </w:r>
      <w:r w:rsidR="009E386E">
        <w:t xml:space="preserve"> </w:t>
      </w:r>
    </w:p>
  </w:footnote>
  <w:footnote w:id="5">
    <w:p w14:paraId="202CF87F" w14:textId="34D8F34B" w:rsidR="00FD6164" w:rsidRPr="00334EB2" w:rsidRDefault="00FD6164" w:rsidP="00FD6164">
      <w:pPr>
        <w:pStyle w:val="FootnoteText"/>
      </w:pPr>
      <w:r>
        <w:rPr>
          <w:rStyle w:val="FootnoteReference"/>
        </w:rPr>
        <w:footnoteRef/>
      </w:r>
      <w:r w:rsidRPr="00334EB2">
        <w:t xml:space="preserve"> </w:t>
      </w:r>
      <w:r w:rsidR="00367635" w:rsidRPr="00334EB2">
        <w:t>UNHCR</w:t>
      </w:r>
      <w:r w:rsidR="00134EE8" w:rsidRPr="00334EB2">
        <w:t xml:space="preserve">, </w:t>
      </w:r>
      <w:r w:rsidR="00926C52" w:rsidRPr="00334EB2">
        <w:t>“</w:t>
      </w:r>
      <w:r w:rsidR="00134EE8" w:rsidRPr="00334EB2">
        <w:t>U</w:t>
      </w:r>
      <w:r w:rsidR="00367635" w:rsidRPr="00334EB2">
        <w:t>kraine Refugee Situation</w:t>
      </w:r>
      <w:r w:rsidR="00926C52" w:rsidRPr="00334EB2">
        <w:t>”</w:t>
      </w:r>
      <w:r w:rsidR="00367635" w:rsidRPr="00334EB2">
        <w:t>.</w:t>
      </w:r>
      <w:r w:rsidR="00ED066A" w:rsidRPr="00334EB2">
        <w:t xml:space="preserve"> </w:t>
      </w:r>
      <w:r w:rsidR="00367635" w:rsidRPr="00334EB2">
        <w:t xml:space="preserve"> </w:t>
      </w:r>
      <w:hyperlink r:id="rId4" w:history="1">
        <w:r w:rsidR="00A10BFF" w:rsidRPr="00334EB2">
          <w:rPr>
            <w:rStyle w:val="Hyperlink"/>
          </w:rPr>
          <w:t>https://data.unhcr.org/en/situations/ukraine</w:t>
        </w:r>
      </w:hyperlink>
      <w:r w:rsidR="00A10BFF" w:rsidRPr="00334EB2">
        <w:t xml:space="preserve"> </w:t>
      </w:r>
    </w:p>
  </w:footnote>
  <w:footnote w:id="6">
    <w:p w14:paraId="7845E85D" w14:textId="78F05217" w:rsidR="00FD6164" w:rsidRDefault="00FD6164" w:rsidP="00FD6164">
      <w:pPr>
        <w:pStyle w:val="FootnoteText"/>
      </w:pPr>
      <w:r>
        <w:rPr>
          <w:rStyle w:val="FootnoteReference"/>
        </w:rPr>
        <w:footnoteRef/>
      </w:r>
      <w:r>
        <w:t xml:space="preserve"> </w:t>
      </w:r>
      <w:r w:rsidRPr="00EC3BE2">
        <w:t xml:space="preserve">International Organization for Migration (IOM), </w:t>
      </w:r>
      <w:r w:rsidR="000B37AD">
        <w:t>“</w:t>
      </w:r>
      <w:r w:rsidRPr="00EC3BE2">
        <w:t>Ukraine Displacement Report</w:t>
      </w:r>
      <w:r w:rsidR="00234E9C">
        <w:t>”</w:t>
      </w:r>
      <w:r w:rsidRPr="00EC3BE2">
        <w:t xml:space="preserve"> January 2025. </w:t>
      </w:r>
      <w:r w:rsidR="00A10BFF">
        <w:t xml:space="preserve"> </w:t>
      </w:r>
      <w:hyperlink r:id="rId5" w:history="1">
        <w:r w:rsidR="00A10BFF" w:rsidRPr="004B19EA">
          <w:rPr>
            <w:rStyle w:val="Hyperlink"/>
          </w:rPr>
          <w:t>https://crisisresponse.iom.int/sites/g/files/tmzbdl1481/files/appeal/documents/IOM_UKR_Internal%20Displacement%20Report_GPS%20R19_January%202025.pdf</w:t>
        </w:r>
      </w:hyperlink>
      <w:r w:rsidR="00A10BFF">
        <w:t xml:space="preserve"> </w:t>
      </w:r>
    </w:p>
  </w:footnote>
  <w:footnote w:id="7">
    <w:p w14:paraId="713A0871" w14:textId="6DAFE050" w:rsidR="004D3BE8" w:rsidRDefault="004D3BE8">
      <w:pPr>
        <w:pStyle w:val="FootnoteText"/>
      </w:pPr>
      <w:r>
        <w:rPr>
          <w:rStyle w:val="FootnoteReference"/>
        </w:rPr>
        <w:footnoteRef/>
      </w:r>
      <w:r>
        <w:t xml:space="preserve"> </w:t>
      </w:r>
      <w:r w:rsidRPr="004D3BE8">
        <w:t>IMF and Ukrainian Authorities Reach Staff Level Agreement on the Eighth Review of the Extended Fund Facility (EFF) Arrangement</w:t>
      </w:r>
      <w:r>
        <w:t xml:space="preserve">, Press Release, May 2025: </w:t>
      </w:r>
      <w:hyperlink r:id="rId6" w:anchor=":~:text=%E2%80%9CThe%20economy%20remains%20resilient%20despite,and%20damage%20to%20energy%20infrastructure." w:history="1">
        <w:r w:rsidRPr="004D3BE8">
          <w:rPr>
            <w:rStyle w:val="Hyperlink"/>
          </w:rPr>
          <w:t>link to the Press Release</w:t>
        </w:r>
      </w:hyperlink>
    </w:p>
  </w:footnote>
  <w:footnote w:id="8">
    <w:p w14:paraId="2CF03BE3" w14:textId="3D80CA49" w:rsidR="00FD6164" w:rsidRPr="00CA2130" w:rsidRDefault="00FD6164" w:rsidP="00FD6164">
      <w:pPr>
        <w:pStyle w:val="FootnoteText"/>
      </w:pPr>
      <w:r>
        <w:rPr>
          <w:rStyle w:val="FootnoteReference"/>
        </w:rPr>
        <w:footnoteRef/>
      </w:r>
      <w:r>
        <w:t xml:space="preserve"> </w:t>
      </w:r>
      <w:r w:rsidR="0084417A">
        <w:t>Order</w:t>
      </w:r>
      <w:r w:rsidR="0084417A" w:rsidRPr="00A2262D">
        <w:t xml:space="preserve"> </w:t>
      </w:r>
      <w:r w:rsidRPr="00A2262D">
        <w:t>of the Cabinet of Ministers of Ukraine</w:t>
      </w:r>
      <w:r w:rsidRPr="00A2262D">
        <w:rPr>
          <w:rStyle w:val="FootnoteReference"/>
        </w:rPr>
        <w:t xml:space="preserve"> </w:t>
      </w:r>
      <w:r w:rsidR="009D1048">
        <w:t>o</w:t>
      </w:r>
      <w:r w:rsidRPr="00A2262D">
        <w:t xml:space="preserve">n </w:t>
      </w:r>
      <w:r w:rsidR="000126C2">
        <w:t xml:space="preserve">the </w:t>
      </w:r>
      <w:r w:rsidRPr="00A2262D">
        <w:t xml:space="preserve">Approval of the </w:t>
      </w:r>
      <w:r w:rsidRPr="009443FF">
        <w:t>Strategy for the Digital Development of Ukraine's Innovation Activities for the Period up to 2030 and Approval of the Operational Action Plan for its Implementation in 2025-2027</w:t>
      </w:r>
      <w:r w:rsidRPr="00A2262D">
        <w:t xml:space="preserve"> of </w:t>
      </w:r>
      <w:r>
        <w:t>December</w:t>
      </w:r>
      <w:r w:rsidRPr="00A2262D">
        <w:t xml:space="preserve"> </w:t>
      </w:r>
      <w:r w:rsidR="00DE210B">
        <w:t>3</w:t>
      </w:r>
      <w:r>
        <w:t>1</w:t>
      </w:r>
      <w:r w:rsidRPr="00A2262D">
        <w:t>, 20</w:t>
      </w:r>
      <w:r>
        <w:t>24</w:t>
      </w:r>
      <w:r w:rsidRPr="00A2262D">
        <w:t xml:space="preserve"> No. </w:t>
      </w:r>
      <w:r>
        <w:t>1351-p</w:t>
      </w:r>
      <w:r>
        <w:rPr>
          <w:szCs w:val="18"/>
        </w:rPr>
        <w:t xml:space="preserve"> </w:t>
      </w:r>
      <w:hyperlink r:id="rId7" w:anchor="Text" w:history="1">
        <w:r w:rsidRPr="00BB26C4">
          <w:rPr>
            <w:rStyle w:val="Hyperlink"/>
            <w:szCs w:val="18"/>
          </w:rPr>
          <w:t>https://zakon.rada.gov.ua/laws/show/1351-2024-%D1%80#Text</w:t>
        </w:r>
      </w:hyperlink>
      <w:r>
        <w:rPr>
          <w:szCs w:val="18"/>
        </w:rPr>
        <w:t xml:space="preserve"> </w:t>
      </w:r>
      <w:r w:rsidRPr="00A2262D">
        <w:rPr>
          <w:szCs w:val="18"/>
        </w:rPr>
        <w:t>(in Ukrainian)</w:t>
      </w:r>
      <w:r w:rsidR="00D66AAD">
        <w:rPr>
          <w:szCs w:val="18"/>
        </w:rPr>
        <w:t>.</w:t>
      </w:r>
    </w:p>
  </w:footnote>
  <w:footnote w:id="9">
    <w:p w14:paraId="381097F3" w14:textId="0E0A4D78" w:rsidR="00657256" w:rsidRDefault="00657256">
      <w:pPr>
        <w:pStyle w:val="FootnoteText"/>
      </w:pPr>
      <w:r>
        <w:rPr>
          <w:rStyle w:val="FootnoteReference"/>
        </w:rPr>
        <w:footnoteRef/>
      </w:r>
      <w:r>
        <w:t xml:space="preserve"> </w:t>
      </w:r>
      <w:r w:rsidRPr="00B115BF">
        <w:t xml:space="preserve">Order of the Cabinet of Ministers of Ukraine </w:t>
      </w:r>
      <w:r w:rsidR="009D1048">
        <w:t>o</w:t>
      </w:r>
      <w:r w:rsidRPr="00B115BF">
        <w:t xml:space="preserve">n </w:t>
      </w:r>
      <w:r w:rsidR="000126C2">
        <w:t xml:space="preserve">the </w:t>
      </w:r>
      <w:r>
        <w:t>A</w:t>
      </w:r>
      <w:r w:rsidRPr="00B115BF">
        <w:t xml:space="preserve">pproval of the Strategy for the Development of Culture in Ukraine for the </w:t>
      </w:r>
      <w:r>
        <w:t>P</w:t>
      </w:r>
      <w:r w:rsidRPr="00B115BF">
        <w:t xml:space="preserve">eriod </w:t>
      </w:r>
      <w:r>
        <w:t>U</w:t>
      </w:r>
      <w:r w:rsidRPr="00B115BF">
        <w:t xml:space="preserve">ntil 2030 and </w:t>
      </w:r>
      <w:r>
        <w:t>A</w:t>
      </w:r>
      <w:r w:rsidRPr="00B115BF">
        <w:t xml:space="preserve">pproval of the </w:t>
      </w:r>
      <w:r>
        <w:t>O</w:t>
      </w:r>
      <w:r w:rsidRPr="00B115BF">
        <w:t xml:space="preserve">perational </w:t>
      </w:r>
      <w:r>
        <w:t>P</w:t>
      </w:r>
      <w:r w:rsidRPr="00B115BF">
        <w:t xml:space="preserve">lan of </w:t>
      </w:r>
      <w:r>
        <w:t>M</w:t>
      </w:r>
      <w:r w:rsidRPr="00B115BF">
        <w:t xml:space="preserve">easures for its </w:t>
      </w:r>
      <w:r>
        <w:t>I</w:t>
      </w:r>
      <w:r w:rsidRPr="00B115BF">
        <w:t xml:space="preserve">mplementation in 2025-2027 </w:t>
      </w:r>
      <w:r>
        <w:t>of</w:t>
      </w:r>
      <w:r w:rsidRPr="00B115BF">
        <w:t xml:space="preserve"> March 28, 2025 No. 293-</w:t>
      </w:r>
      <w:r>
        <w:t xml:space="preserve">p </w:t>
      </w:r>
      <w:hyperlink r:id="rId8" w:anchor="Text" w:history="1">
        <w:r w:rsidRPr="00BB26C4">
          <w:rPr>
            <w:rStyle w:val="Hyperlink"/>
          </w:rPr>
          <w:t>https://zakon.rada.gov.ua/laws/show/293-2025-%D1%80#Text</w:t>
        </w:r>
      </w:hyperlink>
      <w:r>
        <w:t xml:space="preserve"> </w:t>
      </w:r>
      <w:r w:rsidRPr="00A2262D">
        <w:rPr>
          <w:szCs w:val="18"/>
        </w:rPr>
        <w:t>(in Ukrainian)</w:t>
      </w:r>
      <w:r w:rsidR="00D66AAD">
        <w:rPr>
          <w:szCs w:val="18"/>
        </w:rPr>
        <w:t>.</w:t>
      </w:r>
    </w:p>
  </w:footnote>
  <w:footnote w:id="10">
    <w:p w14:paraId="3803D52C" w14:textId="1A68C652" w:rsidR="00822E70" w:rsidRPr="00822E70" w:rsidRDefault="00822E70" w:rsidP="00822E70">
      <w:pPr>
        <w:pStyle w:val="FootnoteText"/>
      </w:pPr>
      <w:r>
        <w:rPr>
          <w:rStyle w:val="FootnoteReference"/>
        </w:rPr>
        <w:footnoteRef/>
      </w:r>
      <w:r>
        <w:t xml:space="preserve"> </w:t>
      </w:r>
      <w:r w:rsidR="00F34018">
        <w:t>Order</w:t>
      </w:r>
      <w:r w:rsidR="00F34018" w:rsidRPr="00822E70">
        <w:t xml:space="preserve"> </w:t>
      </w:r>
      <w:r w:rsidRPr="00822E70">
        <w:t>of the Cabinet of Ministers of Ukraine</w:t>
      </w:r>
      <w:r w:rsidRPr="00822E70">
        <w:rPr>
          <w:vertAlign w:val="superscript"/>
        </w:rPr>
        <w:t xml:space="preserve"> </w:t>
      </w:r>
      <w:r w:rsidR="000046F8">
        <w:t>o</w:t>
      </w:r>
      <w:r w:rsidRPr="00822E70">
        <w:t xml:space="preserve">n </w:t>
      </w:r>
      <w:r w:rsidR="00825B1E">
        <w:t xml:space="preserve">the </w:t>
      </w:r>
      <w:r w:rsidRPr="00822E70">
        <w:t xml:space="preserve">Approval of the Strategy for the Digital Development of Ukraine's Innovation Activities for the Period up to 2030 and Approval of the Operational Action Plan for its Implementation in 2025-2027 of December </w:t>
      </w:r>
      <w:r w:rsidR="00E60648">
        <w:t>3</w:t>
      </w:r>
      <w:r w:rsidRPr="00822E70">
        <w:t xml:space="preserve">1, 2024 No. 1351-p </w:t>
      </w:r>
      <w:hyperlink r:id="rId9" w:anchor="Text" w:history="1">
        <w:r w:rsidRPr="00822E70">
          <w:rPr>
            <w:rStyle w:val="Hyperlink"/>
          </w:rPr>
          <w:t>https://zakon.rada.gov.ua/laws/show/1351-2024-%D1%80#Text</w:t>
        </w:r>
      </w:hyperlink>
      <w:r w:rsidRPr="00822E70">
        <w:t xml:space="preserve"> (in Ukrainian)</w:t>
      </w:r>
      <w:r w:rsidR="00CE2FD0">
        <w:t>.</w:t>
      </w:r>
    </w:p>
  </w:footnote>
  <w:footnote w:id="11">
    <w:p w14:paraId="0CA28283" w14:textId="7C1E5F5C" w:rsidR="00822E70" w:rsidRPr="00822E70" w:rsidRDefault="00822E70" w:rsidP="00822E70">
      <w:pPr>
        <w:pStyle w:val="FootnoteText"/>
      </w:pPr>
      <w:r>
        <w:rPr>
          <w:rStyle w:val="FootnoteReference"/>
        </w:rPr>
        <w:footnoteRef/>
      </w:r>
      <w:r>
        <w:t xml:space="preserve"> </w:t>
      </w:r>
      <w:r w:rsidRPr="00822E70">
        <w:t xml:space="preserve">Order of the Cabinet of Ministers of Ukraine </w:t>
      </w:r>
      <w:r w:rsidR="00CE2FD0">
        <w:t>o</w:t>
      </w:r>
      <w:r w:rsidRPr="00822E70">
        <w:t xml:space="preserve">n </w:t>
      </w:r>
      <w:r w:rsidR="00825B1E">
        <w:t xml:space="preserve">the </w:t>
      </w:r>
      <w:r w:rsidRPr="00822E70">
        <w:t xml:space="preserve">Approval of the Strategy for the Development of Culture in Ukraine for the Period Until 2030 and Approval of the Operational Plan of Measures for its Implementation in 2025-2027 of March 28, 2025 No. 293-p </w:t>
      </w:r>
      <w:hyperlink r:id="rId10" w:anchor="Text" w:history="1">
        <w:r w:rsidRPr="00822E70">
          <w:rPr>
            <w:rStyle w:val="Hyperlink"/>
          </w:rPr>
          <w:t>https://zakon.rada.gov.ua/laws/show/293-2025-%D1%80#Text</w:t>
        </w:r>
      </w:hyperlink>
      <w:r w:rsidRPr="00822E70">
        <w:t xml:space="preserve"> (in Ukrainian)</w:t>
      </w:r>
      <w:r w:rsidR="00CE2FD0">
        <w:t>.</w:t>
      </w:r>
    </w:p>
  </w:footnote>
  <w:footnote w:id="12">
    <w:p w14:paraId="3B73B4D8" w14:textId="2D2D5942" w:rsidR="004D3BE8" w:rsidRPr="004D3BE8" w:rsidRDefault="004D3BE8" w:rsidP="004D3BE8">
      <w:pPr>
        <w:pStyle w:val="FootnoteText"/>
      </w:pPr>
      <w:r>
        <w:rPr>
          <w:rStyle w:val="FootnoteReference"/>
        </w:rPr>
        <w:footnoteRef/>
      </w:r>
      <w:r>
        <w:t xml:space="preserve"> </w:t>
      </w:r>
      <w:bookmarkStart w:id="22" w:name="_Hlk199449358"/>
      <w:r w:rsidRPr="004D3BE8">
        <w:t xml:space="preserve">Resolution of the National Bank of Ukraine of July 9, 2024 No. 83 </w:t>
      </w:r>
      <w:r w:rsidR="00D918CA">
        <w:t>o</w:t>
      </w:r>
      <w:r w:rsidRPr="004D3BE8">
        <w:t>n Amendments to</w:t>
      </w:r>
      <w:r w:rsidR="004D010E">
        <w:t xml:space="preserve"> the</w:t>
      </w:r>
      <w:r w:rsidRPr="004D3BE8">
        <w:t xml:space="preserve"> Resolution of the Board of the National Bank of Ukraine No. 18 of February 24, 2022 </w:t>
      </w:r>
      <w:hyperlink r:id="rId11" w:anchor="n43" w:history="1">
        <w:r w:rsidRPr="004D3BE8">
          <w:rPr>
            <w:rStyle w:val="Hyperlink"/>
          </w:rPr>
          <w:t>https://zakon.rada.gov.ua/laws/show/v0083500-24#n43</w:t>
        </w:r>
      </w:hyperlink>
      <w:r w:rsidRPr="004D3BE8">
        <w:t xml:space="preserve"> (in Ukrainian)</w:t>
      </w:r>
      <w:bookmarkEnd w:id="22"/>
      <w:r w:rsidR="00CB1935">
        <w:t>.</w:t>
      </w:r>
    </w:p>
  </w:footnote>
  <w:footnote w:id="13">
    <w:p w14:paraId="06784043" w14:textId="29DE6F5A" w:rsidR="00E66514" w:rsidRPr="00E66514" w:rsidRDefault="00E66514" w:rsidP="00E66514">
      <w:pPr>
        <w:pStyle w:val="FootnoteText"/>
      </w:pPr>
      <w:r>
        <w:rPr>
          <w:rStyle w:val="FootnoteReference"/>
        </w:rPr>
        <w:footnoteRef/>
      </w:r>
      <w:r>
        <w:t xml:space="preserve"> </w:t>
      </w:r>
      <w:r w:rsidRPr="00E66514">
        <w:t>The statistics are based on</w:t>
      </w:r>
      <w:r w:rsidRPr="00E66514">
        <w:rPr>
          <w:lang w:val="uk-UA"/>
        </w:rPr>
        <w:t xml:space="preserve"> Reports on criminal offenses 2020-2024 of the </w:t>
      </w:r>
      <w:r w:rsidR="00981F3E">
        <w:t xml:space="preserve">Office of the </w:t>
      </w:r>
      <w:r w:rsidRPr="00E66514">
        <w:rPr>
          <w:lang w:val="uk-UA"/>
        </w:rPr>
        <w:t xml:space="preserve">Prosecutor General </w:t>
      </w:r>
      <w:hyperlink r:id="rId12" w:history="1">
        <w:r w:rsidRPr="00E66514">
          <w:rPr>
            <w:rStyle w:val="Hyperlink"/>
            <w:lang w:val="uk-UA"/>
          </w:rPr>
          <w:t>https://gp.gov.ua/ua/posts/pro-zareyestrovani-kriminalni-pravoporushennya-ta-rezultati-yih-dosudovogo-rozsliduvannya-2</w:t>
        </w:r>
      </w:hyperlink>
      <w:r w:rsidRPr="00E66514">
        <w:rPr>
          <w:lang w:val="uk-UA"/>
        </w:rPr>
        <w:t xml:space="preserve"> </w:t>
      </w:r>
      <w:r w:rsidRPr="00E66514">
        <w:t>(in Ukrainian)</w:t>
      </w:r>
      <w:r w:rsidR="00CB1935">
        <w:t>.</w:t>
      </w:r>
    </w:p>
  </w:footnote>
  <w:footnote w:id="14">
    <w:p w14:paraId="57674A0B" w14:textId="45341CC3" w:rsidR="00E66514" w:rsidRDefault="00E66514">
      <w:pPr>
        <w:pStyle w:val="FootnoteText"/>
      </w:pPr>
      <w:r>
        <w:rPr>
          <w:rStyle w:val="FootnoteReference"/>
        </w:rPr>
        <w:footnoteRef/>
      </w:r>
      <w:r>
        <w:t xml:space="preserve"> UNDP</w:t>
      </w:r>
      <w:r w:rsidR="00CB1935">
        <w:t>,</w:t>
      </w:r>
      <w:r>
        <w:t xml:space="preserve"> </w:t>
      </w:r>
      <w:r w:rsidR="00CB1935">
        <w:t>“</w:t>
      </w:r>
      <w:r w:rsidRPr="00E66514">
        <w:t>Assessment of the Impact of the War on Micro-, Small-, and Medium-sized Enterprises in Ukraine</w:t>
      </w:r>
      <w:r w:rsidR="00CB1935">
        <w:t>”</w:t>
      </w:r>
      <w:r>
        <w:t xml:space="preserve">, February 2024: </w:t>
      </w:r>
      <w:hyperlink r:id="rId13" w:history="1">
        <w:r w:rsidRPr="004B19EA">
          <w:rPr>
            <w:rStyle w:val="Hyperlink"/>
          </w:rPr>
          <w:t>https://www.undp.org/ukraine/publications/assessment-wars-impact-micro-small-and-medium-enterprises-ukraine</w:t>
        </w:r>
      </w:hyperlink>
      <w:r>
        <w:t xml:space="preserve"> </w:t>
      </w:r>
    </w:p>
  </w:footnote>
  <w:footnote w:id="15">
    <w:p w14:paraId="7D19A12F" w14:textId="03390FDC" w:rsidR="00E440C5" w:rsidRDefault="00E440C5">
      <w:pPr>
        <w:pStyle w:val="FootnoteText"/>
      </w:pPr>
      <w:r>
        <w:rPr>
          <w:rStyle w:val="FootnoteReference"/>
        </w:rPr>
        <w:footnoteRef/>
      </w:r>
      <w:r>
        <w:t xml:space="preserve"> Data from the</w:t>
      </w:r>
      <w:r w:rsidR="001A4E2E">
        <w:t xml:space="preserve"> GII</w:t>
      </w:r>
      <w:r>
        <w:t xml:space="preserve">. </w:t>
      </w:r>
      <w:r w:rsidR="001A4E2E">
        <w:t xml:space="preserve"> </w:t>
      </w:r>
      <w:r>
        <w:rPr>
          <w:lang w:eastAsia="en-US"/>
        </w:rPr>
        <w:t>Further analysis of the ICT exports trends is found under paragraph 103.</w:t>
      </w:r>
    </w:p>
  </w:footnote>
  <w:footnote w:id="16">
    <w:p w14:paraId="4D3502AC" w14:textId="5957D8BD" w:rsidR="0064423D" w:rsidRDefault="0064423D">
      <w:pPr>
        <w:pStyle w:val="FootnoteText"/>
      </w:pPr>
      <w:r>
        <w:rPr>
          <w:rStyle w:val="FootnoteReference"/>
        </w:rPr>
        <w:footnoteRef/>
      </w:r>
      <w:r>
        <w:t xml:space="preserve"> See paragraph 15. </w:t>
      </w:r>
    </w:p>
  </w:footnote>
  <w:footnote w:id="17">
    <w:p w14:paraId="2EEF0EF1" w14:textId="6858A5E9" w:rsidR="00E66514" w:rsidRDefault="00E66514">
      <w:pPr>
        <w:pStyle w:val="FootnoteText"/>
      </w:pPr>
      <w:r>
        <w:rPr>
          <w:rStyle w:val="FootnoteReference"/>
        </w:rPr>
        <w:footnoteRef/>
      </w:r>
      <w:r>
        <w:t xml:space="preserve"> </w:t>
      </w:r>
      <w:hyperlink r:id="rId14" w:history="1">
        <w:r w:rsidR="003935CD" w:rsidRPr="003935CD">
          <w:rPr>
            <w:rStyle w:val="Hyperlink"/>
          </w:rPr>
          <w:t>https://www.unesco.org/en/articles/damaged-cultural-sites-ukraine-verified-unesco</w:t>
        </w:r>
      </w:hyperlink>
      <w:r>
        <w:t xml:space="preserve"> </w:t>
      </w:r>
    </w:p>
  </w:footnote>
  <w:footnote w:id="18">
    <w:p w14:paraId="12888C5C" w14:textId="0F85CA7F" w:rsidR="00552E7C" w:rsidRDefault="00552E7C" w:rsidP="00552E7C">
      <w:pPr>
        <w:pStyle w:val="FootnoteText"/>
      </w:pPr>
      <w:r>
        <w:rPr>
          <w:rStyle w:val="FootnoteReference"/>
        </w:rPr>
        <w:footnoteRef/>
      </w:r>
      <w:r>
        <w:t xml:space="preserve"> </w:t>
      </w:r>
      <w:r w:rsidRPr="00552E7C">
        <w:t xml:space="preserve">State Statistics Service of Ukraine. Economic statistics  </w:t>
      </w:r>
      <w:hyperlink r:id="rId15" w:history="1">
        <w:r w:rsidRPr="00552E7C">
          <w:rPr>
            <w:rStyle w:val="Hyperlink"/>
          </w:rPr>
          <w:t>https://www.ukrstat.gov.ua/operativ/menu/menu_u/sze_20.htm</w:t>
        </w:r>
      </w:hyperlink>
      <w:r w:rsidRPr="00552E7C">
        <w:t xml:space="preserve">  (in Ukrainian</w:t>
      </w:r>
      <w:r>
        <w:t>)</w:t>
      </w:r>
    </w:p>
  </w:footnote>
  <w:footnote w:id="19">
    <w:p w14:paraId="43CA76B3" w14:textId="55F174D9" w:rsidR="00552E7C" w:rsidRPr="00552E7C" w:rsidRDefault="00552E7C" w:rsidP="00552E7C">
      <w:pPr>
        <w:pStyle w:val="FootnoteText"/>
      </w:pPr>
      <w:r>
        <w:rPr>
          <w:rStyle w:val="FootnoteReference"/>
        </w:rPr>
        <w:footnoteRef/>
      </w:r>
      <w:r>
        <w:t xml:space="preserve"> </w:t>
      </w:r>
      <w:r w:rsidRPr="00552E7C">
        <w:t xml:space="preserve">Culture and Creative Industries in Ukraine: Sustainability, Recovery, and Integration with the EU. Final report June 2024 </w:t>
      </w:r>
      <w:hyperlink r:id="rId16" w:history="1">
        <w:r w:rsidRPr="008C37CC">
          <w:rPr>
            <w:rStyle w:val="Hyperlink"/>
          </w:rPr>
          <w:t>https://www.cultureinexternalrelations.eu/wp-content/uploads/2024/07/DGEAC-CRP-UA-Report-July-2024-UA.pdf</w:t>
        </w:r>
      </w:hyperlink>
      <w:r>
        <w:t xml:space="preserve"> </w:t>
      </w:r>
      <w:r w:rsidRPr="00552E7C">
        <w:t xml:space="preserve"> (in Ukrainian)</w:t>
      </w:r>
    </w:p>
    <w:p w14:paraId="7EEEA242" w14:textId="493890B6" w:rsidR="00552E7C" w:rsidRDefault="00552E7C">
      <w:pPr>
        <w:pStyle w:val="FootnoteText"/>
      </w:pPr>
    </w:p>
  </w:footnote>
  <w:footnote w:id="20">
    <w:p w14:paraId="0460690A" w14:textId="7F2719A7" w:rsidR="00822E70" w:rsidRPr="006230F4" w:rsidRDefault="00822E70" w:rsidP="00822E70">
      <w:pPr>
        <w:pStyle w:val="FootnoteText"/>
      </w:pPr>
      <w:r w:rsidRPr="004740F9">
        <w:rPr>
          <w:rStyle w:val="FootnoteReference"/>
          <w:szCs w:val="18"/>
        </w:rPr>
        <w:footnoteRef/>
      </w:r>
      <w:r w:rsidRPr="004740F9">
        <w:rPr>
          <w:szCs w:val="18"/>
        </w:rPr>
        <w:t xml:space="preserve"> </w:t>
      </w:r>
      <w:r w:rsidRPr="00314E59">
        <w:rPr>
          <w:lang w:val="en-GB"/>
        </w:rPr>
        <w:t>Register of collective management organisations</w:t>
      </w:r>
      <w:r w:rsidRPr="00E104D8">
        <w:rPr>
          <w:lang w:val="uk-UA"/>
        </w:rPr>
        <w:t xml:space="preserve"> </w:t>
      </w:r>
      <w:hyperlink r:id="rId17" w:history="1">
        <w:r w:rsidRPr="0045450F">
          <w:rPr>
            <w:rStyle w:val="Hyperlink"/>
            <w:lang w:val="uk-UA"/>
          </w:rPr>
          <w:t>https://me.gov.ua/view/3cd02caa-1096-4d8d-943e-b51e4ed89e61</w:t>
        </w:r>
      </w:hyperlink>
      <w:r>
        <w:t xml:space="preserve"> (in Ukrainian)</w:t>
      </w:r>
      <w:r w:rsidR="00BE508F">
        <w:t>.</w:t>
      </w:r>
    </w:p>
  </w:footnote>
  <w:footnote w:id="21">
    <w:p w14:paraId="01AA6407" w14:textId="77777777" w:rsidR="00822E70" w:rsidRPr="00187F0D" w:rsidRDefault="00822E70" w:rsidP="00822E70">
      <w:pPr>
        <w:pStyle w:val="FootnoteText"/>
      </w:pPr>
      <w:r>
        <w:rPr>
          <w:rStyle w:val="FootnoteReference"/>
        </w:rPr>
        <w:footnoteRef/>
      </w:r>
      <w:r>
        <w:t xml:space="preserve"> I</w:t>
      </w:r>
      <w:r w:rsidRPr="00187F0D">
        <w:t>nformation for some years is not provided as the relevant CMOs did not submit reports for these years</w:t>
      </w:r>
      <w:r>
        <w:t>.</w:t>
      </w:r>
    </w:p>
  </w:footnote>
  <w:footnote w:id="22">
    <w:p w14:paraId="1076F40A" w14:textId="784BFD45" w:rsidR="00552E7C" w:rsidRDefault="00552E7C" w:rsidP="00552E7C">
      <w:pPr>
        <w:pStyle w:val="FootnoteText"/>
      </w:pPr>
      <w:r>
        <w:rPr>
          <w:rStyle w:val="FootnoteReference"/>
        </w:rPr>
        <w:footnoteRef/>
      </w:r>
      <w:r>
        <w:t xml:space="preserve"> T</w:t>
      </w:r>
      <w:r w:rsidRPr="00552E7C">
        <w:t>he full GII</w:t>
      </w:r>
      <w:r>
        <w:t xml:space="preserve"> 2024 briefing </w:t>
      </w:r>
      <w:proofErr w:type="gramStart"/>
      <w:r>
        <w:t>on</w:t>
      </w:r>
      <w:proofErr w:type="gramEnd"/>
      <w:r w:rsidRPr="00552E7C">
        <w:t xml:space="preserve"> Ukraine is </w:t>
      </w:r>
      <w:r>
        <w:t xml:space="preserve">found under </w:t>
      </w:r>
      <w:hyperlink r:id="rId18" w:history="1">
        <w:r w:rsidRPr="008C37CC">
          <w:rPr>
            <w:rStyle w:val="Hyperlink"/>
          </w:rPr>
          <w:t>https://www.wipo.int/edocs/gii-ranking/2024/ua.pdf</w:t>
        </w:r>
      </w:hyperlink>
      <w:r>
        <w:t xml:space="preserve"> </w:t>
      </w:r>
    </w:p>
  </w:footnote>
  <w:footnote w:id="23">
    <w:p w14:paraId="5454F32F" w14:textId="3ABA7FB5" w:rsidR="003B09BC" w:rsidRDefault="003B09BC" w:rsidP="003B09BC">
      <w:pPr>
        <w:pStyle w:val="FootnoteText"/>
      </w:pPr>
      <w:r>
        <w:rPr>
          <w:rStyle w:val="FootnoteReference"/>
        </w:rPr>
        <w:footnoteRef/>
      </w:r>
      <w:r>
        <w:t xml:space="preserve"> The full Ukrainian GII2024 brief is here </w:t>
      </w:r>
      <w:hyperlink r:id="rId19" w:history="1">
        <w:r w:rsidRPr="00332548">
          <w:rPr>
            <w:rStyle w:val="Hyperlink"/>
          </w:rPr>
          <w:t>https://www.wipo.int/edocs/gii-ranking/2024/ua.pdf</w:t>
        </w:r>
      </w:hyperlink>
      <w:r>
        <w:t xml:space="preserve">. </w:t>
      </w:r>
      <w:r w:rsidR="00B3467A">
        <w:t xml:space="preserve"> </w:t>
      </w:r>
      <w:r>
        <w:t xml:space="preserve">GII2025, in turn, will be published in September 2025. </w:t>
      </w:r>
    </w:p>
  </w:footnote>
  <w:footnote w:id="24">
    <w:p w14:paraId="25960BB5" w14:textId="6E5DA2B7" w:rsidR="003B09BC" w:rsidRPr="008D01F0" w:rsidRDefault="003B09BC" w:rsidP="003B09BC">
      <w:pPr>
        <w:pStyle w:val="FootnoteText"/>
        <w:rPr>
          <w:rFonts w:asciiTheme="minorBidi" w:hAnsiTheme="minorBidi"/>
        </w:rPr>
      </w:pPr>
      <w:r w:rsidRPr="008D01F0">
        <w:rPr>
          <w:rStyle w:val="FootnoteReference"/>
          <w:rFonts w:asciiTheme="minorBidi" w:hAnsiTheme="minorBidi"/>
        </w:rPr>
        <w:footnoteRef/>
      </w:r>
      <w:r w:rsidRPr="008D01F0">
        <w:rPr>
          <w:rFonts w:asciiTheme="minorBidi" w:hAnsiTheme="minorBidi"/>
        </w:rPr>
        <w:t xml:space="preserve"> As the </w:t>
      </w:r>
      <w:r w:rsidRPr="000868EF">
        <w:rPr>
          <w:rFonts w:asciiTheme="minorBidi" w:hAnsiTheme="minorBidi"/>
        </w:rPr>
        <w:t>GII</w:t>
      </w:r>
      <w:r w:rsidR="00187689">
        <w:rPr>
          <w:rFonts w:asciiTheme="minorBidi" w:hAnsiTheme="minorBidi"/>
        </w:rPr>
        <w:t xml:space="preserve"> </w:t>
      </w:r>
      <w:r w:rsidRPr="000868EF">
        <w:rPr>
          <w:rFonts w:asciiTheme="minorBidi" w:hAnsiTheme="minorBidi"/>
        </w:rPr>
        <w:t xml:space="preserve">2025 is </w:t>
      </w:r>
      <w:r w:rsidRPr="008D01F0">
        <w:rPr>
          <w:rFonts w:asciiTheme="minorBidi" w:hAnsiTheme="minorBidi"/>
        </w:rPr>
        <w:t xml:space="preserve">still </w:t>
      </w:r>
      <w:r w:rsidRPr="000868EF">
        <w:rPr>
          <w:rFonts w:asciiTheme="minorBidi" w:hAnsiTheme="minorBidi"/>
        </w:rPr>
        <w:t>under production</w:t>
      </w:r>
      <w:r w:rsidRPr="008D01F0">
        <w:rPr>
          <w:rFonts w:asciiTheme="minorBidi" w:hAnsiTheme="minorBidi"/>
        </w:rPr>
        <w:t>, the following data sets may not be complete</w:t>
      </w:r>
      <w:r>
        <w:rPr>
          <w:rFonts w:asciiTheme="minorBidi" w:hAnsiTheme="minorBidi"/>
        </w:rPr>
        <w:t>.</w:t>
      </w:r>
    </w:p>
  </w:footnote>
  <w:footnote w:id="25">
    <w:p w14:paraId="5BBFE3CD" w14:textId="602B0F8B" w:rsidR="00061649" w:rsidRDefault="00061649" w:rsidP="00061649">
      <w:pPr>
        <w:pStyle w:val="FootnoteText"/>
      </w:pPr>
      <w:r>
        <w:rPr>
          <w:rStyle w:val="FootnoteReference"/>
        </w:rPr>
        <w:footnoteRef/>
      </w:r>
      <w:r>
        <w:t xml:space="preserve"> </w:t>
      </w:r>
      <w:r w:rsidR="00CF21FA" w:rsidRPr="00CF21FA">
        <w:t>UANIPIO</w:t>
      </w:r>
      <w:r w:rsidR="00D423A3">
        <w:t>,</w:t>
      </w:r>
      <w:r w:rsidR="00CF21FA" w:rsidRPr="00CF21FA">
        <w:t xml:space="preserve"> </w:t>
      </w:r>
      <w:r w:rsidR="00D423A3">
        <w:t>“</w:t>
      </w:r>
      <w:r w:rsidR="00CF21FA" w:rsidRPr="00CF21FA">
        <w:t>Intellectual Property in Figures: Activity Indicators in the Field of Intellectual Property for 2024</w:t>
      </w:r>
      <w:r w:rsidR="00BA7B8B">
        <w:t>”</w:t>
      </w:r>
      <w:r w:rsidR="00CF21FA" w:rsidRPr="00CF21FA">
        <w:t xml:space="preserve">, 2025. </w:t>
      </w:r>
      <w:r w:rsidR="00BA7B8B">
        <w:t xml:space="preserve"> </w:t>
      </w:r>
      <w:r w:rsidRPr="002E094D">
        <w:t>https://nipo.gov.ua/wp-content/uploads/2025/05/IP-in-Figures-2024-en-web.pdf</w:t>
      </w:r>
    </w:p>
  </w:footnote>
  <w:footnote w:id="26">
    <w:p w14:paraId="4733F98C" w14:textId="780D3410" w:rsidR="002A2F56" w:rsidRPr="00E96EA1" w:rsidRDefault="002A2F56" w:rsidP="002A2F56">
      <w:pPr>
        <w:pStyle w:val="FootnoteText"/>
        <w:rPr>
          <w:szCs w:val="18"/>
        </w:rPr>
      </w:pPr>
      <w:r w:rsidRPr="00E96EA1">
        <w:rPr>
          <w:rStyle w:val="FootnoteReference"/>
          <w:szCs w:val="18"/>
        </w:rPr>
        <w:footnoteRef/>
      </w:r>
      <w:r w:rsidRPr="00E96EA1">
        <w:rPr>
          <w:szCs w:val="18"/>
        </w:rPr>
        <w:t xml:space="preserve"> See </w:t>
      </w:r>
      <w:hyperlink r:id="rId20" w:history="1">
        <w:r w:rsidRPr="00E96EA1">
          <w:rPr>
            <w:rStyle w:val="Hyperlink"/>
            <w:szCs w:val="18"/>
          </w:rPr>
          <w:t>PATENTSCOPE Database</w:t>
        </w:r>
      </w:hyperlink>
      <w:r w:rsidRPr="00E96EA1">
        <w:rPr>
          <w:szCs w:val="18"/>
        </w:rPr>
        <w:t xml:space="preserve">, </w:t>
      </w:r>
      <w:hyperlink r:id="rId21" w:history="1">
        <w:r w:rsidRPr="00E96EA1">
          <w:rPr>
            <w:rStyle w:val="Hyperlink"/>
            <w:szCs w:val="18"/>
          </w:rPr>
          <w:t>Global Brand Database</w:t>
        </w:r>
      </w:hyperlink>
      <w:r w:rsidRPr="00E96EA1">
        <w:rPr>
          <w:szCs w:val="18"/>
        </w:rPr>
        <w:t xml:space="preserve">, and </w:t>
      </w:r>
      <w:hyperlink r:id="rId22" w:history="1">
        <w:r w:rsidRPr="00E96EA1">
          <w:rPr>
            <w:rStyle w:val="Hyperlink"/>
            <w:szCs w:val="18"/>
          </w:rPr>
          <w:t>Global Design Database</w:t>
        </w:r>
      </w:hyperlink>
      <w:r w:rsidRPr="00E96EA1">
        <w:rPr>
          <w:szCs w:val="18"/>
        </w:rPr>
        <w:t>, which include the following text in their general disclaimers:</w:t>
      </w:r>
      <w:r w:rsidR="007B1A7D">
        <w:rPr>
          <w:szCs w:val="18"/>
        </w:rPr>
        <w:t xml:space="preserve"> </w:t>
      </w:r>
      <w:r w:rsidRPr="00E96EA1">
        <w:rPr>
          <w:szCs w:val="18"/>
        </w:rPr>
        <w:t xml:space="preserve"> “The names and the designations used by WIPO on its website and online – services do not imply the expression of any opinion whatsoever on the part of WIPO concerning the legal status of any country, territory, city, or area, or of its authorities, or concerning the delimitation of its frontiers or boundaries”. </w:t>
      </w:r>
    </w:p>
  </w:footnote>
  <w:footnote w:id="27">
    <w:p w14:paraId="2FF95C95" w14:textId="77777777" w:rsidR="002A2F56" w:rsidRPr="00E96EA1" w:rsidRDefault="002A2F56" w:rsidP="002A2F56">
      <w:pPr>
        <w:pStyle w:val="FootnoteText"/>
        <w:rPr>
          <w:szCs w:val="18"/>
        </w:rPr>
      </w:pPr>
      <w:r w:rsidRPr="00E96EA1">
        <w:rPr>
          <w:rStyle w:val="FootnoteReference"/>
          <w:szCs w:val="18"/>
        </w:rPr>
        <w:footnoteRef/>
      </w:r>
      <w:r w:rsidRPr="00E96EA1">
        <w:rPr>
          <w:szCs w:val="18"/>
        </w:rPr>
        <w:t xml:space="preserve"> See below screenshot in relation to the Madrid System:</w:t>
      </w:r>
    </w:p>
    <w:p w14:paraId="0C61891D" w14:textId="77777777" w:rsidR="002A2F56" w:rsidRPr="00E96EA1" w:rsidRDefault="002A2F56" w:rsidP="00334EB2">
      <w:pPr>
        <w:pStyle w:val="FootnoteText"/>
        <w:ind w:hanging="810"/>
        <w:jc w:val="both"/>
        <w:rPr>
          <w:szCs w:val="18"/>
        </w:rPr>
      </w:pPr>
      <w:r w:rsidRPr="00334EB2">
        <w:rPr>
          <w:noProof/>
          <w:szCs w:val="18"/>
        </w:rPr>
        <w:drawing>
          <wp:inline distT="0" distB="0" distL="0" distR="0" wp14:anchorId="7D78D1CC" wp14:editId="0C2B0EBB">
            <wp:extent cx="6969197" cy="476250"/>
            <wp:effectExtent l="0" t="0" r="3175" b="0"/>
            <wp:docPr id="38651443" name="Picture 1" descr="Disclaimer: the registration of a mark in the International Register does not imply the expression of any opinion whatsover on the part of the International Bureau of WIPO concerning the substance of the entitlement claim under the Madrid Protocol and its Regulations, or of the legal status of any country, territory, city or area or of its autorithies, or concerning the delimitation of its frontiers or bounda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1443" name="Picture 1" descr="Disclaimer: the registration of a mark in the International Register does not imply the expression of any opinion whatsover on the part of the International Bureau of WIPO concerning the substance of the entitlement claim under the Madrid Protocol and its Regulations, or of the legal status of any country, territory, city or area or of its autorithies, or concerning the delimitation of its frontiers or boundaries."/>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128250" cy="487119"/>
                    </a:xfrm>
                    <a:prstGeom prst="rect">
                      <a:avLst/>
                    </a:prstGeom>
                    <a:noFill/>
                    <a:ln>
                      <a:noFill/>
                    </a:ln>
                  </pic:spPr>
                </pic:pic>
              </a:graphicData>
            </a:graphic>
          </wp:inline>
        </w:drawing>
      </w:r>
    </w:p>
  </w:footnote>
  <w:footnote w:id="28">
    <w:p w14:paraId="14D5CDDE" w14:textId="77777777" w:rsidR="002A2F56" w:rsidRPr="00334EB2" w:rsidRDefault="002A2F56" w:rsidP="002A2F56">
      <w:pPr>
        <w:pStyle w:val="NoSpacing"/>
        <w:rPr>
          <w:sz w:val="18"/>
          <w:szCs w:val="18"/>
        </w:rPr>
      </w:pPr>
      <w:r w:rsidRPr="00334EB2">
        <w:rPr>
          <w:rStyle w:val="FootnoteReference"/>
          <w:sz w:val="18"/>
          <w:szCs w:val="18"/>
        </w:rPr>
        <w:footnoteRef/>
      </w:r>
      <w:r w:rsidRPr="00334EB2">
        <w:rPr>
          <w:sz w:val="18"/>
          <w:szCs w:val="18"/>
        </w:rPr>
        <w:t xml:space="preserve"> See, for example, the screenshot below in relation to the PCT System:</w:t>
      </w:r>
    </w:p>
    <w:p w14:paraId="69477731" w14:textId="77777777" w:rsidR="002A2F56" w:rsidRPr="00334EB2" w:rsidRDefault="002A2F56" w:rsidP="003D5C6A">
      <w:pPr>
        <w:pStyle w:val="NoSpacing"/>
        <w:ind w:hanging="810"/>
        <w:rPr>
          <w:noProof/>
          <w:sz w:val="18"/>
          <w:szCs w:val="18"/>
          <w:lang w:val="en-GB"/>
        </w:rPr>
      </w:pPr>
      <w:r w:rsidRPr="00334EB2">
        <w:rPr>
          <w:noProof/>
          <w:sz w:val="18"/>
          <w:szCs w:val="18"/>
          <w:lang w:val="en-GB"/>
        </w:rPr>
        <w:drawing>
          <wp:inline distT="0" distB="0" distL="0" distR="0" wp14:anchorId="143B2EFC" wp14:editId="16BCF488">
            <wp:extent cx="6988235" cy="669852"/>
            <wp:effectExtent l="0" t="0" r="3175" b="0"/>
            <wp:docPr id="249174008" name="Picture 4" descr="The publication of an international application under the Patent Cooperation Treaty in PATENTSCOPE (which constitutes an element of the Gazette) does not imply the expression of any opinion whatsover on the part of the International Bureau of WIPO concerning the legal status of any country, territory, city or area or of its authorities, or concerning the delimitation of its frontiers or bounda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74008" name="Picture 4" descr="The publication of an international application under the Patent Cooperation Treaty in PATENTSCOPE (which constitutes an element of the Gazette) does not imply the expression of any opinion whatsover on the part of the International Bureau of WIPO concerning the legal status of any country, territory, city or area or of its authorities, or concerning the delimitation of its frontiers or boundaries"/>
                    <pic:cNvPicPr>
                      <a:picLocks noChangeAspect="1" noChangeArrowheads="1"/>
                    </pic:cNvPicPr>
                  </pic:nvPicPr>
                  <pic:blipFill rotWithShape="1">
                    <a:blip r:embed="rId25" r:link="rId26">
                      <a:extLst>
                        <a:ext uri="{28A0092B-C50C-407E-A947-70E740481C1C}">
                          <a14:useLocalDpi xmlns:a14="http://schemas.microsoft.com/office/drawing/2010/main" val="0"/>
                        </a:ext>
                      </a:extLst>
                    </a:blip>
                    <a:srcRect t="25577"/>
                    <a:stretch/>
                  </pic:blipFill>
                  <pic:spPr bwMode="auto">
                    <a:xfrm>
                      <a:off x="0" y="0"/>
                      <a:ext cx="7019903" cy="672888"/>
                    </a:xfrm>
                    <a:prstGeom prst="rect">
                      <a:avLst/>
                    </a:prstGeom>
                    <a:noFill/>
                    <a:ln>
                      <a:noFill/>
                    </a:ln>
                    <a:extLst>
                      <a:ext uri="{53640926-AAD7-44D8-BBD7-CCE9431645EC}">
                        <a14:shadowObscured xmlns:a14="http://schemas.microsoft.com/office/drawing/2010/main"/>
                      </a:ext>
                    </a:extLst>
                  </pic:spPr>
                </pic:pic>
              </a:graphicData>
            </a:graphic>
          </wp:inline>
        </w:drawing>
      </w:r>
    </w:p>
    <w:p w14:paraId="75B47FD2" w14:textId="77777777" w:rsidR="002A2F56" w:rsidRPr="00334EB2" w:rsidRDefault="002A2F56" w:rsidP="002A2F56">
      <w:pPr>
        <w:pStyle w:val="NoSpacing"/>
        <w:rPr>
          <w:sz w:val="18"/>
          <w:szCs w:val="18"/>
        </w:rPr>
      </w:pPr>
      <w:r w:rsidRPr="00334EB2">
        <w:rPr>
          <w:sz w:val="18"/>
          <w:szCs w:val="18"/>
        </w:rPr>
        <w:t xml:space="preserve">Registrations under the Hague and Lisbon Systems contain similar disclaimers.  </w:t>
      </w:r>
    </w:p>
  </w:footnote>
  <w:footnote w:id="29">
    <w:p w14:paraId="28988025" w14:textId="6D5875FA" w:rsidR="002A2F56" w:rsidRDefault="002A2F56" w:rsidP="002A2F56">
      <w:pPr>
        <w:pStyle w:val="FootnoteText"/>
      </w:pPr>
      <w:r w:rsidRPr="00E96EA1">
        <w:rPr>
          <w:rStyle w:val="FootnoteReference"/>
          <w:szCs w:val="18"/>
        </w:rPr>
        <w:footnoteRef/>
      </w:r>
      <w:r w:rsidRPr="00E96EA1">
        <w:rPr>
          <w:szCs w:val="18"/>
        </w:rPr>
        <w:t xml:space="preserve"> See </w:t>
      </w:r>
      <w:hyperlink r:id="rId27" w:history="1">
        <w:r w:rsidRPr="00E96EA1">
          <w:rPr>
            <w:rStyle w:val="Hyperlink"/>
            <w:szCs w:val="18"/>
          </w:rPr>
          <w:t>PCT Yearly Review 2024</w:t>
        </w:r>
      </w:hyperlink>
      <w:r w:rsidRPr="00E96EA1">
        <w:rPr>
          <w:szCs w:val="18"/>
        </w:rPr>
        <w:t xml:space="preserve">; </w:t>
      </w:r>
      <w:hyperlink r:id="rId28" w:history="1">
        <w:r w:rsidRPr="00E96EA1">
          <w:rPr>
            <w:rStyle w:val="Hyperlink"/>
            <w:szCs w:val="18"/>
          </w:rPr>
          <w:t>Hague Yearly Review 2024</w:t>
        </w:r>
      </w:hyperlink>
      <w:r w:rsidRPr="00E96EA1">
        <w:rPr>
          <w:szCs w:val="18"/>
        </w:rPr>
        <w:t xml:space="preserve">; </w:t>
      </w:r>
      <w:hyperlink r:id="rId29" w:history="1">
        <w:r w:rsidRPr="00E96EA1">
          <w:rPr>
            <w:rStyle w:val="Hyperlink"/>
            <w:szCs w:val="18"/>
          </w:rPr>
          <w:t>Madrid Yearly Review 2024</w:t>
        </w:r>
      </w:hyperlink>
      <w:r w:rsidRPr="00E96EA1">
        <w:rPr>
          <w:szCs w:val="18"/>
        </w:rPr>
        <w:t xml:space="preserve">; </w:t>
      </w:r>
      <w:hyperlink r:id="rId30" w:history="1">
        <w:r w:rsidRPr="00E96EA1">
          <w:rPr>
            <w:rStyle w:val="Hyperlink"/>
            <w:szCs w:val="18"/>
          </w:rPr>
          <w:t>World Intellectual Property Report 2024</w:t>
        </w:r>
      </w:hyperlink>
      <w:r w:rsidRPr="00E96EA1">
        <w:rPr>
          <w:szCs w:val="18"/>
        </w:rPr>
        <w:t xml:space="preserve">; and </w:t>
      </w:r>
      <w:hyperlink r:id="rId31" w:history="1">
        <w:r w:rsidRPr="00E96EA1">
          <w:rPr>
            <w:rStyle w:val="Hyperlink"/>
            <w:szCs w:val="18"/>
          </w:rPr>
          <w:t>Global Innovation Index 2024</w:t>
        </w:r>
      </w:hyperlink>
      <w:r w:rsidRPr="00E96EA1">
        <w:rPr>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1102C" w14:textId="0CFFDA60" w:rsidR="00EC4E49" w:rsidRDefault="00C9293C" w:rsidP="00477D6B">
    <w:pPr>
      <w:jc w:val="right"/>
    </w:pPr>
    <w:bookmarkStart w:id="77" w:name="Code2"/>
    <w:bookmarkEnd w:id="77"/>
    <w:r>
      <w:t>A/66/</w:t>
    </w:r>
    <w:r w:rsidR="00B263BB">
      <w:t>8</w:t>
    </w:r>
  </w:p>
  <w:p w14:paraId="14162DF8"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31EE4F99" w14:textId="77777777" w:rsidR="00EC4E49" w:rsidRDefault="00EC4E49" w:rsidP="00477D6B">
    <w:pPr>
      <w:jc w:val="right"/>
    </w:pPr>
  </w:p>
  <w:p w14:paraId="1E706585"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3062EB6"/>
    <w:multiLevelType w:val="hybridMultilevel"/>
    <w:tmpl w:val="64F22778"/>
    <w:lvl w:ilvl="0" w:tplc="E102B7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26FE2576"/>
    <w:lvl w:ilvl="0">
      <w:start w:val="1"/>
      <w:numFmt w:val="decimal"/>
      <w:lvlRestart w:val="0"/>
      <w:pStyle w:val="ONUME"/>
      <w:lvlText w:val="%1."/>
      <w:lvlJc w:val="left"/>
      <w:pPr>
        <w:tabs>
          <w:tab w:val="num" w:pos="837"/>
        </w:tabs>
        <w:ind w:left="270" w:firstLine="0"/>
      </w:pPr>
      <w:rPr>
        <w:rFonts w:hint="default"/>
        <w:b w:val="0"/>
        <w:bCs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7850B7D"/>
    <w:multiLevelType w:val="hybridMultilevel"/>
    <w:tmpl w:val="32B4A30C"/>
    <w:lvl w:ilvl="0" w:tplc="C4629B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35E7638"/>
    <w:multiLevelType w:val="hybridMultilevel"/>
    <w:tmpl w:val="2A9E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E02DC"/>
    <w:multiLevelType w:val="multilevel"/>
    <w:tmpl w:val="BC8007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0433F3A"/>
    <w:multiLevelType w:val="hybridMultilevel"/>
    <w:tmpl w:val="8AB84730"/>
    <w:lvl w:ilvl="0" w:tplc="84BC8B1C">
      <w:start w:val="1"/>
      <w:numFmt w:val="bullet"/>
      <w:lvlText w:val=""/>
      <w:lvlJc w:val="left"/>
      <w:pPr>
        <w:ind w:left="720" w:hanging="360"/>
      </w:pPr>
      <w:rPr>
        <w:rFonts w:ascii="Symbol" w:hAnsi="Symbol"/>
      </w:rPr>
    </w:lvl>
    <w:lvl w:ilvl="1" w:tplc="15B658E2">
      <w:start w:val="1"/>
      <w:numFmt w:val="bullet"/>
      <w:lvlText w:val=""/>
      <w:lvlJc w:val="left"/>
      <w:pPr>
        <w:ind w:left="720" w:hanging="360"/>
      </w:pPr>
      <w:rPr>
        <w:rFonts w:ascii="Symbol" w:hAnsi="Symbol"/>
      </w:rPr>
    </w:lvl>
    <w:lvl w:ilvl="2" w:tplc="5F047E90">
      <w:start w:val="1"/>
      <w:numFmt w:val="bullet"/>
      <w:lvlText w:val=""/>
      <w:lvlJc w:val="left"/>
      <w:pPr>
        <w:ind w:left="720" w:hanging="360"/>
      </w:pPr>
      <w:rPr>
        <w:rFonts w:ascii="Symbol" w:hAnsi="Symbol"/>
      </w:rPr>
    </w:lvl>
    <w:lvl w:ilvl="3" w:tplc="D91812C4">
      <w:start w:val="1"/>
      <w:numFmt w:val="bullet"/>
      <w:lvlText w:val=""/>
      <w:lvlJc w:val="left"/>
      <w:pPr>
        <w:ind w:left="720" w:hanging="360"/>
      </w:pPr>
      <w:rPr>
        <w:rFonts w:ascii="Symbol" w:hAnsi="Symbol"/>
      </w:rPr>
    </w:lvl>
    <w:lvl w:ilvl="4" w:tplc="5D42383A">
      <w:start w:val="1"/>
      <w:numFmt w:val="bullet"/>
      <w:lvlText w:val=""/>
      <w:lvlJc w:val="left"/>
      <w:pPr>
        <w:ind w:left="720" w:hanging="360"/>
      </w:pPr>
      <w:rPr>
        <w:rFonts w:ascii="Symbol" w:hAnsi="Symbol"/>
      </w:rPr>
    </w:lvl>
    <w:lvl w:ilvl="5" w:tplc="7CE2917A">
      <w:start w:val="1"/>
      <w:numFmt w:val="bullet"/>
      <w:lvlText w:val=""/>
      <w:lvlJc w:val="left"/>
      <w:pPr>
        <w:ind w:left="720" w:hanging="360"/>
      </w:pPr>
      <w:rPr>
        <w:rFonts w:ascii="Symbol" w:hAnsi="Symbol"/>
      </w:rPr>
    </w:lvl>
    <w:lvl w:ilvl="6" w:tplc="98F0DD94">
      <w:start w:val="1"/>
      <w:numFmt w:val="bullet"/>
      <w:lvlText w:val=""/>
      <w:lvlJc w:val="left"/>
      <w:pPr>
        <w:ind w:left="720" w:hanging="360"/>
      </w:pPr>
      <w:rPr>
        <w:rFonts w:ascii="Symbol" w:hAnsi="Symbol"/>
      </w:rPr>
    </w:lvl>
    <w:lvl w:ilvl="7" w:tplc="2BCA65E0">
      <w:start w:val="1"/>
      <w:numFmt w:val="bullet"/>
      <w:lvlText w:val=""/>
      <w:lvlJc w:val="left"/>
      <w:pPr>
        <w:ind w:left="720" w:hanging="360"/>
      </w:pPr>
      <w:rPr>
        <w:rFonts w:ascii="Symbol" w:hAnsi="Symbol"/>
      </w:rPr>
    </w:lvl>
    <w:lvl w:ilvl="8" w:tplc="BD4EEC3C">
      <w:start w:val="1"/>
      <w:numFmt w:val="bullet"/>
      <w:lvlText w:val=""/>
      <w:lvlJc w:val="left"/>
      <w:pPr>
        <w:ind w:left="720" w:hanging="360"/>
      </w:pPr>
      <w:rPr>
        <w:rFonts w:ascii="Symbol" w:hAnsi="Symbol"/>
      </w:rPr>
    </w:lvl>
  </w:abstractNum>
  <w:abstractNum w:abstractNumId="9" w15:restartNumberingAfterBreak="0">
    <w:nsid w:val="3B091487"/>
    <w:multiLevelType w:val="hybridMultilevel"/>
    <w:tmpl w:val="66C86218"/>
    <w:lvl w:ilvl="0" w:tplc="A09CFFBC">
      <w:start w:val="1"/>
      <w:numFmt w:val="bullet"/>
      <w:lvlText w:val=""/>
      <w:lvlJc w:val="left"/>
      <w:pPr>
        <w:ind w:left="1080" w:hanging="360"/>
      </w:pPr>
      <w:rPr>
        <w:rFonts w:ascii="Symbol" w:hAnsi="Symbol"/>
      </w:rPr>
    </w:lvl>
    <w:lvl w:ilvl="1" w:tplc="964EBD42">
      <w:start w:val="1"/>
      <w:numFmt w:val="bullet"/>
      <w:lvlText w:val=""/>
      <w:lvlJc w:val="left"/>
      <w:pPr>
        <w:ind w:left="1080" w:hanging="360"/>
      </w:pPr>
      <w:rPr>
        <w:rFonts w:ascii="Symbol" w:hAnsi="Symbol"/>
      </w:rPr>
    </w:lvl>
    <w:lvl w:ilvl="2" w:tplc="049661D8">
      <w:start w:val="1"/>
      <w:numFmt w:val="bullet"/>
      <w:lvlText w:val=""/>
      <w:lvlJc w:val="left"/>
      <w:pPr>
        <w:ind w:left="1080" w:hanging="360"/>
      </w:pPr>
      <w:rPr>
        <w:rFonts w:ascii="Symbol" w:hAnsi="Symbol"/>
      </w:rPr>
    </w:lvl>
    <w:lvl w:ilvl="3" w:tplc="15CA44C2">
      <w:start w:val="1"/>
      <w:numFmt w:val="bullet"/>
      <w:lvlText w:val=""/>
      <w:lvlJc w:val="left"/>
      <w:pPr>
        <w:ind w:left="1080" w:hanging="360"/>
      </w:pPr>
      <w:rPr>
        <w:rFonts w:ascii="Symbol" w:hAnsi="Symbol"/>
      </w:rPr>
    </w:lvl>
    <w:lvl w:ilvl="4" w:tplc="121C0546">
      <w:start w:val="1"/>
      <w:numFmt w:val="bullet"/>
      <w:lvlText w:val=""/>
      <w:lvlJc w:val="left"/>
      <w:pPr>
        <w:ind w:left="1080" w:hanging="360"/>
      </w:pPr>
      <w:rPr>
        <w:rFonts w:ascii="Symbol" w:hAnsi="Symbol"/>
      </w:rPr>
    </w:lvl>
    <w:lvl w:ilvl="5" w:tplc="8B9C7270">
      <w:start w:val="1"/>
      <w:numFmt w:val="bullet"/>
      <w:lvlText w:val=""/>
      <w:lvlJc w:val="left"/>
      <w:pPr>
        <w:ind w:left="1080" w:hanging="360"/>
      </w:pPr>
      <w:rPr>
        <w:rFonts w:ascii="Symbol" w:hAnsi="Symbol"/>
      </w:rPr>
    </w:lvl>
    <w:lvl w:ilvl="6" w:tplc="CAB65888">
      <w:start w:val="1"/>
      <w:numFmt w:val="bullet"/>
      <w:lvlText w:val=""/>
      <w:lvlJc w:val="left"/>
      <w:pPr>
        <w:ind w:left="1080" w:hanging="360"/>
      </w:pPr>
      <w:rPr>
        <w:rFonts w:ascii="Symbol" w:hAnsi="Symbol"/>
      </w:rPr>
    </w:lvl>
    <w:lvl w:ilvl="7" w:tplc="E4BCAA76">
      <w:start w:val="1"/>
      <w:numFmt w:val="bullet"/>
      <w:lvlText w:val=""/>
      <w:lvlJc w:val="left"/>
      <w:pPr>
        <w:ind w:left="1080" w:hanging="360"/>
      </w:pPr>
      <w:rPr>
        <w:rFonts w:ascii="Symbol" w:hAnsi="Symbol"/>
      </w:rPr>
    </w:lvl>
    <w:lvl w:ilvl="8" w:tplc="E00A9798">
      <w:start w:val="1"/>
      <w:numFmt w:val="bullet"/>
      <w:lvlText w:val=""/>
      <w:lvlJc w:val="left"/>
      <w:pPr>
        <w:ind w:left="1080" w:hanging="360"/>
      </w:pPr>
      <w:rPr>
        <w:rFonts w:ascii="Symbol" w:hAnsi="Symbol"/>
      </w:rPr>
    </w:lvl>
  </w:abstractNum>
  <w:abstractNum w:abstractNumId="10" w15:restartNumberingAfterBreak="0">
    <w:nsid w:val="3FC768B2"/>
    <w:multiLevelType w:val="multilevel"/>
    <w:tmpl w:val="793668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DD7BB0"/>
    <w:multiLevelType w:val="hybridMultilevel"/>
    <w:tmpl w:val="CCFEC7E6"/>
    <w:lvl w:ilvl="0" w:tplc="64F6BD2E">
      <w:start w:val="1"/>
      <w:numFmt w:val="bullet"/>
      <w:lvlText w:val=""/>
      <w:lvlJc w:val="left"/>
      <w:pPr>
        <w:ind w:left="1080" w:hanging="360"/>
      </w:pPr>
      <w:rPr>
        <w:rFonts w:ascii="Symbol" w:hAnsi="Symbol"/>
      </w:rPr>
    </w:lvl>
    <w:lvl w:ilvl="1" w:tplc="172C69C0">
      <w:start w:val="1"/>
      <w:numFmt w:val="bullet"/>
      <w:lvlText w:val=""/>
      <w:lvlJc w:val="left"/>
      <w:pPr>
        <w:ind w:left="1080" w:hanging="360"/>
      </w:pPr>
      <w:rPr>
        <w:rFonts w:ascii="Symbol" w:hAnsi="Symbol"/>
      </w:rPr>
    </w:lvl>
    <w:lvl w:ilvl="2" w:tplc="8D429520">
      <w:start w:val="1"/>
      <w:numFmt w:val="bullet"/>
      <w:lvlText w:val=""/>
      <w:lvlJc w:val="left"/>
      <w:pPr>
        <w:ind w:left="1080" w:hanging="360"/>
      </w:pPr>
      <w:rPr>
        <w:rFonts w:ascii="Symbol" w:hAnsi="Symbol"/>
      </w:rPr>
    </w:lvl>
    <w:lvl w:ilvl="3" w:tplc="5012212E">
      <w:start w:val="1"/>
      <w:numFmt w:val="bullet"/>
      <w:lvlText w:val=""/>
      <w:lvlJc w:val="left"/>
      <w:pPr>
        <w:ind w:left="1080" w:hanging="360"/>
      </w:pPr>
      <w:rPr>
        <w:rFonts w:ascii="Symbol" w:hAnsi="Symbol"/>
      </w:rPr>
    </w:lvl>
    <w:lvl w:ilvl="4" w:tplc="2340A440">
      <w:start w:val="1"/>
      <w:numFmt w:val="bullet"/>
      <w:lvlText w:val=""/>
      <w:lvlJc w:val="left"/>
      <w:pPr>
        <w:ind w:left="1080" w:hanging="360"/>
      </w:pPr>
      <w:rPr>
        <w:rFonts w:ascii="Symbol" w:hAnsi="Symbol"/>
      </w:rPr>
    </w:lvl>
    <w:lvl w:ilvl="5" w:tplc="A7666764">
      <w:start w:val="1"/>
      <w:numFmt w:val="bullet"/>
      <w:lvlText w:val=""/>
      <w:lvlJc w:val="left"/>
      <w:pPr>
        <w:ind w:left="1080" w:hanging="360"/>
      </w:pPr>
      <w:rPr>
        <w:rFonts w:ascii="Symbol" w:hAnsi="Symbol"/>
      </w:rPr>
    </w:lvl>
    <w:lvl w:ilvl="6" w:tplc="CA687A94">
      <w:start w:val="1"/>
      <w:numFmt w:val="bullet"/>
      <w:lvlText w:val=""/>
      <w:lvlJc w:val="left"/>
      <w:pPr>
        <w:ind w:left="1080" w:hanging="360"/>
      </w:pPr>
      <w:rPr>
        <w:rFonts w:ascii="Symbol" w:hAnsi="Symbol"/>
      </w:rPr>
    </w:lvl>
    <w:lvl w:ilvl="7" w:tplc="EC22943C">
      <w:start w:val="1"/>
      <w:numFmt w:val="bullet"/>
      <w:lvlText w:val=""/>
      <w:lvlJc w:val="left"/>
      <w:pPr>
        <w:ind w:left="1080" w:hanging="360"/>
      </w:pPr>
      <w:rPr>
        <w:rFonts w:ascii="Symbol" w:hAnsi="Symbol"/>
      </w:rPr>
    </w:lvl>
    <w:lvl w:ilvl="8" w:tplc="3B04743E">
      <w:start w:val="1"/>
      <w:numFmt w:val="bullet"/>
      <w:lvlText w:val=""/>
      <w:lvlJc w:val="left"/>
      <w:pPr>
        <w:ind w:left="1080" w:hanging="360"/>
      </w:pPr>
      <w:rPr>
        <w:rFonts w:ascii="Symbol" w:hAnsi="Symbol"/>
      </w:rPr>
    </w:lvl>
  </w:abstractNum>
  <w:abstractNum w:abstractNumId="14" w15:restartNumberingAfterBreak="0">
    <w:nsid w:val="7074675F"/>
    <w:multiLevelType w:val="multilevel"/>
    <w:tmpl w:val="CB6ED55A"/>
    <w:lvl w:ilvl="0">
      <w:start w:val="9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480116900">
    <w:abstractNumId w:val="3"/>
  </w:num>
  <w:num w:numId="2" w16cid:durableId="180895070">
    <w:abstractNumId w:val="11"/>
  </w:num>
  <w:num w:numId="3" w16cid:durableId="1356350649">
    <w:abstractNumId w:val="0"/>
  </w:num>
  <w:num w:numId="4" w16cid:durableId="1151099335">
    <w:abstractNumId w:val="12"/>
  </w:num>
  <w:num w:numId="5" w16cid:durableId="797770133">
    <w:abstractNumId w:val="2"/>
  </w:num>
  <w:num w:numId="6" w16cid:durableId="878471050">
    <w:abstractNumId w:val="5"/>
  </w:num>
  <w:num w:numId="7" w16cid:durableId="1259405692">
    <w:abstractNumId w:val="6"/>
  </w:num>
  <w:num w:numId="8" w16cid:durableId="290987890">
    <w:abstractNumId w:val="4"/>
  </w:num>
  <w:num w:numId="9" w16cid:durableId="521475137">
    <w:abstractNumId w:val="7"/>
  </w:num>
  <w:num w:numId="10" w16cid:durableId="403181231">
    <w:abstractNumId w:val="10"/>
  </w:num>
  <w:num w:numId="11" w16cid:durableId="1490554284">
    <w:abstractNumId w:val="2"/>
  </w:num>
  <w:num w:numId="12" w16cid:durableId="1277718734">
    <w:abstractNumId w:val="2"/>
  </w:num>
  <w:num w:numId="13" w16cid:durableId="729113640">
    <w:abstractNumId w:val="14"/>
  </w:num>
  <w:num w:numId="14" w16cid:durableId="661927090">
    <w:abstractNumId w:val="9"/>
  </w:num>
  <w:num w:numId="15" w16cid:durableId="2107722461">
    <w:abstractNumId w:val="13"/>
  </w:num>
  <w:num w:numId="16" w16cid:durableId="593131148">
    <w:abstractNumId w:val="8"/>
  </w:num>
  <w:num w:numId="17" w16cid:durableId="701129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3C"/>
    <w:rsid w:val="0000171E"/>
    <w:rsid w:val="000046F8"/>
    <w:rsid w:val="000105B9"/>
    <w:rsid w:val="00011EAA"/>
    <w:rsid w:val="0001243A"/>
    <w:rsid w:val="000126C2"/>
    <w:rsid w:val="0001647B"/>
    <w:rsid w:val="00016520"/>
    <w:rsid w:val="000219B3"/>
    <w:rsid w:val="000256D6"/>
    <w:rsid w:val="000259B9"/>
    <w:rsid w:val="000275FF"/>
    <w:rsid w:val="00030D1A"/>
    <w:rsid w:val="00030DCA"/>
    <w:rsid w:val="0003170B"/>
    <w:rsid w:val="000402AD"/>
    <w:rsid w:val="000439D1"/>
    <w:rsid w:val="00043CAA"/>
    <w:rsid w:val="000505EE"/>
    <w:rsid w:val="00056F8E"/>
    <w:rsid w:val="00057543"/>
    <w:rsid w:val="00061649"/>
    <w:rsid w:val="00064D7D"/>
    <w:rsid w:val="00072C5E"/>
    <w:rsid w:val="00072DCE"/>
    <w:rsid w:val="00074094"/>
    <w:rsid w:val="00075432"/>
    <w:rsid w:val="0008014C"/>
    <w:rsid w:val="000841CF"/>
    <w:rsid w:val="00087D67"/>
    <w:rsid w:val="00090F26"/>
    <w:rsid w:val="00091F6E"/>
    <w:rsid w:val="0009552F"/>
    <w:rsid w:val="000968ED"/>
    <w:rsid w:val="000A2803"/>
    <w:rsid w:val="000A3F5C"/>
    <w:rsid w:val="000B2DA9"/>
    <w:rsid w:val="000B37AD"/>
    <w:rsid w:val="000B4740"/>
    <w:rsid w:val="000B6E79"/>
    <w:rsid w:val="000C46F6"/>
    <w:rsid w:val="000D0A5B"/>
    <w:rsid w:val="000E0273"/>
    <w:rsid w:val="000E1712"/>
    <w:rsid w:val="000E24DC"/>
    <w:rsid w:val="000E4792"/>
    <w:rsid w:val="000E7388"/>
    <w:rsid w:val="000F08AE"/>
    <w:rsid w:val="000F0B10"/>
    <w:rsid w:val="000F2583"/>
    <w:rsid w:val="000F5E56"/>
    <w:rsid w:val="000F64F9"/>
    <w:rsid w:val="000F6717"/>
    <w:rsid w:val="001024FE"/>
    <w:rsid w:val="0010408E"/>
    <w:rsid w:val="001063E6"/>
    <w:rsid w:val="00107CD5"/>
    <w:rsid w:val="001149B9"/>
    <w:rsid w:val="00124096"/>
    <w:rsid w:val="001242C5"/>
    <w:rsid w:val="00125512"/>
    <w:rsid w:val="001256D5"/>
    <w:rsid w:val="0012629B"/>
    <w:rsid w:val="0012692E"/>
    <w:rsid w:val="00126FDA"/>
    <w:rsid w:val="00127F02"/>
    <w:rsid w:val="00131765"/>
    <w:rsid w:val="00134EE8"/>
    <w:rsid w:val="001362EE"/>
    <w:rsid w:val="00142868"/>
    <w:rsid w:val="00145CB0"/>
    <w:rsid w:val="00151616"/>
    <w:rsid w:val="001553F4"/>
    <w:rsid w:val="00156E65"/>
    <w:rsid w:val="0016268A"/>
    <w:rsid w:val="0016396A"/>
    <w:rsid w:val="00163993"/>
    <w:rsid w:val="00172285"/>
    <w:rsid w:val="001735E1"/>
    <w:rsid w:val="001807F2"/>
    <w:rsid w:val="001809A1"/>
    <w:rsid w:val="001832A6"/>
    <w:rsid w:val="00187689"/>
    <w:rsid w:val="00192D35"/>
    <w:rsid w:val="00195AB7"/>
    <w:rsid w:val="00196041"/>
    <w:rsid w:val="001A3B1E"/>
    <w:rsid w:val="001A4136"/>
    <w:rsid w:val="001A4E2E"/>
    <w:rsid w:val="001A5D34"/>
    <w:rsid w:val="001B2A79"/>
    <w:rsid w:val="001B4963"/>
    <w:rsid w:val="001B5234"/>
    <w:rsid w:val="001C6808"/>
    <w:rsid w:val="001D1727"/>
    <w:rsid w:val="001D59C5"/>
    <w:rsid w:val="001D774E"/>
    <w:rsid w:val="001E3547"/>
    <w:rsid w:val="001E781F"/>
    <w:rsid w:val="001F093F"/>
    <w:rsid w:val="001F7757"/>
    <w:rsid w:val="001F79BC"/>
    <w:rsid w:val="001F7B70"/>
    <w:rsid w:val="00201791"/>
    <w:rsid w:val="002075FD"/>
    <w:rsid w:val="002121FA"/>
    <w:rsid w:val="002165AD"/>
    <w:rsid w:val="0022401C"/>
    <w:rsid w:val="002312E4"/>
    <w:rsid w:val="002326AF"/>
    <w:rsid w:val="0023482D"/>
    <w:rsid w:val="00234E9C"/>
    <w:rsid w:val="0024079C"/>
    <w:rsid w:val="002417D1"/>
    <w:rsid w:val="002427DF"/>
    <w:rsid w:val="00255139"/>
    <w:rsid w:val="002634C4"/>
    <w:rsid w:val="00272122"/>
    <w:rsid w:val="00274C90"/>
    <w:rsid w:val="002777A1"/>
    <w:rsid w:val="00281A5D"/>
    <w:rsid w:val="002821EA"/>
    <w:rsid w:val="002835C6"/>
    <w:rsid w:val="00284B1C"/>
    <w:rsid w:val="00286A7B"/>
    <w:rsid w:val="00286BED"/>
    <w:rsid w:val="002928D3"/>
    <w:rsid w:val="00292EFB"/>
    <w:rsid w:val="00293F0B"/>
    <w:rsid w:val="00293FFE"/>
    <w:rsid w:val="00295154"/>
    <w:rsid w:val="00297BCE"/>
    <w:rsid w:val="002A2E01"/>
    <w:rsid w:val="002A2F56"/>
    <w:rsid w:val="002A7D8E"/>
    <w:rsid w:val="002B091A"/>
    <w:rsid w:val="002B1787"/>
    <w:rsid w:val="002B4879"/>
    <w:rsid w:val="002B7925"/>
    <w:rsid w:val="002C0F59"/>
    <w:rsid w:val="002C55C0"/>
    <w:rsid w:val="002C6291"/>
    <w:rsid w:val="002C73F5"/>
    <w:rsid w:val="002D01AF"/>
    <w:rsid w:val="002D0751"/>
    <w:rsid w:val="002D2D14"/>
    <w:rsid w:val="002D4BB4"/>
    <w:rsid w:val="002D6BD3"/>
    <w:rsid w:val="002E1FD1"/>
    <w:rsid w:val="002E5412"/>
    <w:rsid w:val="002E6245"/>
    <w:rsid w:val="002E72E1"/>
    <w:rsid w:val="002F1FE6"/>
    <w:rsid w:val="002F27A3"/>
    <w:rsid w:val="002F326A"/>
    <w:rsid w:val="002F36F1"/>
    <w:rsid w:val="002F4E68"/>
    <w:rsid w:val="0030349E"/>
    <w:rsid w:val="00303AF0"/>
    <w:rsid w:val="00311F95"/>
    <w:rsid w:val="00312209"/>
    <w:rsid w:val="00312F7F"/>
    <w:rsid w:val="00316FA4"/>
    <w:rsid w:val="003227AC"/>
    <w:rsid w:val="003228B7"/>
    <w:rsid w:val="00323785"/>
    <w:rsid w:val="00334EB2"/>
    <w:rsid w:val="003409C4"/>
    <w:rsid w:val="003410A2"/>
    <w:rsid w:val="00347260"/>
    <w:rsid w:val="00347E0A"/>
    <w:rsid w:val="003508A3"/>
    <w:rsid w:val="00350968"/>
    <w:rsid w:val="00351086"/>
    <w:rsid w:val="00361E0D"/>
    <w:rsid w:val="00364044"/>
    <w:rsid w:val="003673CF"/>
    <w:rsid w:val="00367635"/>
    <w:rsid w:val="0038239C"/>
    <w:rsid w:val="00382761"/>
    <w:rsid w:val="003845C1"/>
    <w:rsid w:val="00385B28"/>
    <w:rsid w:val="00386E2F"/>
    <w:rsid w:val="003935CD"/>
    <w:rsid w:val="00395CE4"/>
    <w:rsid w:val="00396068"/>
    <w:rsid w:val="00396BB9"/>
    <w:rsid w:val="00396EF7"/>
    <w:rsid w:val="003979C4"/>
    <w:rsid w:val="00397D01"/>
    <w:rsid w:val="003A1B39"/>
    <w:rsid w:val="003A424A"/>
    <w:rsid w:val="003A6F89"/>
    <w:rsid w:val="003B09BC"/>
    <w:rsid w:val="003B2EAD"/>
    <w:rsid w:val="003B38C1"/>
    <w:rsid w:val="003B4196"/>
    <w:rsid w:val="003B683A"/>
    <w:rsid w:val="003B6F94"/>
    <w:rsid w:val="003C0807"/>
    <w:rsid w:val="003C2099"/>
    <w:rsid w:val="003C3147"/>
    <w:rsid w:val="003C527E"/>
    <w:rsid w:val="003C5322"/>
    <w:rsid w:val="003C7F2E"/>
    <w:rsid w:val="003D352A"/>
    <w:rsid w:val="003D5C6A"/>
    <w:rsid w:val="003D71B2"/>
    <w:rsid w:val="003E6AFC"/>
    <w:rsid w:val="003F1B55"/>
    <w:rsid w:val="003F6BDE"/>
    <w:rsid w:val="003F748D"/>
    <w:rsid w:val="00400CF9"/>
    <w:rsid w:val="004029FF"/>
    <w:rsid w:val="004053DB"/>
    <w:rsid w:val="00410E8C"/>
    <w:rsid w:val="00417D02"/>
    <w:rsid w:val="004239E9"/>
    <w:rsid w:val="00423E3E"/>
    <w:rsid w:val="00427AF4"/>
    <w:rsid w:val="0043244B"/>
    <w:rsid w:val="00433F64"/>
    <w:rsid w:val="004400E2"/>
    <w:rsid w:val="00443285"/>
    <w:rsid w:val="00445696"/>
    <w:rsid w:val="004536F4"/>
    <w:rsid w:val="0046052A"/>
    <w:rsid w:val="004615ED"/>
    <w:rsid w:val="00461632"/>
    <w:rsid w:val="004647DA"/>
    <w:rsid w:val="00466BC3"/>
    <w:rsid w:val="004706BA"/>
    <w:rsid w:val="00471B8A"/>
    <w:rsid w:val="00474062"/>
    <w:rsid w:val="00477D6B"/>
    <w:rsid w:val="00481E7A"/>
    <w:rsid w:val="00483064"/>
    <w:rsid w:val="00484221"/>
    <w:rsid w:val="00490039"/>
    <w:rsid w:val="00494B96"/>
    <w:rsid w:val="004963F6"/>
    <w:rsid w:val="00497B31"/>
    <w:rsid w:val="004A28FE"/>
    <w:rsid w:val="004A317E"/>
    <w:rsid w:val="004A6449"/>
    <w:rsid w:val="004A6DCE"/>
    <w:rsid w:val="004A7F73"/>
    <w:rsid w:val="004B090F"/>
    <w:rsid w:val="004B3718"/>
    <w:rsid w:val="004B4509"/>
    <w:rsid w:val="004B475B"/>
    <w:rsid w:val="004C0EA9"/>
    <w:rsid w:val="004C19D5"/>
    <w:rsid w:val="004C55EE"/>
    <w:rsid w:val="004C7E2A"/>
    <w:rsid w:val="004D010E"/>
    <w:rsid w:val="004D230E"/>
    <w:rsid w:val="004D39C4"/>
    <w:rsid w:val="004D3BE8"/>
    <w:rsid w:val="004D79B9"/>
    <w:rsid w:val="004E5D43"/>
    <w:rsid w:val="004E656B"/>
    <w:rsid w:val="004E6C3A"/>
    <w:rsid w:val="004E7D2D"/>
    <w:rsid w:val="004F0601"/>
    <w:rsid w:val="004F0DDC"/>
    <w:rsid w:val="004F15CA"/>
    <w:rsid w:val="004F1EC9"/>
    <w:rsid w:val="004F4266"/>
    <w:rsid w:val="004F456B"/>
    <w:rsid w:val="004F7838"/>
    <w:rsid w:val="005019E2"/>
    <w:rsid w:val="00502277"/>
    <w:rsid w:val="00502936"/>
    <w:rsid w:val="00502EA4"/>
    <w:rsid w:val="0051081B"/>
    <w:rsid w:val="005108FB"/>
    <w:rsid w:val="00511175"/>
    <w:rsid w:val="0051154A"/>
    <w:rsid w:val="0051188D"/>
    <w:rsid w:val="00512515"/>
    <w:rsid w:val="0051650F"/>
    <w:rsid w:val="00522557"/>
    <w:rsid w:val="00527353"/>
    <w:rsid w:val="0053057A"/>
    <w:rsid w:val="00531B0A"/>
    <w:rsid w:val="00534102"/>
    <w:rsid w:val="0054412B"/>
    <w:rsid w:val="005461D0"/>
    <w:rsid w:val="00547411"/>
    <w:rsid w:val="00552E7C"/>
    <w:rsid w:val="005548C9"/>
    <w:rsid w:val="00557F59"/>
    <w:rsid w:val="00560A29"/>
    <w:rsid w:val="0056446D"/>
    <w:rsid w:val="0056621D"/>
    <w:rsid w:val="005702B5"/>
    <w:rsid w:val="005709C0"/>
    <w:rsid w:val="0057197E"/>
    <w:rsid w:val="005731C9"/>
    <w:rsid w:val="00573F36"/>
    <w:rsid w:val="00577071"/>
    <w:rsid w:val="0057799C"/>
    <w:rsid w:val="005800A2"/>
    <w:rsid w:val="00581C51"/>
    <w:rsid w:val="00582C98"/>
    <w:rsid w:val="0058330D"/>
    <w:rsid w:val="00590465"/>
    <w:rsid w:val="0059165E"/>
    <w:rsid w:val="00593BEF"/>
    <w:rsid w:val="00594D0C"/>
    <w:rsid w:val="00594D27"/>
    <w:rsid w:val="005964EA"/>
    <w:rsid w:val="00597967"/>
    <w:rsid w:val="005A0C54"/>
    <w:rsid w:val="005A2392"/>
    <w:rsid w:val="005B1D71"/>
    <w:rsid w:val="005B3F0A"/>
    <w:rsid w:val="005B408F"/>
    <w:rsid w:val="005C03F3"/>
    <w:rsid w:val="005C56B9"/>
    <w:rsid w:val="005C5BA6"/>
    <w:rsid w:val="005D3F1F"/>
    <w:rsid w:val="005E74DD"/>
    <w:rsid w:val="005F10BC"/>
    <w:rsid w:val="005F1F8A"/>
    <w:rsid w:val="005F4778"/>
    <w:rsid w:val="005F4959"/>
    <w:rsid w:val="005F7AEE"/>
    <w:rsid w:val="006002E1"/>
    <w:rsid w:val="00601760"/>
    <w:rsid w:val="00603637"/>
    <w:rsid w:val="00605827"/>
    <w:rsid w:val="00617FC8"/>
    <w:rsid w:val="006202E1"/>
    <w:rsid w:val="00623CC2"/>
    <w:rsid w:val="00627618"/>
    <w:rsid w:val="00633A31"/>
    <w:rsid w:val="0063496D"/>
    <w:rsid w:val="00635D30"/>
    <w:rsid w:val="0064423D"/>
    <w:rsid w:val="00646050"/>
    <w:rsid w:val="0064710C"/>
    <w:rsid w:val="00653145"/>
    <w:rsid w:val="0065562E"/>
    <w:rsid w:val="00657256"/>
    <w:rsid w:val="00664ABD"/>
    <w:rsid w:val="00665642"/>
    <w:rsid w:val="00666AB3"/>
    <w:rsid w:val="006713CA"/>
    <w:rsid w:val="006718D0"/>
    <w:rsid w:val="006754D9"/>
    <w:rsid w:val="00676C5C"/>
    <w:rsid w:val="00685892"/>
    <w:rsid w:val="00687543"/>
    <w:rsid w:val="00690BCC"/>
    <w:rsid w:val="00695558"/>
    <w:rsid w:val="006A6351"/>
    <w:rsid w:val="006B4388"/>
    <w:rsid w:val="006B670C"/>
    <w:rsid w:val="006C0CDF"/>
    <w:rsid w:val="006C12C1"/>
    <w:rsid w:val="006C320D"/>
    <w:rsid w:val="006C52AC"/>
    <w:rsid w:val="006C7088"/>
    <w:rsid w:val="006D4664"/>
    <w:rsid w:val="006D5632"/>
    <w:rsid w:val="006D5E0F"/>
    <w:rsid w:val="006D726D"/>
    <w:rsid w:val="006D74E4"/>
    <w:rsid w:val="006E48FA"/>
    <w:rsid w:val="006E63C6"/>
    <w:rsid w:val="006E7B2C"/>
    <w:rsid w:val="006F3742"/>
    <w:rsid w:val="006F551B"/>
    <w:rsid w:val="006F569A"/>
    <w:rsid w:val="007004BA"/>
    <w:rsid w:val="00701FFE"/>
    <w:rsid w:val="00703178"/>
    <w:rsid w:val="00704D5A"/>
    <w:rsid w:val="007058FB"/>
    <w:rsid w:val="00712896"/>
    <w:rsid w:val="0071329A"/>
    <w:rsid w:val="00714848"/>
    <w:rsid w:val="0071714D"/>
    <w:rsid w:val="007173E4"/>
    <w:rsid w:val="007214F1"/>
    <w:rsid w:val="00721710"/>
    <w:rsid w:val="007275C7"/>
    <w:rsid w:val="007276AB"/>
    <w:rsid w:val="00730FAF"/>
    <w:rsid w:val="00731A24"/>
    <w:rsid w:val="00733052"/>
    <w:rsid w:val="00733B5D"/>
    <w:rsid w:val="00736662"/>
    <w:rsid w:val="0074225E"/>
    <w:rsid w:val="00742761"/>
    <w:rsid w:val="00742919"/>
    <w:rsid w:val="0074753B"/>
    <w:rsid w:val="007515FF"/>
    <w:rsid w:val="007518BE"/>
    <w:rsid w:val="00755902"/>
    <w:rsid w:val="00761132"/>
    <w:rsid w:val="00763F15"/>
    <w:rsid w:val="00765319"/>
    <w:rsid w:val="007667B3"/>
    <w:rsid w:val="00771D6F"/>
    <w:rsid w:val="00773B0F"/>
    <w:rsid w:val="00777EE8"/>
    <w:rsid w:val="00781D45"/>
    <w:rsid w:val="007826DB"/>
    <w:rsid w:val="00782825"/>
    <w:rsid w:val="00782A2E"/>
    <w:rsid w:val="007843A6"/>
    <w:rsid w:val="00784592"/>
    <w:rsid w:val="00784F28"/>
    <w:rsid w:val="00786248"/>
    <w:rsid w:val="00786D68"/>
    <w:rsid w:val="007873FC"/>
    <w:rsid w:val="00791702"/>
    <w:rsid w:val="0079238B"/>
    <w:rsid w:val="007A26B3"/>
    <w:rsid w:val="007A280D"/>
    <w:rsid w:val="007A28C0"/>
    <w:rsid w:val="007A406D"/>
    <w:rsid w:val="007A6AA8"/>
    <w:rsid w:val="007B0FB6"/>
    <w:rsid w:val="007B1A7D"/>
    <w:rsid w:val="007B1E84"/>
    <w:rsid w:val="007B6382"/>
    <w:rsid w:val="007B6A58"/>
    <w:rsid w:val="007C1158"/>
    <w:rsid w:val="007C22A3"/>
    <w:rsid w:val="007C4FC4"/>
    <w:rsid w:val="007C6770"/>
    <w:rsid w:val="007D1613"/>
    <w:rsid w:val="007D3F35"/>
    <w:rsid w:val="007D77D9"/>
    <w:rsid w:val="007E3719"/>
    <w:rsid w:val="007E7549"/>
    <w:rsid w:val="007F09BB"/>
    <w:rsid w:val="007F20E3"/>
    <w:rsid w:val="007F2E3A"/>
    <w:rsid w:val="007F7A9F"/>
    <w:rsid w:val="007F7B3E"/>
    <w:rsid w:val="00807045"/>
    <w:rsid w:val="00810B5E"/>
    <w:rsid w:val="00812E3B"/>
    <w:rsid w:val="00813C5E"/>
    <w:rsid w:val="008207A3"/>
    <w:rsid w:val="00822E70"/>
    <w:rsid w:val="00824FF9"/>
    <w:rsid w:val="00825B1E"/>
    <w:rsid w:val="00825EBA"/>
    <w:rsid w:val="008328D5"/>
    <w:rsid w:val="00834A81"/>
    <w:rsid w:val="00834ABC"/>
    <w:rsid w:val="00836927"/>
    <w:rsid w:val="008376C1"/>
    <w:rsid w:val="0084090E"/>
    <w:rsid w:val="008417FC"/>
    <w:rsid w:val="0084244C"/>
    <w:rsid w:val="00842C14"/>
    <w:rsid w:val="0084417A"/>
    <w:rsid w:val="00844C90"/>
    <w:rsid w:val="0084578B"/>
    <w:rsid w:val="00850161"/>
    <w:rsid w:val="00852A6E"/>
    <w:rsid w:val="00855D35"/>
    <w:rsid w:val="00861BD0"/>
    <w:rsid w:val="008674CE"/>
    <w:rsid w:val="00873885"/>
    <w:rsid w:val="00873EE5"/>
    <w:rsid w:val="00881187"/>
    <w:rsid w:val="0088773F"/>
    <w:rsid w:val="00890536"/>
    <w:rsid w:val="0089213E"/>
    <w:rsid w:val="008A1D8F"/>
    <w:rsid w:val="008A6823"/>
    <w:rsid w:val="008A7879"/>
    <w:rsid w:val="008B27F0"/>
    <w:rsid w:val="008B2CC1"/>
    <w:rsid w:val="008B4B5E"/>
    <w:rsid w:val="008B60B2"/>
    <w:rsid w:val="008C2F82"/>
    <w:rsid w:val="008C45FB"/>
    <w:rsid w:val="008C521A"/>
    <w:rsid w:val="008C574C"/>
    <w:rsid w:val="008D3BF9"/>
    <w:rsid w:val="008E20B2"/>
    <w:rsid w:val="008E691B"/>
    <w:rsid w:val="008E7565"/>
    <w:rsid w:val="008F4951"/>
    <w:rsid w:val="008F4B73"/>
    <w:rsid w:val="008F57CD"/>
    <w:rsid w:val="009063B7"/>
    <w:rsid w:val="0090731E"/>
    <w:rsid w:val="0091316F"/>
    <w:rsid w:val="00914532"/>
    <w:rsid w:val="00916EE2"/>
    <w:rsid w:val="009212AB"/>
    <w:rsid w:val="00922010"/>
    <w:rsid w:val="009220D0"/>
    <w:rsid w:val="00922395"/>
    <w:rsid w:val="00926C52"/>
    <w:rsid w:val="00927EF1"/>
    <w:rsid w:val="00932389"/>
    <w:rsid w:val="00934E25"/>
    <w:rsid w:val="009358F4"/>
    <w:rsid w:val="00945E74"/>
    <w:rsid w:val="00947D55"/>
    <w:rsid w:val="009515EA"/>
    <w:rsid w:val="009542F6"/>
    <w:rsid w:val="009629EB"/>
    <w:rsid w:val="00964999"/>
    <w:rsid w:val="00964B06"/>
    <w:rsid w:val="00966A22"/>
    <w:rsid w:val="0096722F"/>
    <w:rsid w:val="0096755D"/>
    <w:rsid w:val="00980843"/>
    <w:rsid w:val="00980E3B"/>
    <w:rsid w:val="00981079"/>
    <w:rsid w:val="00981F3E"/>
    <w:rsid w:val="00982580"/>
    <w:rsid w:val="0098690C"/>
    <w:rsid w:val="0098729F"/>
    <w:rsid w:val="009902A3"/>
    <w:rsid w:val="009928A7"/>
    <w:rsid w:val="009928D4"/>
    <w:rsid w:val="00992F4C"/>
    <w:rsid w:val="00994DE2"/>
    <w:rsid w:val="0099590B"/>
    <w:rsid w:val="009A217B"/>
    <w:rsid w:val="009A3B4C"/>
    <w:rsid w:val="009A4B0F"/>
    <w:rsid w:val="009B039E"/>
    <w:rsid w:val="009B3DD1"/>
    <w:rsid w:val="009C1689"/>
    <w:rsid w:val="009C60C6"/>
    <w:rsid w:val="009C733F"/>
    <w:rsid w:val="009C7F15"/>
    <w:rsid w:val="009D08A1"/>
    <w:rsid w:val="009D1048"/>
    <w:rsid w:val="009D121E"/>
    <w:rsid w:val="009D5E12"/>
    <w:rsid w:val="009E2791"/>
    <w:rsid w:val="009E386E"/>
    <w:rsid w:val="009E3F6F"/>
    <w:rsid w:val="009E5B75"/>
    <w:rsid w:val="009E5CCD"/>
    <w:rsid w:val="009E61C3"/>
    <w:rsid w:val="009F0D34"/>
    <w:rsid w:val="009F2F9E"/>
    <w:rsid w:val="009F3BF9"/>
    <w:rsid w:val="009F499F"/>
    <w:rsid w:val="009F681E"/>
    <w:rsid w:val="009F7C3D"/>
    <w:rsid w:val="00A002DE"/>
    <w:rsid w:val="00A0146D"/>
    <w:rsid w:val="00A052A2"/>
    <w:rsid w:val="00A07A84"/>
    <w:rsid w:val="00A10BFF"/>
    <w:rsid w:val="00A13439"/>
    <w:rsid w:val="00A15B96"/>
    <w:rsid w:val="00A1764B"/>
    <w:rsid w:val="00A17ADD"/>
    <w:rsid w:val="00A2072B"/>
    <w:rsid w:val="00A22AB2"/>
    <w:rsid w:val="00A23D11"/>
    <w:rsid w:val="00A2569F"/>
    <w:rsid w:val="00A31A9A"/>
    <w:rsid w:val="00A31C8E"/>
    <w:rsid w:val="00A35A1D"/>
    <w:rsid w:val="00A42DAF"/>
    <w:rsid w:val="00A45BD8"/>
    <w:rsid w:val="00A50370"/>
    <w:rsid w:val="00A51BFC"/>
    <w:rsid w:val="00A54E8B"/>
    <w:rsid w:val="00A55A05"/>
    <w:rsid w:val="00A62C3E"/>
    <w:rsid w:val="00A63B7F"/>
    <w:rsid w:val="00A654EB"/>
    <w:rsid w:val="00A6645F"/>
    <w:rsid w:val="00A6685F"/>
    <w:rsid w:val="00A70C29"/>
    <w:rsid w:val="00A716F9"/>
    <w:rsid w:val="00A71873"/>
    <w:rsid w:val="00A76118"/>
    <w:rsid w:val="00A778BF"/>
    <w:rsid w:val="00A80B69"/>
    <w:rsid w:val="00A81FF6"/>
    <w:rsid w:val="00A82C0E"/>
    <w:rsid w:val="00A83CD4"/>
    <w:rsid w:val="00A85B8E"/>
    <w:rsid w:val="00A95F8F"/>
    <w:rsid w:val="00A960C8"/>
    <w:rsid w:val="00AA17C2"/>
    <w:rsid w:val="00AA42EC"/>
    <w:rsid w:val="00AA5D2D"/>
    <w:rsid w:val="00AA77DF"/>
    <w:rsid w:val="00AA7D36"/>
    <w:rsid w:val="00AB0A54"/>
    <w:rsid w:val="00AB0F6B"/>
    <w:rsid w:val="00AB361D"/>
    <w:rsid w:val="00AB3BCA"/>
    <w:rsid w:val="00AB712A"/>
    <w:rsid w:val="00AC205C"/>
    <w:rsid w:val="00AC2939"/>
    <w:rsid w:val="00AC4F90"/>
    <w:rsid w:val="00AD4C4D"/>
    <w:rsid w:val="00AD7A1E"/>
    <w:rsid w:val="00AD7DF6"/>
    <w:rsid w:val="00AE21AC"/>
    <w:rsid w:val="00AE6C52"/>
    <w:rsid w:val="00AE7D65"/>
    <w:rsid w:val="00AF153F"/>
    <w:rsid w:val="00AF410B"/>
    <w:rsid w:val="00AF4C7E"/>
    <w:rsid w:val="00AF5C73"/>
    <w:rsid w:val="00AF7CE3"/>
    <w:rsid w:val="00B05A69"/>
    <w:rsid w:val="00B135A1"/>
    <w:rsid w:val="00B17955"/>
    <w:rsid w:val="00B179C4"/>
    <w:rsid w:val="00B25551"/>
    <w:rsid w:val="00B263BB"/>
    <w:rsid w:val="00B31B22"/>
    <w:rsid w:val="00B3467A"/>
    <w:rsid w:val="00B40598"/>
    <w:rsid w:val="00B41F23"/>
    <w:rsid w:val="00B45850"/>
    <w:rsid w:val="00B5084C"/>
    <w:rsid w:val="00B50B99"/>
    <w:rsid w:val="00B5297B"/>
    <w:rsid w:val="00B6069A"/>
    <w:rsid w:val="00B62CD9"/>
    <w:rsid w:val="00B652DD"/>
    <w:rsid w:val="00B653F5"/>
    <w:rsid w:val="00B660B2"/>
    <w:rsid w:val="00B66D9E"/>
    <w:rsid w:val="00B71D4F"/>
    <w:rsid w:val="00B804AE"/>
    <w:rsid w:val="00B81E94"/>
    <w:rsid w:val="00B83B4E"/>
    <w:rsid w:val="00B85F09"/>
    <w:rsid w:val="00B95881"/>
    <w:rsid w:val="00B95A3B"/>
    <w:rsid w:val="00B9734B"/>
    <w:rsid w:val="00BA4374"/>
    <w:rsid w:val="00BA7B8B"/>
    <w:rsid w:val="00BB44CF"/>
    <w:rsid w:val="00BB54A6"/>
    <w:rsid w:val="00BB59CC"/>
    <w:rsid w:val="00BB5D5F"/>
    <w:rsid w:val="00BB6B67"/>
    <w:rsid w:val="00BC5295"/>
    <w:rsid w:val="00BC6D35"/>
    <w:rsid w:val="00BD3C17"/>
    <w:rsid w:val="00BD4E12"/>
    <w:rsid w:val="00BD5F7B"/>
    <w:rsid w:val="00BE1451"/>
    <w:rsid w:val="00BE291F"/>
    <w:rsid w:val="00BE4DC7"/>
    <w:rsid w:val="00BE508F"/>
    <w:rsid w:val="00BE5FE8"/>
    <w:rsid w:val="00BF0199"/>
    <w:rsid w:val="00BF43E1"/>
    <w:rsid w:val="00C034D3"/>
    <w:rsid w:val="00C053E0"/>
    <w:rsid w:val="00C07A68"/>
    <w:rsid w:val="00C11BFE"/>
    <w:rsid w:val="00C13B2E"/>
    <w:rsid w:val="00C1778C"/>
    <w:rsid w:val="00C26AA2"/>
    <w:rsid w:val="00C27B9A"/>
    <w:rsid w:val="00C319D1"/>
    <w:rsid w:val="00C33C82"/>
    <w:rsid w:val="00C3577D"/>
    <w:rsid w:val="00C37B72"/>
    <w:rsid w:val="00C40570"/>
    <w:rsid w:val="00C41C85"/>
    <w:rsid w:val="00C5036E"/>
    <w:rsid w:val="00C52DA4"/>
    <w:rsid w:val="00C540EF"/>
    <w:rsid w:val="00C65B7F"/>
    <w:rsid w:val="00C66F51"/>
    <w:rsid w:val="00C70A8D"/>
    <w:rsid w:val="00C72437"/>
    <w:rsid w:val="00C77104"/>
    <w:rsid w:val="00C82C17"/>
    <w:rsid w:val="00C84B0F"/>
    <w:rsid w:val="00C87E43"/>
    <w:rsid w:val="00C90E09"/>
    <w:rsid w:val="00C90E84"/>
    <w:rsid w:val="00C91546"/>
    <w:rsid w:val="00C9293C"/>
    <w:rsid w:val="00C94629"/>
    <w:rsid w:val="00CA072F"/>
    <w:rsid w:val="00CA6B9E"/>
    <w:rsid w:val="00CA6F78"/>
    <w:rsid w:val="00CB1935"/>
    <w:rsid w:val="00CB1E71"/>
    <w:rsid w:val="00CB476A"/>
    <w:rsid w:val="00CB6B82"/>
    <w:rsid w:val="00CC29B1"/>
    <w:rsid w:val="00CC7504"/>
    <w:rsid w:val="00CC7B0C"/>
    <w:rsid w:val="00CD0ABC"/>
    <w:rsid w:val="00CD0CBE"/>
    <w:rsid w:val="00CD4DF9"/>
    <w:rsid w:val="00CE2486"/>
    <w:rsid w:val="00CE2FD0"/>
    <w:rsid w:val="00CE2FF3"/>
    <w:rsid w:val="00CE65D4"/>
    <w:rsid w:val="00CF21FA"/>
    <w:rsid w:val="00D01EDF"/>
    <w:rsid w:val="00D021B7"/>
    <w:rsid w:val="00D02C7A"/>
    <w:rsid w:val="00D12D31"/>
    <w:rsid w:val="00D143F0"/>
    <w:rsid w:val="00D16F8A"/>
    <w:rsid w:val="00D234DA"/>
    <w:rsid w:val="00D24A14"/>
    <w:rsid w:val="00D256A6"/>
    <w:rsid w:val="00D26DC5"/>
    <w:rsid w:val="00D301C3"/>
    <w:rsid w:val="00D3071F"/>
    <w:rsid w:val="00D31962"/>
    <w:rsid w:val="00D321B2"/>
    <w:rsid w:val="00D366B7"/>
    <w:rsid w:val="00D36B83"/>
    <w:rsid w:val="00D423A3"/>
    <w:rsid w:val="00D42952"/>
    <w:rsid w:val="00D45252"/>
    <w:rsid w:val="00D46F61"/>
    <w:rsid w:val="00D514E5"/>
    <w:rsid w:val="00D51588"/>
    <w:rsid w:val="00D55934"/>
    <w:rsid w:val="00D60647"/>
    <w:rsid w:val="00D6152E"/>
    <w:rsid w:val="00D66AAD"/>
    <w:rsid w:val="00D67B26"/>
    <w:rsid w:val="00D67C0A"/>
    <w:rsid w:val="00D7137F"/>
    <w:rsid w:val="00D71B4D"/>
    <w:rsid w:val="00D77150"/>
    <w:rsid w:val="00D87488"/>
    <w:rsid w:val="00D918CA"/>
    <w:rsid w:val="00D93D55"/>
    <w:rsid w:val="00D95D6C"/>
    <w:rsid w:val="00D95F24"/>
    <w:rsid w:val="00DA158E"/>
    <w:rsid w:val="00DB0142"/>
    <w:rsid w:val="00DB49DA"/>
    <w:rsid w:val="00DC215C"/>
    <w:rsid w:val="00DD16E3"/>
    <w:rsid w:val="00DD26C6"/>
    <w:rsid w:val="00DD6613"/>
    <w:rsid w:val="00DE152B"/>
    <w:rsid w:val="00DE210B"/>
    <w:rsid w:val="00DE2EED"/>
    <w:rsid w:val="00DE4DA0"/>
    <w:rsid w:val="00DE7606"/>
    <w:rsid w:val="00E0009E"/>
    <w:rsid w:val="00E00205"/>
    <w:rsid w:val="00E06F33"/>
    <w:rsid w:val="00E07374"/>
    <w:rsid w:val="00E07A06"/>
    <w:rsid w:val="00E124F3"/>
    <w:rsid w:val="00E13817"/>
    <w:rsid w:val="00E161A2"/>
    <w:rsid w:val="00E23BAA"/>
    <w:rsid w:val="00E246CB"/>
    <w:rsid w:val="00E24951"/>
    <w:rsid w:val="00E24EF2"/>
    <w:rsid w:val="00E26874"/>
    <w:rsid w:val="00E33538"/>
    <w:rsid w:val="00E335FE"/>
    <w:rsid w:val="00E43D99"/>
    <w:rsid w:val="00E440C5"/>
    <w:rsid w:val="00E45A89"/>
    <w:rsid w:val="00E46AC7"/>
    <w:rsid w:val="00E5021F"/>
    <w:rsid w:val="00E50A6D"/>
    <w:rsid w:val="00E51054"/>
    <w:rsid w:val="00E5598F"/>
    <w:rsid w:val="00E56604"/>
    <w:rsid w:val="00E60648"/>
    <w:rsid w:val="00E6188C"/>
    <w:rsid w:val="00E63786"/>
    <w:rsid w:val="00E66514"/>
    <w:rsid w:val="00E671A6"/>
    <w:rsid w:val="00E74F99"/>
    <w:rsid w:val="00E76892"/>
    <w:rsid w:val="00E8153C"/>
    <w:rsid w:val="00E83155"/>
    <w:rsid w:val="00E92105"/>
    <w:rsid w:val="00E92C7A"/>
    <w:rsid w:val="00E92F47"/>
    <w:rsid w:val="00E95774"/>
    <w:rsid w:val="00E96EA1"/>
    <w:rsid w:val="00E97082"/>
    <w:rsid w:val="00E9768B"/>
    <w:rsid w:val="00EA6A91"/>
    <w:rsid w:val="00EB2D71"/>
    <w:rsid w:val="00EB3A4C"/>
    <w:rsid w:val="00EB556E"/>
    <w:rsid w:val="00EB6AC4"/>
    <w:rsid w:val="00EC0B22"/>
    <w:rsid w:val="00EC3A00"/>
    <w:rsid w:val="00EC4E49"/>
    <w:rsid w:val="00EC4FD0"/>
    <w:rsid w:val="00EC75DC"/>
    <w:rsid w:val="00ED066A"/>
    <w:rsid w:val="00ED3629"/>
    <w:rsid w:val="00ED4E40"/>
    <w:rsid w:val="00ED77FB"/>
    <w:rsid w:val="00EE0DC4"/>
    <w:rsid w:val="00EE16C2"/>
    <w:rsid w:val="00EE1AC5"/>
    <w:rsid w:val="00EE2D49"/>
    <w:rsid w:val="00EE2E42"/>
    <w:rsid w:val="00EE3A03"/>
    <w:rsid w:val="00EF119C"/>
    <w:rsid w:val="00EF3275"/>
    <w:rsid w:val="00EF7476"/>
    <w:rsid w:val="00EF7E82"/>
    <w:rsid w:val="00F021A6"/>
    <w:rsid w:val="00F034D1"/>
    <w:rsid w:val="00F04635"/>
    <w:rsid w:val="00F0479A"/>
    <w:rsid w:val="00F10E0B"/>
    <w:rsid w:val="00F11D94"/>
    <w:rsid w:val="00F14481"/>
    <w:rsid w:val="00F162E8"/>
    <w:rsid w:val="00F222AC"/>
    <w:rsid w:val="00F257C0"/>
    <w:rsid w:val="00F27287"/>
    <w:rsid w:val="00F301AE"/>
    <w:rsid w:val="00F30B43"/>
    <w:rsid w:val="00F3247F"/>
    <w:rsid w:val="00F34018"/>
    <w:rsid w:val="00F361C2"/>
    <w:rsid w:val="00F45ADF"/>
    <w:rsid w:val="00F616A0"/>
    <w:rsid w:val="00F61C6A"/>
    <w:rsid w:val="00F61EEB"/>
    <w:rsid w:val="00F66152"/>
    <w:rsid w:val="00F66862"/>
    <w:rsid w:val="00F670FB"/>
    <w:rsid w:val="00F721FF"/>
    <w:rsid w:val="00F8074C"/>
    <w:rsid w:val="00F81538"/>
    <w:rsid w:val="00F82C0A"/>
    <w:rsid w:val="00F8300A"/>
    <w:rsid w:val="00F834D6"/>
    <w:rsid w:val="00F84499"/>
    <w:rsid w:val="00F86D59"/>
    <w:rsid w:val="00FA4D79"/>
    <w:rsid w:val="00FA5E25"/>
    <w:rsid w:val="00FA7F3D"/>
    <w:rsid w:val="00FB0283"/>
    <w:rsid w:val="00FB5647"/>
    <w:rsid w:val="00FB75FA"/>
    <w:rsid w:val="00FC1826"/>
    <w:rsid w:val="00FC28A4"/>
    <w:rsid w:val="00FC4296"/>
    <w:rsid w:val="00FC4E53"/>
    <w:rsid w:val="00FC59D9"/>
    <w:rsid w:val="00FD059A"/>
    <w:rsid w:val="00FD6164"/>
    <w:rsid w:val="00FD7C50"/>
    <w:rsid w:val="00FE1758"/>
    <w:rsid w:val="00FE7722"/>
    <w:rsid w:val="00FF4E46"/>
    <w:rsid w:val="00FF4FF7"/>
    <w:rsid w:val="00FF73DF"/>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BF574"/>
  <w15:docId w15:val="{21A3DAAF-3F43-48F9-9317-87681F21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676C5C"/>
    <w:pPr>
      <w:keepNext/>
      <w:spacing w:before="240" w:after="60"/>
      <w:outlineLvl w:val="1"/>
    </w:pPr>
    <w:rPr>
      <w:bCs/>
      <w:iCs/>
      <w:caps/>
      <w:szCs w:val="28"/>
    </w:rPr>
  </w:style>
  <w:style w:type="paragraph" w:styleId="Heading3">
    <w:name w:val="heading 3"/>
    <w:basedOn w:val="Normal"/>
    <w:next w:val="Normal"/>
    <w:link w:val="Heading3Char"/>
    <w:uiPriority w:val="9"/>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tabs>
        <w:tab w:val="clear" w:pos="837"/>
        <w:tab w:val="num" w:pos="567"/>
        <w:tab w:val="num" w:pos="1134"/>
      </w:tabs>
      <w:ind w:left="0"/>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1Char">
    <w:name w:val="Heading 1 Char"/>
    <w:basedOn w:val="DefaultParagraphFont"/>
    <w:link w:val="Heading1"/>
    <w:uiPriority w:val="9"/>
    <w:rsid w:val="00C9293C"/>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uiPriority w:val="9"/>
    <w:rsid w:val="00C9293C"/>
    <w:rPr>
      <w:rFonts w:ascii="Arial" w:eastAsia="SimSun" w:hAnsi="Arial" w:cs="Arial"/>
      <w:bCs/>
      <w:iCs/>
      <w:caps/>
      <w:sz w:val="22"/>
      <w:szCs w:val="28"/>
      <w:lang w:val="en-US" w:eastAsia="zh-CN"/>
    </w:rPr>
  </w:style>
  <w:style w:type="character" w:styleId="Hyperlink">
    <w:name w:val="Hyperlink"/>
    <w:basedOn w:val="DefaultParagraphFont"/>
    <w:uiPriority w:val="99"/>
    <w:unhideWhenUsed/>
    <w:rsid w:val="00B263BB"/>
    <w:rPr>
      <w:color w:val="0000FF" w:themeColor="hyperlink"/>
      <w:u w:val="single"/>
    </w:rPr>
  </w:style>
  <w:style w:type="character" w:styleId="UnresolvedMention">
    <w:name w:val="Unresolved Mention"/>
    <w:basedOn w:val="DefaultParagraphFont"/>
    <w:uiPriority w:val="99"/>
    <w:semiHidden/>
    <w:unhideWhenUsed/>
    <w:rsid w:val="00B263BB"/>
    <w:rPr>
      <w:color w:val="605E5C"/>
      <w:shd w:val="clear" w:color="auto" w:fill="E1DFDD"/>
    </w:rPr>
  </w:style>
  <w:style w:type="character" w:customStyle="1" w:styleId="FootnoteTextChar">
    <w:name w:val="Footnote Text Char"/>
    <w:basedOn w:val="DefaultParagraphFont"/>
    <w:link w:val="FootnoteText"/>
    <w:uiPriority w:val="99"/>
    <w:rsid w:val="00FD6164"/>
    <w:rPr>
      <w:rFonts w:ascii="Arial" w:eastAsia="SimSun" w:hAnsi="Arial" w:cs="Arial"/>
      <w:sz w:val="18"/>
      <w:lang w:val="en-US" w:eastAsia="zh-CN"/>
    </w:rPr>
  </w:style>
  <w:style w:type="character" w:styleId="FootnoteReference">
    <w:name w:val="footnote reference"/>
    <w:basedOn w:val="DefaultParagraphFont"/>
    <w:uiPriority w:val="99"/>
    <w:unhideWhenUsed/>
    <w:qFormat/>
    <w:rsid w:val="00FD6164"/>
    <w:rPr>
      <w:vertAlign w:val="superscript"/>
    </w:rPr>
  </w:style>
  <w:style w:type="character" w:customStyle="1" w:styleId="Hyperlink1">
    <w:name w:val="Hyperlink1"/>
    <w:basedOn w:val="DefaultParagraphFont"/>
    <w:unhideWhenUsed/>
    <w:rsid w:val="00FD6164"/>
    <w:rPr>
      <w:color w:val="0000FF"/>
      <w:u w:val="single"/>
    </w:rPr>
  </w:style>
  <w:style w:type="paragraph" w:styleId="NoSpacing">
    <w:name w:val="No Spacing"/>
    <w:uiPriority w:val="1"/>
    <w:qFormat/>
    <w:rsid w:val="00822E70"/>
    <w:rPr>
      <w:rFonts w:ascii="Arial" w:eastAsia="SimSun" w:hAnsi="Arial" w:cs="Arial"/>
      <w:sz w:val="22"/>
      <w:lang w:val="en-US" w:eastAsia="zh-CN"/>
    </w:rPr>
  </w:style>
  <w:style w:type="paragraph" w:styleId="TOCHeading">
    <w:name w:val="TOC Heading"/>
    <w:basedOn w:val="Heading1"/>
    <w:next w:val="Normal"/>
    <w:uiPriority w:val="39"/>
    <w:unhideWhenUsed/>
    <w:qFormat/>
    <w:rsid w:val="00812E3B"/>
    <w:pPr>
      <w:keepLines/>
      <w:spacing w:after="0" w:line="259" w:lineRule="auto"/>
      <w:outlineLvl w:val="9"/>
    </w:pPr>
    <w:rPr>
      <w:rFonts w:asciiTheme="majorHAnsi" w:eastAsiaTheme="majorEastAsia" w:hAnsiTheme="majorHAnsi" w:cstheme="majorBidi"/>
      <w:b w:val="0"/>
      <w:bCs w:val="0"/>
      <w:caps w:val="0"/>
      <w:color w:val="365F91" w:themeColor="accent1" w:themeShade="BF"/>
      <w:kern w:val="0"/>
      <w:sz w:val="32"/>
      <w:lang w:eastAsia="en-US"/>
    </w:rPr>
  </w:style>
  <w:style w:type="paragraph" w:styleId="TOC1">
    <w:name w:val="toc 1"/>
    <w:basedOn w:val="Normal"/>
    <w:next w:val="Normal"/>
    <w:autoRedefine/>
    <w:uiPriority w:val="39"/>
    <w:unhideWhenUsed/>
    <w:rsid w:val="00812E3B"/>
    <w:pPr>
      <w:spacing w:after="100"/>
    </w:pPr>
  </w:style>
  <w:style w:type="paragraph" w:styleId="TOC2">
    <w:name w:val="toc 2"/>
    <w:basedOn w:val="Normal"/>
    <w:next w:val="Normal"/>
    <w:autoRedefine/>
    <w:uiPriority w:val="39"/>
    <w:unhideWhenUsed/>
    <w:rsid w:val="00812E3B"/>
    <w:pPr>
      <w:spacing w:after="100"/>
      <w:ind w:left="220"/>
    </w:pPr>
  </w:style>
  <w:style w:type="character" w:customStyle="1" w:styleId="Heading3Char">
    <w:name w:val="Heading 3 Char"/>
    <w:basedOn w:val="DefaultParagraphFont"/>
    <w:link w:val="Heading3"/>
    <w:uiPriority w:val="9"/>
    <w:rsid w:val="00C40570"/>
    <w:rPr>
      <w:rFonts w:ascii="Arial" w:eastAsia="SimSun" w:hAnsi="Arial" w:cs="Arial"/>
      <w:bCs/>
      <w:sz w:val="22"/>
      <w:szCs w:val="26"/>
      <w:u w:val="single"/>
      <w:lang w:val="en-US" w:eastAsia="zh-CN"/>
    </w:rPr>
  </w:style>
  <w:style w:type="paragraph" w:styleId="TOC3">
    <w:name w:val="toc 3"/>
    <w:basedOn w:val="Normal"/>
    <w:next w:val="Normal"/>
    <w:autoRedefine/>
    <w:uiPriority w:val="39"/>
    <w:unhideWhenUsed/>
    <w:rsid w:val="007276AB"/>
    <w:pPr>
      <w:spacing w:after="100"/>
      <w:ind w:left="440"/>
    </w:pPr>
  </w:style>
  <w:style w:type="character" w:styleId="FollowedHyperlink">
    <w:name w:val="FollowedHyperlink"/>
    <w:basedOn w:val="DefaultParagraphFont"/>
    <w:semiHidden/>
    <w:unhideWhenUsed/>
    <w:rsid w:val="00E66514"/>
    <w:rPr>
      <w:color w:val="800080" w:themeColor="followedHyperlink"/>
      <w:u w:val="single"/>
    </w:rPr>
  </w:style>
  <w:style w:type="paragraph" w:styleId="NormalWeb">
    <w:name w:val="Normal (Web)"/>
    <w:basedOn w:val="Normal"/>
    <w:semiHidden/>
    <w:unhideWhenUsed/>
    <w:rsid w:val="00552E7C"/>
    <w:rPr>
      <w:rFonts w:ascii="Times New Roman" w:hAnsi="Times New Roman" w:cs="Times New Roman"/>
      <w:sz w:val="24"/>
      <w:szCs w:val="24"/>
    </w:rPr>
  </w:style>
  <w:style w:type="paragraph" w:styleId="ListParagraph">
    <w:name w:val="List Paragraph"/>
    <w:basedOn w:val="Normal"/>
    <w:uiPriority w:val="34"/>
    <w:qFormat/>
    <w:rsid w:val="003B09BC"/>
    <w:pPr>
      <w:ind w:left="720"/>
      <w:contextualSpacing/>
    </w:pPr>
  </w:style>
  <w:style w:type="paragraph" w:styleId="Revision">
    <w:name w:val="Revision"/>
    <w:hidden/>
    <w:uiPriority w:val="99"/>
    <w:semiHidden/>
    <w:rsid w:val="00D42952"/>
    <w:rPr>
      <w:rFonts w:ascii="Arial" w:eastAsia="SimSun" w:hAnsi="Arial" w:cs="Arial"/>
      <w:sz w:val="22"/>
      <w:lang w:val="en-US" w:eastAsia="zh-CN"/>
    </w:rPr>
  </w:style>
  <w:style w:type="character" w:styleId="CommentReference">
    <w:name w:val="annotation reference"/>
    <w:basedOn w:val="DefaultParagraphFont"/>
    <w:semiHidden/>
    <w:unhideWhenUsed/>
    <w:rsid w:val="00D77150"/>
    <w:rPr>
      <w:sz w:val="16"/>
      <w:szCs w:val="16"/>
    </w:rPr>
  </w:style>
  <w:style w:type="paragraph" w:styleId="CommentSubject">
    <w:name w:val="annotation subject"/>
    <w:basedOn w:val="CommentText"/>
    <w:next w:val="CommentText"/>
    <w:link w:val="CommentSubjectChar"/>
    <w:semiHidden/>
    <w:unhideWhenUsed/>
    <w:rsid w:val="00D77150"/>
    <w:rPr>
      <w:b/>
      <w:bCs/>
      <w:sz w:val="20"/>
    </w:rPr>
  </w:style>
  <w:style w:type="character" w:customStyle="1" w:styleId="CommentTextChar">
    <w:name w:val="Comment Text Char"/>
    <w:basedOn w:val="DefaultParagraphFont"/>
    <w:link w:val="CommentText"/>
    <w:semiHidden/>
    <w:rsid w:val="00D77150"/>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D77150"/>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749545">
      <w:bodyDiv w:val="1"/>
      <w:marLeft w:val="0"/>
      <w:marRight w:val="0"/>
      <w:marTop w:val="0"/>
      <w:marBottom w:val="0"/>
      <w:divBdr>
        <w:top w:val="none" w:sz="0" w:space="0" w:color="auto"/>
        <w:left w:val="none" w:sz="0" w:space="0" w:color="auto"/>
        <w:bottom w:val="none" w:sz="0" w:space="0" w:color="auto"/>
        <w:right w:val="none" w:sz="0" w:space="0" w:color="auto"/>
      </w:divBdr>
    </w:div>
    <w:div w:id="1690066855">
      <w:bodyDiv w:val="1"/>
      <w:marLeft w:val="0"/>
      <w:marRight w:val="0"/>
      <w:marTop w:val="0"/>
      <w:marBottom w:val="0"/>
      <w:divBdr>
        <w:top w:val="none" w:sz="0" w:space="0" w:color="auto"/>
        <w:left w:val="none" w:sz="0" w:space="0" w:color="auto"/>
        <w:bottom w:val="none" w:sz="0" w:space="0" w:color="auto"/>
        <w:right w:val="none" w:sz="0" w:space="0" w:color="auto"/>
      </w:divBdr>
    </w:div>
    <w:div w:id="207285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www.wipo.int/about-wipo/en/assemblies/2023/a-64/doc_details.jsp?doc_id=632100" TargetMode="External"/><Relationship Id="rId17" Type="http://schemas.openxmlformats.org/officeDocument/2006/relationships/image" Target="media/image6.png"/><Relationship Id="rId25"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en/assemblies/2023/a-64/doc_details.jsp?doc_id=611353" TargetMode="External"/><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chart" Target="charts/chart5.xml"/><Relationship Id="rId10" Type="http://schemas.openxmlformats.org/officeDocument/2006/relationships/hyperlink" Target="https://www.wipo.int/about-wipo/en/assemblies/2023/a-64/doc_details.jsp?doc_id=632100"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ipo.int/about-wipo/en/assemblies/2023/a-64/doc_details.jsp?doc_id=611353"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chart" Target="charts/chart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zakon.rada.gov.ua/laws/show/293-2025-%D1%80" TargetMode="External"/><Relationship Id="rId13" Type="http://schemas.openxmlformats.org/officeDocument/2006/relationships/hyperlink" Target="https://www.undp.org/ukraine/publications/assessment-wars-impact-micro-small-and-medium-enterprises-ukraine" TargetMode="External"/><Relationship Id="rId18" Type="http://schemas.openxmlformats.org/officeDocument/2006/relationships/hyperlink" Target="https://www.wipo.int/edocs/gii-ranking/2024/ua.pdf" TargetMode="External"/><Relationship Id="rId26" Type="http://schemas.openxmlformats.org/officeDocument/2006/relationships/image" Target="cid:image001.png@01DBAAE1.D913F950" TargetMode="External"/><Relationship Id="rId3" Type="http://schemas.openxmlformats.org/officeDocument/2006/relationships/hyperlink" Target="https://ukraine.ohchr.org/sites/default/files/2025-02/Human%20rights%203%20years%20into%20Russia%27s%20full-scale%20invasion%20of%20Ukraine_factsheet%20%28ENG%29.pdf" TargetMode="External"/><Relationship Id="rId21" Type="http://schemas.openxmlformats.org/officeDocument/2006/relationships/hyperlink" Target="https://www.wipo.int/en/web/global-brand-database/terms_and_conditions" TargetMode="External"/><Relationship Id="rId7" Type="http://schemas.openxmlformats.org/officeDocument/2006/relationships/hyperlink" Target="https://zakon.rada.gov.ua/laws/show/1351-2024-%D1%80" TargetMode="External"/><Relationship Id="rId12" Type="http://schemas.openxmlformats.org/officeDocument/2006/relationships/hyperlink" Target="https://gp.gov.ua/ua/posts/pro-zareyestrovani-kriminalni-pravoporushennya-ta-rezultati-yih-dosudovogo-rozsliduvannya-2" TargetMode="External"/><Relationship Id="rId17" Type="http://schemas.openxmlformats.org/officeDocument/2006/relationships/hyperlink" Target="https://me.gov.ua/view/3cd02caa-1096-4d8d-943e-b51e4ed89e61" TargetMode="External"/><Relationship Id="rId25" Type="http://schemas.openxmlformats.org/officeDocument/2006/relationships/image" Target="media/image14.png"/><Relationship Id="rId2" Type="http://schemas.openxmlformats.org/officeDocument/2006/relationships/hyperlink" Target="https://www.unesco.org/en/articles/damaged-cultural-sites-ukraine-verified-unesco" TargetMode="External"/><Relationship Id="rId16" Type="http://schemas.openxmlformats.org/officeDocument/2006/relationships/hyperlink" Target="https://www.cultureinexternalrelations.eu/wp-content/uploads/2024/07/DGEAC-CRP-UA-Report-July-2024-UA.pdf" TargetMode="External"/><Relationship Id="rId20" Type="http://schemas.openxmlformats.org/officeDocument/2006/relationships/hyperlink" Target="https://www.wipo.int/en/web/patentscope/data/terms_patentscope" TargetMode="External"/><Relationship Id="rId29" Type="http://schemas.openxmlformats.org/officeDocument/2006/relationships/hyperlink" Target="https://www.wipo.int/edocs/pubdocs/en/wipo-pub-940-2024-en-madrid-yearly-review-2024.pdf" TargetMode="External"/><Relationship Id="rId1" Type="http://schemas.openxmlformats.org/officeDocument/2006/relationships/hyperlink" Target="http://documents.worldbank.org/curated/en/099022025114040022" TargetMode="External"/><Relationship Id="rId6" Type="http://schemas.openxmlformats.org/officeDocument/2006/relationships/hyperlink" Target="https://www.imf.org/en/News/Articles/2025/05/29/pr-25165-ukraine-imf-and-ukr-authorities-reach-agreement-on-8th-rev-of-eff-arrang" TargetMode="External"/><Relationship Id="rId11" Type="http://schemas.openxmlformats.org/officeDocument/2006/relationships/hyperlink" Target="https://zakon.rada.gov.ua/laws/show/v0083500-24" TargetMode="External"/><Relationship Id="rId24" Type="http://schemas.openxmlformats.org/officeDocument/2006/relationships/image" Target="cid:image001.png@01DBD635.6B72AD90" TargetMode="External"/><Relationship Id="rId5" Type="http://schemas.openxmlformats.org/officeDocument/2006/relationships/hyperlink" Target="https://crisisresponse.iom.int/sites/g/files/tmzbdl1481/files/appeal/documents/IOM_UKR_Internal%20Displacement%20Report_GPS%20R19_January%202025.pdf" TargetMode="External"/><Relationship Id="rId15" Type="http://schemas.openxmlformats.org/officeDocument/2006/relationships/hyperlink" Target="https://www.ukrstat.gov.ua/operativ/menu/menu_u/sze_20.htm" TargetMode="External"/><Relationship Id="rId23" Type="http://schemas.openxmlformats.org/officeDocument/2006/relationships/image" Target="media/image13.png"/><Relationship Id="rId28" Type="http://schemas.openxmlformats.org/officeDocument/2006/relationships/hyperlink" Target="https://www.wipo.int/edocs/pubdocs/en/wipo-pub-930-2024-en-hague-yearly-review-2024.pdf" TargetMode="External"/><Relationship Id="rId10" Type="http://schemas.openxmlformats.org/officeDocument/2006/relationships/hyperlink" Target="https://zakon.rada.gov.ua/laws/show/293-2025-%D1%80" TargetMode="External"/><Relationship Id="rId19" Type="http://schemas.openxmlformats.org/officeDocument/2006/relationships/hyperlink" Target="https://www.wipo.int/edocs/gii-ranking/2024/ua.pdf" TargetMode="External"/><Relationship Id="rId31" Type="http://schemas.openxmlformats.org/officeDocument/2006/relationships/hyperlink" Target="https://www.wipo.int/web-publications/global-innovation-index-2024/assets/67729/2000%20Global%20Innovation%20Index%202024_WEB3lite.pdf" TargetMode="External"/><Relationship Id="rId4" Type="http://schemas.openxmlformats.org/officeDocument/2006/relationships/hyperlink" Target="https://data.unhcr.org/en/situations/ukraine" TargetMode="External"/><Relationship Id="rId9" Type="http://schemas.openxmlformats.org/officeDocument/2006/relationships/hyperlink" Target="https://zakon.rada.gov.ua/laws/show/1351-2024-%D1%80" TargetMode="External"/><Relationship Id="rId14" Type="http://schemas.openxmlformats.org/officeDocument/2006/relationships/hyperlink" Target="https://www.unesco.org/en/articles/damaged-cultural-sites-ukraine-verified-unesco" TargetMode="External"/><Relationship Id="rId22" Type="http://schemas.openxmlformats.org/officeDocument/2006/relationships/hyperlink" Target="https://www.wipo.int/en/web/global-design-database/terms_and_conditions" TargetMode="External"/><Relationship Id="rId27" Type="http://schemas.openxmlformats.org/officeDocument/2006/relationships/hyperlink" Target="https://www.wipo.int/edocs/pubdocs/en/wipo-pub-901-2024-en-patent-cooperation-treaty-yearly-review-2024.pdf" TargetMode="External"/><Relationship Id="rId30" Type="http://schemas.openxmlformats.org/officeDocument/2006/relationships/hyperlink" Target="https://www.wipo.int/edocs/pubdocs/en/wipo-pub-944-2024-en-world-intellectual-property-report-202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6%20(E).dotm"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erbari\AppData\Local\Microsoft\Windows\INetCache\Content.Outlook\ST3LF1UV\Ukraine-pct-madrid-hague-May22-2025.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erbari\AppData\Local\Microsoft\Windows\INetCache\Content.Outlook\ST3LF1UV\Ukraine-pct-madrid-hague-May22-2025.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erbari\AppData\Local\Microsoft\Windows\INetCache\Content.Outlook\ST3LF1UV\Ukraine-pct-madrid-hague-May22-2025.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cerbari\AppData\Local\Microsoft\Windows\INetCache\Content.Outlook\ST3LF1UV\Ukraine-pct-madrid-hague-May22-2025.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cerbari\AppData\Local\Microsoft\Windows\INetCache\Content.Outlook\ST3LF1UV\Ukraine-pct-madrid-hague-May22-202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L"/>
              <a:t>PCT applications originating from Ukraine</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150"/>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ukraine!$A$6:$A$26</c:f>
              <c:numCache>
                <c:formatCode>General</c:formatCode>
                <c:ptCount val="21"/>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2023</c:v>
                </c:pt>
                <c:pt idx="20">
                  <c:v>2024</c:v>
                </c:pt>
              </c:numCache>
              <c:extLst/>
            </c:numRef>
          </c:cat>
          <c:val>
            <c:numRef>
              <c:f>ukraine!$B$6:$B$26</c:f>
              <c:numCache>
                <c:formatCode>General</c:formatCode>
                <c:ptCount val="21"/>
                <c:pt idx="0">
                  <c:v>89</c:v>
                </c:pt>
                <c:pt idx="1">
                  <c:v>60</c:v>
                </c:pt>
                <c:pt idx="2">
                  <c:v>77</c:v>
                </c:pt>
                <c:pt idx="3">
                  <c:v>94</c:v>
                </c:pt>
                <c:pt idx="4">
                  <c:v>98</c:v>
                </c:pt>
                <c:pt idx="5">
                  <c:v>79</c:v>
                </c:pt>
                <c:pt idx="6">
                  <c:v>106</c:v>
                </c:pt>
                <c:pt idx="7">
                  <c:v>139</c:v>
                </c:pt>
                <c:pt idx="8">
                  <c:v>120</c:v>
                </c:pt>
                <c:pt idx="9">
                  <c:v>152</c:v>
                </c:pt>
                <c:pt idx="10">
                  <c:v>147</c:v>
                </c:pt>
                <c:pt idx="11">
                  <c:v>139</c:v>
                </c:pt>
                <c:pt idx="12">
                  <c:v>162</c:v>
                </c:pt>
                <c:pt idx="13">
                  <c:v>141</c:v>
                </c:pt>
                <c:pt idx="14">
                  <c:v>155</c:v>
                </c:pt>
                <c:pt idx="15">
                  <c:v>183</c:v>
                </c:pt>
                <c:pt idx="16">
                  <c:v>126</c:v>
                </c:pt>
                <c:pt idx="17">
                  <c:v>131</c:v>
                </c:pt>
                <c:pt idx="18">
                  <c:v>89</c:v>
                </c:pt>
                <c:pt idx="19">
                  <c:v>90</c:v>
                </c:pt>
                <c:pt idx="20">
                  <c:v>108</c:v>
                </c:pt>
              </c:numCache>
              <c:extLst/>
            </c:numRef>
          </c:val>
          <c:extLst>
            <c:ext xmlns:c16="http://schemas.microsoft.com/office/drawing/2014/chart" uri="{C3380CC4-5D6E-409C-BE32-E72D297353CC}">
              <c16:uniqueId val="{00000000-24A6-43FD-95D1-414294DF944D}"/>
            </c:ext>
          </c:extLst>
        </c:ser>
        <c:dLbls>
          <c:showLegendKey val="0"/>
          <c:showVal val="0"/>
          <c:showCatName val="0"/>
          <c:showSerName val="0"/>
          <c:showPercent val="0"/>
          <c:showBubbleSize val="0"/>
        </c:dLbls>
        <c:gapWidth val="219"/>
        <c:overlap val="-27"/>
        <c:axId val="1984546336"/>
        <c:axId val="1554509024"/>
      </c:barChart>
      <c:catAx>
        <c:axId val="1984546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554509024"/>
        <c:crosses val="autoZero"/>
        <c:auto val="1"/>
        <c:lblAlgn val="ctr"/>
        <c:lblOffset val="100"/>
        <c:tickLblSkip val="2"/>
        <c:noMultiLvlLbl val="0"/>
      </c:catAx>
      <c:valAx>
        <c:axId val="1554509024"/>
        <c:scaling>
          <c:orientation val="minMax"/>
          <c:max val="2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984546336"/>
        <c:crossesAt val="1"/>
        <c:crossBetween val="between"/>
        <c:majorUnit val="5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150"/>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L"/>
              <a:t>Madrid applications originating from Ukraine</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150"/>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ukraine!$D$6:$D$26</c:f>
              <c:numCache>
                <c:formatCode>General</c:formatCode>
                <c:ptCount val="21"/>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2023</c:v>
                </c:pt>
                <c:pt idx="20">
                  <c:v>2024</c:v>
                </c:pt>
              </c:numCache>
              <c:extLst/>
            </c:numRef>
          </c:cat>
          <c:val>
            <c:numRef>
              <c:f>ukraine!$E$6:$E$26</c:f>
              <c:numCache>
                <c:formatCode>General</c:formatCode>
                <c:ptCount val="21"/>
                <c:pt idx="0">
                  <c:v>71</c:v>
                </c:pt>
                <c:pt idx="1">
                  <c:v>101</c:v>
                </c:pt>
                <c:pt idx="2">
                  <c:v>125</c:v>
                </c:pt>
                <c:pt idx="3">
                  <c:v>216</c:v>
                </c:pt>
                <c:pt idx="4">
                  <c:v>188</c:v>
                </c:pt>
                <c:pt idx="5">
                  <c:v>187</c:v>
                </c:pt>
                <c:pt idx="6">
                  <c:v>262</c:v>
                </c:pt>
                <c:pt idx="7">
                  <c:v>333</c:v>
                </c:pt>
                <c:pt idx="8">
                  <c:v>313</c:v>
                </c:pt>
                <c:pt idx="9">
                  <c:v>517</c:v>
                </c:pt>
                <c:pt idx="10">
                  <c:v>432</c:v>
                </c:pt>
                <c:pt idx="11">
                  <c:v>400</c:v>
                </c:pt>
                <c:pt idx="12">
                  <c:v>408</c:v>
                </c:pt>
                <c:pt idx="13">
                  <c:v>389</c:v>
                </c:pt>
                <c:pt idx="14">
                  <c:v>464</c:v>
                </c:pt>
                <c:pt idx="15">
                  <c:v>492</c:v>
                </c:pt>
                <c:pt idx="16">
                  <c:v>414</c:v>
                </c:pt>
                <c:pt idx="17">
                  <c:v>376</c:v>
                </c:pt>
                <c:pt idx="18">
                  <c:v>304</c:v>
                </c:pt>
                <c:pt idx="19">
                  <c:v>368</c:v>
                </c:pt>
                <c:pt idx="20">
                  <c:v>377</c:v>
                </c:pt>
              </c:numCache>
              <c:extLst/>
            </c:numRef>
          </c:val>
          <c:extLst>
            <c:ext xmlns:c16="http://schemas.microsoft.com/office/drawing/2014/chart" uri="{C3380CC4-5D6E-409C-BE32-E72D297353CC}">
              <c16:uniqueId val="{00000000-B7AD-4A44-B470-B96E6C6C6A98}"/>
            </c:ext>
          </c:extLst>
        </c:ser>
        <c:dLbls>
          <c:showLegendKey val="0"/>
          <c:showVal val="0"/>
          <c:showCatName val="0"/>
          <c:showSerName val="0"/>
          <c:showPercent val="0"/>
          <c:showBubbleSize val="0"/>
        </c:dLbls>
        <c:gapWidth val="219"/>
        <c:overlap val="-27"/>
        <c:axId val="1984546336"/>
        <c:axId val="1554509024"/>
      </c:barChart>
      <c:catAx>
        <c:axId val="1984546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554509024"/>
        <c:crosses val="autoZero"/>
        <c:auto val="1"/>
        <c:lblAlgn val="ctr"/>
        <c:lblOffset val="100"/>
        <c:tickLblSkip val="2"/>
        <c:noMultiLvlLbl val="0"/>
      </c:catAx>
      <c:valAx>
        <c:axId val="1554509024"/>
        <c:scaling>
          <c:orientation val="minMax"/>
          <c:max val="6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984546336"/>
        <c:crosses val="autoZero"/>
        <c:crossBetween val="between"/>
        <c:majorUnit val="10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150"/>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L"/>
              <a:t>Designation of Ukraine in Madrid applications</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title>
    <c:autoTitleDeleted val="0"/>
    <c:plotArea>
      <c:layout/>
      <c:barChart>
        <c:barDir val="col"/>
        <c:grouping val="clustered"/>
        <c:varyColors val="0"/>
        <c:ser>
          <c:idx val="0"/>
          <c:order val="0"/>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150"/>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ukraine!$B$40:$B$52</c:f>
              <c:numCache>
                <c:formatCode>General</c:formatCode>
                <c:ptCount val="13"/>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numCache>
              <c:extLst/>
            </c:numRef>
          </c:cat>
          <c:val>
            <c:numRef>
              <c:f>ukraine!$C$40:$C$52</c:f>
              <c:numCache>
                <c:formatCode>General</c:formatCode>
                <c:ptCount val="13"/>
                <c:pt idx="0">
                  <c:v>9680</c:v>
                </c:pt>
                <c:pt idx="1">
                  <c:v>10375</c:v>
                </c:pt>
                <c:pt idx="2">
                  <c:v>8940</c:v>
                </c:pt>
                <c:pt idx="3">
                  <c:v>7305</c:v>
                </c:pt>
                <c:pt idx="4">
                  <c:v>7178</c:v>
                </c:pt>
                <c:pt idx="5">
                  <c:v>7646</c:v>
                </c:pt>
                <c:pt idx="6">
                  <c:v>7984</c:v>
                </c:pt>
                <c:pt idx="7">
                  <c:v>8288</c:v>
                </c:pt>
                <c:pt idx="8">
                  <c:v>7998</c:v>
                </c:pt>
                <c:pt idx="9">
                  <c:v>8713</c:v>
                </c:pt>
                <c:pt idx="10">
                  <c:v>6512</c:v>
                </c:pt>
                <c:pt idx="11">
                  <c:v>5619</c:v>
                </c:pt>
                <c:pt idx="12">
                  <c:v>5361</c:v>
                </c:pt>
              </c:numCache>
              <c:extLst/>
            </c:numRef>
          </c:val>
          <c:extLst>
            <c:ext xmlns:c16="http://schemas.microsoft.com/office/drawing/2014/chart" uri="{C3380CC4-5D6E-409C-BE32-E72D297353CC}">
              <c16:uniqueId val="{00000000-6592-4988-8DD2-5BF1E200D5C8}"/>
            </c:ext>
          </c:extLst>
        </c:ser>
        <c:dLbls>
          <c:showLegendKey val="0"/>
          <c:showVal val="0"/>
          <c:showCatName val="0"/>
          <c:showSerName val="0"/>
          <c:showPercent val="0"/>
          <c:showBubbleSize val="0"/>
        </c:dLbls>
        <c:gapWidth val="219"/>
        <c:overlap val="-27"/>
        <c:axId val="1984546336"/>
        <c:axId val="1554509024"/>
      </c:barChart>
      <c:catAx>
        <c:axId val="1984546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554509024"/>
        <c:crosses val="autoZero"/>
        <c:auto val="1"/>
        <c:lblAlgn val="ctr"/>
        <c:lblOffset val="100"/>
        <c:tickLblSkip val="2"/>
        <c:noMultiLvlLbl val="0"/>
      </c:catAx>
      <c:valAx>
        <c:axId val="1554509024"/>
        <c:scaling>
          <c:orientation val="minMax"/>
          <c:max val="120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984546336"/>
        <c:crosses val="autoZero"/>
        <c:crossBetween val="between"/>
        <c:majorUnit val="200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150"/>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L"/>
              <a:t>Designs contained in Hague applications originating</a:t>
            </a:r>
            <a:r>
              <a:rPr lang="es-CL" baseline="0"/>
              <a:t> from Ukr</a:t>
            </a:r>
            <a:r>
              <a:rPr lang="es-CL"/>
              <a:t>aine</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150"/>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ukraine!$G$6:$G$26</c:f>
              <c:numCache>
                <c:formatCode>General</c:formatCode>
                <c:ptCount val="21"/>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pt idx="16">
                  <c:v>2020</c:v>
                </c:pt>
                <c:pt idx="17">
                  <c:v>2021</c:v>
                </c:pt>
                <c:pt idx="18">
                  <c:v>2022</c:v>
                </c:pt>
                <c:pt idx="19">
                  <c:v>2023</c:v>
                </c:pt>
                <c:pt idx="20">
                  <c:v>2024</c:v>
                </c:pt>
              </c:numCache>
              <c:extLst/>
            </c:numRef>
          </c:cat>
          <c:val>
            <c:numRef>
              <c:f>ukraine!$H$6:$H$26</c:f>
              <c:numCache>
                <c:formatCode>General</c:formatCode>
                <c:ptCount val="21"/>
                <c:pt idx="0">
                  <c:v>5</c:v>
                </c:pt>
                <c:pt idx="1">
                  <c:v>3</c:v>
                </c:pt>
                <c:pt idx="2">
                  <c:v>44</c:v>
                </c:pt>
                <c:pt idx="3">
                  <c:v>1</c:v>
                </c:pt>
                <c:pt idx="4">
                  <c:v>17</c:v>
                </c:pt>
                <c:pt idx="5">
                  <c:v>3</c:v>
                </c:pt>
                <c:pt idx="6">
                  <c:v>21</c:v>
                </c:pt>
                <c:pt idx="7">
                  <c:v>21</c:v>
                </c:pt>
                <c:pt idx="8">
                  <c:v>16</c:v>
                </c:pt>
                <c:pt idx="9">
                  <c:v>26</c:v>
                </c:pt>
                <c:pt idx="10">
                  <c:v>44</c:v>
                </c:pt>
                <c:pt idx="11">
                  <c:v>36</c:v>
                </c:pt>
                <c:pt idx="12">
                  <c:v>100</c:v>
                </c:pt>
                <c:pt idx="13">
                  <c:v>179</c:v>
                </c:pt>
                <c:pt idx="14">
                  <c:v>73</c:v>
                </c:pt>
                <c:pt idx="15">
                  <c:v>128</c:v>
                </c:pt>
                <c:pt idx="16">
                  <c:v>80</c:v>
                </c:pt>
                <c:pt idx="17">
                  <c:v>101</c:v>
                </c:pt>
                <c:pt idx="18">
                  <c:v>39</c:v>
                </c:pt>
                <c:pt idx="19">
                  <c:v>126</c:v>
                </c:pt>
                <c:pt idx="20">
                  <c:v>111</c:v>
                </c:pt>
              </c:numCache>
              <c:extLst/>
            </c:numRef>
          </c:val>
          <c:extLst>
            <c:ext xmlns:c16="http://schemas.microsoft.com/office/drawing/2014/chart" uri="{C3380CC4-5D6E-409C-BE32-E72D297353CC}">
              <c16:uniqueId val="{00000000-ED97-459F-919E-9657376E085C}"/>
            </c:ext>
          </c:extLst>
        </c:ser>
        <c:dLbls>
          <c:showLegendKey val="0"/>
          <c:showVal val="0"/>
          <c:showCatName val="0"/>
          <c:showSerName val="0"/>
          <c:showPercent val="0"/>
          <c:showBubbleSize val="0"/>
        </c:dLbls>
        <c:gapWidth val="219"/>
        <c:overlap val="-27"/>
        <c:axId val="1984546336"/>
        <c:axId val="1554509024"/>
      </c:barChart>
      <c:catAx>
        <c:axId val="1984546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554509024"/>
        <c:crosses val="autoZero"/>
        <c:auto val="1"/>
        <c:lblAlgn val="ctr"/>
        <c:lblOffset val="100"/>
        <c:tickLblSkip val="2"/>
        <c:noMultiLvlLbl val="0"/>
      </c:catAx>
      <c:valAx>
        <c:axId val="1554509024"/>
        <c:scaling>
          <c:orientation val="minMax"/>
          <c:max val="2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984546336"/>
        <c:crosses val="autoZero"/>
        <c:crossBetween val="between"/>
        <c:majorUnit val="5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150"/>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L"/>
              <a:t>Designation of Ukraine in Hague applications (# of designs)</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title>
    <c:autoTitleDeleted val="0"/>
    <c:plotArea>
      <c:layout/>
      <c:barChart>
        <c:barDir val="col"/>
        <c:grouping val="clustered"/>
        <c:varyColors val="0"/>
        <c:ser>
          <c:idx val="0"/>
          <c:order val="0"/>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150"/>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ukraine!$A$67:$A$79</c:f>
              <c:numCache>
                <c:formatCode>General</c:formatCode>
                <c:ptCount val="13"/>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numCache>
              <c:extLst/>
            </c:numRef>
          </c:cat>
          <c:val>
            <c:numRef>
              <c:f>ukraine!$B$67:$B$79</c:f>
              <c:numCache>
                <c:formatCode>General</c:formatCode>
                <c:ptCount val="13"/>
                <c:pt idx="0">
                  <c:v>2752</c:v>
                </c:pt>
                <c:pt idx="1">
                  <c:v>2647</c:v>
                </c:pt>
                <c:pt idx="2">
                  <c:v>2565</c:v>
                </c:pt>
                <c:pt idx="3">
                  <c:v>3007</c:v>
                </c:pt>
                <c:pt idx="4">
                  <c:v>2998</c:v>
                </c:pt>
                <c:pt idx="5">
                  <c:v>2897</c:v>
                </c:pt>
                <c:pt idx="6">
                  <c:v>2272</c:v>
                </c:pt>
                <c:pt idx="7">
                  <c:v>2687</c:v>
                </c:pt>
                <c:pt idx="8">
                  <c:v>1979</c:v>
                </c:pt>
                <c:pt idx="9">
                  <c:v>2339</c:v>
                </c:pt>
                <c:pt idx="10">
                  <c:v>1869</c:v>
                </c:pt>
                <c:pt idx="11">
                  <c:v>1717</c:v>
                </c:pt>
                <c:pt idx="12">
                  <c:v>1572</c:v>
                </c:pt>
              </c:numCache>
              <c:extLst/>
            </c:numRef>
          </c:val>
          <c:extLst>
            <c:ext xmlns:c16="http://schemas.microsoft.com/office/drawing/2014/chart" uri="{C3380CC4-5D6E-409C-BE32-E72D297353CC}">
              <c16:uniqueId val="{00000000-DDCD-4F96-8D1F-D007A41C7B85}"/>
            </c:ext>
          </c:extLst>
        </c:ser>
        <c:dLbls>
          <c:showLegendKey val="0"/>
          <c:showVal val="0"/>
          <c:showCatName val="0"/>
          <c:showSerName val="0"/>
          <c:showPercent val="0"/>
          <c:showBubbleSize val="0"/>
        </c:dLbls>
        <c:gapWidth val="219"/>
        <c:overlap val="-27"/>
        <c:axId val="1984546336"/>
        <c:axId val="1554509024"/>
      </c:barChart>
      <c:catAx>
        <c:axId val="1984546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554509024"/>
        <c:crosses val="autoZero"/>
        <c:auto val="1"/>
        <c:lblAlgn val="ctr"/>
        <c:lblOffset val="100"/>
        <c:tickLblSkip val="2"/>
        <c:noMultiLvlLbl val="0"/>
      </c:catAx>
      <c:valAx>
        <c:axId val="1554509024"/>
        <c:scaling>
          <c:orientation val="minMax"/>
          <c:max val="5000"/>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150"/>
          </a:p>
        </c:txPr>
        <c:crossAx val="1984546336"/>
        <c:crosses val="autoZero"/>
        <c:crossBetween val="between"/>
        <c:majorUnit val="100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150"/>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931B-C023-4098-A81F-3E93EEBF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66 (E).dotm</Template>
  <TotalTime>51</TotalTime>
  <Pages>37</Pages>
  <Words>14518</Words>
  <Characters>86372</Characters>
  <Application>Microsoft Office Word</Application>
  <DocSecurity>0</DocSecurity>
  <Lines>719</Lines>
  <Paragraphs>201</Paragraphs>
  <ScaleCrop>false</ScaleCrop>
  <HeadingPairs>
    <vt:vector size="2" baseType="variant">
      <vt:variant>
        <vt:lpstr>Title</vt:lpstr>
      </vt:variant>
      <vt:variant>
        <vt:i4>1</vt:i4>
      </vt:variant>
    </vt:vector>
  </HeadingPairs>
  <TitlesOfParts>
    <vt:vector size="1" baseType="lpstr">
      <vt:lpstr>A/66/8 (English)</vt:lpstr>
    </vt:vector>
  </TitlesOfParts>
  <Company>WIPO</Company>
  <LinksUpToDate>false</LinksUpToDate>
  <CharactersWithSpaces>100689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A/66/8 (English)</dc:title>
  <dc:creator>WIPO</dc:creator>
  <cp:keywords>FOR OFFICIAL USE ONLY</cp:keywords>
  <cp:lastModifiedBy>RUSSO Antonella</cp:lastModifiedBy>
  <cp:revision>12</cp:revision>
  <cp:lastPrinted>2025-06-11T12:36:00Z</cp:lastPrinted>
  <dcterms:created xsi:type="dcterms:W3CDTF">2025-06-11T08:22:00Z</dcterms:created>
  <dcterms:modified xsi:type="dcterms:W3CDTF">2025-06-11T15:21:00Z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2023-11-21T15:06:30Z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d8c307d0-4241-4b8d-8dea-793dd6e4c801</vt:lpwstr>
  </property>
  <property fmtid="{D5CDD505-2E9C-101B-9397-08002B2CF9AE}" pid="14" name="MSIP_Label_20773ee6-353b-4fb9-a59d-0b94c8c67bea_ContentBits">
    <vt:lpwstr>0</vt:lpwstr>
  </property>
</Properties>
</file>