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drawings/drawing1.xml" ContentType="application/vnd.openxmlformats-officedocument.drawingml.chartshapes+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charts/chart3.xml" ContentType="application/vnd.openxmlformats-officedocument.drawingml.chart+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2.xml" ContentType="application/vnd.openxmlformats-officedocument.wordprocessingml.header+xml"/>
  <Override PartName="/word/footer18.xml" ContentType="application/vnd.openxmlformats-officedocument.wordprocessingml.footer+xml"/>
  <Override PartName="/word/header23.xml" ContentType="application/vnd.openxmlformats-officedocument.wordprocessingml.header+xml"/>
  <Override PartName="/word/footer19.xml" ContentType="application/vnd.openxmlformats-officedocument.wordprocessingml.footer+xml"/>
  <Override PartName="/word/header24.xml" ContentType="application/vnd.openxmlformats-officedocument.wordprocessingml.header+xml"/>
  <Override PartName="/word/footer20.xml" ContentType="application/vnd.openxmlformats-officedocument.wordprocessingml.footer+xml"/>
  <Override PartName="/word/header25.xml" ContentType="application/vnd.openxmlformats-officedocument.wordprocessingml.header+xml"/>
  <Override PartName="/word/footer21.xml" ContentType="application/vnd.openxmlformats-officedocument.wordprocessingml.footer+xml"/>
  <Override PartName="/word/header26.xml" ContentType="application/vnd.openxmlformats-officedocument.wordprocessingml.header+xml"/>
  <Override PartName="/word/footer2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1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0.xml" ContentType="application/vnd.openxmlformats-officedocument.drawingml.chart+xml"/>
  <Override PartName="/word/charts/chart21.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2.xml" ContentType="application/vnd.openxmlformats-officedocument.drawingml.chart+xml"/>
  <Override PartName="/word/charts/chart23.xml" ContentType="application/vnd.openxmlformats-officedocument.drawingml.chart+xml"/>
  <Override PartName="/word/drawings/drawing4.xml" ContentType="application/vnd.openxmlformats-officedocument.drawingml.chartshapes+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drawings/drawing5.xml" ContentType="application/vnd.openxmlformats-officedocument.drawingml.chartshapes+xml"/>
  <Override PartName="/word/charts/chart38.xml" ContentType="application/vnd.openxmlformats-officedocument.drawingml.chart+xml"/>
  <Override PartName="/word/charts/chart3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4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4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4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header27.xml" ContentType="application/vnd.openxmlformats-officedocument.wordprocessingml.header+xml"/>
  <Override PartName="/word/footer23.xml" ContentType="application/vnd.openxmlformats-officedocument.wordprocessingml.footer+xml"/>
  <Override PartName="/word/header28.xml" ContentType="application/vnd.openxmlformats-officedocument.wordprocessingml.header+xml"/>
  <Override PartName="/word/footer24.xml" ContentType="application/vnd.openxmlformats-officedocument.wordprocessingml.footer+xml"/>
  <Override PartName="/word/header29.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30.xml" ContentType="application/vnd.openxmlformats-officedocument.wordprocessingml.header+xml"/>
  <Override PartName="/word/footer27.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3.xml" ContentType="application/vnd.openxmlformats-officedocument.wordprocessingml.header+xml"/>
  <Override PartName="/word/footer3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279204" w14:textId="4D881457" w:rsidR="00314F38" w:rsidRPr="008B2CC1" w:rsidRDefault="00314F38" w:rsidP="00FC6600">
      <w:pPr>
        <w:spacing w:after="120"/>
        <w:jc w:val="right"/>
      </w:pPr>
      <w:r>
        <w:rPr>
          <w:noProof/>
          <w:sz w:val="28"/>
          <w:szCs w:val="28"/>
          <w:lang w:val="en-US"/>
        </w:rPr>
        <w:drawing>
          <wp:inline distT="0" distB="0" distL="0" distR="0" wp14:anchorId="6CBE6CCF" wp14:editId="606120F5">
            <wp:extent cx="3084195" cy="1308100"/>
            <wp:effectExtent l="0" t="0" r="1905" b="6350"/>
            <wp:docPr id="43" name="Picture 43" descr="English Language&#10;The upward curving lines of the World Intellectual Property Organization’s logo evoke human progress driven by innovation and creativity." title="Logo of WIPO, World Intellectual Property Organ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9-12-05_8-49-28.png"/>
                    <pic:cNvPicPr/>
                  </pic:nvPicPr>
                  <pic:blipFill>
                    <a:blip r:embed="rId9">
                      <a:extLst>
                        <a:ext uri="{28A0092B-C50C-407E-A947-70E740481C1C}">
                          <a14:useLocalDpi xmlns:a14="http://schemas.microsoft.com/office/drawing/2010/main" val="0"/>
                        </a:ext>
                      </a:extLst>
                    </a:blip>
                    <a:stretch>
                      <a:fillRect/>
                    </a:stretch>
                  </pic:blipFill>
                  <pic:spPr>
                    <a:xfrm>
                      <a:off x="0" y="0"/>
                      <a:ext cx="3084195" cy="1308100"/>
                    </a:xfrm>
                    <a:prstGeom prst="rect">
                      <a:avLst/>
                    </a:prstGeom>
                  </pic:spPr>
                </pic:pic>
              </a:graphicData>
            </a:graphic>
          </wp:inline>
        </w:drawing>
      </w:r>
      <w:r w:rsidRPr="00601760">
        <w:rPr>
          <w:rFonts w:ascii="Arial Black" w:hAnsi="Arial Black"/>
          <w:caps/>
          <w:noProof/>
          <w:sz w:val="15"/>
          <w:szCs w:val="15"/>
          <w:lang w:val="en-US"/>
        </w:rPr>
        <mc:AlternateContent>
          <mc:Choice Requires="wps">
            <w:drawing>
              <wp:inline distT="0" distB="0" distL="0" distR="0" wp14:anchorId="093A363E" wp14:editId="193F96D5">
                <wp:extent cx="5935980" cy="0"/>
                <wp:effectExtent l="0" t="0" r="26670" b="19050"/>
                <wp:docPr id="2" name="Straight Connector 2" descr="Horizontal line"/>
                <wp:cNvGraphicFramePr/>
                <a:graphic xmlns:a="http://schemas.openxmlformats.org/drawingml/2006/main">
                  <a:graphicData uri="http://schemas.microsoft.com/office/word/2010/wordprocessingShape">
                    <wps:wsp>
                      <wps:cNvCnPr/>
                      <wps:spPr>
                        <a:xfrm flipH="1" flipV="1">
                          <a:off x="0" y="0"/>
                          <a:ext cx="59359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inline>
            </w:drawing>
          </mc:Choice>
          <mc:Fallback>
            <w:pict>
              <v:line w14:anchorId="28947FE9" id="Straight Connector 2" o:spid="_x0000_s1026" alt="Horizontal line" style="flip:x y;visibility:visible;mso-wrap-style:square;mso-left-percent:-10001;mso-top-percent:-10001;mso-position-horizontal:absolute;mso-position-horizontal-relative:char;mso-position-vertical:absolute;mso-position-vertical-relative:line;mso-left-percent:-10001;mso-top-percent:-10001" from="0,0" to="467.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" strokecolor="black [3040]">
                <w10:anchorlock/>
              </v:line>
            </w:pict>
          </mc:Fallback>
        </mc:AlternateContent>
      </w:r>
    </w:p>
    <w:p w14:paraId="1A1976C7" w14:textId="42161BC4" w:rsidR="00314F38" w:rsidRPr="001024FE" w:rsidRDefault="00C3168E" w:rsidP="00314F38">
      <w:pPr>
        <w:spacing w:after="0"/>
        <w:jc w:val="right"/>
        <w:rPr>
          <w:rFonts w:ascii="Arial Black" w:hAnsi="Arial Black"/>
          <w:caps/>
          <w:sz w:val="15"/>
          <w:szCs w:val="15"/>
        </w:rPr>
      </w:pPr>
      <w:bookmarkStart w:id="0" w:name="Code"/>
      <w:r>
        <w:rPr>
          <w:rFonts w:ascii="Arial Black" w:hAnsi="Arial Black"/>
          <w:caps/>
          <w:sz w:val="15"/>
          <w:szCs w:val="15"/>
        </w:rPr>
        <w:t>A/64/11</w:t>
      </w:r>
    </w:p>
    <w:bookmarkEnd w:id="0"/>
    <w:p w14:paraId="5DEE632B" w14:textId="77777777" w:rsidR="00314F38" w:rsidRPr="00CE65D4" w:rsidRDefault="00314F38" w:rsidP="00314F38">
      <w:pPr>
        <w:spacing w:after="0"/>
        <w:jc w:val="right"/>
        <w:rPr>
          <w:rFonts w:ascii="Arial Black" w:hAnsi="Arial Black"/>
          <w:caps/>
          <w:sz w:val="15"/>
          <w:szCs w:val="15"/>
        </w:rPr>
      </w:pPr>
      <w:r w:rsidRPr="00CE65D4">
        <w:rPr>
          <w:rFonts w:ascii="Arial Black" w:hAnsi="Arial Black"/>
          <w:caps/>
          <w:sz w:val="15"/>
          <w:szCs w:val="15"/>
        </w:rPr>
        <w:t xml:space="preserve">ORIGINAL: </w:t>
      </w:r>
      <w:bookmarkStart w:id="1" w:name="Original"/>
      <w:r>
        <w:rPr>
          <w:rFonts w:ascii="Arial Black" w:hAnsi="Arial Black"/>
          <w:caps/>
          <w:sz w:val="15"/>
          <w:szCs w:val="15"/>
        </w:rPr>
        <w:t>English</w:t>
      </w:r>
    </w:p>
    <w:bookmarkEnd w:id="1"/>
    <w:p w14:paraId="1D5F4F46" w14:textId="71DF1E54" w:rsidR="00314F38" w:rsidRPr="00CE65D4" w:rsidRDefault="00314F38" w:rsidP="00FC6600">
      <w:pPr>
        <w:spacing w:after="1200"/>
        <w:jc w:val="right"/>
        <w:rPr>
          <w:rFonts w:ascii="Arial Black" w:hAnsi="Arial Black"/>
          <w:caps/>
          <w:sz w:val="15"/>
          <w:szCs w:val="15"/>
        </w:rPr>
      </w:pPr>
      <w:r w:rsidRPr="00CE65D4">
        <w:rPr>
          <w:rFonts w:ascii="Arial Black" w:hAnsi="Arial Black"/>
          <w:caps/>
          <w:sz w:val="15"/>
          <w:szCs w:val="15"/>
        </w:rPr>
        <w:t xml:space="preserve">DATE: </w:t>
      </w:r>
      <w:bookmarkStart w:id="2" w:name="Date"/>
      <w:r w:rsidR="00C36FD2" w:rsidRPr="0026102D">
        <w:rPr>
          <w:rFonts w:ascii="Arial Black" w:hAnsi="Arial Black"/>
          <w:caps/>
          <w:sz w:val="15"/>
          <w:szCs w:val="15"/>
        </w:rPr>
        <w:t xml:space="preserve">June </w:t>
      </w:r>
      <w:r w:rsidR="003B00E6">
        <w:rPr>
          <w:rFonts w:ascii="Arial Black" w:hAnsi="Arial Black"/>
          <w:caps/>
          <w:sz w:val="15"/>
          <w:szCs w:val="15"/>
        </w:rPr>
        <w:t>29</w:t>
      </w:r>
      <w:r w:rsidRPr="0026102D">
        <w:rPr>
          <w:rFonts w:ascii="Arial Black" w:hAnsi="Arial Black"/>
          <w:caps/>
          <w:sz w:val="15"/>
          <w:szCs w:val="15"/>
        </w:rPr>
        <w:t>, 2023</w:t>
      </w:r>
    </w:p>
    <w:bookmarkEnd w:id="2"/>
    <w:p w14:paraId="6C71046C" w14:textId="38DA7B2C" w:rsidR="00314F38" w:rsidRPr="00171531" w:rsidRDefault="006343DA" w:rsidP="00D34E67">
      <w:pPr>
        <w:spacing w:after="600"/>
        <w:ind w:firstLine="270"/>
        <w:rPr>
          <w:b/>
          <w:sz w:val="28"/>
          <w:szCs w:val="28"/>
        </w:rPr>
      </w:pPr>
      <w:r w:rsidRPr="001E44EE">
        <w:rPr>
          <w:rFonts w:cs="Arial"/>
          <w:b/>
          <w:sz w:val="28"/>
          <w:szCs w:val="28"/>
        </w:rPr>
        <w:t>Assemblies of the Member States of WIPO</w:t>
      </w:r>
    </w:p>
    <w:p w14:paraId="74516B4E" w14:textId="31376D31" w:rsidR="006343DA" w:rsidRPr="006343DA" w:rsidRDefault="006343DA" w:rsidP="00E813FB">
      <w:pPr>
        <w:spacing w:after="0" w:line="240" w:lineRule="auto"/>
        <w:ind w:firstLine="274"/>
        <w:rPr>
          <w:b/>
          <w:sz w:val="24"/>
          <w:szCs w:val="24"/>
        </w:rPr>
      </w:pPr>
      <w:r>
        <w:rPr>
          <w:b/>
          <w:sz w:val="24"/>
          <w:szCs w:val="24"/>
        </w:rPr>
        <w:t>Sixty-Fourth</w:t>
      </w:r>
      <w:r w:rsidRPr="006343DA">
        <w:rPr>
          <w:b/>
          <w:sz w:val="24"/>
          <w:szCs w:val="24"/>
        </w:rPr>
        <w:t xml:space="preserve"> Ser</w:t>
      </w:r>
      <w:bookmarkStart w:id="3" w:name="_GoBack"/>
      <w:bookmarkEnd w:id="3"/>
      <w:r w:rsidRPr="006343DA">
        <w:rPr>
          <w:b/>
          <w:sz w:val="24"/>
          <w:szCs w:val="24"/>
        </w:rPr>
        <w:t>ies of Meetings</w:t>
      </w:r>
    </w:p>
    <w:p w14:paraId="58314A94" w14:textId="299CA6D9" w:rsidR="00314F38" w:rsidRPr="009F3BF9" w:rsidRDefault="00314F38" w:rsidP="00E813FB">
      <w:pPr>
        <w:spacing w:after="720" w:line="240" w:lineRule="auto"/>
        <w:ind w:firstLine="274"/>
      </w:pPr>
      <w:r w:rsidRPr="0057141B">
        <w:rPr>
          <w:b/>
          <w:sz w:val="24"/>
          <w:szCs w:val="24"/>
        </w:rPr>
        <w:t xml:space="preserve">Geneva, </w:t>
      </w:r>
      <w:r w:rsidR="006343DA">
        <w:rPr>
          <w:b/>
          <w:sz w:val="24"/>
          <w:szCs w:val="24"/>
        </w:rPr>
        <w:t>July 6 to 14</w:t>
      </w:r>
      <w:r w:rsidRPr="0057141B">
        <w:rPr>
          <w:b/>
          <w:sz w:val="24"/>
          <w:szCs w:val="24"/>
        </w:rPr>
        <w:t>, 2023</w:t>
      </w:r>
    </w:p>
    <w:p w14:paraId="7606E721" w14:textId="5067017A" w:rsidR="00314F38" w:rsidRPr="009F3BF9" w:rsidRDefault="00314F38" w:rsidP="00D34E67">
      <w:pPr>
        <w:spacing w:after="360"/>
        <w:ind w:firstLine="270"/>
        <w:rPr>
          <w:caps/>
          <w:sz w:val="24"/>
        </w:rPr>
      </w:pPr>
      <w:bookmarkStart w:id="4" w:name="TitleOfDoc"/>
      <w:r>
        <w:rPr>
          <w:caps/>
          <w:sz w:val="24"/>
        </w:rPr>
        <w:t xml:space="preserve">Proposed Program of Work and Budget for 2024/25 </w:t>
      </w:r>
    </w:p>
    <w:p w14:paraId="01DDD541" w14:textId="69E40A97" w:rsidR="00314F38" w:rsidRDefault="00314F38" w:rsidP="00D34E67">
      <w:pPr>
        <w:spacing w:after="960"/>
        <w:ind w:firstLine="270"/>
        <w:rPr>
          <w:i/>
          <w:sz w:val="22"/>
        </w:rPr>
      </w:pPr>
      <w:bookmarkStart w:id="5" w:name="Prepared"/>
      <w:bookmarkEnd w:id="4"/>
      <w:r w:rsidRPr="00314F38">
        <w:rPr>
          <w:i/>
          <w:sz w:val="22"/>
        </w:rPr>
        <w:t>prepared by the Secretariat</w:t>
      </w:r>
    </w:p>
    <w:p w14:paraId="09065DB7" w14:textId="0A1BF138" w:rsidR="00BF3120" w:rsidRPr="00411394" w:rsidRDefault="00411394" w:rsidP="008407D7">
      <w:pPr>
        <w:pStyle w:val="ONUME"/>
        <w:numPr>
          <w:ilvl w:val="0"/>
          <w:numId w:val="46"/>
        </w:numPr>
        <w:tabs>
          <w:tab w:val="clear" w:pos="567"/>
          <w:tab w:val="num" w:pos="810"/>
        </w:tabs>
        <w:spacing w:after="0" w:line="240" w:lineRule="auto"/>
        <w:ind w:left="360"/>
        <w:rPr>
          <w:rFonts w:eastAsia="Times New Roman" w:cs="Arial"/>
          <w:sz w:val="22"/>
          <w:lang w:val="en-US"/>
        </w:rPr>
      </w:pPr>
      <w:r w:rsidRPr="00411394">
        <w:rPr>
          <w:rFonts w:eastAsia="Times New Roman" w:cs="Arial"/>
          <w:sz w:val="22"/>
          <w:lang w:val="en-US"/>
        </w:rPr>
        <w:t>Pursuant to the discussions and decisions of the 35</w:t>
      </w:r>
      <w:r w:rsidRPr="00936842">
        <w:rPr>
          <w:rFonts w:eastAsia="Times New Roman" w:cs="Arial"/>
          <w:sz w:val="22"/>
          <w:vertAlign w:val="superscript"/>
          <w:lang w:val="en-US"/>
          <w:rPrChange w:id="6" w:author="HÄFLIGER Patience" w:date="2023-06-29T11:39:00Z">
            <w:rPr>
              <w:rFonts w:eastAsia="Times New Roman" w:cs="Arial"/>
              <w:sz w:val="22"/>
              <w:lang w:val="en-US"/>
            </w:rPr>
          </w:rPrChange>
        </w:rPr>
        <w:t>th</w:t>
      </w:r>
      <w:r w:rsidRPr="00411394">
        <w:rPr>
          <w:rFonts w:eastAsia="Times New Roman" w:cs="Arial"/>
          <w:sz w:val="22"/>
          <w:lang w:val="en-US"/>
        </w:rPr>
        <w:t xml:space="preserve"> </w:t>
      </w:r>
      <w:r w:rsidR="003A3C7B">
        <w:rPr>
          <w:rFonts w:eastAsia="Times New Roman" w:cs="Arial"/>
          <w:sz w:val="22"/>
          <w:lang w:val="en-US"/>
        </w:rPr>
        <w:t>and 36</w:t>
      </w:r>
      <w:r w:rsidRPr="00936842">
        <w:rPr>
          <w:rFonts w:eastAsia="Times New Roman" w:cs="Arial"/>
          <w:sz w:val="22"/>
          <w:vertAlign w:val="superscript"/>
          <w:lang w:val="en-US"/>
          <w:rPrChange w:id="7" w:author="HÄFLIGER Patience" w:date="2023-06-29T11:39:00Z">
            <w:rPr>
              <w:rFonts w:eastAsia="Times New Roman" w:cs="Arial"/>
              <w:sz w:val="22"/>
              <w:lang w:val="en-US"/>
            </w:rPr>
          </w:rPrChange>
        </w:rPr>
        <w:t>th</w:t>
      </w:r>
      <w:r w:rsidRPr="00411394">
        <w:rPr>
          <w:rFonts w:eastAsia="Times New Roman" w:cs="Arial"/>
          <w:sz w:val="22"/>
          <w:lang w:val="en-US"/>
        </w:rPr>
        <w:t xml:space="preserve"> </w:t>
      </w:r>
      <w:r w:rsidR="008407D7">
        <w:rPr>
          <w:rFonts w:eastAsia="Times New Roman" w:cs="Arial"/>
          <w:sz w:val="22"/>
          <w:lang w:val="en-US"/>
        </w:rPr>
        <w:t>s</w:t>
      </w:r>
      <w:r w:rsidRPr="00411394">
        <w:rPr>
          <w:rFonts w:eastAsia="Times New Roman" w:cs="Arial"/>
          <w:sz w:val="22"/>
          <w:lang w:val="en-US"/>
        </w:rPr>
        <w:t xml:space="preserve">essions of the Program and Budget Committee (PBC), the present document contains the “Proposed Program of Work and Budget for 2024/25”. </w:t>
      </w:r>
    </w:p>
    <w:p w14:paraId="6DABEF8A" w14:textId="77777777" w:rsidR="00411394" w:rsidRPr="00411394" w:rsidRDefault="00411394" w:rsidP="00411394">
      <w:pPr>
        <w:pStyle w:val="ONUME"/>
        <w:spacing w:after="0" w:line="240" w:lineRule="auto"/>
        <w:ind w:left="360"/>
        <w:rPr>
          <w:sz w:val="28"/>
        </w:rPr>
      </w:pPr>
    </w:p>
    <w:p w14:paraId="13DBEE1C" w14:textId="680F8739" w:rsidR="006D0CD0" w:rsidRDefault="00411394" w:rsidP="008407D7">
      <w:pPr>
        <w:pStyle w:val="ONUME"/>
        <w:numPr>
          <w:ilvl w:val="0"/>
          <w:numId w:val="46"/>
        </w:numPr>
        <w:tabs>
          <w:tab w:val="clear" w:pos="567"/>
          <w:tab w:val="num" w:pos="810"/>
        </w:tabs>
        <w:spacing w:after="0" w:line="240" w:lineRule="auto"/>
        <w:ind w:left="360"/>
        <w:rPr>
          <w:sz w:val="22"/>
        </w:rPr>
      </w:pPr>
      <w:r w:rsidRPr="008407D7">
        <w:rPr>
          <w:rFonts w:eastAsia="Times New Roman" w:cs="Arial"/>
          <w:sz w:val="22"/>
          <w:lang w:val="en-US"/>
        </w:rPr>
        <w:t>The</w:t>
      </w:r>
      <w:r>
        <w:rPr>
          <w:sz w:val="22"/>
        </w:rPr>
        <w:t xml:space="preserve"> decisions of the PBC in respect of the “</w:t>
      </w:r>
      <w:r w:rsidRPr="00411394">
        <w:rPr>
          <w:rFonts w:eastAsia="Times New Roman" w:cs="Arial"/>
          <w:sz w:val="22"/>
          <w:lang w:val="en-US"/>
        </w:rPr>
        <w:t>Proposed Program of Work and Budget for the 2024/25 Biennium”</w:t>
      </w:r>
      <w:r>
        <w:rPr>
          <w:rFonts w:eastAsia="Times New Roman" w:cs="Arial"/>
          <w:sz w:val="22"/>
          <w:lang w:val="en-US"/>
        </w:rPr>
        <w:t xml:space="preserve"> are reflected in the “List of Decisions Adopted by the Program and Budget Committee</w:t>
      </w:r>
      <w:r w:rsidR="003A3C7B">
        <w:rPr>
          <w:rFonts w:eastAsia="Times New Roman" w:cs="Arial"/>
          <w:sz w:val="22"/>
          <w:lang w:val="en-US"/>
        </w:rPr>
        <w:t>”</w:t>
      </w:r>
      <w:r>
        <w:rPr>
          <w:rFonts w:eastAsia="Times New Roman" w:cs="Arial"/>
          <w:sz w:val="22"/>
          <w:lang w:val="en-US"/>
        </w:rPr>
        <w:t xml:space="preserve"> (</w:t>
      </w:r>
      <w:r w:rsidRPr="008407D7">
        <w:rPr>
          <w:rFonts w:eastAsia="Times New Roman" w:cs="Arial"/>
          <w:sz w:val="22"/>
          <w:lang w:val="en-US"/>
        </w:rPr>
        <w:t xml:space="preserve">document </w:t>
      </w:r>
      <w:r w:rsidR="008407D7" w:rsidRPr="008407D7">
        <w:rPr>
          <w:rFonts w:eastAsia="Times New Roman" w:cs="Arial"/>
          <w:sz w:val="22"/>
          <w:lang w:val="en-US"/>
        </w:rPr>
        <w:t>A/64/7</w:t>
      </w:r>
      <w:r>
        <w:rPr>
          <w:rFonts w:eastAsia="Times New Roman" w:cs="Arial"/>
          <w:sz w:val="22"/>
          <w:lang w:val="en-US"/>
        </w:rPr>
        <w:t>)</w:t>
      </w:r>
      <w:r w:rsidR="008407D7">
        <w:rPr>
          <w:sz w:val="22"/>
        </w:rPr>
        <w:t>.</w:t>
      </w:r>
    </w:p>
    <w:p w14:paraId="1993AA57" w14:textId="35626BA7" w:rsidR="00BF3120" w:rsidRDefault="00BF3120" w:rsidP="00BF3120">
      <w:pPr>
        <w:pStyle w:val="Endofdocument-Annex"/>
        <w:keepNext/>
        <w:keepLines/>
        <w:rPr>
          <w:szCs w:val="22"/>
        </w:rPr>
      </w:pPr>
    </w:p>
    <w:p w14:paraId="1BC8B6BE" w14:textId="4F1784C7" w:rsidR="00691145" w:rsidRPr="008407D7" w:rsidRDefault="00691145" w:rsidP="008407D7">
      <w:pPr>
        <w:pStyle w:val="ONUME"/>
        <w:numPr>
          <w:ilvl w:val="0"/>
          <w:numId w:val="46"/>
        </w:numPr>
        <w:tabs>
          <w:tab w:val="clear" w:pos="567"/>
          <w:tab w:val="left" w:pos="6050"/>
        </w:tabs>
        <w:spacing w:after="0" w:line="240" w:lineRule="auto"/>
        <w:ind w:left="5500"/>
        <w:rPr>
          <w:i/>
          <w:sz w:val="22"/>
        </w:rPr>
      </w:pPr>
      <w:r w:rsidRPr="008407D7">
        <w:rPr>
          <w:i/>
          <w:sz w:val="22"/>
        </w:rPr>
        <w:t xml:space="preserve">The </w:t>
      </w:r>
      <w:r w:rsidR="00411394" w:rsidRPr="008407D7">
        <w:rPr>
          <w:i/>
          <w:sz w:val="22"/>
        </w:rPr>
        <w:t>Assemblies of WIPO</w:t>
      </w:r>
      <w:r w:rsidRPr="008407D7">
        <w:rPr>
          <w:i/>
          <w:sz w:val="22"/>
        </w:rPr>
        <w:t xml:space="preserve">, each as far as it is concerned, </w:t>
      </w:r>
      <w:r w:rsidR="008407D7" w:rsidRPr="008407D7">
        <w:rPr>
          <w:i/>
          <w:sz w:val="22"/>
        </w:rPr>
        <w:t>are invited to approve</w:t>
      </w:r>
      <w:r w:rsidR="00411394" w:rsidRPr="008407D7">
        <w:rPr>
          <w:i/>
          <w:sz w:val="22"/>
        </w:rPr>
        <w:t xml:space="preserve"> </w:t>
      </w:r>
      <w:r w:rsidRPr="008407D7">
        <w:rPr>
          <w:i/>
          <w:sz w:val="22"/>
        </w:rPr>
        <w:t xml:space="preserve">the </w:t>
      </w:r>
      <w:r w:rsidR="00411394" w:rsidRPr="008407D7">
        <w:rPr>
          <w:i/>
          <w:sz w:val="22"/>
        </w:rPr>
        <w:t>“</w:t>
      </w:r>
      <w:r w:rsidRPr="008407D7">
        <w:rPr>
          <w:i/>
          <w:sz w:val="22"/>
        </w:rPr>
        <w:t>Proposed Program of Work and Budget for</w:t>
      </w:r>
      <w:r w:rsidR="00411394" w:rsidRPr="008407D7">
        <w:rPr>
          <w:i/>
          <w:sz w:val="22"/>
        </w:rPr>
        <w:t xml:space="preserve"> </w:t>
      </w:r>
      <w:r w:rsidRPr="008407D7">
        <w:rPr>
          <w:i/>
          <w:sz w:val="22"/>
        </w:rPr>
        <w:t>2024/25</w:t>
      </w:r>
      <w:r w:rsidR="00411394" w:rsidRPr="008407D7">
        <w:rPr>
          <w:i/>
          <w:sz w:val="22"/>
        </w:rPr>
        <w:t>”</w:t>
      </w:r>
      <w:r w:rsidRPr="008407D7">
        <w:rPr>
          <w:i/>
          <w:sz w:val="22"/>
        </w:rPr>
        <w:t xml:space="preserve"> (document</w:t>
      </w:r>
      <w:r w:rsidR="008407D7" w:rsidRPr="008407D7">
        <w:rPr>
          <w:i/>
          <w:sz w:val="22"/>
        </w:rPr>
        <w:t> </w:t>
      </w:r>
      <w:r w:rsidR="00411394" w:rsidRPr="008407D7">
        <w:rPr>
          <w:i/>
          <w:sz w:val="22"/>
        </w:rPr>
        <w:t>A/64/1</w:t>
      </w:r>
      <w:r w:rsidR="00936842">
        <w:rPr>
          <w:i/>
          <w:sz w:val="22"/>
        </w:rPr>
        <w:t>1</w:t>
      </w:r>
      <w:r w:rsidRPr="008407D7">
        <w:rPr>
          <w:i/>
          <w:sz w:val="22"/>
        </w:rPr>
        <w:t>).</w:t>
      </w:r>
    </w:p>
    <w:p w14:paraId="50FA9AE1" w14:textId="4B34802E" w:rsidR="00BF3120" w:rsidRDefault="00BF3120" w:rsidP="00BF3120">
      <w:pPr>
        <w:pStyle w:val="Endofdocument-Annex"/>
        <w:keepNext/>
        <w:keepLines/>
        <w:rPr>
          <w:szCs w:val="22"/>
        </w:rPr>
      </w:pPr>
    </w:p>
    <w:p w14:paraId="38263F13" w14:textId="77777777" w:rsidR="00DB7236" w:rsidRDefault="00DB7236" w:rsidP="00BF3120">
      <w:pPr>
        <w:pStyle w:val="Endofdocument-Annex"/>
        <w:keepNext/>
        <w:keepLines/>
        <w:rPr>
          <w:szCs w:val="22"/>
        </w:rPr>
      </w:pPr>
    </w:p>
    <w:p w14:paraId="39148A52" w14:textId="215A2E49" w:rsidR="00BF3120" w:rsidRPr="00A206C0" w:rsidRDefault="00BF3120" w:rsidP="00BF3120">
      <w:pPr>
        <w:pStyle w:val="Endofdocument-Annex"/>
        <w:keepNext/>
        <w:keepLines/>
        <w:rPr>
          <w:szCs w:val="22"/>
        </w:rPr>
      </w:pPr>
      <w:r w:rsidRPr="00A206C0">
        <w:rPr>
          <w:szCs w:val="22"/>
        </w:rPr>
        <w:t>[Proposed</w:t>
      </w:r>
      <w:r>
        <w:rPr>
          <w:szCs w:val="22"/>
        </w:rPr>
        <w:t xml:space="preserve"> Program of Work and Budget for 2024/25</w:t>
      </w:r>
      <w:r w:rsidRPr="00A206C0">
        <w:rPr>
          <w:szCs w:val="22"/>
        </w:rPr>
        <w:t xml:space="preserve"> follows]</w:t>
      </w:r>
    </w:p>
    <w:p w14:paraId="6C773D96" w14:textId="647586AB" w:rsidR="0097510D" w:rsidRPr="0097510D" w:rsidRDefault="0097510D" w:rsidP="002C1733">
      <w:pPr>
        <w:spacing w:after="960"/>
      </w:pPr>
    </w:p>
    <w:bookmarkEnd w:id="5"/>
    <w:p w14:paraId="1363BF34" w14:textId="3A98CC0F" w:rsidR="00950ADC" w:rsidRDefault="00950ADC" w:rsidP="00FC6600">
      <w:pPr>
        <w:spacing w:after="220"/>
      </w:pPr>
    </w:p>
    <w:p w14:paraId="12D92568" w14:textId="2F7CC4F9" w:rsidR="00950ADC" w:rsidRDefault="00950ADC" w:rsidP="00FC6600">
      <w:pPr>
        <w:spacing w:after="220"/>
      </w:pPr>
    </w:p>
    <w:p w14:paraId="609D5527" w14:textId="0ED8AB10" w:rsidR="00950ADC" w:rsidRDefault="00950ADC" w:rsidP="00FC6600">
      <w:pPr>
        <w:spacing w:after="220"/>
      </w:pPr>
    </w:p>
    <w:p w14:paraId="29273BE3" w14:textId="61313A58" w:rsidR="00950ADC" w:rsidRDefault="00950ADC" w:rsidP="00FC6600">
      <w:pPr>
        <w:spacing w:after="220"/>
      </w:pPr>
    </w:p>
    <w:p w14:paraId="38983BBA" w14:textId="43382EC7" w:rsidR="00950ADC" w:rsidRDefault="00950ADC" w:rsidP="00FC6600">
      <w:pPr>
        <w:spacing w:after="220"/>
      </w:pPr>
    </w:p>
    <w:p w14:paraId="5D676AD2" w14:textId="5013EC53" w:rsidR="00950ADC" w:rsidRDefault="00950ADC" w:rsidP="00FC6600">
      <w:pPr>
        <w:spacing w:after="220"/>
      </w:pPr>
    </w:p>
    <w:p w14:paraId="275E1D98" w14:textId="48A39EC1" w:rsidR="00950ADC" w:rsidRDefault="00950ADC" w:rsidP="00FC6600">
      <w:pPr>
        <w:spacing w:after="220"/>
      </w:pPr>
    </w:p>
    <w:p w14:paraId="480E3CD9" w14:textId="5AFE6665" w:rsidR="00950ADC" w:rsidRDefault="00950ADC" w:rsidP="00FC6600">
      <w:pPr>
        <w:spacing w:after="220"/>
      </w:pPr>
    </w:p>
    <w:p w14:paraId="6CAB164B" w14:textId="3404A910" w:rsidR="00950ADC" w:rsidRDefault="00950ADC" w:rsidP="00FC6600">
      <w:pPr>
        <w:spacing w:after="220"/>
      </w:pPr>
    </w:p>
    <w:p w14:paraId="274E3581" w14:textId="6CB16E9B" w:rsidR="00314F38" w:rsidRPr="00950ADC" w:rsidRDefault="00314F38" w:rsidP="00950ADC">
      <w:pPr>
        <w:spacing w:after="0" w:line="240" w:lineRule="auto"/>
        <w:rPr>
          <w:rFonts w:eastAsia="SimSun" w:cs="Arial"/>
          <w:sz w:val="22"/>
          <w:szCs w:val="20"/>
          <w:lang w:val="en-US" w:eastAsia="zh-CN"/>
        </w:rPr>
      </w:pPr>
    </w:p>
    <w:p w14:paraId="765EFCE8" w14:textId="5DF66C67" w:rsidR="00314F38" w:rsidRDefault="00314F38">
      <w:pPr>
        <w:spacing w:after="200" w:line="276" w:lineRule="auto"/>
        <w:rPr>
          <w:lang w:val="en-US"/>
        </w:rPr>
      </w:pPr>
    </w:p>
    <w:p w14:paraId="6D70BC62" w14:textId="77777777" w:rsidR="00314F38" w:rsidRDefault="00314F38">
      <w:pPr>
        <w:spacing w:after="200" w:line="276" w:lineRule="auto"/>
        <w:rPr>
          <w:lang w:val="en-US"/>
        </w:rPr>
        <w:sectPr w:rsidR="00314F38" w:rsidSect="00950ADC">
          <w:headerReference w:type="even" r:id="rId10"/>
          <w:headerReference w:type="default" r:id="rId11"/>
          <w:footerReference w:type="even" r:id="rId12"/>
          <w:footerReference w:type="default" r:id="rId13"/>
          <w:headerReference w:type="first" r:id="rId14"/>
          <w:footerReference w:type="first" r:id="rId15"/>
          <w:pgSz w:w="11906" w:h="16838" w:code="9"/>
          <w:pgMar w:top="1361" w:right="1134" w:bottom="1361" w:left="1134" w:header="567" w:footer="454" w:gutter="0"/>
          <w:pgNumType w:start="1"/>
          <w:cols w:space="708"/>
          <w:titlePg/>
          <w:docGrid w:linePitch="360"/>
        </w:sectPr>
      </w:pPr>
      <w:r>
        <w:rPr>
          <w:lang w:val="en-US"/>
        </w:rPr>
        <w:br w:type="page"/>
      </w:r>
    </w:p>
    <w:p w14:paraId="51A995D1" w14:textId="657C525E" w:rsidR="00314F38" w:rsidRDefault="00314F38">
      <w:pPr>
        <w:spacing w:after="200" w:line="276" w:lineRule="auto"/>
        <w:rPr>
          <w:lang w:val="en-US"/>
        </w:rPr>
      </w:pPr>
    </w:p>
    <w:p w14:paraId="01B027E0" w14:textId="77777777" w:rsidR="001C1BE0" w:rsidRDefault="001C1BE0">
      <w:pPr>
        <w:spacing w:after="200" w:line="276" w:lineRule="auto"/>
        <w:rPr>
          <w:lang w:val="en-US"/>
        </w:rPr>
      </w:pPr>
    </w:p>
    <w:p w14:paraId="745B49F4" w14:textId="615528B1" w:rsidR="001C1BE0" w:rsidRDefault="001C1BE0">
      <w:pPr>
        <w:spacing w:after="200" w:line="276" w:lineRule="auto"/>
        <w:rPr>
          <w:color w:val="005172" w:themeColor="text2"/>
          <w:sz w:val="44"/>
          <w:lang w:val="en-US"/>
        </w:rPr>
      </w:pPr>
    </w:p>
    <w:p w14:paraId="739A6C2A" w14:textId="77777777" w:rsidR="0059211C" w:rsidRDefault="0059211C" w:rsidP="0075462C">
      <w:pPr>
        <w:pStyle w:val="DocTitle"/>
        <w:jc w:val="left"/>
        <w:rPr>
          <w:lang w:val="en-US"/>
        </w:rPr>
      </w:pPr>
    </w:p>
    <w:p w14:paraId="50BCD77F" w14:textId="47CFD1C0" w:rsidR="00460164" w:rsidRDefault="00460164" w:rsidP="0075462C">
      <w:pPr>
        <w:pStyle w:val="DocTitle"/>
        <w:jc w:val="left"/>
        <w:rPr>
          <w:lang w:val="en-US"/>
        </w:rPr>
      </w:pPr>
    </w:p>
    <w:p w14:paraId="0AAE9582" w14:textId="20D8F76D" w:rsidR="00460164" w:rsidRDefault="00460164" w:rsidP="0075462C">
      <w:pPr>
        <w:pStyle w:val="DocTitle"/>
        <w:jc w:val="left"/>
        <w:rPr>
          <w:lang w:val="en-US"/>
        </w:rPr>
      </w:pPr>
    </w:p>
    <w:p w14:paraId="684021AF" w14:textId="12DE67B5" w:rsidR="0059211C" w:rsidRPr="00786129" w:rsidRDefault="0059211C" w:rsidP="0059211C">
      <w:pPr>
        <w:pStyle w:val="DocTitle"/>
        <w:rPr>
          <w:lang w:val="en-US"/>
        </w:rPr>
      </w:pPr>
    </w:p>
    <w:p w14:paraId="7F5928D6" w14:textId="6F4D9C95" w:rsidR="0059211C" w:rsidRDefault="0059211C" w:rsidP="0059211C">
      <w:pPr>
        <w:pStyle w:val="DocTitle"/>
        <w:rPr>
          <w:lang w:val="en-US"/>
        </w:rPr>
      </w:pPr>
    </w:p>
    <w:p w14:paraId="1A809A06" w14:textId="1B7B679E" w:rsidR="006C5EE5" w:rsidRPr="00D350B5" w:rsidRDefault="0059211C" w:rsidP="0059211C">
      <w:pPr>
        <w:pStyle w:val="DocTitle"/>
        <w:rPr>
          <w:b/>
          <w:lang w:val="en-US"/>
        </w:rPr>
      </w:pPr>
      <w:r w:rsidRPr="00D350B5">
        <w:rPr>
          <w:b/>
          <w:lang w:val="en-US"/>
        </w:rPr>
        <w:t>World Intellectual Property Organization</w:t>
      </w:r>
    </w:p>
    <w:p w14:paraId="52A18A75" w14:textId="5EE8FC30" w:rsidR="006C5EE5" w:rsidRPr="00D350B5" w:rsidRDefault="00AE2966" w:rsidP="0059211C">
      <w:pPr>
        <w:pStyle w:val="DocTitle"/>
        <w:rPr>
          <w:lang w:val="en-US"/>
        </w:rPr>
      </w:pPr>
      <w:r w:rsidRPr="00D350B5">
        <w:rPr>
          <w:lang w:val="en-US"/>
        </w:rPr>
        <w:t xml:space="preserve"> Proposed</w:t>
      </w:r>
      <w:r w:rsidR="003D11F9" w:rsidRPr="00D350B5">
        <w:rPr>
          <w:lang w:val="en-US"/>
        </w:rPr>
        <w:t xml:space="preserve"> </w:t>
      </w:r>
      <w:r w:rsidR="00A80364">
        <w:rPr>
          <w:lang w:val="en-US"/>
        </w:rPr>
        <w:t>Program of Work</w:t>
      </w:r>
      <w:r w:rsidR="00D025E7" w:rsidRPr="00D350B5">
        <w:rPr>
          <w:lang w:val="en-US"/>
        </w:rPr>
        <w:t xml:space="preserve"> a</w:t>
      </w:r>
      <w:r w:rsidR="0059211C" w:rsidRPr="00D350B5">
        <w:rPr>
          <w:lang w:val="en-US"/>
        </w:rPr>
        <w:t xml:space="preserve">nd Budget </w:t>
      </w:r>
      <w:r w:rsidR="0059211C" w:rsidRPr="00D350B5">
        <w:rPr>
          <w:lang w:val="en-US"/>
        </w:rPr>
        <w:br/>
        <w:t>for 20</w:t>
      </w:r>
      <w:r w:rsidR="00595E37" w:rsidRPr="00D350B5">
        <w:rPr>
          <w:lang w:val="en-US"/>
        </w:rPr>
        <w:t>2</w:t>
      </w:r>
      <w:r w:rsidR="008C5B4D">
        <w:rPr>
          <w:lang w:val="en-US"/>
        </w:rPr>
        <w:t>4</w:t>
      </w:r>
      <w:r w:rsidR="0059211C" w:rsidRPr="00D350B5">
        <w:rPr>
          <w:lang w:val="en-US"/>
        </w:rPr>
        <w:t>/</w:t>
      </w:r>
      <w:r w:rsidR="00595E37" w:rsidRPr="00D350B5">
        <w:rPr>
          <w:lang w:val="en-US"/>
        </w:rPr>
        <w:t>2</w:t>
      </w:r>
      <w:r w:rsidR="008C5B4D">
        <w:rPr>
          <w:lang w:val="en-US"/>
        </w:rPr>
        <w:t>5</w:t>
      </w:r>
    </w:p>
    <w:p w14:paraId="1A497FC6" w14:textId="317BBB1D" w:rsidR="0059211C" w:rsidRPr="00D350B5" w:rsidRDefault="0059211C" w:rsidP="0059211C">
      <w:pPr>
        <w:jc w:val="center"/>
        <w:rPr>
          <w:lang w:val="en-US"/>
        </w:rPr>
      </w:pPr>
    </w:p>
    <w:p w14:paraId="10B79D88" w14:textId="24C052CD" w:rsidR="00975541" w:rsidRPr="00D350B5" w:rsidRDefault="00975541" w:rsidP="00975541">
      <w:pPr>
        <w:rPr>
          <w:lang w:val="en-US"/>
        </w:rPr>
      </w:pPr>
    </w:p>
    <w:p w14:paraId="6F51887F" w14:textId="77777777" w:rsidR="00746369" w:rsidRDefault="00746369">
      <w:pPr>
        <w:spacing w:after="200" w:line="276" w:lineRule="auto"/>
        <w:rPr>
          <w:lang w:val="en-US"/>
        </w:rPr>
      </w:pPr>
    </w:p>
    <w:p w14:paraId="45D9849B" w14:textId="77777777" w:rsidR="00746369" w:rsidRDefault="00746369">
      <w:pPr>
        <w:spacing w:after="200" w:line="276" w:lineRule="auto"/>
        <w:rPr>
          <w:lang w:val="en-US"/>
        </w:rPr>
      </w:pPr>
      <w:r>
        <w:rPr>
          <w:lang w:val="en-US"/>
        </w:rPr>
        <w:br w:type="page"/>
      </w:r>
    </w:p>
    <w:p w14:paraId="6F2332A2" w14:textId="25EE665B" w:rsidR="003C5B5A" w:rsidRPr="00D350B5" w:rsidRDefault="003C5B5A">
      <w:pPr>
        <w:spacing w:after="200" w:line="276" w:lineRule="auto"/>
        <w:rPr>
          <w:lang w:val="en-US"/>
        </w:rPr>
      </w:pPr>
      <w:r w:rsidRPr="00D350B5">
        <w:rPr>
          <w:lang w:val="en-US"/>
        </w:rPr>
        <w:lastRenderedPageBreak/>
        <w:br w:type="page"/>
      </w:r>
    </w:p>
    <w:p w14:paraId="4D68A155" w14:textId="77777777" w:rsidR="00975541" w:rsidRPr="00D350B5" w:rsidRDefault="00975541" w:rsidP="00975541">
      <w:pPr>
        <w:rPr>
          <w:lang w:val="en-US"/>
        </w:rPr>
        <w:sectPr w:rsidR="00975541" w:rsidRPr="00D350B5" w:rsidSect="003977DE">
          <w:headerReference w:type="default" r:id="rId16"/>
          <w:pgSz w:w="11906" w:h="16838" w:code="9"/>
          <w:pgMar w:top="1361" w:right="1134" w:bottom="1361" w:left="1134" w:header="567" w:footer="454" w:gutter="0"/>
          <w:pgNumType w:start="2"/>
          <w:cols w:space="708"/>
          <w:titlePg/>
          <w:docGrid w:linePitch="360"/>
        </w:sectPr>
      </w:pPr>
    </w:p>
    <w:p w14:paraId="345A74F4" w14:textId="77777777" w:rsidR="00975541" w:rsidRPr="00D350B5" w:rsidRDefault="00831567" w:rsidP="006C5A82">
      <w:pPr>
        <w:pStyle w:val="SectionTitleNoTOC"/>
        <w:rPr>
          <w:lang w:val="en-US"/>
        </w:rPr>
      </w:pPr>
      <w:bookmarkStart w:id="8" w:name="_Toc131175979"/>
      <w:r w:rsidRPr="00D350B5">
        <w:rPr>
          <w:lang w:val="en-US"/>
        </w:rPr>
        <w:lastRenderedPageBreak/>
        <w:t>Contents</w:t>
      </w:r>
      <w:bookmarkEnd w:id="8"/>
    </w:p>
    <w:p w14:paraId="15D64C3D" w14:textId="174D4F60" w:rsidR="00652492" w:rsidRDefault="0030278F">
      <w:pPr>
        <w:pStyle w:val="TOC1"/>
        <w:rPr>
          <w:rFonts w:asciiTheme="minorHAnsi" w:eastAsiaTheme="minorEastAsia" w:hAnsiTheme="minorHAnsi"/>
          <w:noProof/>
          <w:color w:val="auto"/>
          <w:lang w:val="en-US"/>
        </w:rPr>
      </w:pPr>
      <w:r>
        <w:rPr>
          <w:color w:val="AAB8C4" w:themeColor="accent4"/>
          <w:lang w:val="en-US"/>
        </w:rPr>
        <w:fldChar w:fldCharType="begin"/>
      </w:r>
      <w:r>
        <w:rPr>
          <w:color w:val="AAB8C4" w:themeColor="accent4"/>
          <w:lang w:val="en-US"/>
        </w:rPr>
        <w:instrText xml:space="preserve"> TOC \h \z \t "SectionTitle,1,SectionTitleNumb,1,SectorTitle2,1,SectorTitle,2,ProgramAnnex,2,AnnexTitle2,2,AppendixTitle,2,SectionTitleNoTOC,1,StrategyTitle,1" </w:instrText>
      </w:r>
      <w:r>
        <w:rPr>
          <w:color w:val="AAB8C4" w:themeColor="accent4"/>
          <w:lang w:val="en-US"/>
        </w:rPr>
        <w:fldChar w:fldCharType="separate"/>
      </w:r>
      <w:hyperlink w:anchor="_Toc131175979" w:history="1">
        <w:r w:rsidR="00652492" w:rsidRPr="00035E25">
          <w:rPr>
            <w:rStyle w:val="Hyperlink"/>
            <w:noProof/>
            <w:lang w:val="en-US"/>
          </w:rPr>
          <w:t>Contents</w:t>
        </w:r>
        <w:r w:rsidR="00652492">
          <w:rPr>
            <w:noProof/>
            <w:webHidden/>
          </w:rPr>
          <w:tab/>
        </w:r>
        <w:r w:rsidR="00652492">
          <w:rPr>
            <w:noProof/>
            <w:webHidden/>
          </w:rPr>
          <w:fldChar w:fldCharType="begin"/>
        </w:r>
        <w:r w:rsidR="00652492">
          <w:rPr>
            <w:noProof/>
            <w:webHidden/>
          </w:rPr>
          <w:instrText xml:space="preserve"> PAGEREF _Toc131175979 \h </w:instrText>
        </w:r>
        <w:r w:rsidR="00652492">
          <w:rPr>
            <w:noProof/>
            <w:webHidden/>
          </w:rPr>
        </w:r>
        <w:r w:rsidR="00652492">
          <w:rPr>
            <w:noProof/>
            <w:webHidden/>
          </w:rPr>
          <w:fldChar w:fldCharType="separate"/>
        </w:r>
        <w:r w:rsidR="00C15F06">
          <w:rPr>
            <w:noProof/>
            <w:webHidden/>
          </w:rPr>
          <w:t>2</w:t>
        </w:r>
        <w:r w:rsidR="00652492">
          <w:rPr>
            <w:noProof/>
            <w:webHidden/>
          </w:rPr>
          <w:fldChar w:fldCharType="end"/>
        </w:r>
      </w:hyperlink>
    </w:p>
    <w:p w14:paraId="59376FD0" w14:textId="42A81D8D" w:rsidR="00652492" w:rsidRDefault="00E813FB">
      <w:pPr>
        <w:pStyle w:val="TOC1"/>
        <w:rPr>
          <w:rFonts w:asciiTheme="minorHAnsi" w:eastAsiaTheme="minorEastAsia" w:hAnsiTheme="minorHAnsi"/>
          <w:noProof/>
          <w:color w:val="auto"/>
          <w:lang w:val="en-US"/>
        </w:rPr>
      </w:pPr>
      <w:hyperlink w:anchor="_Toc131175980" w:history="1">
        <w:r w:rsidR="00652492" w:rsidRPr="00035E25">
          <w:rPr>
            <w:rStyle w:val="Hyperlink"/>
            <w:noProof/>
            <w:lang w:val="en-US"/>
          </w:rPr>
          <w:t>FOREWORD BY THE DIRECTOR GENERAL</w:t>
        </w:r>
        <w:r w:rsidR="00652492">
          <w:rPr>
            <w:noProof/>
            <w:webHidden/>
          </w:rPr>
          <w:tab/>
        </w:r>
        <w:r w:rsidR="00652492">
          <w:rPr>
            <w:noProof/>
            <w:webHidden/>
          </w:rPr>
          <w:fldChar w:fldCharType="begin"/>
        </w:r>
        <w:r w:rsidR="00652492">
          <w:rPr>
            <w:noProof/>
            <w:webHidden/>
          </w:rPr>
          <w:instrText xml:space="preserve"> PAGEREF _Toc131175980 \h </w:instrText>
        </w:r>
        <w:r w:rsidR="00652492">
          <w:rPr>
            <w:noProof/>
            <w:webHidden/>
          </w:rPr>
        </w:r>
        <w:r w:rsidR="00652492">
          <w:rPr>
            <w:noProof/>
            <w:webHidden/>
          </w:rPr>
          <w:fldChar w:fldCharType="separate"/>
        </w:r>
        <w:r w:rsidR="00C15F06">
          <w:rPr>
            <w:noProof/>
            <w:webHidden/>
          </w:rPr>
          <w:t>3</w:t>
        </w:r>
        <w:r w:rsidR="00652492">
          <w:rPr>
            <w:noProof/>
            <w:webHidden/>
          </w:rPr>
          <w:fldChar w:fldCharType="end"/>
        </w:r>
      </w:hyperlink>
    </w:p>
    <w:p w14:paraId="3EC96C7C" w14:textId="14F7CF2E" w:rsidR="00652492" w:rsidRDefault="00E813FB">
      <w:pPr>
        <w:pStyle w:val="TOC1"/>
        <w:rPr>
          <w:rFonts w:asciiTheme="minorHAnsi" w:eastAsiaTheme="minorEastAsia" w:hAnsiTheme="minorHAnsi"/>
          <w:noProof/>
          <w:color w:val="auto"/>
          <w:lang w:val="en-US"/>
        </w:rPr>
      </w:pPr>
      <w:hyperlink w:anchor="_Toc131175981" w:history="1">
        <w:r w:rsidR="00652492" w:rsidRPr="00035E25">
          <w:rPr>
            <w:rStyle w:val="Hyperlink"/>
            <w:noProof/>
            <w:lang w:val="en-US"/>
          </w:rPr>
          <w:t>I.</w:t>
        </w:r>
        <w:r w:rsidR="00652492">
          <w:rPr>
            <w:rFonts w:asciiTheme="minorHAnsi" w:eastAsiaTheme="minorEastAsia" w:hAnsiTheme="minorHAnsi"/>
            <w:noProof/>
            <w:color w:val="auto"/>
            <w:lang w:val="en-US"/>
          </w:rPr>
          <w:tab/>
        </w:r>
        <w:r w:rsidR="00652492" w:rsidRPr="00035E25">
          <w:rPr>
            <w:rStyle w:val="Hyperlink"/>
            <w:noProof/>
            <w:lang w:val="en-US"/>
          </w:rPr>
          <w:t>FINANCIAL AND RESULTS - OVERVIEW</w:t>
        </w:r>
        <w:r w:rsidR="00652492">
          <w:rPr>
            <w:noProof/>
            <w:webHidden/>
          </w:rPr>
          <w:tab/>
        </w:r>
        <w:r w:rsidR="00652492">
          <w:rPr>
            <w:noProof/>
            <w:webHidden/>
          </w:rPr>
          <w:fldChar w:fldCharType="begin"/>
        </w:r>
        <w:r w:rsidR="00652492">
          <w:rPr>
            <w:noProof/>
            <w:webHidden/>
          </w:rPr>
          <w:instrText xml:space="preserve"> PAGEREF _Toc131175981 \h </w:instrText>
        </w:r>
        <w:r w:rsidR="00652492">
          <w:rPr>
            <w:noProof/>
            <w:webHidden/>
          </w:rPr>
        </w:r>
        <w:r w:rsidR="00652492">
          <w:rPr>
            <w:noProof/>
            <w:webHidden/>
          </w:rPr>
          <w:fldChar w:fldCharType="separate"/>
        </w:r>
        <w:r w:rsidR="00C15F06">
          <w:rPr>
            <w:noProof/>
            <w:webHidden/>
          </w:rPr>
          <w:t>4</w:t>
        </w:r>
        <w:r w:rsidR="00652492">
          <w:rPr>
            <w:noProof/>
            <w:webHidden/>
          </w:rPr>
          <w:fldChar w:fldCharType="end"/>
        </w:r>
      </w:hyperlink>
    </w:p>
    <w:p w14:paraId="5053966E" w14:textId="38CFD7F3" w:rsidR="00652492" w:rsidRDefault="00E813FB">
      <w:pPr>
        <w:pStyle w:val="TOC1"/>
        <w:rPr>
          <w:rFonts w:asciiTheme="minorHAnsi" w:eastAsiaTheme="minorEastAsia" w:hAnsiTheme="minorHAnsi"/>
          <w:noProof/>
          <w:color w:val="auto"/>
          <w:lang w:val="en-US"/>
        </w:rPr>
      </w:pPr>
      <w:hyperlink w:anchor="_Toc131175982" w:history="1">
        <w:r w:rsidR="00652492" w:rsidRPr="00035E25">
          <w:rPr>
            <w:rStyle w:val="Hyperlink"/>
            <w:noProof/>
            <w:lang w:val="en-US"/>
          </w:rPr>
          <w:t>II.</w:t>
        </w:r>
        <w:r w:rsidR="00652492">
          <w:rPr>
            <w:rFonts w:asciiTheme="minorHAnsi" w:eastAsiaTheme="minorEastAsia" w:hAnsiTheme="minorHAnsi"/>
            <w:noProof/>
            <w:color w:val="auto"/>
            <w:lang w:val="en-US"/>
          </w:rPr>
          <w:tab/>
        </w:r>
        <w:r w:rsidR="00652492" w:rsidRPr="00035E25">
          <w:rPr>
            <w:rStyle w:val="Hyperlink"/>
            <w:noProof/>
          </w:rPr>
          <w:t>FINANCIAL AND RESULTS - By Sector</w:t>
        </w:r>
        <w:r w:rsidR="00652492">
          <w:rPr>
            <w:noProof/>
            <w:webHidden/>
          </w:rPr>
          <w:tab/>
        </w:r>
        <w:r w:rsidR="00652492">
          <w:rPr>
            <w:noProof/>
            <w:webHidden/>
          </w:rPr>
          <w:fldChar w:fldCharType="begin"/>
        </w:r>
        <w:r w:rsidR="00652492">
          <w:rPr>
            <w:noProof/>
            <w:webHidden/>
          </w:rPr>
          <w:instrText xml:space="preserve"> PAGEREF _Toc131175982 \h </w:instrText>
        </w:r>
        <w:r w:rsidR="00652492">
          <w:rPr>
            <w:noProof/>
            <w:webHidden/>
          </w:rPr>
        </w:r>
        <w:r w:rsidR="00652492">
          <w:rPr>
            <w:noProof/>
            <w:webHidden/>
          </w:rPr>
          <w:fldChar w:fldCharType="separate"/>
        </w:r>
        <w:r w:rsidR="00C15F06">
          <w:rPr>
            <w:noProof/>
            <w:webHidden/>
          </w:rPr>
          <w:t>21</w:t>
        </w:r>
        <w:r w:rsidR="00652492">
          <w:rPr>
            <w:noProof/>
            <w:webHidden/>
          </w:rPr>
          <w:fldChar w:fldCharType="end"/>
        </w:r>
      </w:hyperlink>
    </w:p>
    <w:p w14:paraId="31BEDB72" w14:textId="41CBECA5" w:rsidR="00652492" w:rsidRDefault="00E813FB">
      <w:pPr>
        <w:pStyle w:val="TOC2"/>
        <w:rPr>
          <w:rFonts w:asciiTheme="minorHAnsi" w:eastAsiaTheme="minorEastAsia" w:hAnsiTheme="minorHAnsi"/>
          <w:b w:val="0"/>
          <w:noProof/>
          <w:sz w:val="22"/>
          <w:lang w:val="en-US"/>
        </w:rPr>
      </w:pPr>
      <w:hyperlink w:anchor="_Toc131175983" w:history="1">
        <w:r w:rsidR="00652492" w:rsidRPr="00035E25">
          <w:rPr>
            <w:rStyle w:val="Hyperlink"/>
            <w:noProof/>
          </w:rPr>
          <w:t>Patents and Technology</w:t>
        </w:r>
        <w:r w:rsidR="00652492">
          <w:rPr>
            <w:noProof/>
            <w:webHidden/>
          </w:rPr>
          <w:tab/>
        </w:r>
        <w:r w:rsidR="00652492">
          <w:rPr>
            <w:noProof/>
            <w:webHidden/>
          </w:rPr>
          <w:fldChar w:fldCharType="begin"/>
        </w:r>
        <w:r w:rsidR="00652492">
          <w:rPr>
            <w:noProof/>
            <w:webHidden/>
          </w:rPr>
          <w:instrText xml:space="preserve"> PAGEREF _Toc131175983 \h </w:instrText>
        </w:r>
        <w:r w:rsidR="00652492">
          <w:rPr>
            <w:noProof/>
            <w:webHidden/>
          </w:rPr>
        </w:r>
        <w:r w:rsidR="00652492">
          <w:rPr>
            <w:noProof/>
            <w:webHidden/>
          </w:rPr>
          <w:fldChar w:fldCharType="separate"/>
        </w:r>
        <w:r w:rsidR="00C15F06">
          <w:rPr>
            <w:noProof/>
            <w:webHidden/>
          </w:rPr>
          <w:t>21</w:t>
        </w:r>
        <w:r w:rsidR="00652492">
          <w:rPr>
            <w:noProof/>
            <w:webHidden/>
          </w:rPr>
          <w:fldChar w:fldCharType="end"/>
        </w:r>
      </w:hyperlink>
    </w:p>
    <w:p w14:paraId="01F563F5" w14:textId="52F08060" w:rsidR="00652492" w:rsidRDefault="00E813FB">
      <w:pPr>
        <w:pStyle w:val="TOC2"/>
        <w:rPr>
          <w:rFonts w:asciiTheme="minorHAnsi" w:eastAsiaTheme="minorEastAsia" w:hAnsiTheme="minorHAnsi"/>
          <w:b w:val="0"/>
          <w:noProof/>
          <w:sz w:val="22"/>
          <w:lang w:val="en-US"/>
        </w:rPr>
      </w:pPr>
      <w:hyperlink w:anchor="_Toc131175984" w:history="1">
        <w:r w:rsidR="00652492" w:rsidRPr="00035E25">
          <w:rPr>
            <w:rStyle w:val="Hyperlink"/>
            <w:noProof/>
          </w:rPr>
          <w:t>Brands and Designs</w:t>
        </w:r>
        <w:r w:rsidR="00652492">
          <w:rPr>
            <w:noProof/>
            <w:webHidden/>
          </w:rPr>
          <w:tab/>
        </w:r>
        <w:r w:rsidR="00652492">
          <w:rPr>
            <w:noProof/>
            <w:webHidden/>
          </w:rPr>
          <w:fldChar w:fldCharType="begin"/>
        </w:r>
        <w:r w:rsidR="00652492">
          <w:rPr>
            <w:noProof/>
            <w:webHidden/>
          </w:rPr>
          <w:instrText xml:space="preserve"> PAGEREF _Toc131175984 \h </w:instrText>
        </w:r>
        <w:r w:rsidR="00652492">
          <w:rPr>
            <w:noProof/>
            <w:webHidden/>
          </w:rPr>
        </w:r>
        <w:r w:rsidR="00652492">
          <w:rPr>
            <w:noProof/>
            <w:webHidden/>
          </w:rPr>
          <w:fldChar w:fldCharType="separate"/>
        </w:r>
        <w:r w:rsidR="00C15F06">
          <w:rPr>
            <w:noProof/>
            <w:webHidden/>
          </w:rPr>
          <w:t>25</w:t>
        </w:r>
        <w:r w:rsidR="00652492">
          <w:rPr>
            <w:noProof/>
            <w:webHidden/>
          </w:rPr>
          <w:fldChar w:fldCharType="end"/>
        </w:r>
      </w:hyperlink>
    </w:p>
    <w:p w14:paraId="3E0862AE" w14:textId="2CDC238F" w:rsidR="00652492" w:rsidRDefault="00E813FB">
      <w:pPr>
        <w:pStyle w:val="TOC2"/>
        <w:rPr>
          <w:rFonts w:asciiTheme="minorHAnsi" w:eastAsiaTheme="minorEastAsia" w:hAnsiTheme="minorHAnsi"/>
          <w:b w:val="0"/>
          <w:noProof/>
          <w:sz w:val="22"/>
          <w:lang w:val="en-US"/>
        </w:rPr>
      </w:pPr>
      <w:hyperlink w:anchor="_Toc131175985" w:history="1">
        <w:r w:rsidR="00652492" w:rsidRPr="00035E25">
          <w:rPr>
            <w:rStyle w:val="Hyperlink"/>
            <w:noProof/>
          </w:rPr>
          <w:t>Copyright and Creative Industries</w:t>
        </w:r>
        <w:r w:rsidR="00652492">
          <w:rPr>
            <w:noProof/>
            <w:webHidden/>
          </w:rPr>
          <w:tab/>
        </w:r>
        <w:r w:rsidR="00652492">
          <w:rPr>
            <w:noProof/>
            <w:webHidden/>
          </w:rPr>
          <w:fldChar w:fldCharType="begin"/>
        </w:r>
        <w:r w:rsidR="00652492">
          <w:rPr>
            <w:noProof/>
            <w:webHidden/>
          </w:rPr>
          <w:instrText xml:space="preserve"> PAGEREF _Toc131175985 \h </w:instrText>
        </w:r>
        <w:r w:rsidR="00652492">
          <w:rPr>
            <w:noProof/>
            <w:webHidden/>
          </w:rPr>
        </w:r>
        <w:r w:rsidR="00652492">
          <w:rPr>
            <w:noProof/>
            <w:webHidden/>
          </w:rPr>
          <w:fldChar w:fldCharType="separate"/>
        </w:r>
        <w:r w:rsidR="00C15F06">
          <w:rPr>
            <w:noProof/>
            <w:webHidden/>
          </w:rPr>
          <w:t>31</w:t>
        </w:r>
        <w:r w:rsidR="00652492">
          <w:rPr>
            <w:noProof/>
            <w:webHidden/>
          </w:rPr>
          <w:fldChar w:fldCharType="end"/>
        </w:r>
      </w:hyperlink>
    </w:p>
    <w:p w14:paraId="62BE7B49" w14:textId="6608BD62" w:rsidR="00652492" w:rsidRDefault="00E813FB">
      <w:pPr>
        <w:pStyle w:val="TOC2"/>
        <w:rPr>
          <w:rFonts w:asciiTheme="minorHAnsi" w:eastAsiaTheme="minorEastAsia" w:hAnsiTheme="minorHAnsi"/>
          <w:b w:val="0"/>
          <w:noProof/>
          <w:sz w:val="22"/>
          <w:lang w:val="en-US"/>
        </w:rPr>
      </w:pPr>
      <w:hyperlink w:anchor="_Toc131175986" w:history="1">
        <w:r w:rsidR="00652492" w:rsidRPr="00035E25">
          <w:rPr>
            <w:rStyle w:val="Hyperlink"/>
            <w:noProof/>
          </w:rPr>
          <w:t>Regional and National Development</w:t>
        </w:r>
        <w:r w:rsidR="00652492">
          <w:rPr>
            <w:noProof/>
            <w:webHidden/>
          </w:rPr>
          <w:tab/>
        </w:r>
        <w:r w:rsidR="00652492">
          <w:rPr>
            <w:noProof/>
            <w:webHidden/>
          </w:rPr>
          <w:fldChar w:fldCharType="begin"/>
        </w:r>
        <w:r w:rsidR="00652492">
          <w:rPr>
            <w:noProof/>
            <w:webHidden/>
          </w:rPr>
          <w:instrText xml:space="preserve"> PAGEREF _Toc131175986 \h </w:instrText>
        </w:r>
        <w:r w:rsidR="00652492">
          <w:rPr>
            <w:noProof/>
            <w:webHidden/>
          </w:rPr>
        </w:r>
        <w:r w:rsidR="00652492">
          <w:rPr>
            <w:noProof/>
            <w:webHidden/>
          </w:rPr>
          <w:fldChar w:fldCharType="separate"/>
        </w:r>
        <w:r w:rsidR="00C15F06">
          <w:rPr>
            <w:noProof/>
            <w:webHidden/>
          </w:rPr>
          <w:t>36</w:t>
        </w:r>
        <w:r w:rsidR="00652492">
          <w:rPr>
            <w:noProof/>
            <w:webHidden/>
          </w:rPr>
          <w:fldChar w:fldCharType="end"/>
        </w:r>
      </w:hyperlink>
    </w:p>
    <w:p w14:paraId="408C9AB4" w14:textId="22B3B2DB" w:rsidR="00652492" w:rsidRDefault="00E813FB">
      <w:pPr>
        <w:pStyle w:val="TOC2"/>
        <w:rPr>
          <w:rFonts w:asciiTheme="minorHAnsi" w:eastAsiaTheme="minorEastAsia" w:hAnsiTheme="minorHAnsi"/>
          <w:b w:val="0"/>
          <w:noProof/>
          <w:sz w:val="22"/>
          <w:lang w:val="en-US"/>
        </w:rPr>
      </w:pPr>
      <w:hyperlink w:anchor="_Toc131175987" w:history="1">
        <w:r w:rsidR="00652492" w:rsidRPr="00035E25">
          <w:rPr>
            <w:rStyle w:val="Hyperlink"/>
            <w:noProof/>
          </w:rPr>
          <w:t>Infrastructure and Platforms</w:t>
        </w:r>
        <w:r w:rsidR="00652492">
          <w:rPr>
            <w:noProof/>
            <w:webHidden/>
          </w:rPr>
          <w:tab/>
        </w:r>
        <w:r w:rsidR="00652492">
          <w:rPr>
            <w:noProof/>
            <w:webHidden/>
          </w:rPr>
          <w:fldChar w:fldCharType="begin"/>
        </w:r>
        <w:r w:rsidR="00652492">
          <w:rPr>
            <w:noProof/>
            <w:webHidden/>
          </w:rPr>
          <w:instrText xml:space="preserve"> PAGEREF _Toc131175987 \h </w:instrText>
        </w:r>
        <w:r w:rsidR="00652492">
          <w:rPr>
            <w:noProof/>
            <w:webHidden/>
          </w:rPr>
        </w:r>
        <w:r w:rsidR="00652492">
          <w:rPr>
            <w:noProof/>
            <w:webHidden/>
          </w:rPr>
          <w:fldChar w:fldCharType="separate"/>
        </w:r>
        <w:r w:rsidR="00C15F06">
          <w:rPr>
            <w:noProof/>
            <w:webHidden/>
          </w:rPr>
          <w:t>42</w:t>
        </w:r>
        <w:r w:rsidR="00652492">
          <w:rPr>
            <w:noProof/>
            <w:webHidden/>
          </w:rPr>
          <w:fldChar w:fldCharType="end"/>
        </w:r>
      </w:hyperlink>
    </w:p>
    <w:p w14:paraId="6D17B68B" w14:textId="77349724" w:rsidR="00652492" w:rsidRDefault="00E813FB">
      <w:pPr>
        <w:pStyle w:val="TOC2"/>
        <w:rPr>
          <w:rFonts w:asciiTheme="minorHAnsi" w:eastAsiaTheme="minorEastAsia" w:hAnsiTheme="minorHAnsi"/>
          <w:b w:val="0"/>
          <w:noProof/>
          <w:sz w:val="22"/>
          <w:lang w:val="en-US"/>
        </w:rPr>
      </w:pPr>
      <w:hyperlink w:anchor="_Toc131175988" w:history="1">
        <w:r w:rsidR="00652492" w:rsidRPr="00035E25">
          <w:rPr>
            <w:rStyle w:val="Hyperlink"/>
            <w:noProof/>
          </w:rPr>
          <w:t>Global Challenges and Partnerships</w:t>
        </w:r>
        <w:r w:rsidR="00652492">
          <w:rPr>
            <w:noProof/>
            <w:webHidden/>
          </w:rPr>
          <w:tab/>
        </w:r>
        <w:r w:rsidR="00652492">
          <w:rPr>
            <w:noProof/>
            <w:webHidden/>
          </w:rPr>
          <w:fldChar w:fldCharType="begin"/>
        </w:r>
        <w:r w:rsidR="00652492">
          <w:rPr>
            <w:noProof/>
            <w:webHidden/>
          </w:rPr>
          <w:instrText xml:space="preserve"> PAGEREF _Toc131175988 \h </w:instrText>
        </w:r>
        <w:r w:rsidR="00652492">
          <w:rPr>
            <w:noProof/>
            <w:webHidden/>
          </w:rPr>
        </w:r>
        <w:r w:rsidR="00652492">
          <w:rPr>
            <w:noProof/>
            <w:webHidden/>
          </w:rPr>
          <w:fldChar w:fldCharType="separate"/>
        </w:r>
        <w:r w:rsidR="00C15F06">
          <w:rPr>
            <w:noProof/>
            <w:webHidden/>
          </w:rPr>
          <w:t>48</w:t>
        </w:r>
        <w:r w:rsidR="00652492">
          <w:rPr>
            <w:noProof/>
            <w:webHidden/>
          </w:rPr>
          <w:fldChar w:fldCharType="end"/>
        </w:r>
      </w:hyperlink>
    </w:p>
    <w:p w14:paraId="41C2D374" w14:textId="3F2B2BAE" w:rsidR="00652492" w:rsidRDefault="00E813FB">
      <w:pPr>
        <w:pStyle w:val="TOC2"/>
        <w:rPr>
          <w:rFonts w:asciiTheme="minorHAnsi" w:eastAsiaTheme="minorEastAsia" w:hAnsiTheme="minorHAnsi"/>
          <w:b w:val="0"/>
          <w:noProof/>
          <w:sz w:val="22"/>
          <w:lang w:val="en-US"/>
        </w:rPr>
      </w:pPr>
      <w:hyperlink w:anchor="_Toc131175989" w:history="1">
        <w:r w:rsidR="00652492" w:rsidRPr="00035E25">
          <w:rPr>
            <w:rStyle w:val="Hyperlink"/>
            <w:noProof/>
          </w:rPr>
          <w:t>IP and Innovation Ecosystems</w:t>
        </w:r>
        <w:r w:rsidR="00652492">
          <w:rPr>
            <w:noProof/>
            <w:webHidden/>
          </w:rPr>
          <w:tab/>
        </w:r>
        <w:r w:rsidR="00652492">
          <w:rPr>
            <w:noProof/>
            <w:webHidden/>
          </w:rPr>
          <w:fldChar w:fldCharType="begin"/>
        </w:r>
        <w:r w:rsidR="00652492">
          <w:rPr>
            <w:noProof/>
            <w:webHidden/>
          </w:rPr>
          <w:instrText xml:space="preserve"> PAGEREF _Toc131175989 \h </w:instrText>
        </w:r>
        <w:r w:rsidR="00652492">
          <w:rPr>
            <w:noProof/>
            <w:webHidden/>
          </w:rPr>
        </w:r>
        <w:r w:rsidR="00652492">
          <w:rPr>
            <w:noProof/>
            <w:webHidden/>
          </w:rPr>
          <w:fldChar w:fldCharType="separate"/>
        </w:r>
        <w:r w:rsidR="00C15F06">
          <w:rPr>
            <w:noProof/>
            <w:webHidden/>
          </w:rPr>
          <w:t>55</w:t>
        </w:r>
        <w:r w:rsidR="00652492">
          <w:rPr>
            <w:noProof/>
            <w:webHidden/>
          </w:rPr>
          <w:fldChar w:fldCharType="end"/>
        </w:r>
      </w:hyperlink>
    </w:p>
    <w:p w14:paraId="6A36E4C7" w14:textId="4D99EE29" w:rsidR="00652492" w:rsidRDefault="00E813FB">
      <w:pPr>
        <w:pStyle w:val="TOC2"/>
        <w:rPr>
          <w:rFonts w:asciiTheme="minorHAnsi" w:eastAsiaTheme="minorEastAsia" w:hAnsiTheme="minorHAnsi"/>
          <w:b w:val="0"/>
          <w:noProof/>
          <w:sz w:val="22"/>
          <w:lang w:val="en-US"/>
        </w:rPr>
      </w:pPr>
      <w:hyperlink w:anchor="_Toc131175990" w:history="1">
        <w:r w:rsidR="00652492" w:rsidRPr="00035E25">
          <w:rPr>
            <w:rStyle w:val="Hyperlink"/>
            <w:noProof/>
          </w:rPr>
          <w:t>Administration, Finance and Management</w:t>
        </w:r>
        <w:r w:rsidR="00652492">
          <w:rPr>
            <w:noProof/>
            <w:webHidden/>
          </w:rPr>
          <w:tab/>
        </w:r>
        <w:r w:rsidR="00652492">
          <w:rPr>
            <w:noProof/>
            <w:webHidden/>
          </w:rPr>
          <w:fldChar w:fldCharType="begin"/>
        </w:r>
        <w:r w:rsidR="00652492">
          <w:rPr>
            <w:noProof/>
            <w:webHidden/>
          </w:rPr>
          <w:instrText xml:space="preserve"> PAGEREF _Toc131175990 \h </w:instrText>
        </w:r>
        <w:r w:rsidR="00652492">
          <w:rPr>
            <w:noProof/>
            <w:webHidden/>
          </w:rPr>
        </w:r>
        <w:r w:rsidR="00652492">
          <w:rPr>
            <w:noProof/>
            <w:webHidden/>
          </w:rPr>
          <w:fldChar w:fldCharType="separate"/>
        </w:r>
        <w:r w:rsidR="00C15F06">
          <w:rPr>
            <w:noProof/>
            <w:webHidden/>
          </w:rPr>
          <w:t>62</w:t>
        </w:r>
        <w:r w:rsidR="00652492">
          <w:rPr>
            <w:noProof/>
            <w:webHidden/>
          </w:rPr>
          <w:fldChar w:fldCharType="end"/>
        </w:r>
      </w:hyperlink>
    </w:p>
    <w:p w14:paraId="56F385C0" w14:textId="666F2C50" w:rsidR="00652492" w:rsidRDefault="00E813FB">
      <w:pPr>
        <w:pStyle w:val="TOC1"/>
        <w:rPr>
          <w:rFonts w:asciiTheme="minorHAnsi" w:eastAsiaTheme="minorEastAsia" w:hAnsiTheme="minorHAnsi"/>
          <w:noProof/>
          <w:color w:val="auto"/>
          <w:lang w:val="en-US"/>
        </w:rPr>
      </w:pPr>
      <w:hyperlink w:anchor="_Toc131175991" w:history="1">
        <w:r w:rsidR="00652492" w:rsidRPr="00035E25">
          <w:rPr>
            <w:rStyle w:val="Hyperlink"/>
            <w:noProof/>
            <w:lang w:val="en-US"/>
          </w:rPr>
          <w:t>III.</w:t>
        </w:r>
        <w:r w:rsidR="00652492">
          <w:rPr>
            <w:rFonts w:asciiTheme="minorHAnsi" w:eastAsiaTheme="minorEastAsia" w:hAnsiTheme="minorHAnsi"/>
            <w:noProof/>
            <w:color w:val="auto"/>
            <w:lang w:val="en-US"/>
          </w:rPr>
          <w:tab/>
        </w:r>
        <w:r w:rsidR="00652492" w:rsidRPr="00035E25">
          <w:rPr>
            <w:rStyle w:val="Hyperlink"/>
            <w:noProof/>
            <w:lang w:val="en-US"/>
          </w:rPr>
          <w:t>ANNEXES</w:t>
        </w:r>
        <w:r w:rsidR="00652492">
          <w:rPr>
            <w:noProof/>
            <w:webHidden/>
          </w:rPr>
          <w:tab/>
        </w:r>
        <w:r w:rsidR="00652492">
          <w:rPr>
            <w:noProof/>
            <w:webHidden/>
          </w:rPr>
          <w:fldChar w:fldCharType="begin"/>
        </w:r>
        <w:r w:rsidR="00652492">
          <w:rPr>
            <w:noProof/>
            <w:webHidden/>
          </w:rPr>
          <w:instrText xml:space="preserve"> PAGEREF _Toc131175991 \h </w:instrText>
        </w:r>
        <w:r w:rsidR="00652492">
          <w:rPr>
            <w:noProof/>
            <w:webHidden/>
          </w:rPr>
        </w:r>
        <w:r w:rsidR="00652492">
          <w:rPr>
            <w:noProof/>
            <w:webHidden/>
          </w:rPr>
          <w:fldChar w:fldCharType="separate"/>
        </w:r>
        <w:r w:rsidR="00C15F06">
          <w:rPr>
            <w:noProof/>
            <w:webHidden/>
          </w:rPr>
          <w:t>72</w:t>
        </w:r>
        <w:r w:rsidR="00652492">
          <w:rPr>
            <w:noProof/>
            <w:webHidden/>
          </w:rPr>
          <w:fldChar w:fldCharType="end"/>
        </w:r>
      </w:hyperlink>
    </w:p>
    <w:p w14:paraId="575F0053" w14:textId="7B17530C" w:rsidR="00652492" w:rsidRDefault="00E813FB">
      <w:pPr>
        <w:pStyle w:val="TOC2"/>
        <w:rPr>
          <w:rFonts w:asciiTheme="minorHAnsi" w:eastAsiaTheme="minorEastAsia" w:hAnsiTheme="minorHAnsi"/>
          <w:b w:val="0"/>
          <w:noProof/>
          <w:sz w:val="22"/>
          <w:lang w:val="en-US"/>
        </w:rPr>
      </w:pPr>
      <w:hyperlink w:anchor="_Toc131175992" w:history="1">
        <w:r w:rsidR="00652492" w:rsidRPr="00035E25">
          <w:rPr>
            <w:rStyle w:val="Hyperlink"/>
            <w:noProof/>
            <w:lang w:val="en-US"/>
          </w:rPr>
          <w:t>ANNEX I</w:t>
        </w:r>
        <w:r w:rsidR="00652492">
          <w:rPr>
            <w:rFonts w:asciiTheme="minorHAnsi" w:eastAsiaTheme="minorEastAsia" w:hAnsiTheme="minorHAnsi"/>
            <w:b w:val="0"/>
            <w:noProof/>
            <w:sz w:val="22"/>
            <w:lang w:val="en-US"/>
          </w:rPr>
          <w:tab/>
        </w:r>
        <w:r w:rsidR="00652492" w:rsidRPr="00035E25">
          <w:rPr>
            <w:rStyle w:val="Hyperlink"/>
            <w:noProof/>
            <w:lang w:val="en-US"/>
          </w:rPr>
          <w:t>2022/23 Budget after Transfers</w:t>
        </w:r>
        <w:r w:rsidR="00652492">
          <w:rPr>
            <w:noProof/>
            <w:webHidden/>
          </w:rPr>
          <w:tab/>
        </w:r>
        <w:r w:rsidR="00652492">
          <w:rPr>
            <w:noProof/>
            <w:webHidden/>
          </w:rPr>
          <w:fldChar w:fldCharType="begin"/>
        </w:r>
        <w:r w:rsidR="00652492">
          <w:rPr>
            <w:noProof/>
            <w:webHidden/>
          </w:rPr>
          <w:instrText xml:space="preserve"> PAGEREF _Toc131175992 \h </w:instrText>
        </w:r>
        <w:r w:rsidR="00652492">
          <w:rPr>
            <w:noProof/>
            <w:webHidden/>
          </w:rPr>
        </w:r>
        <w:r w:rsidR="00652492">
          <w:rPr>
            <w:noProof/>
            <w:webHidden/>
          </w:rPr>
          <w:fldChar w:fldCharType="separate"/>
        </w:r>
        <w:r w:rsidR="00C15F06">
          <w:rPr>
            <w:noProof/>
            <w:webHidden/>
          </w:rPr>
          <w:t>72</w:t>
        </w:r>
        <w:r w:rsidR="00652492">
          <w:rPr>
            <w:noProof/>
            <w:webHidden/>
          </w:rPr>
          <w:fldChar w:fldCharType="end"/>
        </w:r>
      </w:hyperlink>
    </w:p>
    <w:p w14:paraId="729C475E" w14:textId="6C3F2E9C" w:rsidR="00652492" w:rsidRDefault="00E813FB">
      <w:pPr>
        <w:pStyle w:val="TOC2"/>
        <w:rPr>
          <w:rFonts w:asciiTheme="minorHAnsi" w:eastAsiaTheme="minorEastAsia" w:hAnsiTheme="minorHAnsi"/>
          <w:b w:val="0"/>
          <w:noProof/>
          <w:sz w:val="22"/>
          <w:lang w:val="en-US"/>
        </w:rPr>
      </w:pPr>
      <w:hyperlink w:anchor="_Toc131175993" w:history="1">
        <w:r w:rsidR="00652492" w:rsidRPr="00035E25">
          <w:rPr>
            <w:rStyle w:val="Hyperlink"/>
            <w:noProof/>
            <w:lang w:val="en-US"/>
          </w:rPr>
          <w:t>ANNEX II</w:t>
        </w:r>
        <w:r w:rsidR="00652492">
          <w:rPr>
            <w:rFonts w:asciiTheme="minorHAnsi" w:eastAsiaTheme="minorEastAsia" w:hAnsiTheme="minorHAnsi"/>
            <w:b w:val="0"/>
            <w:noProof/>
            <w:sz w:val="22"/>
            <w:lang w:val="en-US"/>
          </w:rPr>
          <w:tab/>
        </w:r>
        <w:r w:rsidR="00652492" w:rsidRPr="00035E25">
          <w:rPr>
            <w:rStyle w:val="Hyperlink"/>
            <w:noProof/>
            <w:lang w:val="en-US"/>
          </w:rPr>
          <w:t>2024/25 Budget by Sector</w:t>
        </w:r>
        <w:r w:rsidR="00652492">
          <w:rPr>
            <w:noProof/>
            <w:webHidden/>
          </w:rPr>
          <w:tab/>
        </w:r>
        <w:r w:rsidR="00652492">
          <w:rPr>
            <w:noProof/>
            <w:webHidden/>
          </w:rPr>
          <w:fldChar w:fldCharType="begin"/>
        </w:r>
        <w:r w:rsidR="00652492">
          <w:rPr>
            <w:noProof/>
            <w:webHidden/>
          </w:rPr>
          <w:instrText xml:space="preserve"> PAGEREF _Toc131175993 \h </w:instrText>
        </w:r>
        <w:r w:rsidR="00652492">
          <w:rPr>
            <w:noProof/>
            <w:webHidden/>
          </w:rPr>
        </w:r>
        <w:r w:rsidR="00652492">
          <w:rPr>
            <w:noProof/>
            <w:webHidden/>
          </w:rPr>
          <w:fldChar w:fldCharType="separate"/>
        </w:r>
        <w:r w:rsidR="00C15F06">
          <w:rPr>
            <w:noProof/>
            <w:webHidden/>
          </w:rPr>
          <w:t>73</w:t>
        </w:r>
        <w:r w:rsidR="00652492">
          <w:rPr>
            <w:noProof/>
            <w:webHidden/>
          </w:rPr>
          <w:fldChar w:fldCharType="end"/>
        </w:r>
      </w:hyperlink>
    </w:p>
    <w:p w14:paraId="706ACB78" w14:textId="4F1A2505" w:rsidR="00652492" w:rsidRDefault="00E813FB">
      <w:pPr>
        <w:pStyle w:val="TOC2"/>
        <w:rPr>
          <w:rFonts w:asciiTheme="minorHAnsi" w:eastAsiaTheme="minorEastAsia" w:hAnsiTheme="minorHAnsi"/>
          <w:b w:val="0"/>
          <w:noProof/>
          <w:sz w:val="22"/>
          <w:lang w:val="en-US"/>
        </w:rPr>
      </w:pPr>
      <w:hyperlink w:anchor="_Toc131175994" w:history="1">
        <w:r w:rsidR="00652492" w:rsidRPr="00035E25">
          <w:rPr>
            <w:rStyle w:val="Hyperlink"/>
            <w:noProof/>
            <w:lang w:val="en-US"/>
          </w:rPr>
          <w:t>ANNEX III</w:t>
        </w:r>
        <w:r w:rsidR="00652492">
          <w:rPr>
            <w:rFonts w:asciiTheme="minorHAnsi" w:eastAsiaTheme="minorEastAsia" w:hAnsiTheme="minorHAnsi"/>
            <w:b w:val="0"/>
            <w:noProof/>
            <w:sz w:val="22"/>
            <w:lang w:val="en-US"/>
          </w:rPr>
          <w:tab/>
        </w:r>
        <w:r w:rsidR="00652492" w:rsidRPr="00035E25">
          <w:rPr>
            <w:rStyle w:val="Hyperlink"/>
            <w:noProof/>
            <w:lang w:val="en-US"/>
          </w:rPr>
          <w:t>2024/25 Posts by Sector</w:t>
        </w:r>
        <w:r w:rsidR="00652492">
          <w:rPr>
            <w:noProof/>
            <w:webHidden/>
          </w:rPr>
          <w:tab/>
        </w:r>
        <w:r w:rsidR="00652492">
          <w:rPr>
            <w:noProof/>
            <w:webHidden/>
          </w:rPr>
          <w:fldChar w:fldCharType="begin"/>
        </w:r>
        <w:r w:rsidR="00652492">
          <w:rPr>
            <w:noProof/>
            <w:webHidden/>
          </w:rPr>
          <w:instrText xml:space="preserve"> PAGEREF _Toc131175994 \h </w:instrText>
        </w:r>
        <w:r w:rsidR="00652492">
          <w:rPr>
            <w:noProof/>
            <w:webHidden/>
          </w:rPr>
        </w:r>
        <w:r w:rsidR="00652492">
          <w:rPr>
            <w:noProof/>
            <w:webHidden/>
          </w:rPr>
          <w:fldChar w:fldCharType="separate"/>
        </w:r>
        <w:r w:rsidR="00C15F06">
          <w:rPr>
            <w:noProof/>
            <w:webHidden/>
          </w:rPr>
          <w:t>74</w:t>
        </w:r>
        <w:r w:rsidR="00652492">
          <w:rPr>
            <w:noProof/>
            <w:webHidden/>
          </w:rPr>
          <w:fldChar w:fldCharType="end"/>
        </w:r>
      </w:hyperlink>
    </w:p>
    <w:p w14:paraId="4C0CB134" w14:textId="7842B996" w:rsidR="00652492" w:rsidRDefault="00E813FB">
      <w:pPr>
        <w:pStyle w:val="TOC2"/>
        <w:rPr>
          <w:rFonts w:asciiTheme="minorHAnsi" w:eastAsiaTheme="minorEastAsia" w:hAnsiTheme="minorHAnsi"/>
          <w:b w:val="0"/>
          <w:noProof/>
          <w:sz w:val="22"/>
          <w:lang w:val="en-US"/>
        </w:rPr>
      </w:pPr>
      <w:hyperlink w:anchor="_Toc131175995" w:history="1">
        <w:r w:rsidR="00652492" w:rsidRPr="00035E25">
          <w:rPr>
            <w:rStyle w:val="Hyperlink"/>
            <w:noProof/>
            <w:lang w:val="en-US"/>
          </w:rPr>
          <w:t>ANNEX IV</w:t>
        </w:r>
        <w:r w:rsidR="00652492">
          <w:rPr>
            <w:rFonts w:asciiTheme="minorHAnsi" w:eastAsiaTheme="minorEastAsia" w:hAnsiTheme="minorHAnsi"/>
            <w:b w:val="0"/>
            <w:noProof/>
            <w:sz w:val="22"/>
            <w:lang w:val="en-US"/>
          </w:rPr>
          <w:tab/>
        </w:r>
        <w:r w:rsidR="00652492" w:rsidRPr="00035E25">
          <w:rPr>
            <w:rStyle w:val="Hyperlink"/>
            <w:noProof/>
            <w:lang w:val="en-US"/>
          </w:rPr>
          <w:t>2024/25 Allocation of Income and Expenditure by Union</w:t>
        </w:r>
        <w:r w:rsidR="00652492">
          <w:rPr>
            <w:noProof/>
            <w:webHidden/>
          </w:rPr>
          <w:tab/>
        </w:r>
        <w:r w:rsidR="00652492">
          <w:rPr>
            <w:noProof/>
            <w:webHidden/>
          </w:rPr>
          <w:fldChar w:fldCharType="begin"/>
        </w:r>
        <w:r w:rsidR="00652492">
          <w:rPr>
            <w:noProof/>
            <w:webHidden/>
          </w:rPr>
          <w:instrText xml:space="preserve"> PAGEREF _Toc131175995 \h </w:instrText>
        </w:r>
        <w:r w:rsidR="00652492">
          <w:rPr>
            <w:noProof/>
            <w:webHidden/>
          </w:rPr>
        </w:r>
        <w:r w:rsidR="00652492">
          <w:rPr>
            <w:noProof/>
            <w:webHidden/>
          </w:rPr>
          <w:fldChar w:fldCharType="separate"/>
        </w:r>
        <w:r w:rsidR="00C15F06">
          <w:rPr>
            <w:noProof/>
            <w:webHidden/>
          </w:rPr>
          <w:t>75</w:t>
        </w:r>
        <w:r w:rsidR="00652492">
          <w:rPr>
            <w:noProof/>
            <w:webHidden/>
          </w:rPr>
          <w:fldChar w:fldCharType="end"/>
        </w:r>
      </w:hyperlink>
    </w:p>
    <w:p w14:paraId="1DF7066A" w14:textId="7194EC08" w:rsidR="00652492" w:rsidRDefault="00E813FB">
      <w:pPr>
        <w:pStyle w:val="TOC2"/>
        <w:rPr>
          <w:rFonts w:asciiTheme="minorHAnsi" w:eastAsiaTheme="minorEastAsia" w:hAnsiTheme="minorHAnsi"/>
          <w:b w:val="0"/>
          <w:noProof/>
          <w:sz w:val="22"/>
          <w:lang w:val="en-US"/>
        </w:rPr>
      </w:pPr>
      <w:hyperlink w:anchor="_Toc131175996" w:history="1">
        <w:r w:rsidR="00652492" w:rsidRPr="00035E25">
          <w:rPr>
            <w:rStyle w:val="Hyperlink"/>
            <w:noProof/>
            <w:lang w:val="en-US"/>
          </w:rPr>
          <w:t>ANNEX V</w:t>
        </w:r>
        <w:r w:rsidR="00652492">
          <w:rPr>
            <w:rFonts w:asciiTheme="minorHAnsi" w:eastAsiaTheme="minorEastAsia" w:hAnsiTheme="minorHAnsi"/>
            <w:b w:val="0"/>
            <w:noProof/>
            <w:sz w:val="22"/>
            <w:lang w:val="en-US"/>
          </w:rPr>
          <w:tab/>
        </w:r>
        <w:r w:rsidR="00652492" w:rsidRPr="00035E25">
          <w:rPr>
            <w:rStyle w:val="Hyperlink"/>
            <w:noProof/>
            <w:lang w:val="en-US"/>
          </w:rPr>
          <w:t>Evolution and Demand for Services under the PCT, Madrid and the Hague Systems in the Medium Term</w:t>
        </w:r>
        <w:r w:rsidR="00652492">
          <w:rPr>
            <w:noProof/>
            <w:webHidden/>
          </w:rPr>
          <w:tab/>
        </w:r>
        <w:r w:rsidR="00652492">
          <w:rPr>
            <w:noProof/>
            <w:webHidden/>
          </w:rPr>
          <w:fldChar w:fldCharType="begin"/>
        </w:r>
        <w:r w:rsidR="00652492">
          <w:rPr>
            <w:noProof/>
            <w:webHidden/>
          </w:rPr>
          <w:instrText xml:space="preserve"> PAGEREF _Toc131175996 \h </w:instrText>
        </w:r>
        <w:r w:rsidR="00652492">
          <w:rPr>
            <w:noProof/>
            <w:webHidden/>
          </w:rPr>
        </w:r>
        <w:r w:rsidR="00652492">
          <w:rPr>
            <w:noProof/>
            <w:webHidden/>
          </w:rPr>
          <w:fldChar w:fldCharType="separate"/>
        </w:r>
        <w:r w:rsidR="00C15F06">
          <w:rPr>
            <w:noProof/>
            <w:webHidden/>
          </w:rPr>
          <w:t>79</w:t>
        </w:r>
        <w:r w:rsidR="00652492">
          <w:rPr>
            <w:noProof/>
            <w:webHidden/>
          </w:rPr>
          <w:fldChar w:fldCharType="end"/>
        </w:r>
      </w:hyperlink>
    </w:p>
    <w:p w14:paraId="28BDC0EA" w14:textId="3C90928A" w:rsidR="00652492" w:rsidRDefault="00E813FB">
      <w:pPr>
        <w:pStyle w:val="TOC2"/>
        <w:rPr>
          <w:rFonts w:asciiTheme="minorHAnsi" w:eastAsiaTheme="minorEastAsia" w:hAnsiTheme="minorHAnsi"/>
          <w:b w:val="0"/>
          <w:noProof/>
          <w:sz w:val="22"/>
          <w:lang w:val="en-US"/>
        </w:rPr>
      </w:pPr>
      <w:hyperlink w:anchor="_Toc131175997" w:history="1">
        <w:r w:rsidR="00652492" w:rsidRPr="00035E25">
          <w:rPr>
            <w:rStyle w:val="Hyperlink"/>
            <w:noProof/>
            <w:lang w:val="en-US"/>
          </w:rPr>
          <w:t>ANNEX VI</w:t>
        </w:r>
        <w:r w:rsidR="00652492">
          <w:rPr>
            <w:rFonts w:asciiTheme="minorHAnsi" w:eastAsiaTheme="minorEastAsia" w:hAnsiTheme="minorHAnsi"/>
            <w:b w:val="0"/>
            <w:noProof/>
            <w:sz w:val="22"/>
            <w:lang w:val="en-US"/>
          </w:rPr>
          <w:tab/>
        </w:r>
        <w:r w:rsidR="00652492" w:rsidRPr="00035E25">
          <w:rPr>
            <w:rStyle w:val="Hyperlink"/>
            <w:noProof/>
            <w:lang w:val="en-US"/>
          </w:rPr>
          <w:t>Indicators for the Global IP Systems</w:t>
        </w:r>
        <w:r w:rsidR="00652492">
          <w:rPr>
            <w:noProof/>
            <w:webHidden/>
          </w:rPr>
          <w:tab/>
        </w:r>
        <w:r w:rsidR="00652492">
          <w:rPr>
            <w:noProof/>
            <w:webHidden/>
          </w:rPr>
          <w:fldChar w:fldCharType="begin"/>
        </w:r>
        <w:r w:rsidR="00652492">
          <w:rPr>
            <w:noProof/>
            <w:webHidden/>
          </w:rPr>
          <w:instrText xml:space="preserve"> PAGEREF _Toc131175997 \h </w:instrText>
        </w:r>
        <w:r w:rsidR="00652492">
          <w:rPr>
            <w:noProof/>
            <w:webHidden/>
          </w:rPr>
        </w:r>
        <w:r w:rsidR="00652492">
          <w:rPr>
            <w:noProof/>
            <w:webHidden/>
          </w:rPr>
          <w:fldChar w:fldCharType="separate"/>
        </w:r>
        <w:r w:rsidR="00C15F06">
          <w:rPr>
            <w:noProof/>
            <w:webHidden/>
          </w:rPr>
          <w:t>87</w:t>
        </w:r>
        <w:r w:rsidR="00652492">
          <w:rPr>
            <w:noProof/>
            <w:webHidden/>
          </w:rPr>
          <w:fldChar w:fldCharType="end"/>
        </w:r>
      </w:hyperlink>
    </w:p>
    <w:p w14:paraId="129E9186" w14:textId="290FBF9D" w:rsidR="00652492" w:rsidRDefault="00E813FB">
      <w:pPr>
        <w:pStyle w:val="TOC2"/>
        <w:rPr>
          <w:rFonts w:asciiTheme="minorHAnsi" w:eastAsiaTheme="minorEastAsia" w:hAnsiTheme="minorHAnsi"/>
          <w:b w:val="0"/>
          <w:noProof/>
          <w:sz w:val="22"/>
          <w:lang w:val="en-US"/>
        </w:rPr>
      </w:pPr>
      <w:hyperlink w:anchor="_Toc131175998" w:history="1">
        <w:r w:rsidR="00652492" w:rsidRPr="00035E25">
          <w:rPr>
            <w:rStyle w:val="Hyperlink"/>
            <w:noProof/>
            <w:lang w:val="en-US"/>
          </w:rPr>
          <w:t>ANNEX VII</w:t>
        </w:r>
        <w:r w:rsidR="00652492">
          <w:rPr>
            <w:rFonts w:asciiTheme="minorHAnsi" w:eastAsiaTheme="minorEastAsia" w:hAnsiTheme="minorHAnsi"/>
            <w:b w:val="0"/>
            <w:noProof/>
            <w:sz w:val="22"/>
            <w:lang w:val="en-US"/>
          </w:rPr>
          <w:tab/>
        </w:r>
        <w:r w:rsidR="00652492" w:rsidRPr="00035E25">
          <w:rPr>
            <w:rStyle w:val="Hyperlink"/>
            <w:noProof/>
            <w:lang w:val="en-US"/>
          </w:rPr>
          <w:t>Funds in Trust Resources Potentially Available for Programming</w:t>
        </w:r>
        <w:r w:rsidR="00652492" w:rsidRPr="00035E25">
          <w:rPr>
            <w:rStyle w:val="Hyperlink"/>
            <w:noProof/>
            <w:vertAlign w:val="superscript"/>
            <w:lang w:val="en-US"/>
          </w:rPr>
          <w:t>1</w:t>
        </w:r>
        <w:r w:rsidR="00652492">
          <w:rPr>
            <w:noProof/>
            <w:webHidden/>
          </w:rPr>
          <w:tab/>
        </w:r>
        <w:r w:rsidR="00652492">
          <w:rPr>
            <w:noProof/>
            <w:webHidden/>
          </w:rPr>
          <w:fldChar w:fldCharType="begin"/>
        </w:r>
        <w:r w:rsidR="00652492">
          <w:rPr>
            <w:noProof/>
            <w:webHidden/>
          </w:rPr>
          <w:instrText xml:space="preserve"> PAGEREF _Toc131175998 \h </w:instrText>
        </w:r>
        <w:r w:rsidR="00652492">
          <w:rPr>
            <w:noProof/>
            <w:webHidden/>
          </w:rPr>
        </w:r>
        <w:r w:rsidR="00652492">
          <w:rPr>
            <w:noProof/>
            <w:webHidden/>
          </w:rPr>
          <w:fldChar w:fldCharType="separate"/>
        </w:r>
        <w:r w:rsidR="00C15F06">
          <w:rPr>
            <w:noProof/>
            <w:webHidden/>
          </w:rPr>
          <w:t>105</w:t>
        </w:r>
        <w:r w:rsidR="00652492">
          <w:rPr>
            <w:noProof/>
            <w:webHidden/>
          </w:rPr>
          <w:fldChar w:fldCharType="end"/>
        </w:r>
      </w:hyperlink>
    </w:p>
    <w:p w14:paraId="68418437" w14:textId="36D535CC" w:rsidR="00652492" w:rsidRDefault="00E813FB">
      <w:pPr>
        <w:pStyle w:val="TOC2"/>
        <w:rPr>
          <w:rFonts w:asciiTheme="minorHAnsi" w:eastAsiaTheme="minorEastAsia" w:hAnsiTheme="minorHAnsi"/>
          <w:b w:val="0"/>
          <w:noProof/>
          <w:sz w:val="22"/>
          <w:lang w:val="en-US"/>
        </w:rPr>
      </w:pPr>
      <w:hyperlink w:anchor="_Toc131175999" w:history="1">
        <w:r w:rsidR="00652492" w:rsidRPr="00035E25">
          <w:rPr>
            <w:rStyle w:val="Hyperlink"/>
            <w:noProof/>
            <w:lang w:val="en-US"/>
          </w:rPr>
          <w:t>ANNEX VIII</w:t>
        </w:r>
        <w:r w:rsidR="00652492">
          <w:rPr>
            <w:rFonts w:asciiTheme="minorHAnsi" w:eastAsiaTheme="minorEastAsia" w:hAnsiTheme="minorHAnsi"/>
            <w:b w:val="0"/>
            <w:noProof/>
            <w:sz w:val="22"/>
            <w:lang w:val="en-US"/>
          </w:rPr>
          <w:tab/>
        </w:r>
        <w:r w:rsidR="00652492" w:rsidRPr="00035E25">
          <w:rPr>
            <w:rStyle w:val="Hyperlink"/>
            <w:noProof/>
            <w:lang w:val="en-US"/>
          </w:rPr>
          <w:t>Annual Budget Tables for IPSAS Reporting</w:t>
        </w:r>
        <w:r w:rsidR="00652492">
          <w:rPr>
            <w:noProof/>
            <w:webHidden/>
          </w:rPr>
          <w:tab/>
        </w:r>
        <w:r w:rsidR="00652492">
          <w:rPr>
            <w:noProof/>
            <w:webHidden/>
          </w:rPr>
          <w:fldChar w:fldCharType="begin"/>
        </w:r>
        <w:r w:rsidR="00652492">
          <w:rPr>
            <w:noProof/>
            <w:webHidden/>
          </w:rPr>
          <w:instrText xml:space="preserve"> PAGEREF _Toc131175999 \h </w:instrText>
        </w:r>
        <w:r w:rsidR="00652492">
          <w:rPr>
            <w:noProof/>
            <w:webHidden/>
          </w:rPr>
        </w:r>
        <w:r w:rsidR="00652492">
          <w:rPr>
            <w:noProof/>
            <w:webHidden/>
          </w:rPr>
          <w:fldChar w:fldCharType="separate"/>
        </w:r>
        <w:r w:rsidR="00C15F06">
          <w:rPr>
            <w:noProof/>
            <w:webHidden/>
          </w:rPr>
          <w:t>106</w:t>
        </w:r>
        <w:r w:rsidR="00652492">
          <w:rPr>
            <w:noProof/>
            <w:webHidden/>
          </w:rPr>
          <w:fldChar w:fldCharType="end"/>
        </w:r>
      </w:hyperlink>
    </w:p>
    <w:p w14:paraId="347A1736" w14:textId="6A2D514B" w:rsidR="00652492" w:rsidRDefault="00E813FB">
      <w:pPr>
        <w:pStyle w:val="TOC2"/>
        <w:rPr>
          <w:rFonts w:asciiTheme="minorHAnsi" w:eastAsiaTheme="minorEastAsia" w:hAnsiTheme="minorHAnsi"/>
          <w:b w:val="0"/>
          <w:noProof/>
          <w:sz w:val="22"/>
          <w:lang w:val="en-US"/>
        </w:rPr>
      </w:pPr>
      <w:hyperlink w:anchor="_Toc131176000" w:history="1">
        <w:r w:rsidR="00652492" w:rsidRPr="00035E25">
          <w:rPr>
            <w:rStyle w:val="Hyperlink"/>
            <w:noProof/>
            <w:lang w:val="en-US"/>
          </w:rPr>
          <w:t>ANNEX IX</w:t>
        </w:r>
        <w:r w:rsidR="00652492">
          <w:rPr>
            <w:rFonts w:asciiTheme="minorHAnsi" w:eastAsiaTheme="minorEastAsia" w:hAnsiTheme="minorHAnsi"/>
            <w:b w:val="0"/>
            <w:noProof/>
            <w:sz w:val="22"/>
            <w:lang w:val="en-US"/>
          </w:rPr>
          <w:tab/>
        </w:r>
        <w:r w:rsidR="00652492" w:rsidRPr="00035E25">
          <w:rPr>
            <w:rStyle w:val="Hyperlink"/>
            <w:noProof/>
            <w:lang w:val="en-US"/>
          </w:rPr>
          <w:t>WIPO’s Contribution to the Sustainable Development Goals</w:t>
        </w:r>
        <w:r w:rsidR="00652492">
          <w:rPr>
            <w:noProof/>
            <w:webHidden/>
          </w:rPr>
          <w:tab/>
        </w:r>
        <w:r w:rsidR="00652492">
          <w:rPr>
            <w:noProof/>
            <w:webHidden/>
          </w:rPr>
          <w:fldChar w:fldCharType="begin"/>
        </w:r>
        <w:r w:rsidR="00652492">
          <w:rPr>
            <w:noProof/>
            <w:webHidden/>
          </w:rPr>
          <w:instrText xml:space="preserve"> PAGEREF _Toc131176000 \h </w:instrText>
        </w:r>
        <w:r w:rsidR="00652492">
          <w:rPr>
            <w:noProof/>
            <w:webHidden/>
          </w:rPr>
        </w:r>
        <w:r w:rsidR="00652492">
          <w:rPr>
            <w:noProof/>
            <w:webHidden/>
          </w:rPr>
          <w:fldChar w:fldCharType="separate"/>
        </w:r>
        <w:r w:rsidR="00C15F06">
          <w:rPr>
            <w:noProof/>
            <w:webHidden/>
          </w:rPr>
          <w:t>107</w:t>
        </w:r>
        <w:r w:rsidR="00652492">
          <w:rPr>
            <w:noProof/>
            <w:webHidden/>
          </w:rPr>
          <w:fldChar w:fldCharType="end"/>
        </w:r>
      </w:hyperlink>
    </w:p>
    <w:p w14:paraId="4AD9354E" w14:textId="4D9B0C9A" w:rsidR="00652492" w:rsidRDefault="00E813FB">
      <w:pPr>
        <w:pStyle w:val="TOC2"/>
        <w:rPr>
          <w:rFonts w:asciiTheme="minorHAnsi" w:eastAsiaTheme="minorEastAsia" w:hAnsiTheme="minorHAnsi"/>
          <w:b w:val="0"/>
          <w:noProof/>
          <w:sz w:val="22"/>
          <w:lang w:val="en-US"/>
        </w:rPr>
      </w:pPr>
      <w:hyperlink w:anchor="_Toc131176001" w:history="1">
        <w:r w:rsidR="00652492" w:rsidRPr="00035E25">
          <w:rPr>
            <w:rStyle w:val="Hyperlink"/>
            <w:noProof/>
            <w:lang w:val="en-US"/>
          </w:rPr>
          <w:t>ANNEX X</w:t>
        </w:r>
        <w:r w:rsidR="00652492">
          <w:rPr>
            <w:rFonts w:asciiTheme="minorHAnsi" w:eastAsiaTheme="minorEastAsia" w:hAnsiTheme="minorHAnsi"/>
            <w:b w:val="0"/>
            <w:noProof/>
            <w:sz w:val="22"/>
            <w:lang w:val="en-US"/>
          </w:rPr>
          <w:tab/>
        </w:r>
        <w:r w:rsidR="00652492" w:rsidRPr="00035E25">
          <w:rPr>
            <w:rStyle w:val="Hyperlink"/>
            <w:noProof/>
            <w:lang w:val="en-US"/>
          </w:rPr>
          <w:t>Breakdown of Resources Associated with ER 3.1 for Promotion of Global IP Systems</w:t>
        </w:r>
        <w:r w:rsidR="00652492">
          <w:rPr>
            <w:noProof/>
            <w:webHidden/>
          </w:rPr>
          <w:tab/>
        </w:r>
        <w:r w:rsidR="00652492">
          <w:rPr>
            <w:noProof/>
            <w:webHidden/>
          </w:rPr>
          <w:fldChar w:fldCharType="begin"/>
        </w:r>
        <w:r w:rsidR="00652492">
          <w:rPr>
            <w:noProof/>
            <w:webHidden/>
          </w:rPr>
          <w:instrText xml:space="preserve"> PAGEREF _Toc131176001 \h </w:instrText>
        </w:r>
        <w:r w:rsidR="00652492">
          <w:rPr>
            <w:noProof/>
            <w:webHidden/>
          </w:rPr>
        </w:r>
        <w:r w:rsidR="00652492">
          <w:rPr>
            <w:noProof/>
            <w:webHidden/>
          </w:rPr>
          <w:fldChar w:fldCharType="separate"/>
        </w:r>
        <w:r w:rsidR="00C15F06">
          <w:rPr>
            <w:noProof/>
            <w:webHidden/>
          </w:rPr>
          <w:t>108</w:t>
        </w:r>
        <w:r w:rsidR="00652492">
          <w:rPr>
            <w:noProof/>
            <w:webHidden/>
          </w:rPr>
          <w:fldChar w:fldCharType="end"/>
        </w:r>
      </w:hyperlink>
    </w:p>
    <w:p w14:paraId="09DEBE24" w14:textId="2A964C4F" w:rsidR="00652492" w:rsidRDefault="00E813FB">
      <w:pPr>
        <w:pStyle w:val="TOC2"/>
        <w:rPr>
          <w:rFonts w:asciiTheme="minorHAnsi" w:eastAsiaTheme="minorEastAsia" w:hAnsiTheme="minorHAnsi"/>
          <w:b w:val="0"/>
          <w:noProof/>
          <w:sz w:val="22"/>
          <w:lang w:val="en-US"/>
        </w:rPr>
      </w:pPr>
      <w:hyperlink w:anchor="_Toc131176002" w:history="1">
        <w:r w:rsidR="00652492" w:rsidRPr="00035E25">
          <w:rPr>
            <w:rStyle w:val="Hyperlink"/>
            <w:noProof/>
            <w:lang w:val="en-US"/>
          </w:rPr>
          <w:t>ANNEX XI</w:t>
        </w:r>
        <w:r w:rsidR="00652492">
          <w:rPr>
            <w:rFonts w:asciiTheme="minorHAnsi" w:eastAsiaTheme="minorEastAsia" w:hAnsiTheme="minorHAnsi"/>
            <w:b w:val="0"/>
            <w:noProof/>
            <w:sz w:val="22"/>
            <w:lang w:val="en-US"/>
          </w:rPr>
          <w:tab/>
        </w:r>
        <w:r w:rsidR="00652492" w:rsidRPr="00035E25">
          <w:rPr>
            <w:rStyle w:val="Hyperlink"/>
            <w:noProof/>
            <w:lang w:val="en-US"/>
          </w:rPr>
          <w:t>2024/25 Development Expenditure</w:t>
        </w:r>
        <w:r w:rsidR="00652492">
          <w:rPr>
            <w:noProof/>
            <w:webHidden/>
          </w:rPr>
          <w:tab/>
        </w:r>
        <w:r w:rsidR="00652492">
          <w:rPr>
            <w:noProof/>
            <w:webHidden/>
          </w:rPr>
          <w:fldChar w:fldCharType="begin"/>
        </w:r>
        <w:r w:rsidR="00652492">
          <w:rPr>
            <w:noProof/>
            <w:webHidden/>
          </w:rPr>
          <w:instrText xml:space="preserve"> PAGEREF _Toc131176002 \h </w:instrText>
        </w:r>
        <w:r w:rsidR="00652492">
          <w:rPr>
            <w:noProof/>
            <w:webHidden/>
          </w:rPr>
        </w:r>
        <w:r w:rsidR="00652492">
          <w:rPr>
            <w:noProof/>
            <w:webHidden/>
          </w:rPr>
          <w:fldChar w:fldCharType="separate"/>
        </w:r>
        <w:r w:rsidR="00C15F06">
          <w:rPr>
            <w:noProof/>
            <w:webHidden/>
          </w:rPr>
          <w:t>109</w:t>
        </w:r>
        <w:r w:rsidR="00652492">
          <w:rPr>
            <w:noProof/>
            <w:webHidden/>
          </w:rPr>
          <w:fldChar w:fldCharType="end"/>
        </w:r>
      </w:hyperlink>
    </w:p>
    <w:p w14:paraId="41312586" w14:textId="351DF56A" w:rsidR="00652492" w:rsidRDefault="00E813FB">
      <w:pPr>
        <w:pStyle w:val="TOC1"/>
        <w:rPr>
          <w:rFonts w:asciiTheme="minorHAnsi" w:eastAsiaTheme="minorEastAsia" w:hAnsiTheme="minorHAnsi"/>
          <w:noProof/>
          <w:color w:val="auto"/>
          <w:lang w:val="en-US"/>
        </w:rPr>
      </w:pPr>
      <w:hyperlink w:anchor="_Toc131176003" w:history="1">
        <w:r w:rsidR="00652492" w:rsidRPr="00035E25">
          <w:rPr>
            <w:rStyle w:val="Hyperlink"/>
            <w:noProof/>
            <w:lang w:val="en-US"/>
          </w:rPr>
          <w:t>IV.</w:t>
        </w:r>
        <w:r w:rsidR="00652492">
          <w:rPr>
            <w:rFonts w:asciiTheme="minorHAnsi" w:eastAsiaTheme="minorEastAsia" w:hAnsiTheme="minorHAnsi"/>
            <w:noProof/>
            <w:color w:val="auto"/>
            <w:lang w:val="en-US"/>
          </w:rPr>
          <w:tab/>
        </w:r>
        <w:r w:rsidR="00652492" w:rsidRPr="00035E25">
          <w:rPr>
            <w:rStyle w:val="Hyperlink"/>
            <w:noProof/>
            <w:lang w:val="en-US"/>
          </w:rPr>
          <w:t>APPENDICES</w:t>
        </w:r>
        <w:r w:rsidR="00652492">
          <w:rPr>
            <w:noProof/>
            <w:webHidden/>
          </w:rPr>
          <w:tab/>
        </w:r>
        <w:r w:rsidR="00652492">
          <w:rPr>
            <w:noProof/>
            <w:webHidden/>
          </w:rPr>
          <w:fldChar w:fldCharType="begin"/>
        </w:r>
        <w:r w:rsidR="00652492">
          <w:rPr>
            <w:noProof/>
            <w:webHidden/>
          </w:rPr>
          <w:instrText xml:space="preserve"> PAGEREF _Toc131176003 \h </w:instrText>
        </w:r>
        <w:r w:rsidR="00652492">
          <w:rPr>
            <w:noProof/>
            <w:webHidden/>
          </w:rPr>
        </w:r>
        <w:r w:rsidR="00652492">
          <w:rPr>
            <w:noProof/>
            <w:webHidden/>
          </w:rPr>
          <w:fldChar w:fldCharType="separate"/>
        </w:r>
        <w:r w:rsidR="00C15F06">
          <w:rPr>
            <w:noProof/>
            <w:webHidden/>
          </w:rPr>
          <w:t>111</w:t>
        </w:r>
        <w:r w:rsidR="00652492">
          <w:rPr>
            <w:noProof/>
            <w:webHidden/>
          </w:rPr>
          <w:fldChar w:fldCharType="end"/>
        </w:r>
      </w:hyperlink>
    </w:p>
    <w:p w14:paraId="1579533C" w14:textId="51948226" w:rsidR="00652492" w:rsidRDefault="00E813FB">
      <w:pPr>
        <w:pStyle w:val="TOC2"/>
        <w:rPr>
          <w:rFonts w:asciiTheme="minorHAnsi" w:eastAsiaTheme="minorEastAsia" w:hAnsiTheme="minorHAnsi"/>
          <w:b w:val="0"/>
          <w:noProof/>
          <w:sz w:val="22"/>
          <w:lang w:val="en-US"/>
        </w:rPr>
      </w:pPr>
      <w:hyperlink w:anchor="_Toc131176004" w:history="1">
        <w:r w:rsidR="00652492" w:rsidRPr="00035E25">
          <w:rPr>
            <w:rStyle w:val="Hyperlink"/>
            <w:noProof/>
            <w:lang w:val="en-US"/>
          </w:rPr>
          <w:t>APPENDIX A</w:t>
        </w:r>
        <w:r w:rsidR="00652492">
          <w:rPr>
            <w:rFonts w:asciiTheme="minorHAnsi" w:eastAsiaTheme="minorEastAsia" w:hAnsiTheme="minorHAnsi"/>
            <w:b w:val="0"/>
            <w:noProof/>
            <w:sz w:val="22"/>
            <w:lang w:val="en-US"/>
          </w:rPr>
          <w:tab/>
        </w:r>
        <w:r w:rsidR="00652492" w:rsidRPr="00035E25">
          <w:rPr>
            <w:rStyle w:val="Hyperlink"/>
            <w:noProof/>
            <w:lang w:val="en-US"/>
          </w:rPr>
          <w:t>2024/25 Member States’ Contributions</w:t>
        </w:r>
        <w:r w:rsidR="00652492">
          <w:rPr>
            <w:noProof/>
            <w:webHidden/>
          </w:rPr>
          <w:tab/>
        </w:r>
        <w:r w:rsidR="00652492">
          <w:rPr>
            <w:noProof/>
            <w:webHidden/>
          </w:rPr>
          <w:fldChar w:fldCharType="begin"/>
        </w:r>
        <w:r w:rsidR="00652492">
          <w:rPr>
            <w:noProof/>
            <w:webHidden/>
          </w:rPr>
          <w:instrText xml:space="preserve"> PAGEREF _Toc131176004 \h </w:instrText>
        </w:r>
        <w:r w:rsidR="00652492">
          <w:rPr>
            <w:noProof/>
            <w:webHidden/>
          </w:rPr>
        </w:r>
        <w:r w:rsidR="00652492">
          <w:rPr>
            <w:noProof/>
            <w:webHidden/>
          </w:rPr>
          <w:fldChar w:fldCharType="separate"/>
        </w:r>
        <w:r w:rsidR="00C15F06">
          <w:rPr>
            <w:noProof/>
            <w:webHidden/>
          </w:rPr>
          <w:t>111</w:t>
        </w:r>
        <w:r w:rsidR="00652492">
          <w:rPr>
            <w:noProof/>
            <w:webHidden/>
          </w:rPr>
          <w:fldChar w:fldCharType="end"/>
        </w:r>
      </w:hyperlink>
    </w:p>
    <w:p w14:paraId="6A7AD832" w14:textId="5FFE6949" w:rsidR="00652492" w:rsidRDefault="00E813FB">
      <w:pPr>
        <w:pStyle w:val="TOC2"/>
        <w:rPr>
          <w:rFonts w:asciiTheme="minorHAnsi" w:eastAsiaTheme="minorEastAsia" w:hAnsiTheme="minorHAnsi"/>
          <w:b w:val="0"/>
          <w:noProof/>
          <w:sz w:val="22"/>
          <w:lang w:val="en-US"/>
        </w:rPr>
      </w:pPr>
      <w:hyperlink w:anchor="_Toc131176005" w:history="1">
        <w:r w:rsidR="00652492" w:rsidRPr="00035E25">
          <w:rPr>
            <w:rStyle w:val="Hyperlink"/>
            <w:noProof/>
            <w:lang w:val="en-US"/>
          </w:rPr>
          <w:t>APPENDIX B</w:t>
        </w:r>
        <w:r w:rsidR="00652492">
          <w:rPr>
            <w:rFonts w:asciiTheme="minorHAnsi" w:eastAsiaTheme="minorEastAsia" w:hAnsiTheme="minorHAnsi"/>
            <w:b w:val="0"/>
            <w:noProof/>
            <w:sz w:val="22"/>
            <w:lang w:val="en-US"/>
          </w:rPr>
          <w:tab/>
        </w:r>
        <w:r w:rsidR="00652492" w:rsidRPr="00035E25">
          <w:rPr>
            <w:rStyle w:val="Hyperlink"/>
            <w:noProof/>
            <w:lang w:val="en-US"/>
          </w:rPr>
          <w:t>Definition of Sources of Income and Cost Categories</w:t>
        </w:r>
        <w:r w:rsidR="00652492">
          <w:rPr>
            <w:noProof/>
            <w:webHidden/>
          </w:rPr>
          <w:tab/>
        </w:r>
        <w:r w:rsidR="00652492">
          <w:rPr>
            <w:noProof/>
            <w:webHidden/>
          </w:rPr>
          <w:fldChar w:fldCharType="begin"/>
        </w:r>
        <w:r w:rsidR="00652492">
          <w:rPr>
            <w:noProof/>
            <w:webHidden/>
          </w:rPr>
          <w:instrText xml:space="preserve"> PAGEREF _Toc131176005 \h </w:instrText>
        </w:r>
        <w:r w:rsidR="00652492">
          <w:rPr>
            <w:noProof/>
            <w:webHidden/>
          </w:rPr>
        </w:r>
        <w:r w:rsidR="00652492">
          <w:rPr>
            <w:noProof/>
            <w:webHidden/>
          </w:rPr>
          <w:fldChar w:fldCharType="separate"/>
        </w:r>
        <w:r w:rsidR="00C15F06">
          <w:rPr>
            <w:noProof/>
            <w:webHidden/>
          </w:rPr>
          <w:t>115</w:t>
        </w:r>
        <w:r w:rsidR="00652492">
          <w:rPr>
            <w:noProof/>
            <w:webHidden/>
          </w:rPr>
          <w:fldChar w:fldCharType="end"/>
        </w:r>
      </w:hyperlink>
    </w:p>
    <w:p w14:paraId="05C4E73C" w14:textId="06F74BF5" w:rsidR="00652492" w:rsidRDefault="00E813FB">
      <w:pPr>
        <w:pStyle w:val="TOC2"/>
        <w:rPr>
          <w:rFonts w:asciiTheme="minorHAnsi" w:eastAsiaTheme="minorEastAsia" w:hAnsiTheme="minorHAnsi"/>
          <w:b w:val="0"/>
          <w:noProof/>
          <w:sz w:val="22"/>
          <w:lang w:val="en-US"/>
        </w:rPr>
      </w:pPr>
      <w:hyperlink w:anchor="_Toc131176006" w:history="1">
        <w:r w:rsidR="00652492" w:rsidRPr="00035E25">
          <w:rPr>
            <w:rStyle w:val="Hyperlink"/>
            <w:noProof/>
            <w:lang w:val="en-US"/>
          </w:rPr>
          <w:t>APPENDIX C</w:t>
        </w:r>
        <w:r w:rsidR="00652492">
          <w:rPr>
            <w:rFonts w:asciiTheme="minorHAnsi" w:eastAsiaTheme="minorEastAsia" w:hAnsiTheme="minorHAnsi"/>
            <w:b w:val="0"/>
            <w:noProof/>
            <w:sz w:val="22"/>
            <w:lang w:val="en-US"/>
          </w:rPr>
          <w:tab/>
        </w:r>
        <w:r w:rsidR="00652492" w:rsidRPr="00035E25">
          <w:rPr>
            <w:rStyle w:val="Hyperlink"/>
            <w:noProof/>
            <w:lang w:val="en-US"/>
          </w:rPr>
          <w:t>Flexibility Formulas</w:t>
        </w:r>
        <w:r w:rsidR="00652492">
          <w:rPr>
            <w:noProof/>
            <w:webHidden/>
          </w:rPr>
          <w:tab/>
        </w:r>
        <w:r w:rsidR="00652492">
          <w:rPr>
            <w:noProof/>
            <w:webHidden/>
          </w:rPr>
          <w:fldChar w:fldCharType="begin"/>
        </w:r>
        <w:r w:rsidR="00652492">
          <w:rPr>
            <w:noProof/>
            <w:webHidden/>
          </w:rPr>
          <w:instrText xml:space="preserve"> PAGEREF _Toc131176006 \h </w:instrText>
        </w:r>
        <w:r w:rsidR="00652492">
          <w:rPr>
            <w:noProof/>
            <w:webHidden/>
          </w:rPr>
        </w:r>
        <w:r w:rsidR="00652492">
          <w:rPr>
            <w:noProof/>
            <w:webHidden/>
          </w:rPr>
          <w:fldChar w:fldCharType="separate"/>
        </w:r>
        <w:r w:rsidR="00C15F06">
          <w:rPr>
            <w:noProof/>
            <w:webHidden/>
          </w:rPr>
          <w:t>117</w:t>
        </w:r>
        <w:r w:rsidR="00652492">
          <w:rPr>
            <w:noProof/>
            <w:webHidden/>
          </w:rPr>
          <w:fldChar w:fldCharType="end"/>
        </w:r>
      </w:hyperlink>
    </w:p>
    <w:p w14:paraId="22C23EAB" w14:textId="2BD141CE" w:rsidR="00975541" w:rsidRPr="00D350B5" w:rsidRDefault="0030278F" w:rsidP="00975541">
      <w:pPr>
        <w:rPr>
          <w:lang w:val="en-US"/>
        </w:rPr>
      </w:pPr>
      <w:r>
        <w:rPr>
          <w:color w:val="AAB8C4" w:themeColor="accent4"/>
          <w:sz w:val="22"/>
          <w:lang w:val="en-US"/>
        </w:rPr>
        <w:fldChar w:fldCharType="end"/>
      </w:r>
    </w:p>
    <w:p w14:paraId="2363256C" w14:textId="77777777" w:rsidR="000C733B" w:rsidRPr="00D350B5" w:rsidRDefault="00615555" w:rsidP="00766D7B">
      <w:pPr>
        <w:pStyle w:val="SectionTitle"/>
        <w:rPr>
          <w:lang w:val="en-US"/>
        </w:rPr>
      </w:pPr>
      <w:bookmarkStart w:id="9" w:name="_Toc131175980"/>
      <w:r w:rsidRPr="00D350B5">
        <w:rPr>
          <w:lang w:val="en-US"/>
        </w:rPr>
        <w:lastRenderedPageBreak/>
        <w:t>FOREWORD BY THE DIRECTOR GENERAL</w:t>
      </w:r>
      <w:bookmarkEnd w:id="9"/>
    </w:p>
    <w:p w14:paraId="01EF0D0C" w14:textId="77777777" w:rsidR="00455D6D" w:rsidRPr="00F66EB4" w:rsidRDefault="00455D6D" w:rsidP="00455D6D">
      <w:pPr>
        <w:spacing w:after="240"/>
        <w:rPr>
          <w:rFonts w:cs="Arial"/>
        </w:rPr>
      </w:pPr>
      <w:r w:rsidRPr="00F66EB4">
        <w:rPr>
          <w:rFonts w:cs="Arial"/>
        </w:rPr>
        <w:t xml:space="preserve">It is a great pleasure to present WIPO’s proposed Program of Work and Budget for the 2024/25 biennium. </w:t>
      </w:r>
    </w:p>
    <w:p w14:paraId="4AD4304B" w14:textId="77777777" w:rsidR="00455D6D" w:rsidRPr="00F66EB4" w:rsidRDefault="00455D6D" w:rsidP="00455D6D">
      <w:pPr>
        <w:spacing w:after="240"/>
        <w:rPr>
          <w:rFonts w:cs="Arial"/>
        </w:rPr>
      </w:pPr>
      <w:r w:rsidRPr="00F66EB4">
        <w:rPr>
          <w:rFonts w:cs="Arial"/>
        </w:rPr>
        <w:t xml:space="preserve">Two years ago, and with the guidance and support of Member States, we embarked upon a </w:t>
      </w:r>
      <w:r>
        <w:rPr>
          <w:rFonts w:cs="Arial"/>
        </w:rPr>
        <w:t>journey</w:t>
      </w:r>
      <w:r w:rsidRPr="00F66EB4">
        <w:rPr>
          <w:rFonts w:cs="Arial"/>
        </w:rPr>
        <w:t xml:space="preserve"> of transformation. The publication of the Medium Term Strategic Plan 2022-2026 (MTSP) and the Administration’s first Pro</w:t>
      </w:r>
      <w:r>
        <w:rPr>
          <w:rFonts w:cs="Arial"/>
        </w:rPr>
        <w:t>gram of Work and Budget put forward</w:t>
      </w:r>
      <w:r w:rsidRPr="00F66EB4">
        <w:rPr>
          <w:rFonts w:cs="Arial"/>
        </w:rPr>
        <w:t xml:space="preserve"> a new Vision and Mission for the Organization, supported by four Strategic Pillars, a Foundation and a set of clear and transparent Expected Results. </w:t>
      </w:r>
    </w:p>
    <w:p w14:paraId="494D8A29" w14:textId="77777777" w:rsidR="00455D6D" w:rsidRPr="00F66EB4" w:rsidRDefault="00455D6D" w:rsidP="00455D6D">
      <w:pPr>
        <w:spacing w:after="240"/>
        <w:rPr>
          <w:rFonts w:cs="Arial"/>
        </w:rPr>
      </w:pPr>
      <w:r w:rsidRPr="00F66EB4">
        <w:rPr>
          <w:rFonts w:cs="Arial"/>
        </w:rPr>
        <w:t>As wel</w:t>
      </w:r>
      <w:r>
        <w:rPr>
          <w:rFonts w:cs="Arial"/>
        </w:rPr>
        <w:t>l as building on WIPO’s longstanding</w:t>
      </w:r>
      <w:r w:rsidRPr="00F66EB4">
        <w:rPr>
          <w:rFonts w:cs="Arial"/>
        </w:rPr>
        <w:t xml:space="preserve"> strengths, this new strategic posture has brought a focus on areas where innovation and creativity, supported by intellectual property (IP), can </w:t>
      </w:r>
      <w:r>
        <w:rPr>
          <w:rFonts w:cs="Arial"/>
        </w:rPr>
        <w:t xml:space="preserve">make an impact on </w:t>
      </w:r>
      <w:r w:rsidRPr="00F66EB4">
        <w:rPr>
          <w:rFonts w:cs="Arial"/>
        </w:rPr>
        <w:t>people’s lives</w:t>
      </w:r>
      <w:r>
        <w:rPr>
          <w:rFonts w:cs="Arial"/>
        </w:rPr>
        <w:t xml:space="preserve">. At the heart of our work is the belief </w:t>
      </w:r>
      <w:r w:rsidRPr="00F66EB4">
        <w:rPr>
          <w:rFonts w:cs="Arial"/>
        </w:rPr>
        <w:t xml:space="preserve">that IP must evolve from a technical area of interest only to IP specialists and practitioners into a powerful catalyst for job creation, investments, business growth and economic and social development </w:t>
      </w:r>
      <w:r>
        <w:rPr>
          <w:rFonts w:cs="Arial"/>
        </w:rPr>
        <w:t xml:space="preserve">in all parts of the world – a belief that many of you share as well. </w:t>
      </w:r>
      <w:r w:rsidRPr="00F66EB4">
        <w:rPr>
          <w:rFonts w:cs="Arial"/>
        </w:rPr>
        <w:t>W</w:t>
      </w:r>
      <w:r>
        <w:rPr>
          <w:rFonts w:cs="Arial"/>
        </w:rPr>
        <w:t>ith the publication of this</w:t>
      </w:r>
      <w:r w:rsidRPr="00F66EB4">
        <w:rPr>
          <w:rFonts w:cs="Arial"/>
        </w:rPr>
        <w:t xml:space="preserve"> P</w:t>
      </w:r>
      <w:r>
        <w:rPr>
          <w:rFonts w:cs="Arial"/>
        </w:rPr>
        <w:t>rogram of Work and Budget, we enter a new phase</w:t>
      </w:r>
      <w:r w:rsidRPr="00F66EB4">
        <w:rPr>
          <w:rFonts w:cs="Arial"/>
        </w:rPr>
        <w:t xml:space="preserve"> in the execution of the MTSP and in generating tangible benefits </w:t>
      </w:r>
      <w:r>
        <w:rPr>
          <w:rFonts w:cs="Arial"/>
        </w:rPr>
        <w:t xml:space="preserve">worldwide </w:t>
      </w:r>
      <w:r w:rsidRPr="00F66EB4">
        <w:rPr>
          <w:rFonts w:cs="Arial"/>
        </w:rPr>
        <w:t xml:space="preserve">through the practical use of IP </w:t>
      </w:r>
      <w:r>
        <w:rPr>
          <w:rFonts w:cs="Arial"/>
        </w:rPr>
        <w:t xml:space="preserve">on the ground. </w:t>
      </w:r>
    </w:p>
    <w:p w14:paraId="3EBA1A5D" w14:textId="69FB04D7" w:rsidR="00455D6D" w:rsidRDefault="00455D6D" w:rsidP="00455D6D">
      <w:pPr>
        <w:spacing w:after="240"/>
        <w:rPr>
          <w:rFonts w:cs="Arial"/>
        </w:rPr>
      </w:pPr>
      <w:r w:rsidRPr="00F66EB4">
        <w:rPr>
          <w:rFonts w:cs="Arial"/>
        </w:rPr>
        <w:t>From the outset, this journey has taken place against a</w:t>
      </w:r>
      <w:r>
        <w:rPr>
          <w:rFonts w:cs="Arial"/>
        </w:rPr>
        <w:t xml:space="preserve"> </w:t>
      </w:r>
      <w:r w:rsidRPr="00F66EB4">
        <w:rPr>
          <w:rFonts w:cs="Arial"/>
        </w:rPr>
        <w:t xml:space="preserve">volatile </w:t>
      </w:r>
      <w:r>
        <w:rPr>
          <w:rFonts w:cs="Arial"/>
        </w:rPr>
        <w:t>external environment. W</w:t>
      </w:r>
      <w:r w:rsidRPr="00F66EB4">
        <w:rPr>
          <w:rFonts w:cs="Arial"/>
        </w:rPr>
        <w:t xml:space="preserve">e will continue to be vigilant and attentive </w:t>
      </w:r>
      <w:r>
        <w:rPr>
          <w:rFonts w:cs="Arial"/>
        </w:rPr>
        <w:t>in responding to short and long-</w:t>
      </w:r>
      <w:r w:rsidRPr="00F66EB4">
        <w:rPr>
          <w:rFonts w:cs="Arial"/>
        </w:rPr>
        <w:t>term pressures, whilst recognizing that the pandemic has further accelerated the global shift towards technology, digitalization, innovation, creativity and entrepreneurship – areas where IP plays a critical role in success. Set against this backdrop, we</w:t>
      </w:r>
      <w:r>
        <w:rPr>
          <w:rFonts w:cs="Arial"/>
        </w:rPr>
        <w:t xml:space="preserve"> forecast revenue growth of </w:t>
      </w:r>
      <w:r w:rsidR="006D689A">
        <w:rPr>
          <w:rFonts w:cs="Arial"/>
        </w:rPr>
        <w:t>2.2</w:t>
      </w:r>
      <w:r w:rsidRPr="00F66EB4">
        <w:rPr>
          <w:rFonts w:cs="Arial"/>
        </w:rPr>
        <w:t xml:space="preserve"> </w:t>
      </w:r>
      <w:r>
        <w:rPr>
          <w:rFonts w:cs="Arial"/>
        </w:rPr>
        <w:t>per cent</w:t>
      </w:r>
      <w:r w:rsidRPr="00F66EB4">
        <w:rPr>
          <w:rFonts w:cs="Arial"/>
        </w:rPr>
        <w:t xml:space="preserve"> over the coming biennium. </w:t>
      </w:r>
    </w:p>
    <w:p w14:paraId="049248F7" w14:textId="77777777" w:rsidR="00455D6D" w:rsidRDefault="00455D6D" w:rsidP="00455D6D">
      <w:pPr>
        <w:spacing w:after="240"/>
        <w:rPr>
          <w:rFonts w:cs="Arial"/>
        </w:rPr>
      </w:pPr>
      <w:r w:rsidRPr="00F66EB4">
        <w:rPr>
          <w:rFonts w:cs="Arial"/>
        </w:rPr>
        <w:t>We also recognize that as IP becomes more important to more economies</w:t>
      </w:r>
      <w:r>
        <w:rPr>
          <w:rFonts w:cs="Arial"/>
        </w:rPr>
        <w:t xml:space="preserve">, </w:t>
      </w:r>
      <w:r w:rsidRPr="00F66EB4">
        <w:rPr>
          <w:rFonts w:cs="Arial"/>
        </w:rPr>
        <w:t xml:space="preserve">enterprises </w:t>
      </w:r>
      <w:r>
        <w:rPr>
          <w:rFonts w:cs="Arial"/>
        </w:rPr>
        <w:t xml:space="preserve">communities and people </w:t>
      </w:r>
      <w:r w:rsidRPr="00F66EB4">
        <w:rPr>
          <w:rFonts w:cs="Arial"/>
        </w:rPr>
        <w:t>around the world</w:t>
      </w:r>
      <w:r>
        <w:rPr>
          <w:rFonts w:cs="Arial"/>
        </w:rPr>
        <w:t>, including in developing, least-</w:t>
      </w:r>
      <w:r w:rsidRPr="00F66EB4">
        <w:rPr>
          <w:rFonts w:cs="Arial"/>
        </w:rPr>
        <w:t>developed countries</w:t>
      </w:r>
      <w:r>
        <w:rPr>
          <w:rFonts w:cs="Arial"/>
        </w:rPr>
        <w:t xml:space="preserve"> and countries with economies in transition</w:t>
      </w:r>
      <w:r w:rsidRPr="00F66EB4">
        <w:rPr>
          <w:rFonts w:cs="Arial"/>
        </w:rPr>
        <w:t xml:space="preserve">, demand for </w:t>
      </w:r>
      <w:r>
        <w:rPr>
          <w:rFonts w:cs="Arial"/>
        </w:rPr>
        <w:t xml:space="preserve">our </w:t>
      </w:r>
      <w:r w:rsidRPr="00F66EB4">
        <w:rPr>
          <w:rFonts w:cs="Arial"/>
        </w:rPr>
        <w:t>support and services is likely to</w:t>
      </w:r>
      <w:r>
        <w:rPr>
          <w:rFonts w:cs="Arial"/>
        </w:rPr>
        <w:t xml:space="preserve"> increase. T</w:t>
      </w:r>
      <w:r w:rsidRPr="00F66EB4">
        <w:rPr>
          <w:rFonts w:cs="Arial"/>
        </w:rPr>
        <w:t>o</w:t>
      </w:r>
      <w:r>
        <w:rPr>
          <w:rFonts w:cs="Arial"/>
        </w:rPr>
        <w:t xml:space="preserve"> best serve Member States</w:t>
      </w:r>
      <w:r w:rsidRPr="00F66EB4">
        <w:rPr>
          <w:rFonts w:cs="Arial"/>
        </w:rPr>
        <w:t xml:space="preserve"> and to consolidate and build upon the progress of the past two years, we </w:t>
      </w:r>
      <w:r>
        <w:rPr>
          <w:rFonts w:cs="Arial"/>
        </w:rPr>
        <w:t>will continue to invest carefully in our programs and infrastructure.</w:t>
      </w:r>
    </w:p>
    <w:p w14:paraId="7B05E3C6" w14:textId="77777777" w:rsidR="00455D6D" w:rsidRDefault="00455D6D" w:rsidP="00455D6D">
      <w:pPr>
        <w:spacing w:after="240"/>
        <w:rPr>
          <w:rFonts w:cs="Arial"/>
        </w:rPr>
      </w:pPr>
      <w:r>
        <w:rPr>
          <w:rFonts w:cs="Arial"/>
        </w:rPr>
        <w:t>We do so against the backdrop of inflationary and other cost pressures. To deliver the results our Members and users expect of us and to strengthen the emphasis on prudent financial management, we will contain the rise in expenditure at 8 per cent over the coming biennium. Member States will also note that we have opted not to table a fresh Capital Master Plan alongside this Program of Work and Budget. Our focus will be on realizing existing projects, with necessary</w:t>
      </w:r>
      <w:r w:rsidRPr="00F66EB4">
        <w:rPr>
          <w:rFonts w:cs="Arial"/>
        </w:rPr>
        <w:t xml:space="preserve"> ICT, buildings and security </w:t>
      </w:r>
      <w:r>
        <w:rPr>
          <w:rFonts w:cs="Arial"/>
        </w:rPr>
        <w:t>improvements</w:t>
      </w:r>
      <w:r w:rsidRPr="00F66EB4">
        <w:rPr>
          <w:rFonts w:cs="Arial"/>
        </w:rPr>
        <w:t xml:space="preserve"> integrated into the </w:t>
      </w:r>
      <w:r>
        <w:rPr>
          <w:rFonts w:cs="Arial"/>
        </w:rPr>
        <w:t>wider budget proposal.</w:t>
      </w:r>
    </w:p>
    <w:p w14:paraId="2C001E0A" w14:textId="77777777" w:rsidR="00455D6D" w:rsidRDefault="00455D6D" w:rsidP="00455D6D">
      <w:pPr>
        <w:spacing w:after="240"/>
        <w:rPr>
          <w:rFonts w:cs="Arial"/>
        </w:rPr>
      </w:pPr>
      <w:r>
        <w:rPr>
          <w:rFonts w:cs="Arial"/>
        </w:rPr>
        <w:t xml:space="preserve">What follows is a roadmap for stepping up the implementation of the MTSP. Over the coming biennium, we intend to </w:t>
      </w:r>
      <w:r w:rsidRPr="00F66EB4">
        <w:rPr>
          <w:rFonts w:cs="Arial"/>
        </w:rPr>
        <w:t xml:space="preserve">reinforce WIPO’s traditional areas of strength by accelerating the digital transformation </w:t>
      </w:r>
      <w:r>
        <w:rPr>
          <w:rFonts w:cs="Arial"/>
        </w:rPr>
        <w:t xml:space="preserve">and customer-centeredness </w:t>
      </w:r>
      <w:r w:rsidRPr="00F66EB4">
        <w:rPr>
          <w:rFonts w:cs="Arial"/>
        </w:rPr>
        <w:t xml:space="preserve">of our </w:t>
      </w:r>
      <w:r>
        <w:rPr>
          <w:rFonts w:cs="Arial"/>
        </w:rPr>
        <w:t>Global IP Services. We will continue to bring together</w:t>
      </w:r>
      <w:r w:rsidRPr="00F66EB4">
        <w:rPr>
          <w:rFonts w:cs="Arial"/>
        </w:rPr>
        <w:t xml:space="preserve"> the international IP community </w:t>
      </w:r>
      <w:r>
        <w:rPr>
          <w:rFonts w:cs="Arial"/>
        </w:rPr>
        <w:t xml:space="preserve">to discuss norms, set standards and engage on issues </w:t>
      </w:r>
      <w:r w:rsidRPr="00F66EB4">
        <w:rPr>
          <w:rFonts w:cs="Arial"/>
        </w:rPr>
        <w:t xml:space="preserve">through our Committees and Working Groups. Our </w:t>
      </w:r>
      <w:r>
        <w:rPr>
          <w:rFonts w:cs="Arial"/>
        </w:rPr>
        <w:t xml:space="preserve">role as a </w:t>
      </w:r>
      <w:r w:rsidRPr="00F66EB4">
        <w:rPr>
          <w:rFonts w:cs="Arial"/>
        </w:rPr>
        <w:t xml:space="preserve">global </w:t>
      </w:r>
      <w:r>
        <w:rPr>
          <w:rFonts w:cs="Arial"/>
        </w:rPr>
        <w:t xml:space="preserve">forum on cutting-edge issues like </w:t>
      </w:r>
      <w:r w:rsidRPr="00F66EB4">
        <w:rPr>
          <w:rFonts w:cs="Arial"/>
        </w:rPr>
        <w:t xml:space="preserve">IP and Frontier Technologies and Intangible Asset Finance will continue. </w:t>
      </w:r>
      <w:r>
        <w:rPr>
          <w:rFonts w:cs="Arial"/>
        </w:rPr>
        <w:t xml:space="preserve">Projects like </w:t>
      </w:r>
      <w:r w:rsidRPr="00F66EB4">
        <w:rPr>
          <w:rFonts w:cs="Arial"/>
        </w:rPr>
        <w:t xml:space="preserve">WIPO for Creators </w:t>
      </w:r>
      <w:r>
        <w:rPr>
          <w:rFonts w:cs="Arial"/>
        </w:rPr>
        <w:t>and WIPO Green will step up their</w:t>
      </w:r>
      <w:r w:rsidRPr="00F66EB4">
        <w:rPr>
          <w:rFonts w:cs="Arial"/>
        </w:rPr>
        <w:t xml:space="preserve"> devel</w:t>
      </w:r>
      <w:r>
        <w:rPr>
          <w:rFonts w:cs="Arial"/>
        </w:rPr>
        <w:t>opment</w:t>
      </w:r>
      <w:r w:rsidRPr="00F66EB4">
        <w:rPr>
          <w:rFonts w:cs="Arial"/>
        </w:rPr>
        <w:t>.</w:t>
      </w:r>
      <w:r>
        <w:rPr>
          <w:rFonts w:cs="Arial"/>
        </w:rPr>
        <w:t xml:space="preserve"> New partnerships will be forged to address global challenges, including the use of innovation to help us to contribute to the Sustainable Development Goals. </w:t>
      </w:r>
      <w:r w:rsidRPr="00F66EB4">
        <w:rPr>
          <w:rFonts w:cs="Arial"/>
        </w:rPr>
        <w:t xml:space="preserve">And we will convene two </w:t>
      </w:r>
      <w:r>
        <w:rPr>
          <w:rFonts w:cs="Arial"/>
        </w:rPr>
        <w:t xml:space="preserve">major </w:t>
      </w:r>
      <w:r w:rsidRPr="00F66EB4">
        <w:rPr>
          <w:rFonts w:cs="Arial"/>
        </w:rPr>
        <w:t>Diplomat</w:t>
      </w:r>
      <w:r w:rsidRPr="001168BD">
        <w:rPr>
          <w:rFonts w:cs="Arial"/>
        </w:rPr>
        <w:t>ic Conferences – one on a Design Law Treaty, the other on an international legal instrument relating to IP, genetic resources and associated traditional knowledge.</w:t>
      </w:r>
      <w:r>
        <w:rPr>
          <w:rFonts w:cs="Arial"/>
        </w:rPr>
        <w:t xml:space="preserve"> </w:t>
      </w:r>
    </w:p>
    <w:p w14:paraId="1B8D29E5" w14:textId="272A7611" w:rsidR="00455D6D" w:rsidRDefault="00455D6D" w:rsidP="00455D6D">
      <w:pPr>
        <w:spacing w:after="240"/>
        <w:rPr>
          <w:rFonts w:cs="Arial"/>
        </w:rPr>
      </w:pPr>
      <w:r w:rsidRPr="00F66EB4">
        <w:rPr>
          <w:rFonts w:cs="Arial"/>
        </w:rPr>
        <w:t xml:space="preserve">At the same time, we will intensify our efforts to </w:t>
      </w:r>
      <w:r>
        <w:rPr>
          <w:rFonts w:cs="Arial"/>
        </w:rPr>
        <w:t>bring our work to the grassroots</w:t>
      </w:r>
      <w:r w:rsidRPr="00F66EB4">
        <w:rPr>
          <w:rFonts w:cs="Arial"/>
        </w:rPr>
        <w:t xml:space="preserve"> and deliver </w:t>
      </w:r>
      <w:r>
        <w:rPr>
          <w:rFonts w:cs="Arial"/>
        </w:rPr>
        <w:t xml:space="preserve">impact on the ground. </w:t>
      </w:r>
      <w:r w:rsidRPr="00F66EB4">
        <w:rPr>
          <w:rFonts w:cs="Arial"/>
        </w:rPr>
        <w:t xml:space="preserve">We will upscale our skills and knowledge building through the WIPO Academy and beyond. </w:t>
      </w:r>
      <w:r>
        <w:rPr>
          <w:rFonts w:cs="Arial"/>
        </w:rPr>
        <w:t xml:space="preserve">Bespoke strategies on IP and Gender and Disability Inclusion will be implemented, both firsts for WIPO. Work in support of youth and micro, small and medium enterprises will deepen. Organizational reform continues. And we will step up </w:t>
      </w:r>
      <w:r w:rsidRPr="00F66EB4">
        <w:rPr>
          <w:rFonts w:cs="Arial"/>
        </w:rPr>
        <w:t xml:space="preserve">the delivery of impact-driven projects, including through a fund </w:t>
      </w:r>
      <w:r w:rsidR="00A55F0A">
        <w:rPr>
          <w:rFonts w:cs="Arial"/>
        </w:rPr>
        <w:t xml:space="preserve">to assist Member States </w:t>
      </w:r>
      <w:r>
        <w:rPr>
          <w:rFonts w:cs="Arial"/>
        </w:rPr>
        <w:t xml:space="preserve">as the world emerges from the Covid-19 pandemic, as well as our </w:t>
      </w:r>
      <w:r w:rsidRPr="00F66EB4">
        <w:rPr>
          <w:rFonts w:cs="Arial"/>
        </w:rPr>
        <w:t>support package</w:t>
      </w:r>
      <w:r>
        <w:rPr>
          <w:rFonts w:cs="Arial"/>
        </w:rPr>
        <w:t>s</w:t>
      </w:r>
      <w:r w:rsidRPr="00F66EB4">
        <w:rPr>
          <w:rFonts w:cs="Arial"/>
        </w:rPr>
        <w:t xml:space="preserve"> for</w:t>
      </w:r>
      <w:r>
        <w:rPr>
          <w:rFonts w:cs="Arial"/>
        </w:rPr>
        <w:t xml:space="preserve"> the world’s least developed countries</w:t>
      </w:r>
      <w:r w:rsidRPr="00F66EB4">
        <w:rPr>
          <w:rFonts w:cs="Arial"/>
        </w:rPr>
        <w:t>.</w:t>
      </w:r>
      <w:r>
        <w:rPr>
          <w:rFonts w:cs="Arial"/>
        </w:rPr>
        <w:t xml:space="preserve"> We propose to allocate over a fifth of our budget – 21.4 per cent – to development expenditure, up from 18.9 per cent over the previous biennium. </w:t>
      </w:r>
    </w:p>
    <w:p w14:paraId="4B6A7E42" w14:textId="19EDE0EB" w:rsidR="00455D6D" w:rsidRDefault="00455D6D" w:rsidP="00455D6D">
      <w:pPr>
        <w:rPr>
          <w:rFonts w:cs="Arial"/>
        </w:rPr>
      </w:pPr>
      <w:r>
        <w:rPr>
          <w:rFonts w:cs="Arial"/>
        </w:rPr>
        <w:t>Despite the challenges that we face, these are exciting times for innovation, creativity and IP in all regions of the globe. We are deeply grateful for the support our vision and mission has received from Member States over the past two years and I am thankful to colleagues across WIPO for their hard work in putting the MTSP into practice. Together, we move forward as one, in support of a world where innovators and creators from anywhere use IP to bring their ideas alive.</w:t>
      </w:r>
    </w:p>
    <w:p w14:paraId="243C0A40" w14:textId="77777777" w:rsidR="00455D6D" w:rsidRDefault="00455D6D" w:rsidP="00455D6D">
      <w:pPr>
        <w:spacing w:after="0"/>
        <w:ind w:left="5760" w:firstLine="720"/>
        <w:rPr>
          <w:rFonts w:cs="Arial"/>
        </w:rPr>
      </w:pPr>
    </w:p>
    <w:p w14:paraId="6CE63413" w14:textId="092D26F4" w:rsidR="00455D6D" w:rsidRDefault="00455D6D" w:rsidP="00455D6D">
      <w:pPr>
        <w:spacing w:after="0"/>
        <w:ind w:left="5760" w:firstLine="720"/>
        <w:rPr>
          <w:rFonts w:cs="Arial"/>
        </w:rPr>
      </w:pPr>
      <w:r>
        <w:rPr>
          <w:rFonts w:cs="Arial"/>
        </w:rPr>
        <w:t>Daren Tang</w:t>
      </w:r>
    </w:p>
    <w:p w14:paraId="6D28DD12" w14:textId="7B861D23" w:rsidR="00455D6D" w:rsidRPr="00455D6D" w:rsidRDefault="00455D6D" w:rsidP="00455D6D">
      <w:pPr>
        <w:spacing w:after="0"/>
        <w:ind w:left="5760" w:firstLine="720"/>
        <w:rPr>
          <w:rFonts w:cs="Arial"/>
        </w:rPr>
      </w:pPr>
      <w:r>
        <w:rPr>
          <w:rFonts w:cs="Arial"/>
        </w:rPr>
        <w:t>Director General</w:t>
      </w:r>
    </w:p>
    <w:p w14:paraId="646F539A" w14:textId="699CEE71" w:rsidR="00F56D21" w:rsidRDefault="00F56D21" w:rsidP="00F56D21">
      <w:pPr>
        <w:rPr>
          <w:lang w:val="en-US"/>
        </w:rPr>
      </w:pPr>
    </w:p>
    <w:p w14:paraId="1ABE094A" w14:textId="77777777" w:rsidR="00784C40" w:rsidRPr="00784C40" w:rsidRDefault="00784C40" w:rsidP="00F56D21">
      <w:pPr>
        <w:rPr>
          <w:color w:val="FF0000"/>
          <w:lang w:val="en-US"/>
        </w:rPr>
        <w:sectPr w:rsidR="00784C40" w:rsidRPr="00784C40" w:rsidSect="003977DE">
          <w:headerReference w:type="even" r:id="rId17"/>
          <w:headerReference w:type="default" r:id="rId18"/>
          <w:footerReference w:type="even" r:id="rId19"/>
          <w:footerReference w:type="default" r:id="rId20"/>
          <w:headerReference w:type="first" r:id="rId21"/>
          <w:footerReference w:type="first" r:id="rId22"/>
          <w:pgSz w:w="11906" w:h="16838"/>
          <w:pgMar w:top="1361" w:right="1134" w:bottom="1361" w:left="1134" w:header="567" w:footer="454" w:gutter="0"/>
          <w:pgNumType w:start="2"/>
          <w:cols w:space="708"/>
          <w:titlePg/>
          <w:docGrid w:linePitch="360"/>
        </w:sectPr>
      </w:pPr>
    </w:p>
    <w:p w14:paraId="06F76823" w14:textId="4DD01875" w:rsidR="00EB1686" w:rsidRPr="00D350B5" w:rsidRDefault="00615555" w:rsidP="002C0D27">
      <w:pPr>
        <w:pStyle w:val="SectionTitleNumb"/>
        <w:spacing w:after="360"/>
        <w:rPr>
          <w:lang w:val="en-US"/>
        </w:rPr>
      </w:pPr>
      <w:bookmarkStart w:id="10" w:name="_Toc131175981"/>
      <w:r w:rsidRPr="00D350B5">
        <w:rPr>
          <w:lang w:val="en-US"/>
        </w:rPr>
        <w:lastRenderedPageBreak/>
        <w:t xml:space="preserve">FINANCIAL AND RESULTS </w:t>
      </w:r>
      <w:r w:rsidR="002D1E39">
        <w:rPr>
          <w:lang w:val="en-US"/>
        </w:rPr>
        <w:t xml:space="preserve">- </w:t>
      </w:r>
      <w:r w:rsidRPr="00D350B5">
        <w:rPr>
          <w:lang w:val="en-US"/>
        </w:rPr>
        <w:t>OVERVIEW</w:t>
      </w:r>
      <w:bookmarkEnd w:id="10"/>
    </w:p>
    <w:p w14:paraId="1577BD30" w14:textId="05175483" w:rsidR="00434007" w:rsidRDefault="00434007" w:rsidP="0096174B">
      <w:pPr>
        <w:pStyle w:val="NormalNumb"/>
        <w:keepNext/>
        <w:ind w:left="0"/>
        <w:rPr>
          <w:lang w:val="en-US"/>
        </w:rPr>
      </w:pPr>
      <w:r w:rsidRPr="005C3442">
        <w:rPr>
          <w:lang w:val="en-US"/>
        </w:rPr>
        <w:t xml:space="preserve">This Program of Work </w:t>
      </w:r>
      <w:r w:rsidR="007133CD">
        <w:rPr>
          <w:lang w:val="en-US"/>
        </w:rPr>
        <w:t>and Budget provides the plan</w:t>
      </w:r>
      <w:r w:rsidRPr="005C3442">
        <w:rPr>
          <w:lang w:val="en-US"/>
        </w:rPr>
        <w:t xml:space="preserve"> for </w:t>
      </w:r>
      <w:r>
        <w:rPr>
          <w:lang w:val="en-US"/>
        </w:rPr>
        <w:t xml:space="preserve">the biennium </w:t>
      </w:r>
      <w:r w:rsidRPr="005C3442">
        <w:rPr>
          <w:lang w:val="en-US"/>
        </w:rPr>
        <w:t>202</w:t>
      </w:r>
      <w:r>
        <w:rPr>
          <w:lang w:val="en-US"/>
        </w:rPr>
        <w:t>4</w:t>
      </w:r>
      <w:r w:rsidRPr="005C3442">
        <w:rPr>
          <w:lang w:val="en-US"/>
        </w:rPr>
        <w:t>/2</w:t>
      </w:r>
      <w:r>
        <w:rPr>
          <w:lang w:val="en-US"/>
        </w:rPr>
        <w:t>5 guided by inputs from Member States, the Medium Term Strategic Plan 2022-2026 (MTSP)</w:t>
      </w:r>
      <w:r>
        <w:rPr>
          <w:rStyle w:val="FootnoteReference"/>
          <w:lang w:val="en-US"/>
        </w:rPr>
        <w:footnoteReference w:id="1"/>
      </w:r>
      <w:r>
        <w:rPr>
          <w:lang w:val="en-US"/>
        </w:rPr>
        <w:t>, and the United Nations 2030 Agenda for Sustainable Development.  Table 1 below provides an overview of the key financial planning parameters for 2024/25.</w:t>
      </w:r>
    </w:p>
    <w:p w14:paraId="2DA194A9" w14:textId="57C61298" w:rsidR="00434007" w:rsidRDefault="00434007" w:rsidP="0096174B">
      <w:pPr>
        <w:pStyle w:val="NormalNumb"/>
        <w:keepNext/>
        <w:ind w:left="0"/>
        <w:rPr>
          <w:lang w:val="en-US"/>
        </w:rPr>
      </w:pPr>
      <w:r>
        <w:rPr>
          <w:lang w:val="en-US"/>
        </w:rPr>
        <w:t>Income in the biennium 2024/25 is estimated at 9</w:t>
      </w:r>
      <w:r w:rsidR="006D689A">
        <w:rPr>
          <w:lang w:val="en-US"/>
        </w:rPr>
        <w:t>72.6</w:t>
      </w:r>
      <w:r>
        <w:rPr>
          <w:lang w:val="en-US"/>
        </w:rPr>
        <w:t xml:space="preserve"> million Swiss francs, reflecting a </w:t>
      </w:r>
      <w:r w:rsidR="006D689A">
        <w:rPr>
          <w:lang w:val="en-US"/>
        </w:rPr>
        <w:t>2.2</w:t>
      </w:r>
      <w:r>
        <w:rPr>
          <w:lang w:val="en-US"/>
        </w:rPr>
        <w:t xml:space="preserve"> per cent increase compared to the 2022/23 Program of Work and Budget (PoW&amp;B). </w:t>
      </w:r>
    </w:p>
    <w:p w14:paraId="2AD0D00B" w14:textId="2649D7F2" w:rsidR="00434007" w:rsidRPr="005C3442" w:rsidRDefault="00434007" w:rsidP="0096174B">
      <w:pPr>
        <w:pStyle w:val="NormalNumb"/>
        <w:keepNext/>
        <w:ind w:left="0"/>
        <w:rPr>
          <w:lang w:val="en-US"/>
        </w:rPr>
      </w:pPr>
      <w:r>
        <w:rPr>
          <w:lang w:val="en-US"/>
        </w:rPr>
        <w:t xml:space="preserve">The proposed expenditure budget for the biennium amounts to 857.3 million Swiss francs, reflecting an 8 per cent increase compared to the 2022/23 PoW&amp;B.  After estimated IPSAS adjustments on expenditure, a surplus of </w:t>
      </w:r>
      <w:r w:rsidRPr="00700302">
        <w:rPr>
          <w:lang w:val="en-US"/>
        </w:rPr>
        <w:t xml:space="preserve">approximately </w:t>
      </w:r>
      <w:r w:rsidR="006D689A">
        <w:rPr>
          <w:lang w:val="en-US"/>
        </w:rPr>
        <w:t>68.4</w:t>
      </w:r>
      <w:r w:rsidRPr="00B743AE">
        <w:rPr>
          <w:lang w:val="en-US"/>
        </w:rPr>
        <w:t xml:space="preserve"> million</w:t>
      </w:r>
      <w:r w:rsidRPr="00700302">
        <w:rPr>
          <w:lang w:val="en-US"/>
        </w:rPr>
        <w:t xml:space="preserve"> Swiss</w:t>
      </w:r>
      <w:r>
        <w:rPr>
          <w:lang w:val="en-US"/>
        </w:rPr>
        <w:t xml:space="preserve"> francs is predicted at the end of the biennium. </w:t>
      </w:r>
    </w:p>
    <w:p w14:paraId="09E6036C" w14:textId="77777777" w:rsidR="00434007" w:rsidRPr="007B04CF" w:rsidRDefault="00434007" w:rsidP="00434007">
      <w:pPr>
        <w:pStyle w:val="TableAndChartTitle"/>
        <w:spacing w:before="0" w:after="0" w:line="240" w:lineRule="auto"/>
      </w:pPr>
      <w:r w:rsidRPr="00D350B5">
        <w:t>Table 1:  Budget for 202</w:t>
      </w:r>
      <w:r>
        <w:t>4</w:t>
      </w:r>
      <w:r w:rsidRPr="00D350B5">
        <w:t>/2</w:t>
      </w:r>
      <w:r>
        <w:t>5</w:t>
      </w:r>
      <w:r w:rsidRPr="00D350B5">
        <w:t xml:space="preserve"> and Key Planning Parameters</w:t>
      </w:r>
    </w:p>
    <w:p w14:paraId="581E07F2" w14:textId="77777777" w:rsidR="00434007" w:rsidRDefault="00434007" w:rsidP="00434007">
      <w:pPr>
        <w:pStyle w:val="TableAndChartTitleAddText"/>
        <w:spacing w:before="0" w:after="0" w:line="240" w:lineRule="auto"/>
        <w:rPr>
          <w:sz w:val="16"/>
        </w:rPr>
      </w:pPr>
      <w:r w:rsidRPr="007B04CF">
        <w:rPr>
          <w:sz w:val="16"/>
        </w:rPr>
        <w:t>(in millions of Swiss francs)</w:t>
      </w:r>
    </w:p>
    <w:p w14:paraId="0A32143E" w14:textId="7F495E8E" w:rsidR="000F0E1C" w:rsidRDefault="000F0E1C" w:rsidP="00434007">
      <w:pPr>
        <w:spacing w:after="0" w:line="240" w:lineRule="auto"/>
        <w:rPr>
          <w:rFonts w:asciiTheme="minorHAnsi" w:hAnsiTheme="minorHAnsi"/>
          <w:sz w:val="22"/>
        </w:rPr>
      </w:pPr>
    </w:p>
    <w:tbl>
      <w:tblPr>
        <w:tblW w:w="6280" w:type="dxa"/>
        <w:jc w:val="center"/>
        <w:tblLook w:val="04A0" w:firstRow="1" w:lastRow="0" w:firstColumn="1" w:lastColumn="0" w:noHBand="0" w:noVBand="1"/>
      </w:tblPr>
      <w:tblGrid>
        <w:gridCol w:w="5200"/>
        <w:gridCol w:w="1080"/>
      </w:tblGrid>
      <w:tr w:rsidR="00605383" w:rsidRPr="00605383" w14:paraId="7646E65C" w14:textId="77777777" w:rsidTr="002356E0">
        <w:trPr>
          <w:divId w:val="2121341864"/>
          <w:trHeight w:val="420"/>
          <w:jc w:val="center"/>
        </w:trPr>
        <w:tc>
          <w:tcPr>
            <w:tcW w:w="5200" w:type="dxa"/>
            <w:tcBorders>
              <w:top w:val="nil"/>
              <w:left w:val="nil"/>
              <w:bottom w:val="nil"/>
              <w:right w:val="nil"/>
            </w:tcBorders>
            <w:shd w:val="clear" w:color="000000" w:fill="C7CFD8"/>
            <w:noWrap/>
            <w:vAlign w:val="center"/>
            <w:hideMark/>
          </w:tcPr>
          <w:p w14:paraId="00BE17CB"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Key Parameters for 2024/25</w:t>
            </w:r>
          </w:p>
        </w:tc>
        <w:tc>
          <w:tcPr>
            <w:tcW w:w="1080" w:type="dxa"/>
            <w:tcBorders>
              <w:top w:val="nil"/>
              <w:left w:val="nil"/>
              <w:bottom w:val="nil"/>
              <w:right w:val="nil"/>
            </w:tcBorders>
            <w:shd w:val="clear" w:color="000000" w:fill="C7CFD8"/>
            <w:noWrap/>
            <w:vAlign w:val="center"/>
            <w:hideMark/>
          </w:tcPr>
          <w:p w14:paraId="17A37EDF" w14:textId="77777777" w:rsidR="00605383" w:rsidRPr="00605383" w:rsidRDefault="00605383" w:rsidP="00605383">
            <w:pPr>
              <w:spacing w:after="0" w:line="240" w:lineRule="auto"/>
              <w:jc w:val="right"/>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 xml:space="preserve"> Amounts </w:t>
            </w:r>
          </w:p>
        </w:tc>
      </w:tr>
      <w:tr w:rsidR="00605383" w:rsidRPr="00605383" w14:paraId="28C8FD23" w14:textId="77777777" w:rsidTr="002356E0">
        <w:trPr>
          <w:divId w:val="2121341864"/>
          <w:trHeight w:val="285"/>
          <w:jc w:val="center"/>
        </w:trPr>
        <w:tc>
          <w:tcPr>
            <w:tcW w:w="5200" w:type="dxa"/>
            <w:tcBorders>
              <w:top w:val="nil"/>
              <w:left w:val="nil"/>
              <w:bottom w:val="single" w:sz="4" w:space="0" w:color="BFBFBF"/>
              <w:right w:val="nil"/>
            </w:tcBorders>
            <w:shd w:val="clear" w:color="auto" w:fill="auto"/>
            <w:noWrap/>
            <w:vAlign w:val="center"/>
            <w:hideMark/>
          </w:tcPr>
          <w:p w14:paraId="1900495A" w14:textId="537D5CFB"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Income Estimates for 2024/25</w:t>
            </w:r>
            <w:r w:rsidR="00E47665">
              <w:rPr>
                <w:rStyle w:val="FootnoteReference"/>
                <w:rFonts w:ascii="Arial Narrow" w:eastAsia="Times New Roman" w:hAnsi="Arial Narrow" w:cs="Times New Roman"/>
                <w:b/>
                <w:bCs/>
                <w:sz w:val="16"/>
                <w:szCs w:val="16"/>
                <w:lang w:val="en-US"/>
              </w:rPr>
              <w:footnoteReference w:id="2"/>
            </w:r>
          </w:p>
        </w:tc>
        <w:tc>
          <w:tcPr>
            <w:tcW w:w="1080" w:type="dxa"/>
            <w:tcBorders>
              <w:top w:val="nil"/>
              <w:left w:val="nil"/>
              <w:bottom w:val="single" w:sz="4" w:space="0" w:color="BFBFBF"/>
              <w:right w:val="nil"/>
            </w:tcBorders>
            <w:shd w:val="clear" w:color="auto" w:fill="auto"/>
            <w:noWrap/>
            <w:vAlign w:val="center"/>
            <w:hideMark/>
          </w:tcPr>
          <w:p w14:paraId="3B0ACF8C"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 xml:space="preserve">             972.6 </w:t>
            </w:r>
          </w:p>
        </w:tc>
      </w:tr>
      <w:tr w:rsidR="00605383" w:rsidRPr="00605383" w14:paraId="1B9F0D82" w14:textId="77777777" w:rsidTr="002356E0">
        <w:trPr>
          <w:divId w:val="2121341864"/>
          <w:trHeight w:val="285"/>
          <w:jc w:val="center"/>
        </w:trPr>
        <w:tc>
          <w:tcPr>
            <w:tcW w:w="5200" w:type="dxa"/>
            <w:tcBorders>
              <w:top w:val="nil"/>
              <w:left w:val="nil"/>
              <w:bottom w:val="nil"/>
              <w:right w:val="nil"/>
            </w:tcBorders>
            <w:shd w:val="clear" w:color="auto" w:fill="auto"/>
            <w:noWrap/>
            <w:vAlign w:val="center"/>
            <w:hideMark/>
          </w:tcPr>
          <w:p w14:paraId="41A3E1EF" w14:textId="77777777" w:rsidR="00605383" w:rsidRPr="00605383" w:rsidRDefault="00605383" w:rsidP="00605383">
            <w:pPr>
              <w:spacing w:after="0" w:line="240" w:lineRule="auto"/>
              <w:rPr>
                <w:rFonts w:ascii="Arial Narrow" w:eastAsia="Times New Roman" w:hAnsi="Arial Narrow" w:cs="Times New Roman"/>
                <w:sz w:val="16"/>
                <w:szCs w:val="16"/>
                <w:lang w:val="en-US"/>
              </w:rPr>
            </w:pPr>
            <w:r w:rsidRPr="00605383">
              <w:rPr>
                <w:rFonts w:ascii="Arial Narrow" w:eastAsia="Times New Roman" w:hAnsi="Arial Narrow" w:cs="Times New Roman"/>
                <w:sz w:val="16"/>
                <w:szCs w:val="16"/>
                <w:lang w:val="en-US"/>
              </w:rPr>
              <w:t>Expenditure 2024/25</w:t>
            </w:r>
          </w:p>
        </w:tc>
        <w:tc>
          <w:tcPr>
            <w:tcW w:w="1080" w:type="dxa"/>
            <w:tcBorders>
              <w:top w:val="nil"/>
              <w:left w:val="nil"/>
              <w:bottom w:val="nil"/>
              <w:right w:val="nil"/>
            </w:tcBorders>
            <w:shd w:val="clear" w:color="auto" w:fill="auto"/>
            <w:noWrap/>
            <w:vAlign w:val="center"/>
            <w:hideMark/>
          </w:tcPr>
          <w:p w14:paraId="471F6CD5" w14:textId="77777777" w:rsidR="00605383" w:rsidRPr="00605383" w:rsidRDefault="00605383" w:rsidP="00605383">
            <w:pPr>
              <w:spacing w:after="0" w:line="240" w:lineRule="auto"/>
              <w:rPr>
                <w:rFonts w:ascii="Arial Narrow" w:eastAsia="Times New Roman" w:hAnsi="Arial Narrow" w:cs="Times New Roman"/>
                <w:sz w:val="16"/>
                <w:szCs w:val="16"/>
                <w:lang w:val="en-US"/>
              </w:rPr>
            </w:pPr>
          </w:p>
        </w:tc>
      </w:tr>
      <w:tr w:rsidR="00605383" w:rsidRPr="00605383" w14:paraId="574762F2" w14:textId="77777777" w:rsidTr="002356E0">
        <w:trPr>
          <w:divId w:val="2121341864"/>
          <w:trHeight w:val="285"/>
          <w:jc w:val="center"/>
        </w:trPr>
        <w:tc>
          <w:tcPr>
            <w:tcW w:w="5200" w:type="dxa"/>
            <w:tcBorders>
              <w:top w:val="nil"/>
              <w:left w:val="nil"/>
              <w:bottom w:val="nil"/>
              <w:right w:val="nil"/>
            </w:tcBorders>
            <w:shd w:val="clear" w:color="auto" w:fill="auto"/>
            <w:noWrap/>
            <w:vAlign w:val="center"/>
            <w:hideMark/>
          </w:tcPr>
          <w:p w14:paraId="3FD5FDCE" w14:textId="77777777" w:rsidR="00605383" w:rsidRPr="00605383" w:rsidRDefault="00605383" w:rsidP="00605383">
            <w:pPr>
              <w:spacing w:after="0" w:line="240" w:lineRule="auto"/>
              <w:ind w:firstLineChars="100" w:firstLine="160"/>
              <w:rPr>
                <w:rFonts w:ascii="Arial Narrow" w:eastAsia="Times New Roman" w:hAnsi="Arial Narrow" w:cs="Times New Roman"/>
                <w:i/>
                <w:iCs/>
                <w:sz w:val="16"/>
                <w:szCs w:val="16"/>
                <w:lang w:val="en-US"/>
              </w:rPr>
            </w:pPr>
            <w:r w:rsidRPr="00605383">
              <w:rPr>
                <w:rFonts w:ascii="Arial Narrow" w:eastAsia="Times New Roman" w:hAnsi="Arial Narrow" w:cs="Times New Roman"/>
                <w:i/>
                <w:iCs/>
                <w:sz w:val="16"/>
                <w:szCs w:val="16"/>
                <w:lang w:val="en-US"/>
              </w:rPr>
              <w:t>Personnel expenditure</w:t>
            </w:r>
          </w:p>
        </w:tc>
        <w:tc>
          <w:tcPr>
            <w:tcW w:w="1080" w:type="dxa"/>
            <w:tcBorders>
              <w:top w:val="nil"/>
              <w:left w:val="nil"/>
              <w:bottom w:val="nil"/>
              <w:right w:val="nil"/>
            </w:tcBorders>
            <w:shd w:val="clear" w:color="auto" w:fill="auto"/>
            <w:noWrap/>
            <w:vAlign w:val="center"/>
            <w:hideMark/>
          </w:tcPr>
          <w:p w14:paraId="0F76AFEA" w14:textId="77777777" w:rsidR="00605383" w:rsidRPr="00605383" w:rsidRDefault="00605383" w:rsidP="00605383">
            <w:pPr>
              <w:spacing w:after="0" w:line="240" w:lineRule="auto"/>
              <w:rPr>
                <w:rFonts w:ascii="Arial Narrow" w:eastAsia="Times New Roman" w:hAnsi="Arial Narrow" w:cs="Times New Roman"/>
                <w:sz w:val="16"/>
                <w:szCs w:val="16"/>
                <w:lang w:val="en-US"/>
              </w:rPr>
            </w:pPr>
            <w:r w:rsidRPr="00605383">
              <w:rPr>
                <w:rFonts w:ascii="Arial Narrow" w:eastAsia="Times New Roman" w:hAnsi="Arial Narrow" w:cs="Times New Roman"/>
                <w:sz w:val="16"/>
                <w:szCs w:val="16"/>
                <w:lang w:val="en-US"/>
              </w:rPr>
              <w:t xml:space="preserve">             512.2 </w:t>
            </w:r>
          </w:p>
        </w:tc>
      </w:tr>
      <w:tr w:rsidR="00605383" w:rsidRPr="00605383" w14:paraId="2ABAC00C" w14:textId="77777777" w:rsidTr="002356E0">
        <w:trPr>
          <w:divId w:val="2121341864"/>
          <w:trHeight w:val="285"/>
          <w:jc w:val="center"/>
        </w:trPr>
        <w:tc>
          <w:tcPr>
            <w:tcW w:w="5200" w:type="dxa"/>
            <w:tcBorders>
              <w:top w:val="nil"/>
              <w:left w:val="nil"/>
              <w:bottom w:val="nil"/>
              <w:right w:val="nil"/>
            </w:tcBorders>
            <w:shd w:val="clear" w:color="auto" w:fill="auto"/>
            <w:noWrap/>
            <w:vAlign w:val="center"/>
            <w:hideMark/>
          </w:tcPr>
          <w:p w14:paraId="68ABCDEE" w14:textId="77777777" w:rsidR="00605383" w:rsidRPr="00605383" w:rsidRDefault="00605383" w:rsidP="00605383">
            <w:pPr>
              <w:spacing w:after="0" w:line="240" w:lineRule="auto"/>
              <w:ind w:firstLineChars="100" w:firstLine="160"/>
              <w:rPr>
                <w:rFonts w:ascii="Arial Narrow" w:eastAsia="Times New Roman" w:hAnsi="Arial Narrow" w:cs="Times New Roman"/>
                <w:i/>
                <w:iCs/>
                <w:sz w:val="16"/>
                <w:szCs w:val="16"/>
                <w:lang w:val="en-US"/>
              </w:rPr>
            </w:pPr>
            <w:r w:rsidRPr="00605383">
              <w:rPr>
                <w:rFonts w:ascii="Arial Narrow" w:eastAsia="Times New Roman" w:hAnsi="Arial Narrow" w:cs="Times New Roman"/>
                <w:i/>
                <w:iCs/>
                <w:sz w:val="16"/>
                <w:szCs w:val="16"/>
                <w:lang w:val="en-US"/>
              </w:rPr>
              <w:t>Non-personnel expenditure</w:t>
            </w:r>
          </w:p>
        </w:tc>
        <w:tc>
          <w:tcPr>
            <w:tcW w:w="1080" w:type="dxa"/>
            <w:tcBorders>
              <w:top w:val="nil"/>
              <w:left w:val="nil"/>
              <w:bottom w:val="nil"/>
              <w:right w:val="nil"/>
            </w:tcBorders>
            <w:shd w:val="clear" w:color="auto" w:fill="auto"/>
            <w:noWrap/>
            <w:vAlign w:val="center"/>
            <w:hideMark/>
          </w:tcPr>
          <w:p w14:paraId="22081282" w14:textId="77777777" w:rsidR="00605383" w:rsidRPr="00605383" w:rsidRDefault="00605383" w:rsidP="00605383">
            <w:pPr>
              <w:spacing w:after="0" w:line="240" w:lineRule="auto"/>
              <w:rPr>
                <w:rFonts w:ascii="Arial Narrow" w:eastAsia="Times New Roman" w:hAnsi="Arial Narrow" w:cs="Times New Roman"/>
                <w:sz w:val="16"/>
                <w:szCs w:val="16"/>
                <w:lang w:val="en-US"/>
              </w:rPr>
            </w:pPr>
            <w:r w:rsidRPr="00605383">
              <w:rPr>
                <w:rFonts w:ascii="Arial Narrow" w:eastAsia="Times New Roman" w:hAnsi="Arial Narrow" w:cs="Times New Roman"/>
                <w:sz w:val="16"/>
                <w:szCs w:val="16"/>
                <w:lang w:val="en-US"/>
              </w:rPr>
              <w:t xml:space="preserve">             345.1 </w:t>
            </w:r>
          </w:p>
        </w:tc>
      </w:tr>
      <w:tr w:rsidR="00605383" w:rsidRPr="00605383" w14:paraId="7BB22AFC" w14:textId="77777777" w:rsidTr="002356E0">
        <w:trPr>
          <w:divId w:val="2121341864"/>
          <w:trHeight w:val="285"/>
          <w:jc w:val="center"/>
        </w:trPr>
        <w:tc>
          <w:tcPr>
            <w:tcW w:w="5200" w:type="dxa"/>
            <w:tcBorders>
              <w:top w:val="nil"/>
              <w:left w:val="nil"/>
              <w:bottom w:val="nil"/>
              <w:right w:val="nil"/>
            </w:tcBorders>
            <w:shd w:val="clear" w:color="auto" w:fill="auto"/>
            <w:noWrap/>
            <w:vAlign w:val="center"/>
            <w:hideMark/>
          </w:tcPr>
          <w:p w14:paraId="59665663"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Total expenditure before IPSAS adjustments</w:t>
            </w:r>
          </w:p>
        </w:tc>
        <w:tc>
          <w:tcPr>
            <w:tcW w:w="1080" w:type="dxa"/>
            <w:tcBorders>
              <w:top w:val="nil"/>
              <w:left w:val="nil"/>
              <w:bottom w:val="nil"/>
              <w:right w:val="nil"/>
            </w:tcBorders>
            <w:shd w:val="clear" w:color="auto" w:fill="auto"/>
            <w:noWrap/>
            <w:vAlign w:val="center"/>
            <w:hideMark/>
          </w:tcPr>
          <w:p w14:paraId="460CFF7D"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 xml:space="preserve">             857.3 </w:t>
            </w:r>
          </w:p>
        </w:tc>
      </w:tr>
      <w:tr w:rsidR="00605383" w:rsidRPr="00605383" w14:paraId="1199C0E9" w14:textId="77777777" w:rsidTr="002356E0">
        <w:trPr>
          <w:divId w:val="2121341864"/>
          <w:trHeight w:val="285"/>
          <w:jc w:val="center"/>
        </w:trPr>
        <w:tc>
          <w:tcPr>
            <w:tcW w:w="5200" w:type="dxa"/>
            <w:tcBorders>
              <w:top w:val="nil"/>
              <w:left w:val="nil"/>
              <w:bottom w:val="single" w:sz="4" w:space="0" w:color="BFBFBF"/>
              <w:right w:val="nil"/>
            </w:tcBorders>
            <w:shd w:val="clear" w:color="auto" w:fill="auto"/>
            <w:noWrap/>
            <w:vAlign w:val="center"/>
            <w:hideMark/>
          </w:tcPr>
          <w:p w14:paraId="7D27F7CF" w14:textId="589C2E54" w:rsidR="00605383" w:rsidRPr="00605383" w:rsidRDefault="00605383" w:rsidP="00605383">
            <w:pPr>
              <w:spacing w:after="0" w:line="240" w:lineRule="auto"/>
              <w:rPr>
                <w:rFonts w:ascii="Arial Narrow" w:eastAsia="Times New Roman" w:hAnsi="Arial Narrow" w:cs="Times New Roman"/>
                <w:sz w:val="16"/>
                <w:szCs w:val="16"/>
                <w:lang w:val="en-US"/>
              </w:rPr>
            </w:pPr>
            <w:r w:rsidRPr="00605383">
              <w:rPr>
                <w:rFonts w:ascii="Arial Narrow" w:eastAsia="Times New Roman" w:hAnsi="Arial Narrow" w:cs="Times New Roman"/>
                <w:sz w:val="16"/>
                <w:szCs w:val="16"/>
                <w:lang w:val="en-US"/>
              </w:rPr>
              <w:t>Estimated IPSAS adjustments to expenditure</w:t>
            </w:r>
            <w:r w:rsidR="00E47665">
              <w:rPr>
                <w:rStyle w:val="FootnoteReference"/>
                <w:rFonts w:ascii="Arial Narrow" w:eastAsia="Times New Roman" w:hAnsi="Arial Narrow" w:cs="Times New Roman"/>
                <w:sz w:val="16"/>
                <w:szCs w:val="16"/>
                <w:lang w:val="en-US"/>
              </w:rPr>
              <w:footnoteReference w:id="3"/>
            </w:r>
          </w:p>
        </w:tc>
        <w:tc>
          <w:tcPr>
            <w:tcW w:w="1080" w:type="dxa"/>
            <w:tcBorders>
              <w:top w:val="nil"/>
              <w:left w:val="nil"/>
              <w:bottom w:val="single" w:sz="4" w:space="0" w:color="BFBFBF"/>
              <w:right w:val="nil"/>
            </w:tcBorders>
            <w:shd w:val="clear" w:color="auto" w:fill="auto"/>
            <w:noWrap/>
            <w:vAlign w:val="center"/>
            <w:hideMark/>
          </w:tcPr>
          <w:p w14:paraId="015AC08E" w14:textId="77777777" w:rsidR="00605383" w:rsidRPr="00605383" w:rsidRDefault="00605383" w:rsidP="00605383">
            <w:pPr>
              <w:spacing w:after="0" w:line="240" w:lineRule="auto"/>
              <w:rPr>
                <w:rFonts w:ascii="Arial Narrow" w:eastAsia="Times New Roman" w:hAnsi="Arial Narrow" w:cs="Times New Roman"/>
                <w:sz w:val="16"/>
                <w:szCs w:val="16"/>
                <w:lang w:val="en-US"/>
              </w:rPr>
            </w:pPr>
            <w:r w:rsidRPr="00605383">
              <w:rPr>
                <w:rFonts w:ascii="Arial Narrow" w:eastAsia="Times New Roman" w:hAnsi="Arial Narrow" w:cs="Times New Roman"/>
                <w:sz w:val="16"/>
                <w:szCs w:val="16"/>
                <w:lang w:val="en-US"/>
              </w:rPr>
              <w:t xml:space="preserve">               46.8 </w:t>
            </w:r>
          </w:p>
        </w:tc>
      </w:tr>
      <w:tr w:rsidR="00605383" w:rsidRPr="00605383" w14:paraId="397C0EEA" w14:textId="77777777" w:rsidTr="002356E0">
        <w:trPr>
          <w:divId w:val="2121341864"/>
          <w:trHeight w:val="285"/>
          <w:jc w:val="center"/>
        </w:trPr>
        <w:tc>
          <w:tcPr>
            <w:tcW w:w="5200" w:type="dxa"/>
            <w:tcBorders>
              <w:top w:val="nil"/>
              <w:left w:val="nil"/>
              <w:bottom w:val="nil"/>
              <w:right w:val="nil"/>
            </w:tcBorders>
            <w:shd w:val="clear" w:color="auto" w:fill="auto"/>
            <w:noWrap/>
            <w:vAlign w:val="center"/>
            <w:hideMark/>
          </w:tcPr>
          <w:p w14:paraId="528A5C66"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Total expenditure after IPSAS adjustments</w:t>
            </w:r>
          </w:p>
        </w:tc>
        <w:tc>
          <w:tcPr>
            <w:tcW w:w="1080" w:type="dxa"/>
            <w:tcBorders>
              <w:top w:val="nil"/>
              <w:left w:val="nil"/>
              <w:bottom w:val="nil"/>
              <w:right w:val="nil"/>
            </w:tcBorders>
            <w:shd w:val="clear" w:color="auto" w:fill="auto"/>
            <w:noWrap/>
            <w:vAlign w:val="center"/>
            <w:hideMark/>
          </w:tcPr>
          <w:p w14:paraId="21078B69"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 xml:space="preserve">             904.1 </w:t>
            </w:r>
          </w:p>
        </w:tc>
      </w:tr>
      <w:tr w:rsidR="00605383" w:rsidRPr="00605383" w14:paraId="768D2418" w14:textId="77777777" w:rsidTr="002356E0">
        <w:trPr>
          <w:divId w:val="2121341864"/>
          <w:trHeight w:val="330"/>
          <w:jc w:val="center"/>
        </w:trPr>
        <w:tc>
          <w:tcPr>
            <w:tcW w:w="5200" w:type="dxa"/>
            <w:tcBorders>
              <w:top w:val="single" w:sz="4" w:space="0" w:color="BFBFBF"/>
              <w:left w:val="nil"/>
              <w:bottom w:val="single" w:sz="8" w:space="0" w:color="BFBFBF"/>
              <w:right w:val="single" w:sz="4" w:space="0" w:color="FFFFFF"/>
            </w:tcBorders>
            <w:shd w:val="clear" w:color="auto" w:fill="auto"/>
            <w:noWrap/>
            <w:vAlign w:val="center"/>
            <w:hideMark/>
          </w:tcPr>
          <w:p w14:paraId="675503B1"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Operating Result</w:t>
            </w:r>
          </w:p>
        </w:tc>
        <w:tc>
          <w:tcPr>
            <w:tcW w:w="1080" w:type="dxa"/>
            <w:tcBorders>
              <w:top w:val="single" w:sz="4" w:space="0" w:color="BFBFBF"/>
              <w:left w:val="nil"/>
              <w:bottom w:val="single" w:sz="8" w:space="0" w:color="BFBFBF"/>
              <w:right w:val="nil"/>
            </w:tcBorders>
            <w:shd w:val="clear" w:color="auto" w:fill="auto"/>
            <w:noWrap/>
            <w:vAlign w:val="center"/>
            <w:hideMark/>
          </w:tcPr>
          <w:p w14:paraId="437B9197" w14:textId="77777777" w:rsidR="00605383" w:rsidRPr="00605383" w:rsidRDefault="00605383" w:rsidP="00605383">
            <w:pPr>
              <w:spacing w:after="0" w:line="240" w:lineRule="auto"/>
              <w:rPr>
                <w:rFonts w:ascii="Arial Narrow" w:eastAsia="Times New Roman" w:hAnsi="Arial Narrow" w:cs="Times New Roman"/>
                <w:b/>
                <w:bCs/>
                <w:sz w:val="16"/>
                <w:szCs w:val="16"/>
                <w:lang w:val="en-US"/>
              </w:rPr>
            </w:pPr>
            <w:r w:rsidRPr="00605383">
              <w:rPr>
                <w:rFonts w:ascii="Arial Narrow" w:eastAsia="Times New Roman" w:hAnsi="Arial Narrow" w:cs="Times New Roman"/>
                <w:b/>
                <w:bCs/>
                <w:sz w:val="16"/>
                <w:szCs w:val="16"/>
                <w:lang w:val="en-US"/>
              </w:rPr>
              <w:t xml:space="preserve">               68.4 </w:t>
            </w:r>
          </w:p>
        </w:tc>
      </w:tr>
    </w:tbl>
    <w:p w14:paraId="67131519" w14:textId="77777777" w:rsidR="00733AA8" w:rsidRPr="00B743AE" w:rsidRDefault="00733AA8" w:rsidP="00733AA8">
      <w:pPr>
        <w:pStyle w:val="Heading2NoNumb"/>
        <w:rPr>
          <w:rFonts w:asciiTheme="minorHAnsi" w:hAnsiTheme="minorHAnsi" w:cstheme="minorHAnsi"/>
          <w:b w:val="0"/>
          <w:sz w:val="32"/>
          <w:szCs w:val="32"/>
        </w:rPr>
      </w:pPr>
      <w:r w:rsidRPr="00B743AE">
        <w:rPr>
          <w:rFonts w:asciiTheme="minorHAnsi" w:hAnsiTheme="minorHAnsi" w:cstheme="minorHAnsi"/>
          <w:b w:val="0"/>
          <w:sz w:val="32"/>
          <w:szCs w:val="32"/>
        </w:rPr>
        <w:t>Income</w:t>
      </w:r>
    </w:p>
    <w:p w14:paraId="24FDBB98" w14:textId="21676FF7" w:rsidR="00733AA8" w:rsidRDefault="00733AA8" w:rsidP="00733AA8">
      <w:pPr>
        <w:pStyle w:val="NormalNumb"/>
        <w:keepNext/>
        <w:ind w:left="0"/>
        <w:rPr>
          <w:lang w:val="en-US"/>
        </w:rPr>
      </w:pPr>
      <w:r w:rsidRPr="00733AA8">
        <w:rPr>
          <w:lang w:val="en-US"/>
        </w:rPr>
        <w:t>Overall income in 2024/25 is projected to reach 9</w:t>
      </w:r>
      <w:r w:rsidR="006D689A">
        <w:rPr>
          <w:lang w:val="en-US"/>
        </w:rPr>
        <w:t>72.6</w:t>
      </w:r>
      <w:r w:rsidRPr="00733AA8">
        <w:rPr>
          <w:lang w:val="en-US"/>
        </w:rPr>
        <w:t xml:space="preserve"> million Swiss francs, representing an increase of </w:t>
      </w:r>
      <w:r w:rsidR="006D689A">
        <w:rPr>
          <w:lang w:val="en-US"/>
        </w:rPr>
        <w:t>2.2</w:t>
      </w:r>
      <w:r w:rsidRPr="00733AA8">
        <w:rPr>
          <w:lang w:val="en-US"/>
        </w:rPr>
        <w:t xml:space="preserve"> per cent compared to the 2022/23 PoW&amp;B and a </w:t>
      </w:r>
      <w:r w:rsidR="006D689A">
        <w:rPr>
          <w:lang w:val="en-US"/>
        </w:rPr>
        <w:t>de</w:t>
      </w:r>
      <w:r w:rsidRPr="00733AA8">
        <w:rPr>
          <w:lang w:val="en-US"/>
        </w:rPr>
        <w:t xml:space="preserve">crease of </w:t>
      </w:r>
      <w:r w:rsidR="006D689A">
        <w:rPr>
          <w:lang w:val="en-US"/>
        </w:rPr>
        <w:t>1.8</w:t>
      </w:r>
      <w:r w:rsidRPr="00733AA8">
        <w:rPr>
          <w:lang w:val="en-US"/>
        </w:rPr>
        <w:t xml:space="preserve"> per cent compared to the 2022/23 Updated Income Estimates. </w:t>
      </w:r>
    </w:p>
    <w:p w14:paraId="0D939452" w14:textId="49E6DD58" w:rsidR="00420BD5" w:rsidRPr="00733AA8" w:rsidRDefault="00420BD5" w:rsidP="00420BD5">
      <w:pPr>
        <w:pStyle w:val="NormalNumb"/>
        <w:keepNext/>
        <w:spacing w:after="240"/>
        <w:ind w:left="0"/>
        <w:rPr>
          <w:lang w:val="en-US"/>
        </w:rPr>
      </w:pPr>
      <w:r w:rsidRPr="00733AA8">
        <w:rPr>
          <w:lang w:val="en-US"/>
        </w:rPr>
        <w:t>The share of income by source is illustrated in Chart 1 below.  Fee income from the global IP systems (PCT, Madrid and the Hague) represents 95.</w:t>
      </w:r>
      <w:r w:rsidR="006D689A">
        <w:rPr>
          <w:lang w:val="en-US"/>
        </w:rPr>
        <w:t>7</w:t>
      </w:r>
      <w:r w:rsidRPr="00733AA8">
        <w:rPr>
          <w:lang w:val="en-US"/>
        </w:rPr>
        <w:t xml:space="preserve"> per cent of total income.  PCT fee income alone represents 76.</w:t>
      </w:r>
      <w:r w:rsidR="006D689A">
        <w:rPr>
          <w:lang w:val="en-US"/>
        </w:rPr>
        <w:t>5</w:t>
      </w:r>
      <w:r w:rsidRPr="00733AA8">
        <w:rPr>
          <w:lang w:val="en-US"/>
        </w:rPr>
        <w:t xml:space="preserve"> per cent.</w:t>
      </w:r>
    </w:p>
    <w:p w14:paraId="2C6947B4" w14:textId="377F6594" w:rsidR="00733AA8" w:rsidRDefault="00733AA8" w:rsidP="002C0D27">
      <w:pPr>
        <w:pStyle w:val="NormalNumb"/>
        <w:numPr>
          <w:ilvl w:val="0"/>
          <w:numId w:val="0"/>
        </w:numPr>
        <w:spacing w:after="0"/>
        <w:ind w:left="142"/>
        <w:jc w:val="center"/>
        <w:rPr>
          <w:b/>
          <w:color w:val="005172" w:themeColor="text2"/>
        </w:rPr>
      </w:pPr>
      <w:r w:rsidRPr="00733AA8">
        <w:rPr>
          <w:b/>
          <w:color w:val="005172" w:themeColor="text2"/>
        </w:rPr>
        <w:t>Chart 1: 2024/25 Income Share by Source</w:t>
      </w:r>
    </w:p>
    <w:p w14:paraId="2D68ABCB" w14:textId="52E32D0C" w:rsidR="00605383" w:rsidRDefault="00605383" w:rsidP="002C0D27">
      <w:pPr>
        <w:pStyle w:val="NormalNumb"/>
        <w:numPr>
          <w:ilvl w:val="0"/>
          <w:numId w:val="0"/>
        </w:numPr>
        <w:spacing w:after="0"/>
        <w:ind w:left="142"/>
        <w:jc w:val="center"/>
        <w:rPr>
          <w:b/>
          <w:color w:val="005172" w:themeColor="text2"/>
        </w:rPr>
      </w:pPr>
    </w:p>
    <w:p w14:paraId="7E6CD01E" w14:textId="34B68415" w:rsidR="00434007" w:rsidRDefault="00605383" w:rsidP="002356E0">
      <w:pPr>
        <w:pStyle w:val="NormalNumb"/>
        <w:numPr>
          <w:ilvl w:val="0"/>
          <w:numId w:val="0"/>
        </w:numPr>
        <w:spacing w:after="0"/>
        <w:ind w:left="142"/>
        <w:jc w:val="center"/>
      </w:pPr>
      <w:r>
        <w:rPr>
          <w:noProof/>
          <w:lang w:val="en-US"/>
        </w:rPr>
        <w:drawing>
          <wp:inline distT="0" distB="0" distL="0" distR="0" wp14:anchorId="4B150426" wp14:editId="632A5528">
            <wp:extent cx="3261360" cy="1903445"/>
            <wp:effectExtent l="0" t="0" r="0" b="190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F791A1E" w14:textId="77777777" w:rsidR="00434007" w:rsidRPr="00D350B5" w:rsidRDefault="00434007" w:rsidP="00434007">
      <w:pPr>
        <w:pStyle w:val="TableAndChartTitle"/>
        <w:spacing w:before="0" w:after="0" w:line="240" w:lineRule="auto"/>
      </w:pPr>
      <w:r w:rsidRPr="00D350B5">
        <w:lastRenderedPageBreak/>
        <w:t>Table 2:  Income Estimates for 202</w:t>
      </w:r>
      <w:r>
        <w:t>4</w:t>
      </w:r>
      <w:r w:rsidRPr="00D350B5">
        <w:t>/2</w:t>
      </w:r>
      <w:r>
        <w:t>5</w:t>
      </w:r>
    </w:p>
    <w:p w14:paraId="53EBB741" w14:textId="77777777" w:rsidR="00434007" w:rsidRDefault="00434007" w:rsidP="00434007">
      <w:pPr>
        <w:pStyle w:val="TableAndChartTitleAddText"/>
        <w:spacing w:before="0" w:after="0" w:line="240" w:lineRule="auto"/>
        <w:rPr>
          <w:sz w:val="16"/>
        </w:rPr>
      </w:pPr>
      <w:r w:rsidRPr="00940625">
        <w:rPr>
          <w:sz w:val="16"/>
        </w:rPr>
        <w:t>(in millions of Swiss francs)</w:t>
      </w:r>
    </w:p>
    <w:p w14:paraId="35EAEAED" w14:textId="6C170330" w:rsidR="0024221C" w:rsidRDefault="0024221C" w:rsidP="006501C0">
      <w:pPr>
        <w:tabs>
          <w:tab w:val="left" w:pos="3420"/>
        </w:tabs>
        <w:spacing w:after="0" w:line="240" w:lineRule="auto"/>
        <w:rPr>
          <w:rFonts w:asciiTheme="minorHAnsi" w:hAnsiTheme="minorHAnsi"/>
          <w:sz w:val="22"/>
        </w:rPr>
      </w:pPr>
    </w:p>
    <w:tbl>
      <w:tblPr>
        <w:tblW w:w="9480" w:type="dxa"/>
        <w:jc w:val="center"/>
        <w:tblLook w:val="04A0" w:firstRow="1" w:lastRow="0" w:firstColumn="1" w:lastColumn="0" w:noHBand="0" w:noVBand="1"/>
      </w:tblPr>
      <w:tblGrid>
        <w:gridCol w:w="415"/>
        <w:gridCol w:w="415"/>
        <w:gridCol w:w="2752"/>
        <w:gridCol w:w="900"/>
        <w:gridCol w:w="900"/>
        <w:gridCol w:w="900"/>
        <w:gridCol w:w="812"/>
        <w:gridCol w:w="787"/>
        <w:gridCol w:w="812"/>
        <w:gridCol w:w="787"/>
      </w:tblGrid>
      <w:tr w:rsidR="00334E08" w:rsidRPr="00334E08" w14:paraId="1D1A3171" w14:textId="77777777" w:rsidTr="002356E0">
        <w:trPr>
          <w:trHeight w:val="585"/>
          <w:jc w:val="center"/>
        </w:trPr>
        <w:tc>
          <w:tcPr>
            <w:tcW w:w="415" w:type="dxa"/>
            <w:tcBorders>
              <w:top w:val="nil"/>
              <w:left w:val="nil"/>
              <w:bottom w:val="nil"/>
              <w:right w:val="nil"/>
            </w:tcBorders>
            <w:shd w:val="clear" w:color="000000" w:fill="C7CFD8"/>
            <w:noWrap/>
            <w:vAlign w:val="bottom"/>
            <w:hideMark/>
          </w:tcPr>
          <w:p w14:paraId="6207D41D"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415" w:type="dxa"/>
            <w:tcBorders>
              <w:top w:val="nil"/>
              <w:left w:val="nil"/>
              <w:bottom w:val="nil"/>
              <w:right w:val="nil"/>
            </w:tcBorders>
            <w:shd w:val="clear" w:color="000000" w:fill="C7CFD8"/>
            <w:noWrap/>
            <w:vAlign w:val="bottom"/>
            <w:hideMark/>
          </w:tcPr>
          <w:p w14:paraId="616146C8"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2752" w:type="dxa"/>
            <w:tcBorders>
              <w:top w:val="nil"/>
              <w:left w:val="nil"/>
              <w:bottom w:val="nil"/>
              <w:right w:val="nil"/>
            </w:tcBorders>
            <w:shd w:val="clear" w:color="000000" w:fill="C7CFD8"/>
            <w:noWrap/>
            <w:vAlign w:val="bottom"/>
            <w:hideMark/>
          </w:tcPr>
          <w:p w14:paraId="6BE55639"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900" w:type="dxa"/>
            <w:vMerge w:val="restart"/>
            <w:tcBorders>
              <w:top w:val="nil"/>
              <w:left w:val="nil"/>
              <w:bottom w:val="nil"/>
              <w:right w:val="nil"/>
            </w:tcBorders>
            <w:shd w:val="clear" w:color="000000" w:fill="C7CFD8"/>
            <w:vAlign w:val="center"/>
            <w:hideMark/>
          </w:tcPr>
          <w:p w14:paraId="5829B44E"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2022/23 PoW&amp;B Income Estimates</w:t>
            </w:r>
          </w:p>
        </w:tc>
        <w:tc>
          <w:tcPr>
            <w:tcW w:w="900" w:type="dxa"/>
            <w:vMerge w:val="restart"/>
            <w:tcBorders>
              <w:top w:val="nil"/>
              <w:left w:val="nil"/>
              <w:bottom w:val="nil"/>
              <w:right w:val="nil"/>
            </w:tcBorders>
            <w:shd w:val="clear" w:color="000000" w:fill="C7CFD8"/>
            <w:vAlign w:val="center"/>
            <w:hideMark/>
          </w:tcPr>
          <w:p w14:paraId="52F6E7E1"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2022/23 Updated Income Estimates</w:t>
            </w:r>
          </w:p>
        </w:tc>
        <w:tc>
          <w:tcPr>
            <w:tcW w:w="900" w:type="dxa"/>
            <w:vMerge w:val="restart"/>
            <w:tcBorders>
              <w:top w:val="nil"/>
              <w:left w:val="nil"/>
              <w:bottom w:val="nil"/>
              <w:right w:val="nil"/>
            </w:tcBorders>
            <w:shd w:val="clear" w:color="000000" w:fill="C7CFD8"/>
            <w:vAlign w:val="center"/>
            <w:hideMark/>
          </w:tcPr>
          <w:p w14:paraId="652A90E2"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2024/25</w:t>
            </w:r>
            <w:r w:rsidRPr="00334E08">
              <w:rPr>
                <w:rFonts w:ascii="Arial Narrow" w:eastAsia="Times New Roman" w:hAnsi="Arial Narrow" w:cs="Times New Roman"/>
                <w:b/>
                <w:bCs/>
                <w:color w:val="000000"/>
                <w:sz w:val="15"/>
                <w:szCs w:val="15"/>
                <w:lang w:val="en-US"/>
              </w:rPr>
              <w:br/>
              <w:t xml:space="preserve">Income Estimates </w:t>
            </w:r>
          </w:p>
        </w:tc>
        <w:tc>
          <w:tcPr>
            <w:tcW w:w="1599" w:type="dxa"/>
            <w:gridSpan w:val="2"/>
            <w:tcBorders>
              <w:top w:val="nil"/>
              <w:left w:val="nil"/>
              <w:bottom w:val="single" w:sz="4" w:space="0" w:color="748B9E"/>
              <w:right w:val="nil"/>
            </w:tcBorders>
            <w:shd w:val="clear" w:color="000000" w:fill="C7CFD8"/>
            <w:vAlign w:val="center"/>
            <w:hideMark/>
          </w:tcPr>
          <w:p w14:paraId="2D050864"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 xml:space="preserve">2024/25 </w:t>
            </w:r>
            <w:r w:rsidRPr="00334E08">
              <w:rPr>
                <w:rFonts w:ascii="Arial Narrow" w:eastAsia="Times New Roman" w:hAnsi="Arial Narrow" w:cs="Times New Roman"/>
                <w:b/>
                <w:bCs/>
                <w:color w:val="000000"/>
                <w:sz w:val="15"/>
                <w:szCs w:val="15"/>
                <w:lang w:val="en-US"/>
              </w:rPr>
              <w:br/>
              <w:t xml:space="preserve">vs. 2022/23 PoW&amp;B </w:t>
            </w:r>
          </w:p>
        </w:tc>
        <w:tc>
          <w:tcPr>
            <w:tcW w:w="1599" w:type="dxa"/>
            <w:gridSpan w:val="2"/>
            <w:tcBorders>
              <w:top w:val="nil"/>
              <w:left w:val="nil"/>
              <w:bottom w:val="single" w:sz="4" w:space="0" w:color="748B9E"/>
              <w:right w:val="nil"/>
            </w:tcBorders>
            <w:shd w:val="clear" w:color="000000" w:fill="C7CFD8"/>
            <w:vAlign w:val="center"/>
            <w:hideMark/>
          </w:tcPr>
          <w:p w14:paraId="351FB973"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2024/25</w:t>
            </w:r>
            <w:r w:rsidRPr="00334E08">
              <w:rPr>
                <w:rFonts w:ascii="Arial Narrow" w:eastAsia="Times New Roman" w:hAnsi="Arial Narrow" w:cs="Times New Roman"/>
                <w:b/>
                <w:bCs/>
                <w:color w:val="000000"/>
                <w:sz w:val="15"/>
                <w:szCs w:val="15"/>
                <w:lang w:val="en-US"/>
              </w:rPr>
              <w:br/>
              <w:t xml:space="preserve">vs. 2022/23 Updated Estimates </w:t>
            </w:r>
          </w:p>
        </w:tc>
      </w:tr>
      <w:tr w:rsidR="00334E08" w:rsidRPr="00334E08" w14:paraId="5331461D" w14:textId="77777777" w:rsidTr="002356E0">
        <w:trPr>
          <w:trHeight w:val="300"/>
          <w:jc w:val="center"/>
        </w:trPr>
        <w:tc>
          <w:tcPr>
            <w:tcW w:w="415" w:type="dxa"/>
            <w:tcBorders>
              <w:top w:val="nil"/>
              <w:left w:val="nil"/>
              <w:bottom w:val="nil"/>
              <w:right w:val="nil"/>
            </w:tcBorders>
            <w:shd w:val="clear" w:color="000000" w:fill="C7CFD8"/>
            <w:noWrap/>
            <w:hideMark/>
          </w:tcPr>
          <w:p w14:paraId="10E78C87"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415" w:type="dxa"/>
            <w:tcBorders>
              <w:top w:val="nil"/>
              <w:left w:val="nil"/>
              <w:bottom w:val="nil"/>
              <w:right w:val="nil"/>
            </w:tcBorders>
            <w:shd w:val="clear" w:color="000000" w:fill="C7CFD8"/>
            <w:noWrap/>
            <w:hideMark/>
          </w:tcPr>
          <w:p w14:paraId="1E06CDAB"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2752" w:type="dxa"/>
            <w:tcBorders>
              <w:top w:val="nil"/>
              <w:left w:val="nil"/>
              <w:bottom w:val="nil"/>
              <w:right w:val="nil"/>
            </w:tcBorders>
            <w:shd w:val="clear" w:color="000000" w:fill="C7CFD8"/>
            <w:noWrap/>
            <w:hideMark/>
          </w:tcPr>
          <w:p w14:paraId="060CDC8F" w14:textId="77777777" w:rsidR="00334E08" w:rsidRPr="00334E08" w:rsidRDefault="00334E08" w:rsidP="00334E08">
            <w:pPr>
              <w:spacing w:after="0" w:line="240" w:lineRule="auto"/>
              <w:rPr>
                <w:rFonts w:ascii="Arial Narrow" w:eastAsia="Times New Roman" w:hAnsi="Arial Narrow" w:cs="Times New Roman"/>
                <w:color w:val="000000"/>
                <w:sz w:val="15"/>
                <w:szCs w:val="15"/>
                <w:lang w:val="en-US"/>
              </w:rPr>
            </w:pPr>
            <w:r w:rsidRPr="00334E08">
              <w:rPr>
                <w:rFonts w:ascii="Arial Narrow" w:eastAsia="Times New Roman" w:hAnsi="Arial Narrow" w:cs="Times New Roman"/>
                <w:color w:val="000000"/>
                <w:sz w:val="15"/>
                <w:szCs w:val="15"/>
                <w:lang w:val="en-US"/>
              </w:rPr>
              <w:t> </w:t>
            </w:r>
          </w:p>
        </w:tc>
        <w:tc>
          <w:tcPr>
            <w:tcW w:w="900" w:type="dxa"/>
            <w:vMerge/>
            <w:tcBorders>
              <w:top w:val="nil"/>
              <w:left w:val="nil"/>
              <w:bottom w:val="nil"/>
              <w:right w:val="nil"/>
            </w:tcBorders>
            <w:vAlign w:val="center"/>
            <w:hideMark/>
          </w:tcPr>
          <w:p w14:paraId="36761FB5" w14:textId="77777777" w:rsidR="00334E08" w:rsidRPr="00334E08" w:rsidRDefault="00334E08" w:rsidP="00334E08">
            <w:pPr>
              <w:spacing w:after="0" w:line="240" w:lineRule="auto"/>
              <w:rPr>
                <w:rFonts w:ascii="Arial Narrow" w:eastAsia="Times New Roman" w:hAnsi="Arial Narrow" w:cs="Times New Roman"/>
                <w:b/>
                <w:bCs/>
                <w:color w:val="000000"/>
                <w:sz w:val="15"/>
                <w:szCs w:val="15"/>
                <w:lang w:val="en-US"/>
              </w:rPr>
            </w:pPr>
          </w:p>
        </w:tc>
        <w:tc>
          <w:tcPr>
            <w:tcW w:w="900" w:type="dxa"/>
            <w:vMerge/>
            <w:tcBorders>
              <w:top w:val="nil"/>
              <w:left w:val="nil"/>
              <w:bottom w:val="nil"/>
              <w:right w:val="nil"/>
            </w:tcBorders>
            <w:vAlign w:val="center"/>
            <w:hideMark/>
          </w:tcPr>
          <w:p w14:paraId="6CAB40B6" w14:textId="77777777" w:rsidR="00334E08" w:rsidRPr="00334E08" w:rsidRDefault="00334E08" w:rsidP="00334E08">
            <w:pPr>
              <w:spacing w:after="0" w:line="240" w:lineRule="auto"/>
              <w:rPr>
                <w:rFonts w:ascii="Arial Narrow" w:eastAsia="Times New Roman" w:hAnsi="Arial Narrow" w:cs="Times New Roman"/>
                <w:b/>
                <w:bCs/>
                <w:color w:val="000000"/>
                <w:sz w:val="15"/>
                <w:szCs w:val="15"/>
                <w:lang w:val="en-US"/>
              </w:rPr>
            </w:pPr>
          </w:p>
        </w:tc>
        <w:tc>
          <w:tcPr>
            <w:tcW w:w="900" w:type="dxa"/>
            <w:vMerge/>
            <w:tcBorders>
              <w:top w:val="nil"/>
              <w:left w:val="nil"/>
              <w:bottom w:val="nil"/>
              <w:right w:val="nil"/>
            </w:tcBorders>
            <w:vAlign w:val="center"/>
            <w:hideMark/>
          </w:tcPr>
          <w:p w14:paraId="00DE7DC8" w14:textId="77777777" w:rsidR="00334E08" w:rsidRPr="00334E08" w:rsidRDefault="00334E08" w:rsidP="00334E08">
            <w:pPr>
              <w:spacing w:after="0" w:line="240" w:lineRule="auto"/>
              <w:rPr>
                <w:rFonts w:ascii="Arial Narrow" w:eastAsia="Times New Roman" w:hAnsi="Arial Narrow" w:cs="Times New Roman"/>
                <w:b/>
                <w:bCs/>
                <w:color w:val="000000"/>
                <w:sz w:val="15"/>
                <w:szCs w:val="15"/>
                <w:lang w:val="en-US"/>
              </w:rPr>
            </w:pPr>
          </w:p>
        </w:tc>
        <w:tc>
          <w:tcPr>
            <w:tcW w:w="812" w:type="dxa"/>
            <w:tcBorders>
              <w:top w:val="nil"/>
              <w:left w:val="nil"/>
              <w:bottom w:val="nil"/>
              <w:right w:val="nil"/>
            </w:tcBorders>
            <w:shd w:val="clear" w:color="000000" w:fill="C7CFD8"/>
            <w:noWrap/>
            <w:vAlign w:val="center"/>
            <w:hideMark/>
          </w:tcPr>
          <w:p w14:paraId="728C1847"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Amount</w:t>
            </w:r>
          </w:p>
        </w:tc>
        <w:tc>
          <w:tcPr>
            <w:tcW w:w="787" w:type="dxa"/>
            <w:tcBorders>
              <w:top w:val="nil"/>
              <w:left w:val="nil"/>
              <w:bottom w:val="nil"/>
              <w:right w:val="nil"/>
            </w:tcBorders>
            <w:shd w:val="clear" w:color="000000" w:fill="C7CFD8"/>
            <w:noWrap/>
            <w:vAlign w:val="center"/>
            <w:hideMark/>
          </w:tcPr>
          <w:p w14:paraId="038C4599"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w:t>
            </w:r>
          </w:p>
        </w:tc>
        <w:tc>
          <w:tcPr>
            <w:tcW w:w="812" w:type="dxa"/>
            <w:tcBorders>
              <w:top w:val="nil"/>
              <w:left w:val="nil"/>
              <w:bottom w:val="nil"/>
              <w:right w:val="nil"/>
            </w:tcBorders>
            <w:shd w:val="clear" w:color="000000" w:fill="C7CFD8"/>
            <w:noWrap/>
            <w:vAlign w:val="center"/>
            <w:hideMark/>
          </w:tcPr>
          <w:p w14:paraId="3756A984"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Amount</w:t>
            </w:r>
          </w:p>
        </w:tc>
        <w:tc>
          <w:tcPr>
            <w:tcW w:w="787" w:type="dxa"/>
            <w:tcBorders>
              <w:top w:val="nil"/>
              <w:left w:val="nil"/>
              <w:bottom w:val="nil"/>
              <w:right w:val="nil"/>
            </w:tcBorders>
            <w:shd w:val="clear" w:color="000000" w:fill="C7CFD8"/>
            <w:noWrap/>
            <w:vAlign w:val="center"/>
            <w:hideMark/>
          </w:tcPr>
          <w:p w14:paraId="12B209DE"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r w:rsidRPr="00334E08">
              <w:rPr>
                <w:rFonts w:ascii="Arial Narrow" w:eastAsia="Times New Roman" w:hAnsi="Arial Narrow" w:cs="Times New Roman"/>
                <w:b/>
                <w:bCs/>
                <w:color w:val="000000"/>
                <w:sz w:val="15"/>
                <w:szCs w:val="15"/>
                <w:lang w:val="en-US"/>
              </w:rPr>
              <w:t>%</w:t>
            </w:r>
          </w:p>
        </w:tc>
      </w:tr>
      <w:tr w:rsidR="00334E08" w:rsidRPr="00334E08" w14:paraId="616C271F" w14:textId="77777777" w:rsidTr="002356E0">
        <w:trPr>
          <w:trHeight w:val="135"/>
          <w:jc w:val="center"/>
        </w:trPr>
        <w:tc>
          <w:tcPr>
            <w:tcW w:w="415" w:type="dxa"/>
            <w:tcBorders>
              <w:top w:val="nil"/>
              <w:left w:val="nil"/>
              <w:bottom w:val="nil"/>
              <w:right w:val="nil"/>
            </w:tcBorders>
            <w:shd w:val="clear" w:color="auto" w:fill="auto"/>
            <w:noWrap/>
            <w:hideMark/>
          </w:tcPr>
          <w:p w14:paraId="245BB6C8" w14:textId="77777777" w:rsidR="00334E08" w:rsidRPr="00334E08" w:rsidRDefault="00334E08" w:rsidP="00334E08">
            <w:pPr>
              <w:spacing w:after="0" w:line="240" w:lineRule="auto"/>
              <w:jc w:val="center"/>
              <w:rPr>
                <w:rFonts w:ascii="Arial Narrow" w:eastAsia="Times New Roman" w:hAnsi="Arial Narrow" w:cs="Times New Roman"/>
                <w:b/>
                <w:bCs/>
                <w:color w:val="000000"/>
                <w:sz w:val="15"/>
                <w:szCs w:val="15"/>
                <w:lang w:val="en-US"/>
              </w:rPr>
            </w:pPr>
          </w:p>
        </w:tc>
        <w:tc>
          <w:tcPr>
            <w:tcW w:w="415" w:type="dxa"/>
            <w:tcBorders>
              <w:top w:val="nil"/>
              <w:left w:val="nil"/>
              <w:bottom w:val="nil"/>
              <w:right w:val="nil"/>
            </w:tcBorders>
            <w:shd w:val="clear" w:color="auto" w:fill="auto"/>
            <w:noWrap/>
            <w:hideMark/>
          </w:tcPr>
          <w:p w14:paraId="6D7FCDE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2752" w:type="dxa"/>
            <w:tcBorders>
              <w:top w:val="nil"/>
              <w:left w:val="nil"/>
              <w:bottom w:val="nil"/>
              <w:right w:val="nil"/>
            </w:tcBorders>
            <w:shd w:val="clear" w:color="auto" w:fill="auto"/>
            <w:hideMark/>
          </w:tcPr>
          <w:p w14:paraId="5B0A058E"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2A840A1B"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26846868"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40A612E8"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3E301FCE"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5740ED4A"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70DC0659"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43EC75B3"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r>
      <w:tr w:rsidR="00334E08" w:rsidRPr="00334E08" w14:paraId="1D780AA6" w14:textId="77777777" w:rsidTr="002356E0">
        <w:trPr>
          <w:trHeight w:val="240"/>
          <w:jc w:val="center"/>
        </w:trPr>
        <w:tc>
          <w:tcPr>
            <w:tcW w:w="415" w:type="dxa"/>
            <w:tcBorders>
              <w:top w:val="nil"/>
              <w:left w:val="nil"/>
              <w:bottom w:val="nil"/>
              <w:right w:val="nil"/>
            </w:tcBorders>
            <w:shd w:val="clear" w:color="auto" w:fill="auto"/>
            <w:noWrap/>
            <w:hideMark/>
          </w:tcPr>
          <w:p w14:paraId="0D25BAF7"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3167" w:type="dxa"/>
            <w:gridSpan w:val="2"/>
            <w:tcBorders>
              <w:top w:val="nil"/>
              <w:left w:val="nil"/>
              <w:bottom w:val="nil"/>
              <w:right w:val="nil"/>
            </w:tcBorders>
            <w:shd w:val="clear" w:color="auto" w:fill="auto"/>
            <w:noWrap/>
            <w:hideMark/>
          </w:tcPr>
          <w:p w14:paraId="7B823C04"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Fees</w:t>
            </w:r>
          </w:p>
        </w:tc>
        <w:tc>
          <w:tcPr>
            <w:tcW w:w="900" w:type="dxa"/>
            <w:tcBorders>
              <w:top w:val="nil"/>
              <w:left w:val="nil"/>
              <w:bottom w:val="nil"/>
              <w:right w:val="nil"/>
            </w:tcBorders>
            <w:shd w:val="clear" w:color="auto" w:fill="auto"/>
            <w:noWrap/>
            <w:hideMark/>
          </w:tcPr>
          <w:p w14:paraId="4E455EB0" w14:textId="77777777" w:rsidR="00334E08" w:rsidRPr="00334E08" w:rsidRDefault="00334E08" w:rsidP="00334E08">
            <w:pPr>
              <w:spacing w:after="0" w:line="240" w:lineRule="auto"/>
              <w:rPr>
                <w:rFonts w:ascii="Arial Narrow" w:eastAsia="Times New Roman" w:hAnsi="Arial Narrow" w:cs="Times New Roman"/>
                <w:sz w:val="15"/>
                <w:szCs w:val="15"/>
                <w:lang w:val="en-US"/>
              </w:rPr>
            </w:pPr>
          </w:p>
        </w:tc>
        <w:tc>
          <w:tcPr>
            <w:tcW w:w="900" w:type="dxa"/>
            <w:tcBorders>
              <w:top w:val="nil"/>
              <w:left w:val="nil"/>
              <w:bottom w:val="nil"/>
              <w:right w:val="nil"/>
            </w:tcBorders>
            <w:shd w:val="clear" w:color="auto" w:fill="auto"/>
            <w:noWrap/>
            <w:hideMark/>
          </w:tcPr>
          <w:p w14:paraId="564E5BE1"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1727ADB1"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683F28CE"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5A0D47F1"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4A8DD1F9"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3DBD2D1A"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r>
      <w:tr w:rsidR="00334E08" w:rsidRPr="00334E08" w14:paraId="2DC944A9" w14:textId="77777777" w:rsidTr="002356E0">
        <w:trPr>
          <w:trHeight w:val="240"/>
          <w:jc w:val="center"/>
        </w:trPr>
        <w:tc>
          <w:tcPr>
            <w:tcW w:w="415" w:type="dxa"/>
            <w:tcBorders>
              <w:top w:val="nil"/>
              <w:left w:val="nil"/>
              <w:bottom w:val="nil"/>
              <w:right w:val="nil"/>
            </w:tcBorders>
            <w:shd w:val="clear" w:color="auto" w:fill="auto"/>
            <w:noWrap/>
            <w:hideMark/>
          </w:tcPr>
          <w:p w14:paraId="213D51BB"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hideMark/>
          </w:tcPr>
          <w:p w14:paraId="48753B17" w14:textId="77777777" w:rsidR="00334E08" w:rsidRPr="00334E08" w:rsidRDefault="00334E08" w:rsidP="00334E08">
            <w:pPr>
              <w:spacing w:after="0" w:line="240" w:lineRule="auto"/>
              <w:ind w:firstLineChars="100" w:firstLine="150"/>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PCT</w:t>
            </w:r>
          </w:p>
        </w:tc>
        <w:tc>
          <w:tcPr>
            <w:tcW w:w="900" w:type="dxa"/>
            <w:tcBorders>
              <w:top w:val="nil"/>
              <w:left w:val="nil"/>
              <w:bottom w:val="nil"/>
              <w:right w:val="nil"/>
            </w:tcBorders>
            <w:shd w:val="clear" w:color="auto" w:fill="auto"/>
            <w:noWrap/>
            <w:hideMark/>
          </w:tcPr>
          <w:p w14:paraId="5468B81F"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736.9</w:t>
            </w:r>
          </w:p>
        </w:tc>
        <w:tc>
          <w:tcPr>
            <w:tcW w:w="900" w:type="dxa"/>
            <w:tcBorders>
              <w:top w:val="nil"/>
              <w:left w:val="nil"/>
              <w:bottom w:val="nil"/>
              <w:right w:val="nil"/>
            </w:tcBorders>
            <w:shd w:val="clear" w:color="auto" w:fill="auto"/>
            <w:noWrap/>
            <w:hideMark/>
          </w:tcPr>
          <w:p w14:paraId="506C642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760.5</w:t>
            </w:r>
          </w:p>
        </w:tc>
        <w:tc>
          <w:tcPr>
            <w:tcW w:w="900" w:type="dxa"/>
            <w:tcBorders>
              <w:top w:val="nil"/>
              <w:left w:val="nil"/>
              <w:bottom w:val="nil"/>
              <w:right w:val="nil"/>
            </w:tcBorders>
            <w:shd w:val="clear" w:color="auto" w:fill="auto"/>
            <w:noWrap/>
            <w:hideMark/>
          </w:tcPr>
          <w:p w14:paraId="694A7B9D"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743.7</w:t>
            </w:r>
          </w:p>
        </w:tc>
        <w:tc>
          <w:tcPr>
            <w:tcW w:w="812" w:type="dxa"/>
            <w:tcBorders>
              <w:top w:val="nil"/>
              <w:left w:val="nil"/>
              <w:bottom w:val="nil"/>
              <w:right w:val="nil"/>
            </w:tcBorders>
            <w:shd w:val="clear" w:color="auto" w:fill="auto"/>
            <w:noWrap/>
            <w:hideMark/>
          </w:tcPr>
          <w:p w14:paraId="69751B4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6.8</w:t>
            </w:r>
          </w:p>
        </w:tc>
        <w:tc>
          <w:tcPr>
            <w:tcW w:w="787" w:type="dxa"/>
            <w:tcBorders>
              <w:top w:val="nil"/>
              <w:left w:val="nil"/>
              <w:bottom w:val="nil"/>
              <w:right w:val="nil"/>
            </w:tcBorders>
            <w:shd w:val="clear" w:color="auto" w:fill="auto"/>
            <w:hideMark/>
          </w:tcPr>
          <w:p w14:paraId="4CA3C264"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0.9%</w:t>
            </w:r>
          </w:p>
        </w:tc>
        <w:tc>
          <w:tcPr>
            <w:tcW w:w="812" w:type="dxa"/>
            <w:tcBorders>
              <w:top w:val="nil"/>
              <w:left w:val="nil"/>
              <w:bottom w:val="nil"/>
              <w:right w:val="nil"/>
            </w:tcBorders>
            <w:shd w:val="clear" w:color="auto" w:fill="auto"/>
            <w:noWrap/>
            <w:hideMark/>
          </w:tcPr>
          <w:p w14:paraId="41654321"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(16.8)</w:t>
            </w:r>
          </w:p>
        </w:tc>
        <w:tc>
          <w:tcPr>
            <w:tcW w:w="787" w:type="dxa"/>
            <w:tcBorders>
              <w:top w:val="nil"/>
              <w:left w:val="nil"/>
              <w:bottom w:val="nil"/>
              <w:right w:val="nil"/>
            </w:tcBorders>
            <w:shd w:val="clear" w:color="auto" w:fill="auto"/>
            <w:hideMark/>
          </w:tcPr>
          <w:p w14:paraId="64CD29CB"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-2.2%</w:t>
            </w:r>
          </w:p>
        </w:tc>
      </w:tr>
      <w:tr w:rsidR="00334E08" w:rsidRPr="00334E08" w14:paraId="575168C7" w14:textId="77777777" w:rsidTr="002356E0">
        <w:trPr>
          <w:trHeight w:val="240"/>
          <w:jc w:val="center"/>
        </w:trPr>
        <w:tc>
          <w:tcPr>
            <w:tcW w:w="415" w:type="dxa"/>
            <w:tcBorders>
              <w:top w:val="nil"/>
              <w:left w:val="nil"/>
              <w:bottom w:val="nil"/>
              <w:right w:val="nil"/>
            </w:tcBorders>
            <w:shd w:val="clear" w:color="auto" w:fill="auto"/>
            <w:noWrap/>
            <w:hideMark/>
          </w:tcPr>
          <w:p w14:paraId="1D5BE129"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hideMark/>
          </w:tcPr>
          <w:p w14:paraId="68D9AC99" w14:textId="77777777" w:rsidR="00334E08" w:rsidRPr="00334E08" w:rsidRDefault="00334E08" w:rsidP="00334E08">
            <w:pPr>
              <w:spacing w:after="0" w:line="240" w:lineRule="auto"/>
              <w:ind w:firstLineChars="100" w:firstLine="150"/>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Madrid</w:t>
            </w:r>
          </w:p>
        </w:tc>
        <w:tc>
          <w:tcPr>
            <w:tcW w:w="900" w:type="dxa"/>
            <w:tcBorders>
              <w:top w:val="nil"/>
              <w:left w:val="nil"/>
              <w:bottom w:val="nil"/>
              <w:right w:val="nil"/>
            </w:tcBorders>
            <w:shd w:val="clear" w:color="auto" w:fill="auto"/>
            <w:noWrap/>
            <w:hideMark/>
          </w:tcPr>
          <w:p w14:paraId="01BF4719"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160.0</w:t>
            </w:r>
          </w:p>
        </w:tc>
        <w:tc>
          <w:tcPr>
            <w:tcW w:w="900" w:type="dxa"/>
            <w:tcBorders>
              <w:top w:val="nil"/>
              <w:left w:val="nil"/>
              <w:bottom w:val="nil"/>
              <w:right w:val="nil"/>
            </w:tcBorders>
            <w:shd w:val="clear" w:color="auto" w:fill="auto"/>
            <w:noWrap/>
            <w:hideMark/>
          </w:tcPr>
          <w:p w14:paraId="22173192"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172.7</w:t>
            </w:r>
          </w:p>
        </w:tc>
        <w:tc>
          <w:tcPr>
            <w:tcW w:w="900" w:type="dxa"/>
            <w:tcBorders>
              <w:top w:val="nil"/>
              <w:left w:val="nil"/>
              <w:bottom w:val="nil"/>
              <w:right w:val="nil"/>
            </w:tcBorders>
            <w:shd w:val="clear" w:color="auto" w:fill="auto"/>
            <w:noWrap/>
            <w:hideMark/>
          </w:tcPr>
          <w:p w14:paraId="6ED57D50"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170.7</w:t>
            </w:r>
          </w:p>
        </w:tc>
        <w:tc>
          <w:tcPr>
            <w:tcW w:w="812" w:type="dxa"/>
            <w:tcBorders>
              <w:top w:val="nil"/>
              <w:left w:val="nil"/>
              <w:bottom w:val="nil"/>
              <w:right w:val="nil"/>
            </w:tcBorders>
            <w:shd w:val="clear" w:color="auto" w:fill="auto"/>
            <w:noWrap/>
            <w:hideMark/>
          </w:tcPr>
          <w:p w14:paraId="0F355DA7"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10.7</w:t>
            </w:r>
          </w:p>
        </w:tc>
        <w:tc>
          <w:tcPr>
            <w:tcW w:w="787" w:type="dxa"/>
            <w:tcBorders>
              <w:top w:val="nil"/>
              <w:left w:val="nil"/>
              <w:bottom w:val="nil"/>
              <w:right w:val="nil"/>
            </w:tcBorders>
            <w:shd w:val="clear" w:color="auto" w:fill="auto"/>
            <w:hideMark/>
          </w:tcPr>
          <w:p w14:paraId="0D567F4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6.7%</w:t>
            </w:r>
          </w:p>
        </w:tc>
        <w:tc>
          <w:tcPr>
            <w:tcW w:w="812" w:type="dxa"/>
            <w:tcBorders>
              <w:top w:val="nil"/>
              <w:left w:val="nil"/>
              <w:bottom w:val="nil"/>
              <w:right w:val="nil"/>
            </w:tcBorders>
            <w:shd w:val="clear" w:color="auto" w:fill="auto"/>
            <w:noWrap/>
            <w:hideMark/>
          </w:tcPr>
          <w:p w14:paraId="4A5C7AD6"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(2.0)</w:t>
            </w:r>
          </w:p>
        </w:tc>
        <w:tc>
          <w:tcPr>
            <w:tcW w:w="787" w:type="dxa"/>
            <w:tcBorders>
              <w:top w:val="nil"/>
              <w:left w:val="nil"/>
              <w:bottom w:val="nil"/>
              <w:right w:val="nil"/>
            </w:tcBorders>
            <w:shd w:val="clear" w:color="auto" w:fill="auto"/>
            <w:hideMark/>
          </w:tcPr>
          <w:p w14:paraId="58E1539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-1.2%</w:t>
            </w:r>
          </w:p>
        </w:tc>
      </w:tr>
      <w:tr w:rsidR="00334E08" w:rsidRPr="00334E08" w14:paraId="5BDB74DD" w14:textId="77777777" w:rsidTr="002356E0">
        <w:trPr>
          <w:trHeight w:val="240"/>
          <w:jc w:val="center"/>
        </w:trPr>
        <w:tc>
          <w:tcPr>
            <w:tcW w:w="415" w:type="dxa"/>
            <w:tcBorders>
              <w:top w:val="nil"/>
              <w:left w:val="nil"/>
              <w:bottom w:val="nil"/>
              <w:right w:val="nil"/>
            </w:tcBorders>
            <w:shd w:val="clear" w:color="auto" w:fill="auto"/>
            <w:noWrap/>
            <w:hideMark/>
          </w:tcPr>
          <w:p w14:paraId="692D83B7"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hideMark/>
          </w:tcPr>
          <w:p w14:paraId="1222F320" w14:textId="77777777" w:rsidR="00334E08" w:rsidRPr="00334E08" w:rsidRDefault="00334E08" w:rsidP="00334E08">
            <w:pPr>
              <w:spacing w:after="0" w:line="240" w:lineRule="auto"/>
              <w:ind w:firstLineChars="100" w:firstLine="150"/>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Hague</w:t>
            </w:r>
          </w:p>
        </w:tc>
        <w:tc>
          <w:tcPr>
            <w:tcW w:w="900" w:type="dxa"/>
            <w:tcBorders>
              <w:top w:val="nil"/>
              <w:left w:val="nil"/>
              <w:bottom w:val="nil"/>
              <w:right w:val="nil"/>
            </w:tcBorders>
            <w:shd w:val="clear" w:color="auto" w:fill="auto"/>
            <w:noWrap/>
            <w:hideMark/>
          </w:tcPr>
          <w:p w14:paraId="61D5DED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12.2</w:t>
            </w:r>
          </w:p>
        </w:tc>
        <w:tc>
          <w:tcPr>
            <w:tcW w:w="900" w:type="dxa"/>
            <w:tcBorders>
              <w:top w:val="nil"/>
              <w:left w:val="nil"/>
              <w:bottom w:val="nil"/>
              <w:right w:val="nil"/>
            </w:tcBorders>
            <w:shd w:val="clear" w:color="auto" w:fill="auto"/>
            <w:noWrap/>
            <w:hideMark/>
          </w:tcPr>
          <w:p w14:paraId="64D23A7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14.6</w:t>
            </w:r>
          </w:p>
        </w:tc>
        <w:tc>
          <w:tcPr>
            <w:tcW w:w="900" w:type="dxa"/>
            <w:tcBorders>
              <w:top w:val="nil"/>
              <w:left w:val="nil"/>
              <w:bottom w:val="nil"/>
              <w:right w:val="nil"/>
            </w:tcBorders>
            <w:shd w:val="clear" w:color="auto" w:fill="auto"/>
            <w:noWrap/>
            <w:hideMark/>
          </w:tcPr>
          <w:p w14:paraId="7018C934"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16.4</w:t>
            </w:r>
          </w:p>
        </w:tc>
        <w:tc>
          <w:tcPr>
            <w:tcW w:w="812" w:type="dxa"/>
            <w:tcBorders>
              <w:top w:val="nil"/>
              <w:left w:val="nil"/>
              <w:bottom w:val="nil"/>
              <w:right w:val="nil"/>
            </w:tcBorders>
            <w:shd w:val="clear" w:color="auto" w:fill="auto"/>
            <w:noWrap/>
            <w:hideMark/>
          </w:tcPr>
          <w:p w14:paraId="01EBCD06"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4.2</w:t>
            </w:r>
          </w:p>
        </w:tc>
        <w:tc>
          <w:tcPr>
            <w:tcW w:w="787" w:type="dxa"/>
            <w:tcBorders>
              <w:top w:val="nil"/>
              <w:left w:val="nil"/>
              <w:bottom w:val="nil"/>
              <w:right w:val="nil"/>
            </w:tcBorders>
            <w:shd w:val="clear" w:color="auto" w:fill="auto"/>
            <w:hideMark/>
          </w:tcPr>
          <w:p w14:paraId="4E251FD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34.4%</w:t>
            </w:r>
          </w:p>
        </w:tc>
        <w:tc>
          <w:tcPr>
            <w:tcW w:w="812" w:type="dxa"/>
            <w:tcBorders>
              <w:top w:val="nil"/>
              <w:left w:val="nil"/>
              <w:bottom w:val="nil"/>
              <w:right w:val="nil"/>
            </w:tcBorders>
            <w:shd w:val="clear" w:color="auto" w:fill="auto"/>
            <w:noWrap/>
            <w:hideMark/>
          </w:tcPr>
          <w:p w14:paraId="014371F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1.9</w:t>
            </w:r>
          </w:p>
        </w:tc>
        <w:tc>
          <w:tcPr>
            <w:tcW w:w="787" w:type="dxa"/>
            <w:tcBorders>
              <w:top w:val="nil"/>
              <w:left w:val="nil"/>
              <w:bottom w:val="nil"/>
              <w:right w:val="nil"/>
            </w:tcBorders>
            <w:shd w:val="clear" w:color="auto" w:fill="auto"/>
            <w:hideMark/>
          </w:tcPr>
          <w:p w14:paraId="13771E8B"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12.9%</w:t>
            </w:r>
          </w:p>
        </w:tc>
      </w:tr>
      <w:tr w:rsidR="00334E08" w:rsidRPr="00334E08" w14:paraId="3B11A1E3" w14:textId="77777777" w:rsidTr="002356E0">
        <w:trPr>
          <w:trHeight w:val="240"/>
          <w:jc w:val="center"/>
        </w:trPr>
        <w:tc>
          <w:tcPr>
            <w:tcW w:w="415" w:type="dxa"/>
            <w:tcBorders>
              <w:top w:val="nil"/>
              <w:left w:val="nil"/>
              <w:bottom w:val="nil"/>
              <w:right w:val="nil"/>
            </w:tcBorders>
            <w:shd w:val="clear" w:color="auto" w:fill="auto"/>
            <w:noWrap/>
            <w:hideMark/>
          </w:tcPr>
          <w:p w14:paraId="0D1F3ABC"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single" w:sz="4" w:space="0" w:color="BFBFBF"/>
              <w:right w:val="nil"/>
            </w:tcBorders>
            <w:shd w:val="clear" w:color="auto" w:fill="auto"/>
            <w:noWrap/>
            <w:hideMark/>
          </w:tcPr>
          <w:p w14:paraId="021D046F" w14:textId="77777777" w:rsidR="00334E08" w:rsidRPr="00334E08" w:rsidRDefault="00334E08" w:rsidP="00334E08">
            <w:pPr>
              <w:spacing w:after="0" w:line="240" w:lineRule="auto"/>
              <w:ind w:firstLineChars="100" w:firstLine="150"/>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Lisbon</w:t>
            </w:r>
          </w:p>
        </w:tc>
        <w:tc>
          <w:tcPr>
            <w:tcW w:w="900" w:type="dxa"/>
            <w:tcBorders>
              <w:top w:val="nil"/>
              <w:left w:val="nil"/>
              <w:bottom w:val="single" w:sz="4" w:space="0" w:color="BFBFBF"/>
              <w:right w:val="nil"/>
            </w:tcBorders>
            <w:shd w:val="clear" w:color="auto" w:fill="auto"/>
            <w:noWrap/>
            <w:hideMark/>
          </w:tcPr>
          <w:p w14:paraId="2E3FCA67"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0.2</w:t>
            </w:r>
          </w:p>
        </w:tc>
        <w:tc>
          <w:tcPr>
            <w:tcW w:w="900" w:type="dxa"/>
            <w:tcBorders>
              <w:top w:val="nil"/>
              <w:left w:val="nil"/>
              <w:bottom w:val="single" w:sz="4" w:space="0" w:color="BFBFBF"/>
              <w:right w:val="nil"/>
            </w:tcBorders>
            <w:shd w:val="clear" w:color="auto" w:fill="auto"/>
            <w:noWrap/>
            <w:hideMark/>
          </w:tcPr>
          <w:p w14:paraId="60448E1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0.2</w:t>
            </w:r>
          </w:p>
        </w:tc>
        <w:tc>
          <w:tcPr>
            <w:tcW w:w="900" w:type="dxa"/>
            <w:tcBorders>
              <w:top w:val="nil"/>
              <w:left w:val="nil"/>
              <w:bottom w:val="single" w:sz="4" w:space="0" w:color="BFBFBF"/>
              <w:right w:val="nil"/>
            </w:tcBorders>
            <w:shd w:val="clear" w:color="auto" w:fill="auto"/>
            <w:noWrap/>
            <w:hideMark/>
          </w:tcPr>
          <w:p w14:paraId="410CBDF6"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0.2</w:t>
            </w:r>
          </w:p>
        </w:tc>
        <w:tc>
          <w:tcPr>
            <w:tcW w:w="812" w:type="dxa"/>
            <w:tcBorders>
              <w:top w:val="nil"/>
              <w:left w:val="nil"/>
              <w:bottom w:val="single" w:sz="4" w:space="0" w:color="A6A6A6"/>
              <w:right w:val="nil"/>
            </w:tcBorders>
            <w:shd w:val="clear" w:color="auto" w:fill="auto"/>
            <w:noWrap/>
            <w:hideMark/>
          </w:tcPr>
          <w:p w14:paraId="20E04E86"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0.1</w:t>
            </w:r>
          </w:p>
        </w:tc>
        <w:tc>
          <w:tcPr>
            <w:tcW w:w="787" w:type="dxa"/>
            <w:tcBorders>
              <w:top w:val="nil"/>
              <w:left w:val="nil"/>
              <w:bottom w:val="single" w:sz="4" w:space="0" w:color="BFBFBF"/>
              <w:right w:val="nil"/>
            </w:tcBorders>
            <w:shd w:val="clear" w:color="auto" w:fill="auto"/>
            <w:hideMark/>
          </w:tcPr>
          <w:p w14:paraId="58314172"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33.3%</w:t>
            </w:r>
          </w:p>
        </w:tc>
        <w:tc>
          <w:tcPr>
            <w:tcW w:w="812" w:type="dxa"/>
            <w:tcBorders>
              <w:top w:val="nil"/>
              <w:left w:val="nil"/>
              <w:bottom w:val="single" w:sz="4" w:space="0" w:color="A6A6A6"/>
              <w:right w:val="nil"/>
            </w:tcBorders>
            <w:shd w:val="clear" w:color="auto" w:fill="auto"/>
            <w:noWrap/>
            <w:hideMark/>
          </w:tcPr>
          <w:p w14:paraId="74A8994A"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0.1</w:t>
            </w:r>
          </w:p>
        </w:tc>
        <w:tc>
          <w:tcPr>
            <w:tcW w:w="787" w:type="dxa"/>
            <w:tcBorders>
              <w:top w:val="nil"/>
              <w:left w:val="nil"/>
              <w:bottom w:val="single" w:sz="4" w:space="0" w:color="BFBFBF"/>
              <w:right w:val="nil"/>
            </w:tcBorders>
            <w:shd w:val="clear" w:color="auto" w:fill="auto"/>
            <w:hideMark/>
          </w:tcPr>
          <w:p w14:paraId="030D94C9"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33.3%</w:t>
            </w:r>
          </w:p>
        </w:tc>
      </w:tr>
      <w:tr w:rsidR="00334E08" w:rsidRPr="00334E08" w14:paraId="69620F26" w14:textId="77777777" w:rsidTr="002356E0">
        <w:trPr>
          <w:trHeight w:val="240"/>
          <w:jc w:val="center"/>
        </w:trPr>
        <w:tc>
          <w:tcPr>
            <w:tcW w:w="415" w:type="dxa"/>
            <w:tcBorders>
              <w:top w:val="nil"/>
              <w:left w:val="nil"/>
              <w:bottom w:val="nil"/>
              <w:right w:val="nil"/>
            </w:tcBorders>
            <w:shd w:val="clear" w:color="auto" w:fill="auto"/>
            <w:noWrap/>
            <w:vAlign w:val="bottom"/>
            <w:hideMark/>
          </w:tcPr>
          <w:p w14:paraId="2E7C442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p>
        </w:tc>
        <w:tc>
          <w:tcPr>
            <w:tcW w:w="3167" w:type="dxa"/>
            <w:gridSpan w:val="2"/>
            <w:tcBorders>
              <w:top w:val="nil"/>
              <w:left w:val="nil"/>
              <w:bottom w:val="nil"/>
              <w:right w:val="nil"/>
            </w:tcBorders>
            <w:shd w:val="clear" w:color="auto" w:fill="auto"/>
            <w:noWrap/>
            <w:vAlign w:val="center"/>
            <w:hideMark/>
          </w:tcPr>
          <w:p w14:paraId="704F6FF8" w14:textId="77777777" w:rsidR="00334E08" w:rsidRPr="00334E08" w:rsidRDefault="00334E08" w:rsidP="00334E08">
            <w:pPr>
              <w:spacing w:after="0" w:line="240" w:lineRule="auto"/>
              <w:ind w:firstLineChars="200" w:firstLine="300"/>
              <w:rPr>
                <w:rFonts w:ascii="Arial Narrow" w:eastAsia="Times New Roman" w:hAnsi="Arial Narrow" w:cs="Times New Roman"/>
                <w:i/>
                <w:iCs/>
                <w:sz w:val="15"/>
                <w:szCs w:val="15"/>
                <w:lang w:val="en-US"/>
              </w:rPr>
            </w:pPr>
            <w:r w:rsidRPr="00334E08">
              <w:rPr>
                <w:rFonts w:ascii="Arial Narrow" w:eastAsia="Times New Roman" w:hAnsi="Arial Narrow" w:cs="Times New Roman"/>
                <w:i/>
                <w:iCs/>
                <w:sz w:val="15"/>
                <w:szCs w:val="15"/>
                <w:lang w:val="en-US"/>
              </w:rPr>
              <w:t>Sub-total, Fees</w:t>
            </w:r>
          </w:p>
        </w:tc>
        <w:tc>
          <w:tcPr>
            <w:tcW w:w="900" w:type="dxa"/>
            <w:tcBorders>
              <w:top w:val="nil"/>
              <w:left w:val="nil"/>
              <w:bottom w:val="nil"/>
              <w:right w:val="nil"/>
            </w:tcBorders>
            <w:shd w:val="clear" w:color="auto" w:fill="auto"/>
            <w:noWrap/>
            <w:hideMark/>
          </w:tcPr>
          <w:p w14:paraId="32877B3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909.3</w:t>
            </w:r>
          </w:p>
        </w:tc>
        <w:tc>
          <w:tcPr>
            <w:tcW w:w="900" w:type="dxa"/>
            <w:tcBorders>
              <w:top w:val="nil"/>
              <w:left w:val="nil"/>
              <w:bottom w:val="nil"/>
              <w:right w:val="nil"/>
            </w:tcBorders>
            <w:shd w:val="clear" w:color="auto" w:fill="auto"/>
            <w:noWrap/>
            <w:hideMark/>
          </w:tcPr>
          <w:p w14:paraId="128E21FB"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947.9</w:t>
            </w:r>
          </w:p>
        </w:tc>
        <w:tc>
          <w:tcPr>
            <w:tcW w:w="900" w:type="dxa"/>
            <w:tcBorders>
              <w:top w:val="nil"/>
              <w:left w:val="nil"/>
              <w:bottom w:val="nil"/>
              <w:right w:val="nil"/>
            </w:tcBorders>
            <w:shd w:val="clear" w:color="auto" w:fill="auto"/>
            <w:noWrap/>
            <w:hideMark/>
          </w:tcPr>
          <w:p w14:paraId="71BA547A"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931.0</w:t>
            </w:r>
          </w:p>
        </w:tc>
        <w:tc>
          <w:tcPr>
            <w:tcW w:w="812" w:type="dxa"/>
            <w:tcBorders>
              <w:top w:val="nil"/>
              <w:left w:val="nil"/>
              <w:bottom w:val="nil"/>
              <w:right w:val="nil"/>
            </w:tcBorders>
            <w:shd w:val="clear" w:color="auto" w:fill="auto"/>
            <w:noWrap/>
            <w:hideMark/>
          </w:tcPr>
          <w:p w14:paraId="1447B24D"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21.7</w:t>
            </w:r>
          </w:p>
        </w:tc>
        <w:tc>
          <w:tcPr>
            <w:tcW w:w="787" w:type="dxa"/>
            <w:tcBorders>
              <w:top w:val="nil"/>
              <w:left w:val="nil"/>
              <w:bottom w:val="nil"/>
              <w:right w:val="nil"/>
            </w:tcBorders>
            <w:shd w:val="clear" w:color="auto" w:fill="auto"/>
            <w:hideMark/>
          </w:tcPr>
          <w:p w14:paraId="1D8FEFB1"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2.4%</w:t>
            </w:r>
          </w:p>
        </w:tc>
        <w:tc>
          <w:tcPr>
            <w:tcW w:w="812" w:type="dxa"/>
            <w:tcBorders>
              <w:top w:val="nil"/>
              <w:left w:val="nil"/>
              <w:bottom w:val="nil"/>
              <w:right w:val="nil"/>
            </w:tcBorders>
            <w:shd w:val="clear" w:color="auto" w:fill="auto"/>
            <w:noWrap/>
            <w:hideMark/>
          </w:tcPr>
          <w:p w14:paraId="35EB2A39"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(16.9)</w:t>
            </w:r>
          </w:p>
        </w:tc>
        <w:tc>
          <w:tcPr>
            <w:tcW w:w="787" w:type="dxa"/>
            <w:tcBorders>
              <w:top w:val="nil"/>
              <w:left w:val="nil"/>
              <w:bottom w:val="nil"/>
              <w:right w:val="nil"/>
            </w:tcBorders>
            <w:shd w:val="clear" w:color="auto" w:fill="auto"/>
            <w:hideMark/>
          </w:tcPr>
          <w:p w14:paraId="19BFAD24"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-1.8%</w:t>
            </w:r>
          </w:p>
        </w:tc>
      </w:tr>
      <w:tr w:rsidR="00334E08" w:rsidRPr="00334E08" w14:paraId="33129F32" w14:textId="77777777" w:rsidTr="002356E0">
        <w:trPr>
          <w:trHeight w:val="135"/>
          <w:jc w:val="center"/>
        </w:trPr>
        <w:tc>
          <w:tcPr>
            <w:tcW w:w="415" w:type="dxa"/>
            <w:tcBorders>
              <w:top w:val="nil"/>
              <w:left w:val="nil"/>
              <w:bottom w:val="nil"/>
              <w:right w:val="nil"/>
            </w:tcBorders>
            <w:shd w:val="clear" w:color="auto" w:fill="auto"/>
            <w:noWrap/>
            <w:hideMark/>
          </w:tcPr>
          <w:p w14:paraId="71EC132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p>
        </w:tc>
        <w:tc>
          <w:tcPr>
            <w:tcW w:w="415" w:type="dxa"/>
            <w:tcBorders>
              <w:top w:val="nil"/>
              <w:left w:val="nil"/>
              <w:bottom w:val="nil"/>
              <w:right w:val="nil"/>
            </w:tcBorders>
            <w:shd w:val="clear" w:color="auto" w:fill="auto"/>
            <w:noWrap/>
            <w:hideMark/>
          </w:tcPr>
          <w:p w14:paraId="08A86E2F"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2752" w:type="dxa"/>
            <w:tcBorders>
              <w:top w:val="nil"/>
              <w:left w:val="nil"/>
              <w:bottom w:val="nil"/>
              <w:right w:val="nil"/>
            </w:tcBorders>
            <w:shd w:val="clear" w:color="auto" w:fill="auto"/>
            <w:hideMark/>
          </w:tcPr>
          <w:p w14:paraId="4097A377"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1466F462"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4CBA1982"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1A717C2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0EB3A0AF"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1C2810E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481C16CC"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78A37D8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r>
      <w:tr w:rsidR="00334E08" w:rsidRPr="00334E08" w14:paraId="39420AC1" w14:textId="77777777" w:rsidTr="002356E0">
        <w:trPr>
          <w:trHeight w:val="240"/>
          <w:jc w:val="center"/>
        </w:trPr>
        <w:tc>
          <w:tcPr>
            <w:tcW w:w="415" w:type="dxa"/>
            <w:tcBorders>
              <w:top w:val="nil"/>
              <w:left w:val="nil"/>
              <w:bottom w:val="nil"/>
              <w:right w:val="nil"/>
            </w:tcBorders>
            <w:shd w:val="clear" w:color="auto" w:fill="auto"/>
            <w:noWrap/>
            <w:hideMark/>
          </w:tcPr>
          <w:p w14:paraId="6C721934"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vAlign w:val="center"/>
            <w:hideMark/>
          </w:tcPr>
          <w:p w14:paraId="703DCA23"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Contributions (unitary)</w:t>
            </w:r>
          </w:p>
        </w:tc>
        <w:tc>
          <w:tcPr>
            <w:tcW w:w="900" w:type="dxa"/>
            <w:tcBorders>
              <w:top w:val="nil"/>
              <w:left w:val="nil"/>
              <w:bottom w:val="nil"/>
              <w:right w:val="nil"/>
            </w:tcBorders>
            <w:shd w:val="clear" w:color="auto" w:fill="auto"/>
            <w:noWrap/>
            <w:hideMark/>
          </w:tcPr>
          <w:p w14:paraId="0D80907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35.0</w:t>
            </w:r>
          </w:p>
        </w:tc>
        <w:tc>
          <w:tcPr>
            <w:tcW w:w="900" w:type="dxa"/>
            <w:tcBorders>
              <w:top w:val="nil"/>
              <w:left w:val="nil"/>
              <w:bottom w:val="nil"/>
              <w:right w:val="nil"/>
            </w:tcBorders>
            <w:shd w:val="clear" w:color="auto" w:fill="auto"/>
            <w:noWrap/>
            <w:hideMark/>
          </w:tcPr>
          <w:p w14:paraId="1831C59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35.0</w:t>
            </w:r>
          </w:p>
        </w:tc>
        <w:tc>
          <w:tcPr>
            <w:tcW w:w="900" w:type="dxa"/>
            <w:tcBorders>
              <w:top w:val="nil"/>
              <w:left w:val="nil"/>
              <w:bottom w:val="nil"/>
              <w:right w:val="nil"/>
            </w:tcBorders>
            <w:shd w:val="clear" w:color="auto" w:fill="auto"/>
            <w:noWrap/>
            <w:hideMark/>
          </w:tcPr>
          <w:p w14:paraId="4875444F"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35.2</w:t>
            </w:r>
          </w:p>
        </w:tc>
        <w:tc>
          <w:tcPr>
            <w:tcW w:w="812" w:type="dxa"/>
            <w:tcBorders>
              <w:top w:val="nil"/>
              <w:left w:val="nil"/>
              <w:bottom w:val="nil"/>
              <w:right w:val="nil"/>
            </w:tcBorders>
            <w:shd w:val="clear" w:color="auto" w:fill="auto"/>
            <w:noWrap/>
            <w:hideMark/>
          </w:tcPr>
          <w:p w14:paraId="55CA7579"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0.2</w:t>
            </w:r>
          </w:p>
        </w:tc>
        <w:tc>
          <w:tcPr>
            <w:tcW w:w="787" w:type="dxa"/>
            <w:tcBorders>
              <w:top w:val="nil"/>
              <w:left w:val="nil"/>
              <w:bottom w:val="nil"/>
              <w:right w:val="nil"/>
            </w:tcBorders>
            <w:shd w:val="clear" w:color="auto" w:fill="auto"/>
            <w:hideMark/>
          </w:tcPr>
          <w:p w14:paraId="5309769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0.7%</w:t>
            </w:r>
          </w:p>
        </w:tc>
        <w:tc>
          <w:tcPr>
            <w:tcW w:w="812" w:type="dxa"/>
            <w:tcBorders>
              <w:top w:val="nil"/>
              <w:left w:val="nil"/>
              <w:bottom w:val="nil"/>
              <w:right w:val="nil"/>
            </w:tcBorders>
            <w:shd w:val="clear" w:color="auto" w:fill="auto"/>
            <w:noWrap/>
            <w:hideMark/>
          </w:tcPr>
          <w:p w14:paraId="2D16DA84"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0.2</w:t>
            </w:r>
          </w:p>
        </w:tc>
        <w:tc>
          <w:tcPr>
            <w:tcW w:w="787" w:type="dxa"/>
            <w:tcBorders>
              <w:top w:val="nil"/>
              <w:left w:val="nil"/>
              <w:bottom w:val="nil"/>
              <w:right w:val="nil"/>
            </w:tcBorders>
            <w:shd w:val="clear" w:color="auto" w:fill="auto"/>
            <w:hideMark/>
          </w:tcPr>
          <w:p w14:paraId="60C9D01E"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0.7%</w:t>
            </w:r>
          </w:p>
        </w:tc>
      </w:tr>
      <w:tr w:rsidR="00334E08" w:rsidRPr="00334E08" w14:paraId="0145430E" w14:textId="77777777" w:rsidTr="002356E0">
        <w:trPr>
          <w:trHeight w:val="240"/>
          <w:jc w:val="center"/>
        </w:trPr>
        <w:tc>
          <w:tcPr>
            <w:tcW w:w="415" w:type="dxa"/>
            <w:tcBorders>
              <w:top w:val="nil"/>
              <w:left w:val="nil"/>
              <w:bottom w:val="nil"/>
              <w:right w:val="nil"/>
            </w:tcBorders>
            <w:shd w:val="clear" w:color="auto" w:fill="auto"/>
            <w:noWrap/>
            <w:vAlign w:val="center"/>
            <w:hideMark/>
          </w:tcPr>
          <w:p w14:paraId="35A3719E"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vAlign w:val="center"/>
            <w:hideMark/>
          </w:tcPr>
          <w:p w14:paraId="5A4A9CA1"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Arbitration</w:t>
            </w:r>
          </w:p>
        </w:tc>
        <w:tc>
          <w:tcPr>
            <w:tcW w:w="900" w:type="dxa"/>
            <w:tcBorders>
              <w:top w:val="nil"/>
              <w:left w:val="nil"/>
              <w:bottom w:val="nil"/>
              <w:right w:val="nil"/>
            </w:tcBorders>
            <w:shd w:val="clear" w:color="auto" w:fill="auto"/>
            <w:noWrap/>
            <w:hideMark/>
          </w:tcPr>
          <w:p w14:paraId="7B67AB5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3.4</w:t>
            </w:r>
          </w:p>
        </w:tc>
        <w:tc>
          <w:tcPr>
            <w:tcW w:w="900" w:type="dxa"/>
            <w:tcBorders>
              <w:top w:val="nil"/>
              <w:left w:val="nil"/>
              <w:bottom w:val="nil"/>
              <w:right w:val="nil"/>
            </w:tcBorders>
            <w:shd w:val="clear" w:color="auto" w:fill="auto"/>
            <w:noWrap/>
            <w:hideMark/>
          </w:tcPr>
          <w:p w14:paraId="53254D86"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3.4</w:t>
            </w:r>
          </w:p>
        </w:tc>
        <w:tc>
          <w:tcPr>
            <w:tcW w:w="900" w:type="dxa"/>
            <w:tcBorders>
              <w:top w:val="nil"/>
              <w:left w:val="nil"/>
              <w:bottom w:val="nil"/>
              <w:right w:val="nil"/>
            </w:tcBorders>
            <w:shd w:val="clear" w:color="auto" w:fill="auto"/>
            <w:noWrap/>
            <w:hideMark/>
          </w:tcPr>
          <w:p w14:paraId="591BDF93"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3.4</w:t>
            </w:r>
          </w:p>
        </w:tc>
        <w:tc>
          <w:tcPr>
            <w:tcW w:w="812" w:type="dxa"/>
            <w:tcBorders>
              <w:top w:val="nil"/>
              <w:left w:val="nil"/>
              <w:bottom w:val="nil"/>
              <w:right w:val="nil"/>
            </w:tcBorders>
            <w:shd w:val="clear" w:color="auto" w:fill="auto"/>
            <w:noWrap/>
            <w:hideMark/>
          </w:tcPr>
          <w:p w14:paraId="1D5CF8B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w:t>
            </w:r>
          </w:p>
        </w:tc>
        <w:tc>
          <w:tcPr>
            <w:tcW w:w="787" w:type="dxa"/>
            <w:tcBorders>
              <w:top w:val="nil"/>
              <w:left w:val="nil"/>
              <w:bottom w:val="nil"/>
              <w:right w:val="nil"/>
            </w:tcBorders>
            <w:shd w:val="clear" w:color="auto" w:fill="auto"/>
            <w:hideMark/>
          </w:tcPr>
          <w:p w14:paraId="12BDACE4"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0.0%</w:t>
            </w:r>
          </w:p>
        </w:tc>
        <w:tc>
          <w:tcPr>
            <w:tcW w:w="812" w:type="dxa"/>
            <w:tcBorders>
              <w:top w:val="nil"/>
              <w:left w:val="nil"/>
              <w:bottom w:val="nil"/>
              <w:right w:val="nil"/>
            </w:tcBorders>
            <w:shd w:val="clear" w:color="auto" w:fill="auto"/>
            <w:noWrap/>
            <w:hideMark/>
          </w:tcPr>
          <w:p w14:paraId="119E73B5"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w:t>
            </w:r>
          </w:p>
        </w:tc>
        <w:tc>
          <w:tcPr>
            <w:tcW w:w="787" w:type="dxa"/>
            <w:tcBorders>
              <w:top w:val="nil"/>
              <w:left w:val="nil"/>
              <w:bottom w:val="nil"/>
              <w:right w:val="nil"/>
            </w:tcBorders>
            <w:shd w:val="clear" w:color="auto" w:fill="auto"/>
            <w:hideMark/>
          </w:tcPr>
          <w:p w14:paraId="06C9A82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0.0%</w:t>
            </w:r>
          </w:p>
        </w:tc>
      </w:tr>
      <w:tr w:rsidR="00334E08" w:rsidRPr="00334E08" w14:paraId="6BCCBD1F" w14:textId="77777777" w:rsidTr="002356E0">
        <w:trPr>
          <w:trHeight w:val="240"/>
          <w:jc w:val="center"/>
        </w:trPr>
        <w:tc>
          <w:tcPr>
            <w:tcW w:w="415" w:type="dxa"/>
            <w:tcBorders>
              <w:top w:val="nil"/>
              <w:left w:val="nil"/>
              <w:bottom w:val="nil"/>
              <w:right w:val="nil"/>
            </w:tcBorders>
            <w:shd w:val="clear" w:color="auto" w:fill="auto"/>
            <w:noWrap/>
            <w:vAlign w:val="center"/>
            <w:hideMark/>
          </w:tcPr>
          <w:p w14:paraId="592A23DC"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nil"/>
              <w:right w:val="nil"/>
            </w:tcBorders>
            <w:shd w:val="clear" w:color="auto" w:fill="auto"/>
            <w:noWrap/>
            <w:vAlign w:val="center"/>
            <w:hideMark/>
          </w:tcPr>
          <w:p w14:paraId="40AE9C78"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Publications</w:t>
            </w:r>
          </w:p>
        </w:tc>
        <w:tc>
          <w:tcPr>
            <w:tcW w:w="900" w:type="dxa"/>
            <w:tcBorders>
              <w:top w:val="nil"/>
              <w:left w:val="nil"/>
              <w:bottom w:val="nil"/>
              <w:right w:val="nil"/>
            </w:tcBorders>
            <w:shd w:val="clear" w:color="auto" w:fill="auto"/>
            <w:noWrap/>
            <w:hideMark/>
          </w:tcPr>
          <w:p w14:paraId="05B57BF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1.0</w:t>
            </w:r>
          </w:p>
        </w:tc>
        <w:tc>
          <w:tcPr>
            <w:tcW w:w="900" w:type="dxa"/>
            <w:tcBorders>
              <w:top w:val="nil"/>
              <w:left w:val="nil"/>
              <w:bottom w:val="nil"/>
              <w:right w:val="nil"/>
            </w:tcBorders>
            <w:shd w:val="clear" w:color="auto" w:fill="auto"/>
            <w:noWrap/>
            <w:hideMark/>
          </w:tcPr>
          <w:p w14:paraId="1E617A7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1.0</w:t>
            </w:r>
          </w:p>
        </w:tc>
        <w:tc>
          <w:tcPr>
            <w:tcW w:w="900" w:type="dxa"/>
            <w:tcBorders>
              <w:top w:val="nil"/>
              <w:left w:val="nil"/>
              <w:bottom w:val="nil"/>
              <w:right w:val="nil"/>
            </w:tcBorders>
            <w:shd w:val="clear" w:color="auto" w:fill="auto"/>
            <w:noWrap/>
            <w:hideMark/>
          </w:tcPr>
          <w:p w14:paraId="1CA2EE03"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0.9</w:t>
            </w:r>
          </w:p>
        </w:tc>
        <w:tc>
          <w:tcPr>
            <w:tcW w:w="812" w:type="dxa"/>
            <w:tcBorders>
              <w:top w:val="nil"/>
              <w:left w:val="nil"/>
              <w:bottom w:val="nil"/>
              <w:right w:val="nil"/>
            </w:tcBorders>
            <w:shd w:val="clear" w:color="auto" w:fill="auto"/>
            <w:noWrap/>
            <w:hideMark/>
          </w:tcPr>
          <w:p w14:paraId="31919BF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(0.0)</w:t>
            </w:r>
          </w:p>
        </w:tc>
        <w:tc>
          <w:tcPr>
            <w:tcW w:w="787" w:type="dxa"/>
            <w:tcBorders>
              <w:top w:val="nil"/>
              <w:left w:val="nil"/>
              <w:bottom w:val="nil"/>
              <w:right w:val="nil"/>
            </w:tcBorders>
            <w:shd w:val="clear" w:color="auto" w:fill="auto"/>
            <w:hideMark/>
          </w:tcPr>
          <w:p w14:paraId="3A193962"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-4.1%</w:t>
            </w:r>
          </w:p>
        </w:tc>
        <w:tc>
          <w:tcPr>
            <w:tcW w:w="812" w:type="dxa"/>
            <w:tcBorders>
              <w:top w:val="nil"/>
              <w:left w:val="nil"/>
              <w:bottom w:val="nil"/>
              <w:right w:val="nil"/>
            </w:tcBorders>
            <w:shd w:val="clear" w:color="auto" w:fill="auto"/>
            <w:noWrap/>
            <w:hideMark/>
          </w:tcPr>
          <w:p w14:paraId="74BB389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(0.0)</w:t>
            </w:r>
          </w:p>
        </w:tc>
        <w:tc>
          <w:tcPr>
            <w:tcW w:w="787" w:type="dxa"/>
            <w:tcBorders>
              <w:top w:val="nil"/>
              <w:left w:val="nil"/>
              <w:bottom w:val="nil"/>
              <w:right w:val="nil"/>
            </w:tcBorders>
            <w:shd w:val="clear" w:color="auto" w:fill="auto"/>
            <w:hideMark/>
          </w:tcPr>
          <w:p w14:paraId="4D7710CF"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-4.1%</w:t>
            </w:r>
          </w:p>
        </w:tc>
      </w:tr>
      <w:tr w:rsidR="00334E08" w:rsidRPr="00334E08" w14:paraId="5EFF02F8" w14:textId="77777777" w:rsidTr="002356E0">
        <w:trPr>
          <w:trHeight w:val="240"/>
          <w:jc w:val="center"/>
        </w:trPr>
        <w:tc>
          <w:tcPr>
            <w:tcW w:w="415" w:type="dxa"/>
            <w:tcBorders>
              <w:top w:val="nil"/>
              <w:left w:val="nil"/>
              <w:bottom w:val="nil"/>
              <w:right w:val="nil"/>
            </w:tcBorders>
            <w:shd w:val="clear" w:color="auto" w:fill="auto"/>
            <w:noWrap/>
            <w:vAlign w:val="center"/>
            <w:hideMark/>
          </w:tcPr>
          <w:p w14:paraId="28804BFE"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xml:space="preserve"> </w:t>
            </w:r>
          </w:p>
        </w:tc>
        <w:tc>
          <w:tcPr>
            <w:tcW w:w="3167" w:type="dxa"/>
            <w:gridSpan w:val="2"/>
            <w:tcBorders>
              <w:top w:val="nil"/>
              <w:left w:val="nil"/>
              <w:bottom w:val="single" w:sz="4" w:space="0" w:color="BFBFBF"/>
              <w:right w:val="nil"/>
            </w:tcBorders>
            <w:shd w:val="clear" w:color="auto" w:fill="auto"/>
            <w:noWrap/>
            <w:hideMark/>
          </w:tcPr>
          <w:p w14:paraId="5CF02152"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Miscellaneous Income</w:t>
            </w:r>
          </w:p>
        </w:tc>
        <w:tc>
          <w:tcPr>
            <w:tcW w:w="900" w:type="dxa"/>
            <w:tcBorders>
              <w:top w:val="nil"/>
              <w:left w:val="nil"/>
              <w:bottom w:val="single" w:sz="4" w:space="0" w:color="BFBFBF"/>
              <w:right w:val="nil"/>
            </w:tcBorders>
            <w:shd w:val="clear" w:color="auto" w:fill="auto"/>
            <w:noWrap/>
            <w:hideMark/>
          </w:tcPr>
          <w:p w14:paraId="033B1CA9"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3.1</w:t>
            </w:r>
          </w:p>
        </w:tc>
        <w:tc>
          <w:tcPr>
            <w:tcW w:w="900" w:type="dxa"/>
            <w:tcBorders>
              <w:top w:val="nil"/>
              <w:left w:val="nil"/>
              <w:bottom w:val="single" w:sz="4" w:space="0" w:color="BFBFBF"/>
              <w:right w:val="nil"/>
            </w:tcBorders>
            <w:shd w:val="clear" w:color="auto" w:fill="auto"/>
            <w:noWrap/>
            <w:hideMark/>
          </w:tcPr>
          <w:p w14:paraId="0DC73905"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3.1</w:t>
            </w:r>
          </w:p>
        </w:tc>
        <w:tc>
          <w:tcPr>
            <w:tcW w:w="900" w:type="dxa"/>
            <w:tcBorders>
              <w:top w:val="nil"/>
              <w:left w:val="nil"/>
              <w:bottom w:val="single" w:sz="4" w:space="0" w:color="BFBFBF"/>
              <w:right w:val="nil"/>
            </w:tcBorders>
            <w:shd w:val="clear" w:color="auto" w:fill="auto"/>
            <w:noWrap/>
            <w:hideMark/>
          </w:tcPr>
          <w:p w14:paraId="2EE31C15"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2.0</w:t>
            </w:r>
          </w:p>
        </w:tc>
        <w:tc>
          <w:tcPr>
            <w:tcW w:w="812" w:type="dxa"/>
            <w:tcBorders>
              <w:top w:val="nil"/>
              <w:left w:val="nil"/>
              <w:bottom w:val="single" w:sz="4" w:space="0" w:color="A6A6A6"/>
              <w:right w:val="nil"/>
            </w:tcBorders>
            <w:shd w:val="clear" w:color="auto" w:fill="auto"/>
            <w:noWrap/>
            <w:hideMark/>
          </w:tcPr>
          <w:p w14:paraId="59B9230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(1.1)</w:t>
            </w:r>
          </w:p>
        </w:tc>
        <w:tc>
          <w:tcPr>
            <w:tcW w:w="787" w:type="dxa"/>
            <w:tcBorders>
              <w:top w:val="nil"/>
              <w:left w:val="nil"/>
              <w:bottom w:val="single" w:sz="4" w:space="0" w:color="BFBFBF"/>
              <w:right w:val="nil"/>
            </w:tcBorders>
            <w:shd w:val="clear" w:color="auto" w:fill="auto"/>
            <w:hideMark/>
          </w:tcPr>
          <w:p w14:paraId="2E809AE1"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-35.5%</w:t>
            </w:r>
          </w:p>
        </w:tc>
        <w:tc>
          <w:tcPr>
            <w:tcW w:w="812" w:type="dxa"/>
            <w:tcBorders>
              <w:top w:val="nil"/>
              <w:left w:val="nil"/>
              <w:bottom w:val="single" w:sz="4" w:space="0" w:color="A6A6A6"/>
              <w:right w:val="nil"/>
            </w:tcBorders>
            <w:shd w:val="clear" w:color="auto" w:fill="auto"/>
            <w:noWrap/>
            <w:hideMark/>
          </w:tcPr>
          <w:p w14:paraId="16C2887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(1.1)</w:t>
            </w:r>
          </w:p>
        </w:tc>
        <w:tc>
          <w:tcPr>
            <w:tcW w:w="787" w:type="dxa"/>
            <w:tcBorders>
              <w:top w:val="nil"/>
              <w:left w:val="nil"/>
              <w:bottom w:val="single" w:sz="4" w:space="0" w:color="BFBFBF"/>
              <w:right w:val="nil"/>
            </w:tcBorders>
            <w:shd w:val="clear" w:color="auto" w:fill="auto"/>
            <w:hideMark/>
          </w:tcPr>
          <w:p w14:paraId="3FF96E08"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-35.5%</w:t>
            </w:r>
          </w:p>
        </w:tc>
      </w:tr>
      <w:tr w:rsidR="00334E08" w:rsidRPr="00334E08" w14:paraId="09799A91" w14:textId="77777777" w:rsidTr="002356E0">
        <w:trPr>
          <w:trHeight w:val="300"/>
          <w:jc w:val="center"/>
        </w:trPr>
        <w:tc>
          <w:tcPr>
            <w:tcW w:w="415" w:type="dxa"/>
            <w:tcBorders>
              <w:top w:val="nil"/>
              <w:left w:val="nil"/>
              <w:bottom w:val="single" w:sz="4" w:space="0" w:color="A6A6A6"/>
              <w:right w:val="nil"/>
            </w:tcBorders>
            <w:shd w:val="clear" w:color="auto" w:fill="auto"/>
            <w:noWrap/>
            <w:vAlign w:val="center"/>
            <w:hideMark/>
          </w:tcPr>
          <w:p w14:paraId="7821CAAB" w14:textId="77777777" w:rsidR="00334E08" w:rsidRPr="00334E08" w:rsidRDefault="00334E08" w:rsidP="00334E08">
            <w:pPr>
              <w:spacing w:after="0" w:line="240" w:lineRule="auto"/>
              <w:jc w:val="center"/>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 </w:t>
            </w:r>
          </w:p>
        </w:tc>
        <w:tc>
          <w:tcPr>
            <w:tcW w:w="3167" w:type="dxa"/>
            <w:gridSpan w:val="2"/>
            <w:tcBorders>
              <w:top w:val="nil"/>
              <w:left w:val="nil"/>
              <w:bottom w:val="single" w:sz="4" w:space="0" w:color="A6A6A6"/>
              <w:right w:val="nil"/>
            </w:tcBorders>
            <w:shd w:val="clear" w:color="auto" w:fill="auto"/>
            <w:noWrap/>
            <w:hideMark/>
          </w:tcPr>
          <w:p w14:paraId="4368F583" w14:textId="77777777" w:rsidR="00334E08" w:rsidRPr="00334E08" w:rsidRDefault="00334E08" w:rsidP="00334E08">
            <w:pPr>
              <w:spacing w:after="0" w:line="240" w:lineRule="auto"/>
              <w:ind w:firstLineChars="200" w:firstLine="300"/>
              <w:rPr>
                <w:rFonts w:ascii="Arial Narrow" w:eastAsia="Times New Roman" w:hAnsi="Arial Narrow" w:cs="Times New Roman"/>
                <w:i/>
                <w:iCs/>
                <w:sz w:val="15"/>
                <w:szCs w:val="15"/>
                <w:lang w:val="en-US"/>
              </w:rPr>
            </w:pPr>
            <w:r w:rsidRPr="00334E08">
              <w:rPr>
                <w:rFonts w:ascii="Arial Narrow" w:eastAsia="Times New Roman" w:hAnsi="Arial Narrow" w:cs="Times New Roman"/>
                <w:i/>
                <w:iCs/>
                <w:sz w:val="15"/>
                <w:szCs w:val="15"/>
                <w:lang w:val="en-US"/>
              </w:rPr>
              <w:t>Sub-total</w:t>
            </w:r>
          </w:p>
        </w:tc>
        <w:tc>
          <w:tcPr>
            <w:tcW w:w="900" w:type="dxa"/>
            <w:tcBorders>
              <w:top w:val="nil"/>
              <w:left w:val="nil"/>
              <w:bottom w:val="single" w:sz="4" w:space="0" w:color="A6A6A6"/>
              <w:right w:val="nil"/>
            </w:tcBorders>
            <w:shd w:val="clear" w:color="auto" w:fill="auto"/>
            <w:noWrap/>
            <w:hideMark/>
          </w:tcPr>
          <w:p w14:paraId="2C9F71F1"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42.5</w:t>
            </w:r>
          </w:p>
        </w:tc>
        <w:tc>
          <w:tcPr>
            <w:tcW w:w="900" w:type="dxa"/>
            <w:tcBorders>
              <w:top w:val="nil"/>
              <w:left w:val="nil"/>
              <w:bottom w:val="single" w:sz="4" w:space="0" w:color="A6A6A6"/>
              <w:right w:val="nil"/>
            </w:tcBorders>
            <w:shd w:val="clear" w:color="auto" w:fill="auto"/>
            <w:noWrap/>
            <w:hideMark/>
          </w:tcPr>
          <w:p w14:paraId="7BE2EBB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42.5</w:t>
            </w:r>
          </w:p>
        </w:tc>
        <w:tc>
          <w:tcPr>
            <w:tcW w:w="900" w:type="dxa"/>
            <w:tcBorders>
              <w:top w:val="nil"/>
              <w:left w:val="nil"/>
              <w:bottom w:val="single" w:sz="4" w:space="0" w:color="A6A6A6"/>
              <w:right w:val="nil"/>
            </w:tcBorders>
            <w:shd w:val="clear" w:color="auto" w:fill="auto"/>
            <w:noWrap/>
            <w:hideMark/>
          </w:tcPr>
          <w:p w14:paraId="4B7A8C8C"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41.6</w:t>
            </w:r>
          </w:p>
        </w:tc>
        <w:tc>
          <w:tcPr>
            <w:tcW w:w="812" w:type="dxa"/>
            <w:tcBorders>
              <w:top w:val="nil"/>
              <w:left w:val="nil"/>
              <w:bottom w:val="single" w:sz="4" w:space="0" w:color="A6A6A6"/>
              <w:right w:val="nil"/>
            </w:tcBorders>
            <w:shd w:val="clear" w:color="auto" w:fill="auto"/>
            <w:noWrap/>
            <w:hideMark/>
          </w:tcPr>
          <w:p w14:paraId="376EBD70"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(0.9)</w:t>
            </w:r>
          </w:p>
        </w:tc>
        <w:tc>
          <w:tcPr>
            <w:tcW w:w="787" w:type="dxa"/>
            <w:tcBorders>
              <w:top w:val="nil"/>
              <w:left w:val="nil"/>
              <w:bottom w:val="single" w:sz="4" w:space="0" w:color="A6A6A6"/>
              <w:right w:val="nil"/>
            </w:tcBorders>
            <w:shd w:val="clear" w:color="auto" w:fill="auto"/>
            <w:hideMark/>
          </w:tcPr>
          <w:p w14:paraId="2E663EB7"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-2.1%</w:t>
            </w:r>
          </w:p>
        </w:tc>
        <w:tc>
          <w:tcPr>
            <w:tcW w:w="812" w:type="dxa"/>
            <w:tcBorders>
              <w:top w:val="nil"/>
              <w:left w:val="nil"/>
              <w:bottom w:val="single" w:sz="4" w:space="0" w:color="A6A6A6"/>
              <w:right w:val="nil"/>
            </w:tcBorders>
            <w:shd w:val="clear" w:color="auto" w:fill="auto"/>
            <w:noWrap/>
            <w:hideMark/>
          </w:tcPr>
          <w:p w14:paraId="2380C1D5"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(0.9)</w:t>
            </w:r>
          </w:p>
        </w:tc>
        <w:tc>
          <w:tcPr>
            <w:tcW w:w="787" w:type="dxa"/>
            <w:tcBorders>
              <w:top w:val="nil"/>
              <w:left w:val="nil"/>
              <w:bottom w:val="single" w:sz="4" w:space="0" w:color="A6A6A6"/>
              <w:right w:val="nil"/>
            </w:tcBorders>
            <w:shd w:val="clear" w:color="auto" w:fill="auto"/>
            <w:hideMark/>
          </w:tcPr>
          <w:p w14:paraId="1D98C992"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-2.1%</w:t>
            </w:r>
          </w:p>
        </w:tc>
      </w:tr>
      <w:tr w:rsidR="00334E08" w:rsidRPr="00334E08" w14:paraId="783B84EE" w14:textId="77777777" w:rsidTr="002356E0">
        <w:trPr>
          <w:trHeight w:val="285"/>
          <w:jc w:val="center"/>
        </w:trPr>
        <w:tc>
          <w:tcPr>
            <w:tcW w:w="415" w:type="dxa"/>
            <w:tcBorders>
              <w:top w:val="nil"/>
              <w:left w:val="nil"/>
              <w:bottom w:val="single" w:sz="8" w:space="0" w:color="A6A6A6"/>
              <w:right w:val="nil"/>
            </w:tcBorders>
            <w:shd w:val="clear" w:color="auto" w:fill="auto"/>
            <w:noWrap/>
            <w:vAlign w:val="center"/>
            <w:hideMark/>
          </w:tcPr>
          <w:p w14:paraId="192B6CD1" w14:textId="77777777" w:rsidR="00334E08" w:rsidRPr="00334E08" w:rsidRDefault="00334E08" w:rsidP="00334E08">
            <w:pPr>
              <w:spacing w:after="0" w:line="240" w:lineRule="auto"/>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 </w:t>
            </w:r>
          </w:p>
        </w:tc>
        <w:tc>
          <w:tcPr>
            <w:tcW w:w="415" w:type="dxa"/>
            <w:tcBorders>
              <w:top w:val="nil"/>
              <w:left w:val="nil"/>
              <w:bottom w:val="single" w:sz="8" w:space="0" w:color="A6A6A6"/>
              <w:right w:val="nil"/>
            </w:tcBorders>
            <w:shd w:val="clear" w:color="auto" w:fill="auto"/>
            <w:vAlign w:val="center"/>
            <w:hideMark/>
          </w:tcPr>
          <w:p w14:paraId="31FA53FC" w14:textId="77777777" w:rsidR="00334E08" w:rsidRPr="00334E08" w:rsidRDefault="00334E08" w:rsidP="00334E08">
            <w:pPr>
              <w:spacing w:after="0" w:line="240" w:lineRule="auto"/>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 </w:t>
            </w:r>
          </w:p>
        </w:tc>
        <w:tc>
          <w:tcPr>
            <w:tcW w:w="2752" w:type="dxa"/>
            <w:tcBorders>
              <w:top w:val="nil"/>
              <w:left w:val="nil"/>
              <w:bottom w:val="single" w:sz="8" w:space="0" w:color="A6A6A6"/>
              <w:right w:val="nil"/>
            </w:tcBorders>
            <w:shd w:val="clear" w:color="auto" w:fill="auto"/>
            <w:vAlign w:val="center"/>
            <w:hideMark/>
          </w:tcPr>
          <w:p w14:paraId="6B74BE04" w14:textId="77777777" w:rsidR="00334E08" w:rsidRPr="00334E08" w:rsidRDefault="00334E08" w:rsidP="00334E08">
            <w:pPr>
              <w:spacing w:after="0" w:line="240" w:lineRule="auto"/>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 xml:space="preserve"> TOTAL </w:t>
            </w:r>
          </w:p>
        </w:tc>
        <w:tc>
          <w:tcPr>
            <w:tcW w:w="900" w:type="dxa"/>
            <w:tcBorders>
              <w:top w:val="nil"/>
              <w:left w:val="nil"/>
              <w:bottom w:val="single" w:sz="8" w:space="0" w:color="A6A6A6"/>
              <w:right w:val="nil"/>
            </w:tcBorders>
            <w:shd w:val="clear" w:color="auto" w:fill="auto"/>
            <w:vAlign w:val="center"/>
            <w:hideMark/>
          </w:tcPr>
          <w:p w14:paraId="78AA86A0"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951.8</w:t>
            </w:r>
          </w:p>
        </w:tc>
        <w:tc>
          <w:tcPr>
            <w:tcW w:w="900" w:type="dxa"/>
            <w:tcBorders>
              <w:top w:val="nil"/>
              <w:left w:val="nil"/>
              <w:bottom w:val="single" w:sz="8" w:space="0" w:color="A6A6A6"/>
              <w:right w:val="nil"/>
            </w:tcBorders>
            <w:shd w:val="clear" w:color="auto" w:fill="auto"/>
            <w:vAlign w:val="center"/>
            <w:hideMark/>
          </w:tcPr>
          <w:p w14:paraId="40FBACF9"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990.4</w:t>
            </w:r>
          </w:p>
        </w:tc>
        <w:tc>
          <w:tcPr>
            <w:tcW w:w="900" w:type="dxa"/>
            <w:tcBorders>
              <w:top w:val="nil"/>
              <w:left w:val="nil"/>
              <w:bottom w:val="single" w:sz="8" w:space="0" w:color="A6A6A6"/>
              <w:right w:val="nil"/>
            </w:tcBorders>
            <w:shd w:val="clear" w:color="auto" w:fill="auto"/>
            <w:vAlign w:val="center"/>
            <w:hideMark/>
          </w:tcPr>
          <w:p w14:paraId="1227A83F"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972.6</w:t>
            </w:r>
          </w:p>
        </w:tc>
        <w:tc>
          <w:tcPr>
            <w:tcW w:w="812" w:type="dxa"/>
            <w:tcBorders>
              <w:top w:val="nil"/>
              <w:left w:val="nil"/>
              <w:bottom w:val="single" w:sz="8" w:space="0" w:color="A6A6A6"/>
              <w:right w:val="nil"/>
            </w:tcBorders>
            <w:shd w:val="clear" w:color="auto" w:fill="auto"/>
            <w:vAlign w:val="center"/>
            <w:hideMark/>
          </w:tcPr>
          <w:p w14:paraId="166E3FEC"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20.8</w:t>
            </w:r>
          </w:p>
        </w:tc>
        <w:tc>
          <w:tcPr>
            <w:tcW w:w="787" w:type="dxa"/>
            <w:tcBorders>
              <w:top w:val="nil"/>
              <w:left w:val="nil"/>
              <w:bottom w:val="single" w:sz="8" w:space="0" w:color="A6A6A6"/>
              <w:right w:val="nil"/>
            </w:tcBorders>
            <w:shd w:val="clear" w:color="auto" w:fill="auto"/>
            <w:vAlign w:val="center"/>
            <w:hideMark/>
          </w:tcPr>
          <w:p w14:paraId="1E96FBB5"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2.2%</w:t>
            </w:r>
          </w:p>
        </w:tc>
        <w:tc>
          <w:tcPr>
            <w:tcW w:w="812" w:type="dxa"/>
            <w:tcBorders>
              <w:top w:val="nil"/>
              <w:left w:val="nil"/>
              <w:bottom w:val="single" w:sz="8" w:space="0" w:color="A6A6A6"/>
              <w:right w:val="nil"/>
            </w:tcBorders>
            <w:shd w:val="clear" w:color="auto" w:fill="auto"/>
            <w:vAlign w:val="center"/>
            <w:hideMark/>
          </w:tcPr>
          <w:p w14:paraId="2143005C"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(17.8)</w:t>
            </w:r>
          </w:p>
        </w:tc>
        <w:tc>
          <w:tcPr>
            <w:tcW w:w="787" w:type="dxa"/>
            <w:tcBorders>
              <w:top w:val="nil"/>
              <w:left w:val="nil"/>
              <w:bottom w:val="single" w:sz="8" w:space="0" w:color="A6A6A6"/>
              <w:right w:val="nil"/>
            </w:tcBorders>
            <w:shd w:val="clear" w:color="auto" w:fill="auto"/>
            <w:vAlign w:val="center"/>
            <w:hideMark/>
          </w:tcPr>
          <w:p w14:paraId="22718657"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r w:rsidRPr="00334E08">
              <w:rPr>
                <w:rFonts w:ascii="Arial Narrow" w:eastAsia="Times New Roman" w:hAnsi="Arial Narrow" w:cs="Times New Roman"/>
                <w:b/>
                <w:bCs/>
                <w:sz w:val="15"/>
                <w:szCs w:val="15"/>
                <w:lang w:val="en-US"/>
              </w:rPr>
              <w:t>-1.8%</w:t>
            </w:r>
          </w:p>
        </w:tc>
      </w:tr>
      <w:tr w:rsidR="00334E08" w:rsidRPr="00334E08" w14:paraId="2B496E8C" w14:textId="77777777" w:rsidTr="002356E0">
        <w:trPr>
          <w:trHeight w:val="105"/>
          <w:jc w:val="center"/>
        </w:trPr>
        <w:tc>
          <w:tcPr>
            <w:tcW w:w="415" w:type="dxa"/>
            <w:tcBorders>
              <w:top w:val="nil"/>
              <w:left w:val="nil"/>
              <w:bottom w:val="nil"/>
              <w:right w:val="nil"/>
            </w:tcBorders>
            <w:shd w:val="clear" w:color="auto" w:fill="auto"/>
            <w:noWrap/>
            <w:hideMark/>
          </w:tcPr>
          <w:p w14:paraId="1E6789B0" w14:textId="77777777" w:rsidR="00334E08" w:rsidRPr="00334E08" w:rsidRDefault="00334E08" w:rsidP="00334E08">
            <w:pPr>
              <w:spacing w:after="0" w:line="240" w:lineRule="auto"/>
              <w:jc w:val="right"/>
              <w:rPr>
                <w:rFonts w:ascii="Arial Narrow" w:eastAsia="Times New Roman" w:hAnsi="Arial Narrow" w:cs="Times New Roman"/>
                <w:b/>
                <w:bCs/>
                <w:sz w:val="15"/>
                <w:szCs w:val="15"/>
                <w:lang w:val="en-US"/>
              </w:rPr>
            </w:pPr>
          </w:p>
        </w:tc>
        <w:tc>
          <w:tcPr>
            <w:tcW w:w="415" w:type="dxa"/>
            <w:tcBorders>
              <w:top w:val="nil"/>
              <w:left w:val="nil"/>
              <w:bottom w:val="nil"/>
              <w:right w:val="nil"/>
            </w:tcBorders>
            <w:shd w:val="clear" w:color="auto" w:fill="auto"/>
            <w:hideMark/>
          </w:tcPr>
          <w:p w14:paraId="0519D5B8"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2752" w:type="dxa"/>
            <w:tcBorders>
              <w:top w:val="nil"/>
              <w:left w:val="nil"/>
              <w:bottom w:val="nil"/>
              <w:right w:val="nil"/>
            </w:tcBorders>
            <w:shd w:val="clear" w:color="auto" w:fill="auto"/>
            <w:hideMark/>
          </w:tcPr>
          <w:p w14:paraId="4B28B0D6"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7314D609" w14:textId="77777777" w:rsidR="00334E08" w:rsidRPr="00334E08" w:rsidRDefault="00334E08" w:rsidP="00334E08">
            <w:pPr>
              <w:spacing w:after="0" w:line="240" w:lineRule="auto"/>
              <w:jc w:val="right"/>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0163FE6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742259F3"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64E1BE81"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43565093"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hideMark/>
          </w:tcPr>
          <w:p w14:paraId="615DFEF4"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6E0AB187"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r>
      <w:tr w:rsidR="00334E08" w:rsidRPr="00334E08" w14:paraId="7F614C5E" w14:textId="77777777" w:rsidTr="002356E0">
        <w:trPr>
          <w:trHeight w:val="270"/>
          <w:jc w:val="center"/>
        </w:trPr>
        <w:tc>
          <w:tcPr>
            <w:tcW w:w="3582" w:type="dxa"/>
            <w:gridSpan w:val="3"/>
            <w:tcBorders>
              <w:top w:val="nil"/>
              <w:left w:val="nil"/>
              <w:bottom w:val="nil"/>
              <w:right w:val="nil"/>
            </w:tcBorders>
            <w:shd w:val="clear" w:color="auto" w:fill="auto"/>
            <w:noWrap/>
            <w:hideMark/>
          </w:tcPr>
          <w:p w14:paraId="3B22B6EB"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Note: Details of Lisbon fee income (in thousands of Swiss francs)</w:t>
            </w:r>
          </w:p>
        </w:tc>
        <w:tc>
          <w:tcPr>
            <w:tcW w:w="900" w:type="dxa"/>
            <w:tcBorders>
              <w:top w:val="nil"/>
              <w:left w:val="nil"/>
              <w:bottom w:val="nil"/>
              <w:right w:val="nil"/>
            </w:tcBorders>
            <w:shd w:val="clear" w:color="auto" w:fill="auto"/>
            <w:noWrap/>
            <w:hideMark/>
          </w:tcPr>
          <w:p w14:paraId="3DD028D7"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150.0</w:t>
            </w:r>
          </w:p>
        </w:tc>
        <w:tc>
          <w:tcPr>
            <w:tcW w:w="900" w:type="dxa"/>
            <w:tcBorders>
              <w:top w:val="nil"/>
              <w:left w:val="nil"/>
              <w:bottom w:val="nil"/>
              <w:right w:val="nil"/>
            </w:tcBorders>
            <w:shd w:val="clear" w:color="auto" w:fill="auto"/>
            <w:noWrap/>
            <w:hideMark/>
          </w:tcPr>
          <w:p w14:paraId="75BBA747"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150.0</w:t>
            </w:r>
          </w:p>
        </w:tc>
        <w:tc>
          <w:tcPr>
            <w:tcW w:w="900" w:type="dxa"/>
            <w:tcBorders>
              <w:top w:val="nil"/>
              <w:left w:val="nil"/>
              <w:bottom w:val="nil"/>
              <w:right w:val="nil"/>
            </w:tcBorders>
            <w:shd w:val="clear" w:color="auto" w:fill="auto"/>
            <w:noWrap/>
            <w:hideMark/>
          </w:tcPr>
          <w:p w14:paraId="3B0D5391"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200.0</w:t>
            </w:r>
          </w:p>
        </w:tc>
        <w:tc>
          <w:tcPr>
            <w:tcW w:w="812" w:type="dxa"/>
            <w:tcBorders>
              <w:top w:val="nil"/>
              <w:left w:val="nil"/>
              <w:bottom w:val="nil"/>
              <w:right w:val="nil"/>
            </w:tcBorders>
            <w:shd w:val="clear" w:color="auto" w:fill="auto"/>
            <w:noWrap/>
            <w:hideMark/>
          </w:tcPr>
          <w:p w14:paraId="094BB66C"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50.0</w:t>
            </w:r>
          </w:p>
        </w:tc>
        <w:tc>
          <w:tcPr>
            <w:tcW w:w="787" w:type="dxa"/>
            <w:tcBorders>
              <w:top w:val="nil"/>
              <w:left w:val="nil"/>
              <w:bottom w:val="nil"/>
              <w:right w:val="nil"/>
            </w:tcBorders>
            <w:shd w:val="clear" w:color="auto" w:fill="auto"/>
            <w:hideMark/>
          </w:tcPr>
          <w:p w14:paraId="38A2116B"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33.3%</w:t>
            </w:r>
          </w:p>
        </w:tc>
        <w:tc>
          <w:tcPr>
            <w:tcW w:w="812" w:type="dxa"/>
            <w:tcBorders>
              <w:top w:val="nil"/>
              <w:left w:val="nil"/>
              <w:bottom w:val="nil"/>
              <w:right w:val="nil"/>
            </w:tcBorders>
            <w:shd w:val="clear" w:color="auto" w:fill="auto"/>
            <w:noWrap/>
            <w:hideMark/>
          </w:tcPr>
          <w:p w14:paraId="3C831AF3"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50.0</w:t>
            </w:r>
          </w:p>
        </w:tc>
        <w:tc>
          <w:tcPr>
            <w:tcW w:w="787" w:type="dxa"/>
            <w:tcBorders>
              <w:top w:val="nil"/>
              <w:left w:val="nil"/>
              <w:bottom w:val="nil"/>
              <w:right w:val="nil"/>
            </w:tcBorders>
            <w:shd w:val="clear" w:color="auto" w:fill="auto"/>
            <w:hideMark/>
          </w:tcPr>
          <w:p w14:paraId="0CADB765"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33.3%</w:t>
            </w:r>
          </w:p>
        </w:tc>
      </w:tr>
      <w:tr w:rsidR="00334E08" w:rsidRPr="00334E08" w14:paraId="29CFF43D" w14:textId="77777777" w:rsidTr="002356E0">
        <w:trPr>
          <w:trHeight w:val="105"/>
          <w:jc w:val="center"/>
        </w:trPr>
        <w:tc>
          <w:tcPr>
            <w:tcW w:w="415" w:type="dxa"/>
            <w:tcBorders>
              <w:top w:val="nil"/>
              <w:left w:val="nil"/>
              <w:bottom w:val="nil"/>
              <w:right w:val="nil"/>
            </w:tcBorders>
            <w:shd w:val="clear" w:color="auto" w:fill="auto"/>
            <w:noWrap/>
            <w:vAlign w:val="bottom"/>
            <w:hideMark/>
          </w:tcPr>
          <w:p w14:paraId="52BBB892" w14:textId="77777777" w:rsidR="00334E08" w:rsidRPr="00334E08" w:rsidRDefault="00334E08" w:rsidP="00334E08">
            <w:pPr>
              <w:spacing w:after="0" w:line="240" w:lineRule="auto"/>
              <w:jc w:val="right"/>
              <w:rPr>
                <w:rFonts w:ascii="Arial Narrow" w:eastAsia="Times New Roman" w:hAnsi="Arial Narrow" w:cs="Times New Roman"/>
                <w:sz w:val="15"/>
                <w:szCs w:val="15"/>
                <w:lang w:val="en-US"/>
              </w:rPr>
            </w:pPr>
          </w:p>
        </w:tc>
        <w:tc>
          <w:tcPr>
            <w:tcW w:w="415" w:type="dxa"/>
            <w:tcBorders>
              <w:top w:val="nil"/>
              <w:left w:val="nil"/>
              <w:bottom w:val="nil"/>
              <w:right w:val="nil"/>
            </w:tcBorders>
            <w:shd w:val="clear" w:color="auto" w:fill="auto"/>
            <w:noWrap/>
            <w:vAlign w:val="bottom"/>
            <w:hideMark/>
          </w:tcPr>
          <w:p w14:paraId="06A48DC9"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2752" w:type="dxa"/>
            <w:tcBorders>
              <w:top w:val="nil"/>
              <w:left w:val="nil"/>
              <w:bottom w:val="nil"/>
              <w:right w:val="nil"/>
            </w:tcBorders>
            <w:shd w:val="clear" w:color="auto" w:fill="auto"/>
            <w:noWrap/>
            <w:vAlign w:val="bottom"/>
            <w:hideMark/>
          </w:tcPr>
          <w:p w14:paraId="71E01C34"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bottom"/>
            <w:hideMark/>
          </w:tcPr>
          <w:p w14:paraId="3DA6DBF8"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bottom"/>
            <w:hideMark/>
          </w:tcPr>
          <w:p w14:paraId="45519448"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bottom"/>
            <w:hideMark/>
          </w:tcPr>
          <w:p w14:paraId="65B26A2B"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vAlign w:val="bottom"/>
            <w:hideMark/>
          </w:tcPr>
          <w:p w14:paraId="089FCF90"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vAlign w:val="bottom"/>
            <w:hideMark/>
          </w:tcPr>
          <w:p w14:paraId="75EA75EA"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812" w:type="dxa"/>
            <w:tcBorders>
              <w:top w:val="nil"/>
              <w:left w:val="nil"/>
              <w:bottom w:val="nil"/>
              <w:right w:val="nil"/>
            </w:tcBorders>
            <w:shd w:val="clear" w:color="auto" w:fill="auto"/>
            <w:noWrap/>
            <w:vAlign w:val="bottom"/>
            <w:hideMark/>
          </w:tcPr>
          <w:p w14:paraId="3EBA9176"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c>
          <w:tcPr>
            <w:tcW w:w="787" w:type="dxa"/>
            <w:tcBorders>
              <w:top w:val="nil"/>
              <w:left w:val="nil"/>
              <w:bottom w:val="nil"/>
              <w:right w:val="nil"/>
            </w:tcBorders>
            <w:shd w:val="clear" w:color="auto" w:fill="auto"/>
            <w:noWrap/>
            <w:hideMark/>
          </w:tcPr>
          <w:p w14:paraId="166B34A9" w14:textId="77777777" w:rsidR="00334E08" w:rsidRPr="00334E08" w:rsidRDefault="00334E08" w:rsidP="00334E08">
            <w:pPr>
              <w:spacing w:after="0" w:line="240" w:lineRule="auto"/>
              <w:rPr>
                <w:rFonts w:ascii="Times New Roman" w:eastAsia="Times New Roman" w:hAnsi="Times New Roman" w:cs="Times New Roman"/>
                <w:sz w:val="20"/>
                <w:szCs w:val="20"/>
                <w:lang w:val="en-US"/>
              </w:rPr>
            </w:pPr>
          </w:p>
        </w:tc>
      </w:tr>
      <w:tr w:rsidR="00334E08" w:rsidRPr="00334E08" w14:paraId="3CCB334D" w14:textId="77777777" w:rsidTr="002356E0">
        <w:trPr>
          <w:trHeight w:val="225"/>
          <w:jc w:val="center"/>
        </w:trPr>
        <w:tc>
          <w:tcPr>
            <w:tcW w:w="8693" w:type="dxa"/>
            <w:gridSpan w:val="9"/>
            <w:tcBorders>
              <w:top w:val="nil"/>
              <w:left w:val="nil"/>
              <w:bottom w:val="nil"/>
              <w:right w:val="nil"/>
            </w:tcBorders>
            <w:shd w:val="clear" w:color="auto" w:fill="auto"/>
            <w:vAlign w:val="center"/>
            <w:hideMark/>
          </w:tcPr>
          <w:p w14:paraId="29D98E85"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Note: 2022/23 Updated Income Estimates and 2024/25 Income Estimates as at April 2023.</w:t>
            </w:r>
          </w:p>
        </w:tc>
        <w:tc>
          <w:tcPr>
            <w:tcW w:w="787" w:type="dxa"/>
            <w:tcBorders>
              <w:top w:val="nil"/>
              <w:left w:val="nil"/>
              <w:bottom w:val="nil"/>
              <w:right w:val="nil"/>
            </w:tcBorders>
            <w:shd w:val="clear" w:color="auto" w:fill="auto"/>
            <w:noWrap/>
            <w:vAlign w:val="center"/>
            <w:hideMark/>
          </w:tcPr>
          <w:p w14:paraId="1A3D4D4D" w14:textId="77777777" w:rsidR="00334E08" w:rsidRPr="00334E08" w:rsidRDefault="00334E08" w:rsidP="00334E08">
            <w:pPr>
              <w:spacing w:after="0" w:line="240" w:lineRule="auto"/>
              <w:rPr>
                <w:rFonts w:ascii="Arial Narrow" w:eastAsia="Times New Roman" w:hAnsi="Arial Narrow" w:cs="Times New Roman"/>
                <w:sz w:val="15"/>
                <w:szCs w:val="15"/>
                <w:lang w:val="en-US"/>
              </w:rPr>
            </w:pPr>
          </w:p>
        </w:tc>
      </w:tr>
      <w:tr w:rsidR="00334E08" w:rsidRPr="00334E08" w14:paraId="5FD4D4C2" w14:textId="77777777" w:rsidTr="002356E0">
        <w:trPr>
          <w:trHeight w:val="555"/>
          <w:jc w:val="center"/>
        </w:trPr>
        <w:tc>
          <w:tcPr>
            <w:tcW w:w="9480" w:type="dxa"/>
            <w:gridSpan w:val="10"/>
            <w:tcBorders>
              <w:top w:val="nil"/>
              <w:left w:val="nil"/>
              <w:bottom w:val="nil"/>
              <w:right w:val="nil"/>
            </w:tcBorders>
            <w:shd w:val="clear" w:color="auto" w:fill="auto"/>
            <w:vAlign w:val="center"/>
            <w:hideMark/>
          </w:tcPr>
          <w:p w14:paraId="5A7BF0E1" w14:textId="77777777" w:rsidR="00334E08" w:rsidRPr="00334E08" w:rsidRDefault="00334E08" w:rsidP="00334E08">
            <w:pPr>
              <w:spacing w:after="0" w:line="240" w:lineRule="auto"/>
              <w:rPr>
                <w:rFonts w:ascii="Arial Narrow" w:eastAsia="Times New Roman" w:hAnsi="Arial Narrow" w:cs="Times New Roman"/>
                <w:sz w:val="15"/>
                <w:szCs w:val="15"/>
                <w:lang w:val="en-US"/>
              </w:rPr>
            </w:pPr>
            <w:r w:rsidRPr="00334E08">
              <w:rPr>
                <w:rFonts w:ascii="Arial Narrow" w:eastAsia="Times New Roman" w:hAnsi="Arial Narrow" w:cs="Times New Roman"/>
                <w:sz w:val="15"/>
                <w:szCs w:val="15"/>
                <w:lang w:val="en-US"/>
              </w:rPr>
              <w:t>Note: WIPO’s cash investments are aligned with the Organization’s long-term investment targets and therefore not included in the 2024/25 biennium income estimates. Furthermore, investment gains/losses are not included as part of revenue in WIPO’s annual financial statements.</w:t>
            </w:r>
          </w:p>
        </w:tc>
      </w:tr>
    </w:tbl>
    <w:p w14:paraId="0F863394" w14:textId="0805A1B4" w:rsidR="00434007" w:rsidRDefault="00434007" w:rsidP="00420BD5">
      <w:pPr>
        <w:tabs>
          <w:tab w:val="left" w:pos="3420"/>
        </w:tabs>
        <w:spacing w:after="0" w:line="240" w:lineRule="auto"/>
        <w:rPr>
          <w:sz w:val="16"/>
        </w:rPr>
      </w:pPr>
    </w:p>
    <w:p w14:paraId="184E0E08" w14:textId="77777777" w:rsidR="000F28A2" w:rsidRDefault="000F28A2" w:rsidP="00420BD5">
      <w:pPr>
        <w:tabs>
          <w:tab w:val="left" w:pos="3420"/>
        </w:tabs>
        <w:spacing w:after="0" w:line="240" w:lineRule="auto"/>
        <w:rPr>
          <w:sz w:val="16"/>
        </w:rPr>
      </w:pPr>
    </w:p>
    <w:p w14:paraId="669049C0" w14:textId="77777777" w:rsidR="00420BD5" w:rsidRPr="00420BD5" w:rsidRDefault="00420BD5" w:rsidP="00420BD5">
      <w:pPr>
        <w:tabs>
          <w:tab w:val="left" w:pos="3420"/>
        </w:tabs>
        <w:spacing w:after="0" w:line="240" w:lineRule="auto"/>
        <w:rPr>
          <w:sz w:val="16"/>
        </w:rPr>
      </w:pPr>
    </w:p>
    <w:p w14:paraId="310A4C77" w14:textId="77777777" w:rsidR="00434007" w:rsidRPr="00733AA8" w:rsidRDefault="00434007" w:rsidP="00733AA8">
      <w:pPr>
        <w:pStyle w:val="NormalNumb"/>
        <w:keepNext/>
        <w:ind w:left="0"/>
        <w:rPr>
          <w:lang w:val="en-US"/>
        </w:rPr>
      </w:pPr>
      <w:r w:rsidRPr="00733AA8">
        <w:rPr>
          <w:lang w:val="en-US"/>
        </w:rPr>
        <w:t>The overall evolution of income from 2006/07 to 2024/25 is presented in Chart 2 below.</w:t>
      </w:r>
    </w:p>
    <w:p w14:paraId="50137DB9" w14:textId="0F1E1AA7" w:rsidR="00434007" w:rsidRPr="002356E0" w:rsidRDefault="000F28A2" w:rsidP="002356E0">
      <w:pPr>
        <w:pStyle w:val="TableAndChartTitle"/>
        <w:rPr>
          <w:sz w:val="96"/>
          <w:szCs w:val="96"/>
        </w:rPr>
      </w:pPr>
      <w:r w:rsidRPr="00C908D2">
        <w:rPr>
          <w:b w:val="0"/>
          <w:noProof/>
          <w:sz w:val="96"/>
          <w:szCs w:val="96"/>
          <w:lang w:val="en-US"/>
        </w:rPr>
        <mc:AlternateContent>
          <mc:Choice Requires="wpg">
            <w:drawing>
              <wp:anchor distT="0" distB="0" distL="114300" distR="114300" simplePos="0" relativeHeight="251836928" behindDoc="0" locked="0" layoutInCell="1" allowOverlap="1" wp14:anchorId="6CF182CF" wp14:editId="15C9C744">
                <wp:simplePos x="0" y="0"/>
                <wp:positionH relativeFrom="margin">
                  <wp:posOffset>501650</wp:posOffset>
                </wp:positionH>
                <wp:positionV relativeFrom="paragraph">
                  <wp:posOffset>360045</wp:posOffset>
                </wp:positionV>
                <wp:extent cx="5122800" cy="3106800"/>
                <wp:effectExtent l="0" t="0" r="1905" b="0"/>
                <wp:wrapTopAndBottom/>
                <wp:docPr id="920" name="Group 11"/>
                <wp:cNvGraphicFramePr/>
                <a:graphic xmlns:a="http://schemas.openxmlformats.org/drawingml/2006/main">
                  <a:graphicData uri="http://schemas.microsoft.com/office/word/2010/wordprocessingGroup">
                    <wpg:wgp>
                      <wpg:cNvGrpSpPr/>
                      <wpg:grpSpPr>
                        <a:xfrm>
                          <a:off x="0" y="0"/>
                          <a:ext cx="5122800" cy="3106800"/>
                          <a:chOff x="368467" y="-130641"/>
                          <a:chExt cx="7048500" cy="4011706"/>
                        </a:xfrm>
                      </wpg:grpSpPr>
                      <wpg:graphicFrame>
                        <wpg:cNvPr id="921" name="Chart 921"/>
                        <wpg:cNvFrPr>
                          <a:graphicFrameLocks noChangeAspect="1"/>
                        </wpg:cNvFrPr>
                        <wpg:xfrm>
                          <a:off x="368467" y="-130641"/>
                          <a:ext cx="7048500" cy="4011706"/>
                        </wpg:xfrm>
                        <a:graphic>
                          <a:graphicData uri="http://schemas.openxmlformats.org/drawingml/2006/chart">
                            <c:chart xmlns:c="http://schemas.openxmlformats.org/drawingml/2006/chart" xmlns:r="http://schemas.openxmlformats.org/officeDocument/2006/relationships" r:id="rId24"/>
                          </a:graphicData>
                        </a:graphic>
                      </wpg:graphicFrame>
                      <wps:wsp>
                        <wps:cNvPr id="922" name="Straight Arrow Connector 922"/>
                        <wps:cNvCnPr/>
                        <wps:spPr>
                          <a:xfrm>
                            <a:off x="4216890" y="2282291"/>
                            <a:ext cx="1210236"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923" name="Straight Arrow Connector 923"/>
                        <wps:cNvCnPr/>
                        <wps:spPr>
                          <a:xfrm flipH="1">
                            <a:off x="2665659" y="2282291"/>
                            <a:ext cx="117661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D535481" id="Group 11" o:spid="_x0000_s1026" style="position:absolute;margin-left:39.5pt;margin-top:28.35pt;width:403.35pt;height:244.65pt;z-index:251836928;mso-position-horizontal-relative:margin;mso-width-relative:margin;mso-height-relative:margin" coordorigin="3684,-1306" coordsize="70485,40117"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921" o:spid="_x0000_s1027" type="#_x0000_t75" style="position:absolute;left:3684;top:-1306;width:70455;height:40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">
                  <v:imagedata r:id="rId27" o:title=""/>
                </v:shape>
                <v:shapetype id="_x0000_t32" coordsize="21600,21600" o:spt="32" o:oned="t" path="m,l21600,21600e" filled="f">
                  <v:path arrowok="t" fillok="f" o:connecttype="none"/>
                  <o:lock v:ext="edit" shapetype="t"/>
                </v:shapetype>
                <v:shape id="Straight Arrow Connector 922" o:spid="_x0000_s1028" type="#_x0000_t32" style="position:absolute;left:42168;top:22822;width:121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" strokecolor="#004c6c [3044]">
                  <v:stroke endarrow="open"/>
                </v:shape>
                <v:shape id="Straight Arrow Connector 923" o:spid="_x0000_s1029" type="#_x0000_t32" style="position:absolute;left:26656;top:22822;width:117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" strokecolor="#004c6c [3044]">
                  <v:stroke endarrow="open"/>
                </v:shape>
                <w10:wrap type="topAndBottom" anchorx="margin"/>
              </v:group>
            </w:pict>
          </mc:Fallback>
        </mc:AlternateContent>
      </w:r>
      <w:r w:rsidR="00434007" w:rsidRPr="00D350B5">
        <w:t>Chart 2:  Evolution of Income from 200</w:t>
      </w:r>
      <w:r w:rsidR="00434007">
        <w:t>6</w:t>
      </w:r>
      <w:r w:rsidR="00434007" w:rsidRPr="00D350B5">
        <w:t>/0</w:t>
      </w:r>
      <w:r w:rsidR="00434007">
        <w:t>7</w:t>
      </w:r>
      <w:r w:rsidR="00434007" w:rsidRPr="00D350B5">
        <w:t xml:space="preserve"> to 202</w:t>
      </w:r>
      <w:r w:rsidR="00434007">
        <w:t>4</w:t>
      </w:r>
      <w:r w:rsidR="00434007" w:rsidRPr="00D350B5">
        <w:t>/2</w:t>
      </w:r>
      <w:r>
        <w:t>5</w:t>
      </w:r>
      <w:r w:rsidR="00434007" w:rsidRPr="002356E0">
        <w:rPr>
          <w:noProof/>
          <w:sz w:val="96"/>
          <w:szCs w:val="96"/>
          <w:lang w:val="en-US"/>
        </w:rPr>
        <mc:AlternateContent>
          <mc:Choice Requires="wps">
            <w:drawing>
              <wp:anchor distT="0" distB="0" distL="114300" distR="114300" simplePos="0" relativeHeight="251812352" behindDoc="0" locked="0" layoutInCell="1" allowOverlap="1" wp14:anchorId="0DD37C7D" wp14:editId="055B9018">
                <wp:simplePos x="0" y="0"/>
                <wp:positionH relativeFrom="column">
                  <wp:posOffset>3213278</wp:posOffset>
                </wp:positionH>
                <wp:positionV relativeFrom="paragraph">
                  <wp:posOffset>1863108</wp:posOffset>
                </wp:positionV>
                <wp:extent cx="1076689" cy="0"/>
                <wp:effectExtent l="0" t="76200" r="28575" b="114300"/>
                <wp:wrapNone/>
                <wp:docPr id="13" name="Straight Arrow Connector 10"/>
                <wp:cNvGraphicFramePr/>
                <a:graphic xmlns:a="http://schemas.openxmlformats.org/drawingml/2006/main">
                  <a:graphicData uri="http://schemas.microsoft.com/office/word/2010/wordprocessingShape">
                    <wps:wsp>
                      <wps:cNvCnPr/>
                      <wps:spPr>
                        <a:xfrm>
                          <a:off x="0" y="0"/>
                          <a:ext cx="107668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433E63E" id="_x0000_t32" coordsize="21600,21600" o:spt="32" o:oned="t" path="m,l21600,21600e" filled="f">
                <v:path arrowok="t" fillok="f" o:connecttype="none"/>
                <o:lock v:ext="edit" shapetype="t"/>
              </v:shapetype>
              <v:shape id="Straight Arrow Connector 10" o:spid="_x0000_s1026" type="#_x0000_t32" style="position:absolute;margin-left:253pt;margin-top:146.7pt;width:84.8pt;height:0;z-index:251812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" strokecolor="#004c6c [3044]">
                <v:stroke endarrow="open"/>
              </v:shape>
            </w:pict>
          </mc:Fallback>
        </mc:AlternateContent>
      </w:r>
      <w:r w:rsidR="00434007" w:rsidRPr="002356E0">
        <w:rPr>
          <w:noProof/>
          <w:sz w:val="96"/>
          <w:szCs w:val="96"/>
          <w:lang w:val="en-US"/>
        </w:rPr>
        <mc:AlternateContent>
          <mc:Choice Requires="wps">
            <w:drawing>
              <wp:anchor distT="0" distB="0" distL="114300" distR="114300" simplePos="0" relativeHeight="251811328" behindDoc="0" locked="0" layoutInCell="1" allowOverlap="1" wp14:anchorId="24B3A38A" wp14:editId="1A95AF2A">
                <wp:simplePos x="0" y="0"/>
                <wp:positionH relativeFrom="column">
                  <wp:posOffset>2041301</wp:posOffset>
                </wp:positionH>
                <wp:positionV relativeFrom="paragraph">
                  <wp:posOffset>1863108</wp:posOffset>
                </wp:positionV>
                <wp:extent cx="1046779" cy="0"/>
                <wp:effectExtent l="38100" t="76200" r="0" b="114300"/>
                <wp:wrapNone/>
                <wp:docPr id="14" name="Straight Arrow Connector 12"/>
                <wp:cNvGraphicFramePr/>
                <a:graphic xmlns:a="http://schemas.openxmlformats.org/drawingml/2006/main">
                  <a:graphicData uri="http://schemas.microsoft.com/office/word/2010/wordprocessingShape">
                    <wps:wsp>
                      <wps:cNvCnPr/>
                      <wps:spPr>
                        <a:xfrm flipH="1">
                          <a:off x="0" y="0"/>
                          <a:ext cx="104677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C9EF3B" id="Straight Arrow Connector 12" o:spid="_x0000_s1026" type="#_x0000_t32" style="position:absolute;margin-left:160.75pt;margin-top:146.7pt;width:82.4pt;height:0;flip:x;z-index:251811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" strokecolor="#004c6c [3044]">
                <v:stroke endarrow="open"/>
              </v:shape>
            </w:pict>
          </mc:Fallback>
        </mc:AlternateContent>
      </w:r>
    </w:p>
    <w:p w14:paraId="16CAFC80" w14:textId="77777777" w:rsidR="00434007" w:rsidRPr="00D350B5" w:rsidRDefault="00434007" w:rsidP="00434007">
      <w:pPr>
        <w:pStyle w:val="NormalNumb"/>
        <w:numPr>
          <w:ilvl w:val="0"/>
          <w:numId w:val="0"/>
        </w:numPr>
        <w:spacing w:after="0"/>
      </w:pPr>
      <w:r w:rsidRPr="00D350B5">
        <w:t xml:space="preserve">    </w:t>
      </w:r>
    </w:p>
    <w:p w14:paraId="04456942" w14:textId="77777777" w:rsidR="00434007" w:rsidRPr="00D350B5" w:rsidRDefault="00434007" w:rsidP="00434007">
      <w:pPr>
        <w:pStyle w:val="Heading2NoNumb"/>
        <w:spacing w:before="120"/>
      </w:pPr>
      <w:r w:rsidRPr="00D350B5">
        <w:lastRenderedPageBreak/>
        <w:t>Planning Assumptions</w:t>
      </w:r>
    </w:p>
    <w:p w14:paraId="75E3C9A3" w14:textId="77777777" w:rsidR="00434007" w:rsidRPr="00733AA8" w:rsidRDefault="00434007" w:rsidP="00733AA8">
      <w:pPr>
        <w:pStyle w:val="NormalNumb"/>
        <w:keepNext/>
        <w:ind w:left="0"/>
        <w:rPr>
          <w:lang w:val="en-US"/>
        </w:rPr>
      </w:pPr>
      <w:r w:rsidRPr="00733AA8">
        <w:rPr>
          <w:lang w:val="en-US"/>
        </w:rPr>
        <w:t>The income and demand forecasts for the PCT, Madrid and the Hague have been prepared by the Chief Economist (see Table 3 below and Annex V).  The demand forecast takes into account historical filing trends and the GDP forecasts as per the World Economic Outlook (WEO), published by the International Monetary Fund (IMF).</w:t>
      </w:r>
    </w:p>
    <w:p w14:paraId="3EBB690D" w14:textId="77777777" w:rsidR="00434007" w:rsidRDefault="00434007" w:rsidP="00434007">
      <w:pPr>
        <w:pStyle w:val="NormalNumb"/>
        <w:numPr>
          <w:ilvl w:val="0"/>
          <w:numId w:val="0"/>
        </w:numPr>
        <w:spacing w:after="0" w:line="240" w:lineRule="auto"/>
      </w:pPr>
      <w:r w:rsidRPr="00D350B5">
        <w:t xml:space="preserve">  </w:t>
      </w:r>
      <w:r w:rsidRPr="00006C45">
        <w:t xml:space="preserve"> </w:t>
      </w:r>
    </w:p>
    <w:p w14:paraId="36B9F4DC" w14:textId="68AB9707" w:rsidR="00434007" w:rsidRDefault="00434007" w:rsidP="00434007">
      <w:pPr>
        <w:pStyle w:val="TableAndChartTitle"/>
        <w:spacing w:before="0" w:after="0" w:line="360" w:lineRule="auto"/>
      </w:pPr>
      <w:r w:rsidRPr="00D350B5">
        <w:t>Table 3:  Estimated Demand for Services under the PCT, Madrid and the Hague Systems</w:t>
      </w:r>
    </w:p>
    <w:p w14:paraId="19CDE008" w14:textId="77777777" w:rsidR="003706BD" w:rsidRPr="003706BD" w:rsidRDefault="003706BD" w:rsidP="002356E0">
      <w:pPr>
        <w:spacing w:after="60"/>
      </w:pPr>
    </w:p>
    <w:tbl>
      <w:tblPr>
        <w:tblW w:w="9300" w:type="dxa"/>
        <w:jc w:val="center"/>
        <w:tblLook w:val="04A0" w:firstRow="1" w:lastRow="0" w:firstColumn="1" w:lastColumn="0" w:noHBand="0" w:noVBand="1"/>
      </w:tblPr>
      <w:tblGrid>
        <w:gridCol w:w="280"/>
        <w:gridCol w:w="1120"/>
        <w:gridCol w:w="940"/>
        <w:gridCol w:w="940"/>
        <w:gridCol w:w="940"/>
        <w:gridCol w:w="940"/>
        <w:gridCol w:w="940"/>
        <w:gridCol w:w="900"/>
        <w:gridCol w:w="700"/>
        <w:gridCol w:w="900"/>
        <w:gridCol w:w="700"/>
      </w:tblGrid>
      <w:tr w:rsidR="000F28A2" w:rsidRPr="000F28A2" w14:paraId="73A91D20" w14:textId="77777777" w:rsidTr="002356E0">
        <w:trPr>
          <w:trHeight w:val="615"/>
          <w:jc w:val="center"/>
        </w:trPr>
        <w:tc>
          <w:tcPr>
            <w:tcW w:w="280" w:type="dxa"/>
            <w:tcBorders>
              <w:top w:val="nil"/>
              <w:left w:val="nil"/>
              <w:bottom w:val="nil"/>
              <w:right w:val="nil"/>
            </w:tcBorders>
            <w:shd w:val="clear" w:color="000000" w:fill="C7CFD8"/>
            <w:noWrap/>
            <w:vAlign w:val="bottom"/>
            <w:hideMark/>
          </w:tcPr>
          <w:p w14:paraId="2350D6CD" w14:textId="77777777" w:rsidR="000F28A2" w:rsidRPr="000F28A2" w:rsidRDefault="000F28A2" w:rsidP="000F28A2">
            <w:pPr>
              <w:spacing w:after="0" w:line="240" w:lineRule="auto"/>
              <w:rPr>
                <w:rFonts w:ascii="Arial Narrow" w:eastAsia="Times New Roman" w:hAnsi="Arial Narrow" w:cs="Times New Roman"/>
                <w:i/>
                <w:iCs/>
                <w:color w:val="000000"/>
                <w:sz w:val="16"/>
                <w:szCs w:val="16"/>
                <w:lang w:val="en-US"/>
              </w:rPr>
            </w:pPr>
            <w:r w:rsidRPr="000F28A2">
              <w:rPr>
                <w:rFonts w:ascii="Arial Narrow" w:eastAsia="Times New Roman" w:hAnsi="Arial Narrow" w:cs="Times New Roman"/>
                <w:i/>
                <w:iCs/>
                <w:color w:val="000000"/>
                <w:sz w:val="16"/>
                <w:szCs w:val="16"/>
                <w:lang w:val="en-US"/>
              </w:rPr>
              <w:t> </w:t>
            </w:r>
          </w:p>
        </w:tc>
        <w:tc>
          <w:tcPr>
            <w:tcW w:w="1120" w:type="dxa"/>
            <w:tcBorders>
              <w:top w:val="nil"/>
              <w:left w:val="nil"/>
              <w:bottom w:val="nil"/>
              <w:right w:val="nil"/>
            </w:tcBorders>
            <w:shd w:val="clear" w:color="000000" w:fill="C7CFD8"/>
            <w:noWrap/>
            <w:vAlign w:val="bottom"/>
            <w:hideMark/>
          </w:tcPr>
          <w:p w14:paraId="6F4D2945"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w:t>
            </w:r>
          </w:p>
        </w:tc>
        <w:tc>
          <w:tcPr>
            <w:tcW w:w="940" w:type="dxa"/>
            <w:vMerge w:val="restart"/>
            <w:tcBorders>
              <w:top w:val="nil"/>
              <w:left w:val="nil"/>
              <w:bottom w:val="nil"/>
              <w:right w:val="nil"/>
            </w:tcBorders>
            <w:shd w:val="clear" w:color="000000" w:fill="C7CFD8"/>
            <w:vAlign w:val="center"/>
            <w:hideMark/>
          </w:tcPr>
          <w:p w14:paraId="7E35421C" w14:textId="77777777" w:rsidR="000F28A2" w:rsidRPr="000F28A2" w:rsidRDefault="000F28A2" w:rsidP="000F28A2">
            <w:pPr>
              <w:spacing w:after="0" w:line="240" w:lineRule="auto"/>
              <w:jc w:val="right"/>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2022/23 </w:t>
            </w:r>
            <w:r w:rsidRPr="000F28A2">
              <w:rPr>
                <w:rFonts w:ascii="Arial Narrow" w:eastAsia="Times New Roman" w:hAnsi="Arial Narrow" w:cs="Times New Roman"/>
                <w:b/>
                <w:bCs/>
                <w:color w:val="000000"/>
                <w:sz w:val="16"/>
                <w:szCs w:val="16"/>
                <w:lang w:val="en-US"/>
              </w:rPr>
              <w:br/>
              <w:t xml:space="preserve">PoW&amp;B </w:t>
            </w:r>
            <w:r w:rsidRPr="000F28A2">
              <w:rPr>
                <w:rFonts w:ascii="Arial Narrow" w:eastAsia="Times New Roman" w:hAnsi="Arial Narrow" w:cs="Times New Roman"/>
                <w:b/>
                <w:bCs/>
                <w:color w:val="000000"/>
                <w:sz w:val="16"/>
                <w:szCs w:val="16"/>
                <w:lang w:val="en-US"/>
              </w:rPr>
              <w:br/>
              <w:t>Demand Estimates</w:t>
            </w:r>
          </w:p>
        </w:tc>
        <w:tc>
          <w:tcPr>
            <w:tcW w:w="940" w:type="dxa"/>
            <w:vMerge w:val="restart"/>
            <w:tcBorders>
              <w:top w:val="nil"/>
              <w:left w:val="nil"/>
              <w:bottom w:val="nil"/>
              <w:right w:val="nil"/>
            </w:tcBorders>
            <w:shd w:val="clear" w:color="000000" w:fill="C7CFD8"/>
            <w:vAlign w:val="center"/>
            <w:hideMark/>
          </w:tcPr>
          <w:p w14:paraId="5C362AB9" w14:textId="77777777" w:rsidR="000F28A2" w:rsidRPr="000F28A2" w:rsidRDefault="000F28A2" w:rsidP="000F28A2">
            <w:pPr>
              <w:spacing w:after="0" w:line="240" w:lineRule="auto"/>
              <w:jc w:val="right"/>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2022/23 Updated Demand Estimates</w:t>
            </w:r>
          </w:p>
        </w:tc>
        <w:tc>
          <w:tcPr>
            <w:tcW w:w="940" w:type="dxa"/>
            <w:vMerge w:val="restart"/>
            <w:tcBorders>
              <w:top w:val="nil"/>
              <w:left w:val="nil"/>
              <w:bottom w:val="nil"/>
              <w:right w:val="nil"/>
            </w:tcBorders>
            <w:shd w:val="clear" w:color="000000" w:fill="C7CFD8"/>
            <w:vAlign w:val="center"/>
            <w:hideMark/>
          </w:tcPr>
          <w:p w14:paraId="2511F378" w14:textId="77777777" w:rsidR="000F28A2" w:rsidRPr="000F28A2" w:rsidRDefault="000F28A2" w:rsidP="000F28A2">
            <w:pPr>
              <w:spacing w:after="0" w:line="240" w:lineRule="auto"/>
              <w:jc w:val="right"/>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2024 </w:t>
            </w:r>
            <w:r w:rsidRPr="000F28A2">
              <w:rPr>
                <w:rFonts w:ascii="Arial Narrow" w:eastAsia="Times New Roman" w:hAnsi="Arial Narrow" w:cs="Times New Roman"/>
                <w:b/>
                <w:bCs/>
                <w:color w:val="000000"/>
                <w:sz w:val="16"/>
                <w:szCs w:val="16"/>
                <w:lang w:val="en-US"/>
              </w:rPr>
              <w:br/>
              <w:t>Demand Estimates</w:t>
            </w:r>
          </w:p>
        </w:tc>
        <w:tc>
          <w:tcPr>
            <w:tcW w:w="940" w:type="dxa"/>
            <w:vMerge w:val="restart"/>
            <w:tcBorders>
              <w:top w:val="nil"/>
              <w:left w:val="nil"/>
              <w:bottom w:val="nil"/>
              <w:right w:val="nil"/>
            </w:tcBorders>
            <w:shd w:val="clear" w:color="000000" w:fill="C7CFD8"/>
            <w:vAlign w:val="center"/>
            <w:hideMark/>
          </w:tcPr>
          <w:p w14:paraId="3CB60A87" w14:textId="77777777" w:rsidR="000F28A2" w:rsidRPr="000F28A2" w:rsidRDefault="000F28A2" w:rsidP="000F28A2">
            <w:pPr>
              <w:spacing w:after="0" w:line="240" w:lineRule="auto"/>
              <w:jc w:val="right"/>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2025 </w:t>
            </w:r>
            <w:r w:rsidRPr="000F28A2">
              <w:rPr>
                <w:rFonts w:ascii="Arial Narrow" w:eastAsia="Times New Roman" w:hAnsi="Arial Narrow" w:cs="Times New Roman"/>
                <w:b/>
                <w:bCs/>
                <w:color w:val="000000"/>
                <w:sz w:val="16"/>
                <w:szCs w:val="16"/>
                <w:lang w:val="en-US"/>
              </w:rPr>
              <w:br/>
              <w:t>Demand Estimates</w:t>
            </w:r>
          </w:p>
        </w:tc>
        <w:tc>
          <w:tcPr>
            <w:tcW w:w="940" w:type="dxa"/>
            <w:vMerge w:val="restart"/>
            <w:tcBorders>
              <w:top w:val="nil"/>
              <w:left w:val="nil"/>
              <w:bottom w:val="nil"/>
              <w:right w:val="nil"/>
            </w:tcBorders>
            <w:shd w:val="clear" w:color="000000" w:fill="C7CFD8"/>
            <w:vAlign w:val="center"/>
            <w:hideMark/>
          </w:tcPr>
          <w:p w14:paraId="2EBE9EE8" w14:textId="77777777" w:rsidR="000F28A2" w:rsidRPr="000F28A2" w:rsidRDefault="000F28A2" w:rsidP="000F28A2">
            <w:pPr>
              <w:spacing w:after="0" w:line="240" w:lineRule="auto"/>
              <w:jc w:val="right"/>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2024/25 </w:t>
            </w:r>
            <w:r w:rsidRPr="000F28A2">
              <w:rPr>
                <w:rFonts w:ascii="Arial Narrow" w:eastAsia="Times New Roman" w:hAnsi="Arial Narrow" w:cs="Times New Roman"/>
                <w:b/>
                <w:bCs/>
                <w:color w:val="000000"/>
                <w:sz w:val="16"/>
                <w:szCs w:val="16"/>
                <w:lang w:val="en-US"/>
              </w:rPr>
              <w:br/>
              <w:t>Demand Estimates</w:t>
            </w:r>
          </w:p>
        </w:tc>
        <w:tc>
          <w:tcPr>
            <w:tcW w:w="1600" w:type="dxa"/>
            <w:gridSpan w:val="2"/>
            <w:tcBorders>
              <w:top w:val="nil"/>
              <w:left w:val="nil"/>
              <w:bottom w:val="single" w:sz="4" w:space="0" w:color="748B9E"/>
              <w:right w:val="nil"/>
            </w:tcBorders>
            <w:shd w:val="clear" w:color="000000" w:fill="C7CFD8"/>
            <w:vAlign w:val="center"/>
            <w:hideMark/>
          </w:tcPr>
          <w:p w14:paraId="61E2F728"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2024/25 </w:t>
            </w:r>
            <w:r w:rsidRPr="000F28A2">
              <w:rPr>
                <w:rFonts w:ascii="Arial Narrow" w:eastAsia="Times New Roman" w:hAnsi="Arial Narrow" w:cs="Times New Roman"/>
                <w:b/>
                <w:bCs/>
                <w:color w:val="000000"/>
                <w:sz w:val="16"/>
                <w:szCs w:val="16"/>
                <w:lang w:val="en-US"/>
              </w:rPr>
              <w:br/>
              <w:t xml:space="preserve">vs. 2022/23 PoW&amp;B </w:t>
            </w:r>
          </w:p>
        </w:tc>
        <w:tc>
          <w:tcPr>
            <w:tcW w:w="1600" w:type="dxa"/>
            <w:gridSpan w:val="2"/>
            <w:tcBorders>
              <w:top w:val="nil"/>
              <w:left w:val="nil"/>
              <w:bottom w:val="single" w:sz="4" w:space="0" w:color="748B9E"/>
              <w:right w:val="nil"/>
            </w:tcBorders>
            <w:shd w:val="clear" w:color="000000" w:fill="C7CFD8"/>
            <w:vAlign w:val="center"/>
            <w:hideMark/>
          </w:tcPr>
          <w:p w14:paraId="5B30A14E"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xml:space="preserve">2024/25 vs. 2022/23 Updated Demand Estimates </w:t>
            </w:r>
          </w:p>
        </w:tc>
      </w:tr>
      <w:tr w:rsidR="000F28A2" w:rsidRPr="000F28A2" w14:paraId="282A7DAC" w14:textId="77777777" w:rsidTr="002356E0">
        <w:trPr>
          <w:trHeight w:val="300"/>
          <w:jc w:val="center"/>
        </w:trPr>
        <w:tc>
          <w:tcPr>
            <w:tcW w:w="280" w:type="dxa"/>
            <w:tcBorders>
              <w:top w:val="nil"/>
              <w:left w:val="nil"/>
              <w:bottom w:val="nil"/>
              <w:right w:val="nil"/>
            </w:tcBorders>
            <w:shd w:val="clear" w:color="000000" w:fill="C7CFD8"/>
            <w:noWrap/>
            <w:hideMark/>
          </w:tcPr>
          <w:p w14:paraId="39CF5521" w14:textId="77777777" w:rsidR="000F28A2" w:rsidRPr="000F28A2" w:rsidRDefault="000F28A2" w:rsidP="000F28A2">
            <w:pPr>
              <w:spacing w:after="0" w:line="240" w:lineRule="auto"/>
              <w:rPr>
                <w:rFonts w:ascii="Arial Narrow" w:eastAsia="Times New Roman" w:hAnsi="Arial Narrow" w:cs="Times New Roman"/>
                <w:i/>
                <w:iCs/>
                <w:color w:val="000000"/>
                <w:sz w:val="16"/>
                <w:szCs w:val="16"/>
                <w:lang w:val="en-US"/>
              </w:rPr>
            </w:pPr>
            <w:r w:rsidRPr="000F28A2">
              <w:rPr>
                <w:rFonts w:ascii="Arial Narrow" w:eastAsia="Times New Roman" w:hAnsi="Arial Narrow" w:cs="Times New Roman"/>
                <w:i/>
                <w:iCs/>
                <w:color w:val="000000"/>
                <w:sz w:val="16"/>
                <w:szCs w:val="16"/>
                <w:lang w:val="en-US"/>
              </w:rPr>
              <w:t> </w:t>
            </w:r>
          </w:p>
        </w:tc>
        <w:tc>
          <w:tcPr>
            <w:tcW w:w="1120" w:type="dxa"/>
            <w:tcBorders>
              <w:top w:val="nil"/>
              <w:left w:val="nil"/>
              <w:bottom w:val="nil"/>
              <w:right w:val="nil"/>
            </w:tcBorders>
            <w:shd w:val="clear" w:color="000000" w:fill="C7CFD8"/>
            <w:noWrap/>
            <w:hideMark/>
          </w:tcPr>
          <w:p w14:paraId="62019A3E"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 </w:t>
            </w:r>
          </w:p>
        </w:tc>
        <w:tc>
          <w:tcPr>
            <w:tcW w:w="940" w:type="dxa"/>
            <w:vMerge/>
            <w:tcBorders>
              <w:top w:val="nil"/>
              <w:left w:val="nil"/>
              <w:bottom w:val="nil"/>
              <w:right w:val="nil"/>
            </w:tcBorders>
            <w:vAlign w:val="center"/>
            <w:hideMark/>
          </w:tcPr>
          <w:p w14:paraId="728732C2"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p>
        </w:tc>
        <w:tc>
          <w:tcPr>
            <w:tcW w:w="940" w:type="dxa"/>
            <w:vMerge/>
            <w:tcBorders>
              <w:top w:val="nil"/>
              <w:left w:val="nil"/>
              <w:bottom w:val="nil"/>
              <w:right w:val="nil"/>
            </w:tcBorders>
            <w:vAlign w:val="center"/>
            <w:hideMark/>
          </w:tcPr>
          <w:p w14:paraId="47B32E71"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p>
        </w:tc>
        <w:tc>
          <w:tcPr>
            <w:tcW w:w="940" w:type="dxa"/>
            <w:vMerge/>
            <w:tcBorders>
              <w:top w:val="nil"/>
              <w:left w:val="nil"/>
              <w:bottom w:val="nil"/>
              <w:right w:val="nil"/>
            </w:tcBorders>
            <w:vAlign w:val="center"/>
            <w:hideMark/>
          </w:tcPr>
          <w:p w14:paraId="40098988"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p>
        </w:tc>
        <w:tc>
          <w:tcPr>
            <w:tcW w:w="940" w:type="dxa"/>
            <w:vMerge/>
            <w:tcBorders>
              <w:top w:val="nil"/>
              <w:left w:val="nil"/>
              <w:bottom w:val="nil"/>
              <w:right w:val="nil"/>
            </w:tcBorders>
            <w:vAlign w:val="center"/>
            <w:hideMark/>
          </w:tcPr>
          <w:p w14:paraId="48EDF023"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p>
        </w:tc>
        <w:tc>
          <w:tcPr>
            <w:tcW w:w="940" w:type="dxa"/>
            <w:vMerge/>
            <w:tcBorders>
              <w:top w:val="nil"/>
              <w:left w:val="nil"/>
              <w:bottom w:val="nil"/>
              <w:right w:val="nil"/>
            </w:tcBorders>
            <w:vAlign w:val="center"/>
            <w:hideMark/>
          </w:tcPr>
          <w:p w14:paraId="6B223E5C" w14:textId="77777777" w:rsidR="000F28A2" w:rsidRPr="000F28A2" w:rsidRDefault="000F28A2" w:rsidP="000F28A2">
            <w:pPr>
              <w:spacing w:after="0" w:line="240" w:lineRule="auto"/>
              <w:rPr>
                <w:rFonts w:ascii="Arial Narrow" w:eastAsia="Times New Roman" w:hAnsi="Arial Narrow" w:cs="Times New Roman"/>
                <w:b/>
                <w:bCs/>
                <w:color w:val="000000"/>
                <w:sz w:val="16"/>
                <w:szCs w:val="16"/>
                <w:lang w:val="en-US"/>
              </w:rPr>
            </w:pPr>
          </w:p>
        </w:tc>
        <w:tc>
          <w:tcPr>
            <w:tcW w:w="900" w:type="dxa"/>
            <w:tcBorders>
              <w:top w:val="nil"/>
              <w:left w:val="nil"/>
              <w:bottom w:val="nil"/>
              <w:right w:val="nil"/>
            </w:tcBorders>
            <w:shd w:val="clear" w:color="000000" w:fill="C7CFD8"/>
            <w:vAlign w:val="center"/>
            <w:hideMark/>
          </w:tcPr>
          <w:p w14:paraId="1BBF52D9"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Amount</w:t>
            </w:r>
          </w:p>
        </w:tc>
        <w:tc>
          <w:tcPr>
            <w:tcW w:w="700" w:type="dxa"/>
            <w:tcBorders>
              <w:top w:val="nil"/>
              <w:left w:val="nil"/>
              <w:bottom w:val="nil"/>
              <w:right w:val="nil"/>
            </w:tcBorders>
            <w:shd w:val="clear" w:color="000000" w:fill="C7CFD8"/>
            <w:vAlign w:val="center"/>
            <w:hideMark/>
          </w:tcPr>
          <w:p w14:paraId="15DA1963"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w:t>
            </w:r>
          </w:p>
        </w:tc>
        <w:tc>
          <w:tcPr>
            <w:tcW w:w="900" w:type="dxa"/>
            <w:tcBorders>
              <w:top w:val="nil"/>
              <w:left w:val="nil"/>
              <w:bottom w:val="nil"/>
              <w:right w:val="nil"/>
            </w:tcBorders>
            <w:shd w:val="clear" w:color="000000" w:fill="C7CFD8"/>
            <w:vAlign w:val="center"/>
            <w:hideMark/>
          </w:tcPr>
          <w:p w14:paraId="6B0CBA89"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Amount</w:t>
            </w:r>
          </w:p>
        </w:tc>
        <w:tc>
          <w:tcPr>
            <w:tcW w:w="700" w:type="dxa"/>
            <w:tcBorders>
              <w:top w:val="nil"/>
              <w:left w:val="nil"/>
              <w:bottom w:val="nil"/>
              <w:right w:val="nil"/>
            </w:tcBorders>
            <w:shd w:val="clear" w:color="000000" w:fill="C7CFD8"/>
            <w:vAlign w:val="center"/>
            <w:hideMark/>
          </w:tcPr>
          <w:p w14:paraId="625D1639"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r w:rsidRPr="000F28A2">
              <w:rPr>
                <w:rFonts w:ascii="Arial Narrow" w:eastAsia="Times New Roman" w:hAnsi="Arial Narrow" w:cs="Times New Roman"/>
                <w:b/>
                <w:bCs/>
                <w:color w:val="000000"/>
                <w:sz w:val="16"/>
                <w:szCs w:val="16"/>
                <w:lang w:val="en-US"/>
              </w:rPr>
              <w:t>%</w:t>
            </w:r>
          </w:p>
        </w:tc>
      </w:tr>
      <w:tr w:rsidR="000F28A2" w:rsidRPr="000F28A2" w14:paraId="73A316DB" w14:textId="77777777" w:rsidTr="002356E0">
        <w:trPr>
          <w:trHeight w:val="105"/>
          <w:jc w:val="center"/>
        </w:trPr>
        <w:tc>
          <w:tcPr>
            <w:tcW w:w="280" w:type="dxa"/>
            <w:tcBorders>
              <w:top w:val="nil"/>
              <w:left w:val="nil"/>
              <w:bottom w:val="nil"/>
              <w:right w:val="nil"/>
            </w:tcBorders>
            <w:shd w:val="clear" w:color="auto" w:fill="auto"/>
            <w:noWrap/>
            <w:hideMark/>
          </w:tcPr>
          <w:p w14:paraId="0123F7B8" w14:textId="77777777" w:rsidR="000F28A2" w:rsidRPr="000F28A2" w:rsidRDefault="000F28A2" w:rsidP="000F28A2">
            <w:pPr>
              <w:spacing w:after="0" w:line="240" w:lineRule="auto"/>
              <w:jc w:val="center"/>
              <w:rPr>
                <w:rFonts w:ascii="Arial Narrow" w:eastAsia="Times New Roman" w:hAnsi="Arial Narrow" w:cs="Times New Roman"/>
                <w:b/>
                <w:bCs/>
                <w:color w:val="000000"/>
                <w:sz w:val="16"/>
                <w:szCs w:val="16"/>
                <w:lang w:val="en-US"/>
              </w:rPr>
            </w:pPr>
          </w:p>
        </w:tc>
        <w:tc>
          <w:tcPr>
            <w:tcW w:w="1120" w:type="dxa"/>
            <w:tcBorders>
              <w:top w:val="nil"/>
              <w:left w:val="nil"/>
              <w:bottom w:val="nil"/>
              <w:right w:val="nil"/>
            </w:tcBorders>
            <w:shd w:val="clear" w:color="auto" w:fill="auto"/>
            <w:noWrap/>
            <w:hideMark/>
          </w:tcPr>
          <w:p w14:paraId="5BE30537"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hideMark/>
          </w:tcPr>
          <w:p w14:paraId="2F4BF1BD"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hideMark/>
          </w:tcPr>
          <w:p w14:paraId="0F85AE0A"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hideMark/>
          </w:tcPr>
          <w:p w14:paraId="167268F6"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hideMark/>
          </w:tcPr>
          <w:p w14:paraId="3E31691A"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hideMark/>
          </w:tcPr>
          <w:p w14:paraId="0899EC15"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140288B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hideMark/>
          </w:tcPr>
          <w:p w14:paraId="4044B3D2"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hideMark/>
          </w:tcPr>
          <w:p w14:paraId="26B34E1E"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hideMark/>
          </w:tcPr>
          <w:p w14:paraId="47C88BAC"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r>
      <w:tr w:rsidR="000F28A2" w:rsidRPr="000F28A2" w14:paraId="1F36BAB7" w14:textId="77777777" w:rsidTr="002356E0">
        <w:trPr>
          <w:trHeight w:val="255"/>
          <w:jc w:val="center"/>
        </w:trPr>
        <w:tc>
          <w:tcPr>
            <w:tcW w:w="1400" w:type="dxa"/>
            <w:gridSpan w:val="2"/>
            <w:tcBorders>
              <w:top w:val="nil"/>
              <w:left w:val="nil"/>
              <w:bottom w:val="nil"/>
              <w:right w:val="nil"/>
            </w:tcBorders>
            <w:shd w:val="clear" w:color="auto" w:fill="auto"/>
            <w:noWrap/>
            <w:vAlign w:val="center"/>
            <w:hideMark/>
          </w:tcPr>
          <w:p w14:paraId="52B0B370"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PCT System</w:t>
            </w:r>
          </w:p>
        </w:tc>
        <w:tc>
          <w:tcPr>
            <w:tcW w:w="940" w:type="dxa"/>
            <w:tcBorders>
              <w:top w:val="nil"/>
              <w:left w:val="nil"/>
              <w:bottom w:val="nil"/>
              <w:right w:val="nil"/>
            </w:tcBorders>
            <w:shd w:val="clear" w:color="auto" w:fill="auto"/>
            <w:noWrap/>
            <w:vAlign w:val="center"/>
            <w:hideMark/>
          </w:tcPr>
          <w:p w14:paraId="5FE0AE78"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p>
        </w:tc>
        <w:tc>
          <w:tcPr>
            <w:tcW w:w="940" w:type="dxa"/>
            <w:tcBorders>
              <w:top w:val="nil"/>
              <w:left w:val="nil"/>
              <w:bottom w:val="nil"/>
              <w:right w:val="nil"/>
            </w:tcBorders>
            <w:shd w:val="clear" w:color="auto" w:fill="auto"/>
            <w:noWrap/>
            <w:vAlign w:val="center"/>
            <w:hideMark/>
          </w:tcPr>
          <w:p w14:paraId="4992292E"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07429FA8"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21F3B09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1CCB8D45"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center"/>
            <w:hideMark/>
          </w:tcPr>
          <w:p w14:paraId="47F74AC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vAlign w:val="center"/>
            <w:hideMark/>
          </w:tcPr>
          <w:p w14:paraId="74FDD09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center"/>
            <w:hideMark/>
          </w:tcPr>
          <w:p w14:paraId="48395368"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vAlign w:val="center"/>
            <w:hideMark/>
          </w:tcPr>
          <w:p w14:paraId="5A418922"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r>
      <w:tr w:rsidR="000F28A2" w:rsidRPr="000F28A2" w14:paraId="0A9E6596"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11A5BE66"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center"/>
            <w:hideMark/>
          </w:tcPr>
          <w:p w14:paraId="1E860036"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IAs Filed</w:t>
            </w:r>
          </w:p>
        </w:tc>
        <w:tc>
          <w:tcPr>
            <w:tcW w:w="940" w:type="dxa"/>
            <w:tcBorders>
              <w:top w:val="nil"/>
              <w:left w:val="nil"/>
              <w:bottom w:val="nil"/>
              <w:right w:val="nil"/>
            </w:tcBorders>
            <w:shd w:val="clear" w:color="auto" w:fill="auto"/>
            <w:noWrap/>
            <w:vAlign w:val="center"/>
            <w:hideMark/>
          </w:tcPr>
          <w:p w14:paraId="15C2D117"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593,800 </w:t>
            </w:r>
          </w:p>
        </w:tc>
        <w:tc>
          <w:tcPr>
            <w:tcW w:w="940" w:type="dxa"/>
            <w:tcBorders>
              <w:top w:val="nil"/>
              <w:left w:val="nil"/>
              <w:bottom w:val="nil"/>
              <w:right w:val="nil"/>
            </w:tcBorders>
            <w:shd w:val="clear" w:color="auto" w:fill="auto"/>
            <w:noWrap/>
            <w:vAlign w:val="center"/>
            <w:hideMark/>
          </w:tcPr>
          <w:p w14:paraId="6DDC1F0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571,000 </w:t>
            </w:r>
          </w:p>
        </w:tc>
        <w:tc>
          <w:tcPr>
            <w:tcW w:w="940" w:type="dxa"/>
            <w:tcBorders>
              <w:top w:val="nil"/>
              <w:left w:val="nil"/>
              <w:bottom w:val="nil"/>
              <w:right w:val="nil"/>
            </w:tcBorders>
            <w:shd w:val="clear" w:color="auto" w:fill="auto"/>
            <w:noWrap/>
            <w:vAlign w:val="center"/>
            <w:hideMark/>
          </w:tcPr>
          <w:p w14:paraId="309FD1F9"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291,700 </w:t>
            </w:r>
          </w:p>
        </w:tc>
        <w:tc>
          <w:tcPr>
            <w:tcW w:w="940" w:type="dxa"/>
            <w:tcBorders>
              <w:top w:val="nil"/>
              <w:left w:val="nil"/>
              <w:bottom w:val="nil"/>
              <w:right w:val="nil"/>
            </w:tcBorders>
            <w:shd w:val="clear" w:color="auto" w:fill="auto"/>
            <w:noWrap/>
            <w:vAlign w:val="center"/>
            <w:hideMark/>
          </w:tcPr>
          <w:p w14:paraId="7E47035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298,700 </w:t>
            </w:r>
          </w:p>
        </w:tc>
        <w:tc>
          <w:tcPr>
            <w:tcW w:w="940" w:type="dxa"/>
            <w:tcBorders>
              <w:top w:val="nil"/>
              <w:left w:val="nil"/>
              <w:bottom w:val="nil"/>
              <w:right w:val="nil"/>
            </w:tcBorders>
            <w:shd w:val="clear" w:color="auto" w:fill="auto"/>
            <w:vAlign w:val="center"/>
            <w:hideMark/>
          </w:tcPr>
          <w:p w14:paraId="0558F2B0"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590,400 </w:t>
            </w:r>
          </w:p>
        </w:tc>
        <w:tc>
          <w:tcPr>
            <w:tcW w:w="900" w:type="dxa"/>
            <w:tcBorders>
              <w:top w:val="nil"/>
              <w:left w:val="nil"/>
              <w:bottom w:val="nil"/>
              <w:right w:val="nil"/>
            </w:tcBorders>
            <w:shd w:val="clear" w:color="auto" w:fill="auto"/>
            <w:noWrap/>
            <w:vAlign w:val="center"/>
            <w:hideMark/>
          </w:tcPr>
          <w:p w14:paraId="4062ECA1"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(3,400)</w:t>
            </w:r>
          </w:p>
        </w:tc>
        <w:tc>
          <w:tcPr>
            <w:tcW w:w="700" w:type="dxa"/>
            <w:tcBorders>
              <w:top w:val="nil"/>
              <w:left w:val="nil"/>
              <w:bottom w:val="nil"/>
              <w:right w:val="nil"/>
            </w:tcBorders>
            <w:shd w:val="clear" w:color="auto" w:fill="auto"/>
            <w:noWrap/>
            <w:vAlign w:val="center"/>
            <w:hideMark/>
          </w:tcPr>
          <w:p w14:paraId="2E1CBA26"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-0.6%</w:t>
            </w:r>
          </w:p>
        </w:tc>
        <w:tc>
          <w:tcPr>
            <w:tcW w:w="900" w:type="dxa"/>
            <w:tcBorders>
              <w:top w:val="nil"/>
              <w:left w:val="nil"/>
              <w:bottom w:val="nil"/>
              <w:right w:val="nil"/>
            </w:tcBorders>
            <w:shd w:val="clear" w:color="auto" w:fill="auto"/>
            <w:noWrap/>
            <w:vAlign w:val="center"/>
            <w:hideMark/>
          </w:tcPr>
          <w:p w14:paraId="1F1E1F98"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19,400 </w:t>
            </w:r>
          </w:p>
        </w:tc>
        <w:tc>
          <w:tcPr>
            <w:tcW w:w="700" w:type="dxa"/>
            <w:tcBorders>
              <w:top w:val="nil"/>
              <w:left w:val="nil"/>
              <w:bottom w:val="nil"/>
              <w:right w:val="nil"/>
            </w:tcBorders>
            <w:shd w:val="clear" w:color="auto" w:fill="auto"/>
            <w:noWrap/>
            <w:vAlign w:val="center"/>
            <w:hideMark/>
          </w:tcPr>
          <w:p w14:paraId="61AED140"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3.4%</w:t>
            </w:r>
          </w:p>
        </w:tc>
      </w:tr>
      <w:tr w:rsidR="000F28A2" w:rsidRPr="000F28A2" w14:paraId="146416A1" w14:textId="77777777" w:rsidTr="002356E0">
        <w:trPr>
          <w:trHeight w:val="45"/>
          <w:jc w:val="center"/>
        </w:trPr>
        <w:tc>
          <w:tcPr>
            <w:tcW w:w="280" w:type="dxa"/>
            <w:tcBorders>
              <w:top w:val="nil"/>
              <w:left w:val="nil"/>
              <w:bottom w:val="single" w:sz="4" w:space="0" w:color="748B9E"/>
              <w:right w:val="nil"/>
            </w:tcBorders>
            <w:shd w:val="clear" w:color="auto" w:fill="auto"/>
            <w:noWrap/>
            <w:hideMark/>
          </w:tcPr>
          <w:p w14:paraId="79ABDD17"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1120" w:type="dxa"/>
            <w:tcBorders>
              <w:top w:val="nil"/>
              <w:left w:val="nil"/>
              <w:bottom w:val="single" w:sz="4" w:space="0" w:color="748B9E"/>
              <w:right w:val="nil"/>
            </w:tcBorders>
            <w:shd w:val="clear" w:color="auto" w:fill="auto"/>
            <w:noWrap/>
            <w:hideMark/>
          </w:tcPr>
          <w:p w14:paraId="514DC4FF"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2F8B5E67"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10B16140"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7FEC80D4"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2F174824"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2B376220" w14:textId="77777777" w:rsidR="000F28A2" w:rsidRPr="000F28A2" w:rsidRDefault="000F28A2" w:rsidP="000F28A2">
            <w:pPr>
              <w:spacing w:after="0" w:line="240" w:lineRule="auto"/>
              <w:rPr>
                <w:rFonts w:ascii="Arial Narrow" w:eastAsia="Times New Roman" w:hAnsi="Arial Narrow" w:cs="Times New Roman"/>
                <w:b/>
                <w:bCs/>
                <w:sz w:val="6"/>
                <w:szCs w:val="6"/>
                <w:lang w:val="en-US"/>
              </w:rPr>
            </w:pPr>
            <w:r w:rsidRPr="000F28A2">
              <w:rPr>
                <w:rFonts w:ascii="Arial Narrow" w:eastAsia="Times New Roman" w:hAnsi="Arial Narrow" w:cs="Times New Roman"/>
                <w:b/>
                <w:bCs/>
                <w:sz w:val="6"/>
                <w:szCs w:val="6"/>
                <w:lang w:val="en-US"/>
              </w:rPr>
              <w:t> </w:t>
            </w:r>
          </w:p>
        </w:tc>
        <w:tc>
          <w:tcPr>
            <w:tcW w:w="900" w:type="dxa"/>
            <w:tcBorders>
              <w:top w:val="nil"/>
              <w:left w:val="nil"/>
              <w:bottom w:val="single" w:sz="4" w:space="0" w:color="748B9E"/>
              <w:right w:val="nil"/>
            </w:tcBorders>
            <w:shd w:val="clear" w:color="auto" w:fill="auto"/>
            <w:noWrap/>
            <w:hideMark/>
          </w:tcPr>
          <w:p w14:paraId="06BC1F53"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7A0A6161"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00" w:type="dxa"/>
            <w:tcBorders>
              <w:top w:val="nil"/>
              <w:left w:val="nil"/>
              <w:bottom w:val="single" w:sz="4" w:space="0" w:color="748B9E"/>
              <w:right w:val="nil"/>
            </w:tcBorders>
            <w:shd w:val="clear" w:color="auto" w:fill="auto"/>
            <w:noWrap/>
            <w:hideMark/>
          </w:tcPr>
          <w:p w14:paraId="7B46C936"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65A209F0"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r>
      <w:tr w:rsidR="000F28A2" w:rsidRPr="000F28A2" w14:paraId="200461A5" w14:textId="77777777" w:rsidTr="002356E0">
        <w:trPr>
          <w:trHeight w:val="255"/>
          <w:jc w:val="center"/>
        </w:trPr>
        <w:tc>
          <w:tcPr>
            <w:tcW w:w="1400" w:type="dxa"/>
            <w:gridSpan w:val="2"/>
            <w:tcBorders>
              <w:top w:val="single" w:sz="4" w:space="0" w:color="748B9E"/>
              <w:left w:val="nil"/>
              <w:bottom w:val="nil"/>
              <w:right w:val="nil"/>
            </w:tcBorders>
            <w:shd w:val="clear" w:color="auto" w:fill="auto"/>
            <w:noWrap/>
            <w:vAlign w:val="center"/>
            <w:hideMark/>
          </w:tcPr>
          <w:p w14:paraId="5EC4DB2E"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Madrid System</w:t>
            </w:r>
          </w:p>
        </w:tc>
        <w:tc>
          <w:tcPr>
            <w:tcW w:w="940" w:type="dxa"/>
            <w:tcBorders>
              <w:top w:val="nil"/>
              <w:left w:val="nil"/>
              <w:bottom w:val="nil"/>
              <w:right w:val="nil"/>
            </w:tcBorders>
            <w:shd w:val="clear" w:color="auto" w:fill="auto"/>
            <w:noWrap/>
            <w:vAlign w:val="center"/>
            <w:hideMark/>
          </w:tcPr>
          <w:p w14:paraId="4119527F"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940" w:type="dxa"/>
            <w:tcBorders>
              <w:top w:val="nil"/>
              <w:left w:val="nil"/>
              <w:bottom w:val="nil"/>
              <w:right w:val="nil"/>
            </w:tcBorders>
            <w:shd w:val="clear" w:color="auto" w:fill="auto"/>
            <w:noWrap/>
            <w:vAlign w:val="center"/>
            <w:hideMark/>
          </w:tcPr>
          <w:p w14:paraId="037EA35D"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940" w:type="dxa"/>
            <w:tcBorders>
              <w:top w:val="nil"/>
              <w:left w:val="nil"/>
              <w:bottom w:val="nil"/>
              <w:right w:val="nil"/>
            </w:tcBorders>
            <w:shd w:val="clear" w:color="auto" w:fill="auto"/>
            <w:noWrap/>
            <w:vAlign w:val="center"/>
            <w:hideMark/>
          </w:tcPr>
          <w:p w14:paraId="2C4DD65E"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940" w:type="dxa"/>
            <w:tcBorders>
              <w:top w:val="nil"/>
              <w:left w:val="nil"/>
              <w:bottom w:val="nil"/>
              <w:right w:val="nil"/>
            </w:tcBorders>
            <w:shd w:val="clear" w:color="auto" w:fill="auto"/>
            <w:noWrap/>
            <w:vAlign w:val="center"/>
            <w:hideMark/>
          </w:tcPr>
          <w:p w14:paraId="412594BD"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940" w:type="dxa"/>
            <w:tcBorders>
              <w:top w:val="nil"/>
              <w:left w:val="nil"/>
              <w:bottom w:val="nil"/>
              <w:right w:val="nil"/>
            </w:tcBorders>
            <w:shd w:val="clear" w:color="auto" w:fill="auto"/>
            <w:noWrap/>
            <w:vAlign w:val="center"/>
            <w:hideMark/>
          </w:tcPr>
          <w:p w14:paraId="59C7E02A"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w:t>
            </w:r>
          </w:p>
        </w:tc>
        <w:tc>
          <w:tcPr>
            <w:tcW w:w="900" w:type="dxa"/>
            <w:tcBorders>
              <w:top w:val="nil"/>
              <w:left w:val="nil"/>
              <w:bottom w:val="nil"/>
              <w:right w:val="nil"/>
            </w:tcBorders>
            <w:shd w:val="clear" w:color="auto" w:fill="auto"/>
            <w:noWrap/>
            <w:vAlign w:val="center"/>
            <w:hideMark/>
          </w:tcPr>
          <w:p w14:paraId="63EF8C5D"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700" w:type="dxa"/>
            <w:tcBorders>
              <w:top w:val="nil"/>
              <w:left w:val="nil"/>
              <w:bottom w:val="nil"/>
              <w:right w:val="nil"/>
            </w:tcBorders>
            <w:shd w:val="clear" w:color="auto" w:fill="auto"/>
            <w:noWrap/>
            <w:vAlign w:val="center"/>
            <w:hideMark/>
          </w:tcPr>
          <w:p w14:paraId="77E8B535"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900" w:type="dxa"/>
            <w:tcBorders>
              <w:top w:val="nil"/>
              <w:left w:val="nil"/>
              <w:bottom w:val="nil"/>
              <w:right w:val="nil"/>
            </w:tcBorders>
            <w:shd w:val="clear" w:color="auto" w:fill="auto"/>
            <w:noWrap/>
            <w:vAlign w:val="center"/>
            <w:hideMark/>
          </w:tcPr>
          <w:p w14:paraId="357CA1E6"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c>
          <w:tcPr>
            <w:tcW w:w="700" w:type="dxa"/>
            <w:tcBorders>
              <w:top w:val="nil"/>
              <w:left w:val="nil"/>
              <w:bottom w:val="nil"/>
              <w:right w:val="nil"/>
            </w:tcBorders>
            <w:shd w:val="clear" w:color="auto" w:fill="auto"/>
            <w:noWrap/>
            <w:vAlign w:val="center"/>
            <w:hideMark/>
          </w:tcPr>
          <w:p w14:paraId="095BC0E9"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w:t>
            </w:r>
          </w:p>
        </w:tc>
      </w:tr>
      <w:tr w:rsidR="000F28A2" w:rsidRPr="000F28A2" w14:paraId="2D743FC6"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6322B6DA" w14:textId="77777777" w:rsidR="000F28A2" w:rsidRPr="000F28A2" w:rsidRDefault="000F28A2" w:rsidP="000F28A2">
            <w:pPr>
              <w:spacing w:after="0" w:line="240" w:lineRule="auto"/>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center"/>
            <w:hideMark/>
          </w:tcPr>
          <w:p w14:paraId="45CDC713"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Applications</w:t>
            </w:r>
          </w:p>
        </w:tc>
        <w:tc>
          <w:tcPr>
            <w:tcW w:w="940" w:type="dxa"/>
            <w:tcBorders>
              <w:top w:val="nil"/>
              <w:left w:val="nil"/>
              <w:bottom w:val="nil"/>
              <w:right w:val="nil"/>
            </w:tcBorders>
            <w:shd w:val="clear" w:color="auto" w:fill="auto"/>
            <w:noWrap/>
            <w:vAlign w:val="center"/>
            <w:hideMark/>
          </w:tcPr>
          <w:p w14:paraId="025B03B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145,200 </w:t>
            </w:r>
          </w:p>
        </w:tc>
        <w:tc>
          <w:tcPr>
            <w:tcW w:w="940" w:type="dxa"/>
            <w:tcBorders>
              <w:top w:val="nil"/>
              <w:left w:val="nil"/>
              <w:bottom w:val="nil"/>
              <w:right w:val="nil"/>
            </w:tcBorders>
            <w:shd w:val="clear" w:color="auto" w:fill="auto"/>
            <w:noWrap/>
            <w:vAlign w:val="center"/>
            <w:hideMark/>
          </w:tcPr>
          <w:p w14:paraId="78AB2959"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141,400 </w:t>
            </w:r>
          </w:p>
        </w:tc>
        <w:tc>
          <w:tcPr>
            <w:tcW w:w="940" w:type="dxa"/>
            <w:tcBorders>
              <w:top w:val="nil"/>
              <w:left w:val="nil"/>
              <w:bottom w:val="nil"/>
              <w:right w:val="nil"/>
            </w:tcBorders>
            <w:shd w:val="clear" w:color="auto" w:fill="auto"/>
            <w:noWrap/>
            <w:vAlign w:val="center"/>
            <w:hideMark/>
          </w:tcPr>
          <w:p w14:paraId="595E244F"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72,900 </w:t>
            </w:r>
          </w:p>
        </w:tc>
        <w:tc>
          <w:tcPr>
            <w:tcW w:w="940" w:type="dxa"/>
            <w:tcBorders>
              <w:top w:val="nil"/>
              <w:left w:val="nil"/>
              <w:bottom w:val="nil"/>
              <w:right w:val="nil"/>
            </w:tcBorders>
            <w:shd w:val="clear" w:color="auto" w:fill="auto"/>
            <w:noWrap/>
            <w:vAlign w:val="center"/>
            <w:hideMark/>
          </w:tcPr>
          <w:p w14:paraId="0BA3C78A"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75,000 </w:t>
            </w:r>
          </w:p>
        </w:tc>
        <w:tc>
          <w:tcPr>
            <w:tcW w:w="940" w:type="dxa"/>
            <w:tcBorders>
              <w:top w:val="nil"/>
              <w:left w:val="nil"/>
              <w:bottom w:val="nil"/>
              <w:right w:val="nil"/>
            </w:tcBorders>
            <w:shd w:val="clear" w:color="auto" w:fill="auto"/>
            <w:vAlign w:val="center"/>
            <w:hideMark/>
          </w:tcPr>
          <w:p w14:paraId="252AAEA2"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147,900 </w:t>
            </w:r>
          </w:p>
        </w:tc>
        <w:tc>
          <w:tcPr>
            <w:tcW w:w="900" w:type="dxa"/>
            <w:tcBorders>
              <w:top w:val="nil"/>
              <w:left w:val="nil"/>
              <w:bottom w:val="nil"/>
              <w:right w:val="nil"/>
            </w:tcBorders>
            <w:shd w:val="clear" w:color="auto" w:fill="auto"/>
            <w:noWrap/>
            <w:vAlign w:val="center"/>
            <w:hideMark/>
          </w:tcPr>
          <w:p w14:paraId="717A4AD9"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2,700 </w:t>
            </w:r>
          </w:p>
        </w:tc>
        <w:tc>
          <w:tcPr>
            <w:tcW w:w="700" w:type="dxa"/>
            <w:tcBorders>
              <w:top w:val="nil"/>
              <w:left w:val="nil"/>
              <w:bottom w:val="nil"/>
              <w:right w:val="nil"/>
            </w:tcBorders>
            <w:shd w:val="clear" w:color="auto" w:fill="auto"/>
            <w:noWrap/>
            <w:vAlign w:val="center"/>
            <w:hideMark/>
          </w:tcPr>
          <w:p w14:paraId="7B966A67"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1.9%</w:t>
            </w:r>
          </w:p>
        </w:tc>
        <w:tc>
          <w:tcPr>
            <w:tcW w:w="900" w:type="dxa"/>
            <w:tcBorders>
              <w:top w:val="nil"/>
              <w:left w:val="nil"/>
              <w:bottom w:val="nil"/>
              <w:right w:val="nil"/>
            </w:tcBorders>
            <w:shd w:val="clear" w:color="auto" w:fill="auto"/>
            <w:noWrap/>
            <w:vAlign w:val="center"/>
            <w:hideMark/>
          </w:tcPr>
          <w:p w14:paraId="547CF01F"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6,500 </w:t>
            </w:r>
          </w:p>
        </w:tc>
        <w:tc>
          <w:tcPr>
            <w:tcW w:w="700" w:type="dxa"/>
            <w:tcBorders>
              <w:top w:val="nil"/>
              <w:left w:val="nil"/>
              <w:bottom w:val="nil"/>
              <w:right w:val="nil"/>
            </w:tcBorders>
            <w:shd w:val="clear" w:color="auto" w:fill="auto"/>
            <w:noWrap/>
            <w:vAlign w:val="center"/>
            <w:hideMark/>
          </w:tcPr>
          <w:p w14:paraId="5814B518"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4.6%</w:t>
            </w:r>
          </w:p>
        </w:tc>
      </w:tr>
      <w:tr w:rsidR="000F28A2" w:rsidRPr="000F28A2" w14:paraId="770B4E78"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5FBF518A"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center"/>
            <w:hideMark/>
          </w:tcPr>
          <w:p w14:paraId="49A80754"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Registrations</w:t>
            </w:r>
          </w:p>
        </w:tc>
        <w:tc>
          <w:tcPr>
            <w:tcW w:w="940" w:type="dxa"/>
            <w:tcBorders>
              <w:top w:val="nil"/>
              <w:left w:val="nil"/>
              <w:bottom w:val="nil"/>
              <w:right w:val="nil"/>
            </w:tcBorders>
            <w:shd w:val="clear" w:color="auto" w:fill="auto"/>
            <w:noWrap/>
            <w:vAlign w:val="center"/>
            <w:hideMark/>
          </w:tcPr>
          <w:p w14:paraId="4E2E0672"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138,700 </w:t>
            </w:r>
          </w:p>
        </w:tc>
        <w:tc>
          <w:tcPr>
            <w:tcW w:w="940" w:type="dxa"/>
            <w:tcBorders>
              <w:top w:val="nil"/>
              <w:left w:val="nil"/>
              <w:bottom w:val="nil"/>
              <w:right w:val="nil"/>
            </w:tcBorders>
            <w:shd w:val="clear" w:color="auto" w:fill="auto"/>
            <w:noWrap/>
            <w:vAlign w:val="center"/>
            <w:hideMark/>
          </w:tcPr>
          <w:p w14:paraId="56BA1097"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137,189 </w:t>
            </w:r>
          </w:p>
        </w:tc>
        <w:tc>
          <w:tcPr>
            <w:tcW w:w="940" w:type="dxa"/>
            <w:tcBorders>
              <w:top w:val="nil"/>
              <w:left w:val="nil"/>
              <w:bottom w:val="nil"/>
              <w:right w:val="nil"/>
            </w:tcBorders>
            <w:shd w:val="clear" w:color="auto" w:fill="auto"/>
            <w:noWrap/>
            <w:vAlign w:val="center"/>
            <w:hideMark/>
          </w:tcPr>
          <w:p w14:paraId="3B1B4E24"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69,500 </w:t>
            </w:r>
          </w:p>
        </w:tc>
        <w:tc>
          <w:tcPr>
            <w:tcW w:w="940" w:type="dxa"/>
            <w:tcBorders>
              <w:top w:val="nil"/>
              <w:left w:val="nil"/>
              <w:bottom w:val="nil"/>
              <w:right w:val="nil"/>
            </w:tcBorders>
            <w:shd w:val="clear" w:color="auto" w:fill="auto"/>
            <w:noWrap/>
            <w:vAlign w:val="center"/>
            <w:hideMark/>
          </w:tcPr>
          <w:p w14:paraId="21919A64"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71,600 </w:t>
            </w:r>
          </w:p>
        </w:tc>
        <w:tc>
          <w:tcPr>
            <w:tcW w:w="940" w:type="dxa"/>
            <w:tcBorders>
              <w:top w:val="nil"/>
              <w:left w:val="nil"/>
              <w:bottom w:val="nil"/>
              <w:right w:val="nil"/>
            </w:tcBorders>
            <w:shd w:val="clear" w:color="auto" w:fill="auto"/>
            <w:vAlign w:val="center"/>
            <w:hideMark/>
          </w:tcPr>
          <w:p w14:paraId="69DCA39A"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141,100 </w:t>
            </w:r>
          </w:p>
        </w:tc>
        <w:tc>
          <w:tcPr>
            <w:tcW w:w="900" w:type="dxa"/>
            <w:tcBorders>
              <w:top w:val="nil"/>
              <w:left w:val="nil"/>
              <w:bottom w:val="nil"/>
              <w:right w:val="nil"/>
            </w:tcBorders>
            <w:shd w:val="clear" w:color="auto" w:fill="auto"/>
            <w:noWrap/>
            <w:vAlign w:val="center"/>
            <w:hideMark/>
          </w:tcPr>
          <w:p w14:paraId="507D2A67"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2,400 </w:t>
            </w:r>
          </w:p>
        </w:tc>
        <w:tc>
          <w:tcPr>
            <w:tcW w:w="700" w:type="dxa"/>
            <w:tcBorders>
              <w:top w:val="nil"/>
              <w:left w:val="nil"/>
              <w:bottom w:val="nil"/>
              <w:right w:val="nil"/>
            </w:tcBorders>
            <w:shd w:val="clear" w:color="auto" w:fill="auto"/>
            <w:noWrap/>
            <w:vAlign w:val="center"/>
            <w:hideMark/>
          </w:tcPr>
          <w:p w14:paraId="6CD09AF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1.7%</w:t>
            </w:r>
          </w:p>
        </w:tc>
        <w:tc>
          <w:tcPr>
            <w:tcW w:w="900" w:type="dxa"/>
            <w:tcBorders>
              <w:top w:val="nil"/>
              <w:left w:val="nil"/>
              <w:bottom w:val="nil"/>
              <w:right w:val="nil"/>
            </w:tcBorders>
            <w:shd w:val="clear" w:color="auto" w:fill="auto"/>
            <w:noWrap/>
            <w:vAlign w:val="center"/>
            <w:hideMark/>
          </w:tcPr>
          <w:p w14:paraId="19D6D97E"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3,911 </w:t>
            </w:r>
          </w:p>
        </w:tc>
        <w:tc>
          <w:tcPr>
            <w:tcW w:w="700" w:type="dxa"/>
            <w:tcBorders>
              <w:top w:val="nil"/>
              <w:left w:val="nil"/>
              <w:bottom w:val="nil"/>
              <w:right w:val="nil"/>
            </w:tcBorders>
            <w:shd w:val="clear" w:color="auto" w:fill="auto"/>
            <w:noWrap/>
            <w:vAlign w:val="center"/>
            <w:hideMark/>
          </w:tcPr>
          <w:p w14:paraId="62627AB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2.9%</w:t>
            </w:r>
          </w:p>
        </w:tc>
      </w:tr>
      <w:tr w:rsidR="000F28A2" w:rsidRPr="000F28A2" w14:paraId="013FC3CC"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07CE3913"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center"/>
            <w:hideMark/>
          </w:tcPr>
          <w:p w14:paraId="0D703B89"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Renewals</w:t>
            </w:r>
          </w:p>
        </w:tc>
        <w:tc>
          <w:tcPr>
            <w:tcW w:w="940" w:type="dxa"/>
            <w:tcBorders>
              <w:top w:val="nil"/>
              <w:left w:val="nil"/>
              <w:bottom w:val="nil"/>
              <w:right w:val="nil"/>
            </w:tcBorders>
            <w:shd w:val="clear" w:color="auto" w:fill="auto"/>
            <w:noWrap/>
            <w:vAlign w:val="center"/>
            <w:hideMark/>
          </w:tcPr>
          <w:p w14:paraId="25A8C200"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66,400 </w:t>
            </w:r>
          </w:p>
        </w:tc>
        <w:tc>
          <w:tcPr>
            <w:tcW w:w="940" w:type="dxa"/>
            <w:tcBorders>
              <w:top w:val="nil"/>
              <w:left w:val="nil"/>
              <w:bottom w:val="nil"/>
              <w:right w:val="nil"/>
            </w:tcBorders>
            <w:shd w:val="clear" w:color="auto" w:fill="auto"/>
            <w:noWrap/>
            <w:vAlign w:val="center"/>
            <w:hideMark/>
          </w:tcPr>
          <w:p w14:paraId="56273B90"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74,065 </w:t>
            </w:r>
          </w:p>
        </w:tc>
        <w:tc>
          <w:tcPr>
            <w:tcW w:w="940" w:type="dxa"/>
            <w:tcBorders>
              <w:top w:val="nil"/>
              <w:left w:val="nil"/>
              <w:bottom w:val="nil"/>
              <w:right w:val="nil"/>
            </w:tcBorders>
            <w:shd w:val="clear" w:color="auto" w:fill="auto"/>
            <w:noWrap/>
            <w:vAlign w:val="center"/>
            <w:hideMark/>
          </w:tcPr>
          <w:p w14:paraId="3A24DAAE"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38,400 </w:t>
            </w:r>
          </w:p>
        </w:tc>
        <w:tc>
          <w:tcPr>
            <w:tcW w:w="940" w:type="dxa"/>
            <w:tcBorders>
              <w:top w:val="nil"/>
              <w:left w:val="nil"/>
              <w:bottom w:val="nil"/>
              <w:right w:val="nil"/>
            </w:tcBorders>
            <w:shd w:val="clear" w:color="auto" w:fill="auto"/>
            <w:noWrap/>
            <w:vAlign w:val="center"/>
            <w:hideMark/>
          </w:tcPr>
          <w:p w14:paraId="32E6171C"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40,400 </w:t>
            </w:r>
          </w:p>
        </w:tc>
        <w:tc>
          <w:tcPr>
            <w:tcW w:w="940" w:type="dxa"/>
            <w:tcBorders>
              <w:top w:val="nil"/>
              <w:left w:val="nil"/>
              <w:bottom w:val="nil"/>
              <w:right w:val="nil"/>
            </w:tcBorders>
            <w:shd w:val="clear" w:color="auto" w:fill="auto"/>
            <w:vAlign w:val="center"/>
            <w:hideMark/>
          </w:tcPr>
          <w:p w14:paraId="4011551A"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78,800 </w:t>
            </w:r>
          </w:p>
        </w:tc>
        <w:tc>
          <w:tcPr>
            <w:tcW w:w="900" w:type="dxa"/>
            <w:tcBorders>
              <w:top w:val="nil"/>
              <w:left w:val="nil"/>
              <w:bottom w:val="nil"/>
              <w:right w:val="nil"/>
            </w:tcBorders>
            <w:shd w:val="clear" w:color="auto" w:fill="auto"/>
            <w:noWrap/>
            <w:vAlign w:val="center"/>
            <w:hideMark/>
          </w:tcPr>
          <w:p w14:paraId="73FAAEA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12,400 </w:t>
            </w:r>
          </w:p>
        </w:tc>
        <w:tc>
          <w:tcPr>
            <w:tcW w:w="700" w:type="dxa"/>
            <w:tcBorders>
              <w:top w:val="nil"/>
              <w:left w:val="nil"/>
              <w:bottom w:val="nil"/>
              <w:right w:val="nil"/>
            </w:tcBorders>
            <w:shd w:val="clear" w:color="auto" w:fill="auto"/>
            <w:noWrap/>
            <w:vAlign w:val="center"/>
            <w:hideMark/>
          </w:tcPr>
          <w:p w14:paraId="730BC95C"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18.7%</w:t>
            </w:r>
          </w:p>
        </w:tc>
        <w:tc>
          <w:tcPr>
            <w:tcW w:w="900" w:type="dxa"/>
            <w:tcBorders>
              <w:top w:val="nil"/>
              <w:left w:val="nil"/>
              <w:bottom w:val="nil"/>
              <w:right w:val="nil"/>
            </w:tcBorders>
            <w:shd w:val="clear" w:color="auto" w:fill="auto"/>
            <w:noWrap/>
            <w:vAlign w:val="center"/>
            <w:hideMark/>
          </w:tcPr>
          <w:p w14:paraId="2638B659"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4,735 </w:t>
            </w:r>
          </w:p>
        </w:tc>
        <w:tc>
          <w:tcPr>
            <w:tcW w:w="700" w:type="dxa"/>
            <w:tcBorders>
              <w:top w:val="nil"/>
              <w:left w:val="nil"/>
              <w:bottom w:val="nil"/>
              <w:right w:val="nil"/>
            </w:tcBorders>
            <w:shd w:val="clear" w:color="auto" w:fill="auto"/>
            <w:noWrap/>
            <w:vAlign w:val="center"/>
            <w:hideMark/>
          </w:tcPr>
          <w:p w14:paraId="68B84BC5"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6.4%</w:t>
            </w:r>
          </w:p>
        </w:tc>
      </w:tr>
      <w:tr w:rsidR="000F28A2" w:rsidRPr="000F28A2" w14:paraId="323D2F14" w14:textId="77777777" w:rsidTr="002356E0">
        <w:trPr>
          <w:trHeight w:val="45"/>
          <w:jc w:val="center"/>
        </w:trPr>
        <w:tc>
          <w:tcPr>
            <w:tcW w:w="280" w:type="dxa"/>
            <w:tcBorders>
              <w:top w:val="nil"/>
              <w:left w:val="nil"/>
              <w:bottom w:val="single" w:sz="4" w:space="0" w:color="748B9E"/>
              <w:right w:val="nil"/>
            </w:tcBorders>
            <w:shd w:val="clear" w:color="auto" w:fill="auto"/>
            <w:noWrap/>
            <w:hideMark/>
          </w:tcPr>
          <w:p w14:paraId="06472CEC"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1120" w:type="dxa"/>
            <w:tcBorders>
              <w:top w:val="nil"/>
              <w:left w:val="nil"/>
              <w:bottom w:val="single" w:sz="4" w:space="0" w:color="748B9E"/>
              <w:right w:val="nil"/>
            </w:tcBorders>
            <w:shd w:val="clear" w:color="auto" w:fill="auto"/>
            <w:noWrap/>
            <w:hideMark/>
          </w:tcPr>
          <w:p w14:paraId="73931BF8"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6DA4F44E"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6C3D54FC"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07F2431B"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74052A83"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053CDD47" w14:textId="77777777" w:rsidR="000F28A2" w:rsidRPr="000F28A2" w:rsidRDefault="000F28A2" w:rsidP="000F28A2">
            <w:pPr>
              <w:spacing w:after="0" w:line="240" w:lineRule="auto"/>
              <w:rPr>
                <w:rFonts w:ascii="Arial Narrow" w:eastAsia="Times New Roman" w:hAnsi="Arial Narrow" w:cs="Times New Roman"/>
                <w:b/>
                <w:bCs/>
                <w:sz w:val="6"/>
                <w:szCs w:val="6"/>
                <w:lang w:val="en-US"/>
              </w:rPr>
            </w:pPr>
            <w:r w:rsidRPr="000F28A2">
              <w:rPr>
                <w:rFonts w:ascii="Arial Narrow" w:eastAsia="Times New Roman" w:hAnsi="Arial Narrow" w:cs="Times New Roman"/>
                <w:b/>
                <w:bCs/>
                <w:sz w:val="6"/>
                <w:szCs w:val="6"/>
                <w:lang w:val="en-US"/>
              </w:rPr>
              <w:t> </w:t>
            </w:r>
          </w:p>
        </w:tc>
        <w:tc>
          <w:tcPr>
            <w:tcW w:w="900" w:type="dxa"/>
            <w:tcBorders>
              <w:top w:val="nil"/>
              <w:left w:val="nil"/>
              <w:bottom w:val="single" w:sz="4" w:space="0" w:color="748B9E"/>
              <w:right w:val="nil"/>
            </w:tcBorders>
            <w:shd w:val="clear" w:color="auto" w:fill="auto"/>
            <w:noWrap/>
            <w:hideMark/>
          </w:tcPr>
          <w:p w14:paraId="0B019FAC"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585749C6"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00" w:type="dxa"/>
            <w:tcBorders>
              <w:top w:val="nil"/>
              <w:left w:val="nil"/>
              <w:bottom w:val="single" w:sz="4" w:space="0" w:color="748B9E"/>
              <w:right w:val="nil"/>
            </w:tcBorders>
            <w:shd w:val="clear" w:color="auto" w:fill="auto"/>
            <w:noWrap/>
            <w:hideMark/>
          </w:tcPr>
          <w:p w14:paraId="27B604ED"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0CE7C354"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r>
      <w:tr w:rsidR="000F28A2" w:rsidRPr="000F28A2" w14:paraId="3472DC6E" w14:textId="77777777" w:rsidTr="002356E0">
        <w:trPr>
          <w:trHeight w:val="255"/>
          <w:jc w:val="center"/>
        </w:trPr>
        <w:tc>
          <w:tcPr>
            <w:tcW w:w="1400" w:type="dxa"/>
            <w:gridSpan w:val="2"/>
            <w:tcBorders>
              <w:top w:val="single" w:sz="4" w:space="0" w:color="748B9E"/>
              <w:left w:val="nil"/>
              <w:bottom w:val="nil"/>
              <w:right w:val="nil"/>
            </w:tcBorders>
            <w:shd w:val="clear" w:color="auto" w:fill="auto"/>
            <w:noWrap/>
            <w:vAlign w:val="center"/>
            <w:hideMark/>
          </w:tcPr>
          <w:p w14:paraId="7043E9A1"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Hague System</w:t>
            </w:r>
          </w:p>
        </w:tc>
        <w:tc>
          <w:tcPr>
            <w:tcW w:w="940" w:type="dxa"/>
            <w:tcBorders>
              <w:top w:val="nil"/>
              <w:left w:val="nil"/>
              <w:bottom w:val="nil"/>
              <w:right w:val="nil"/>
            </w:tcBorders>
            <w:shd w:val="clear" w:color="auto" w:fill="auto"/>
            <w:noWrap/>
            <w:vAlign w:val="center"/>
            <w:hideMark/>
          </w:tcPr>
          <w:p w14:paraId="7866BDBF" w14:textId="77777777" w:rsidR="000F28A2" w:rsidRPr="000F28A2" w:rsidRDefault="000F28A2" w:rsidP="000F28A2">
            <w:pPr>
              <w:spacing w:after="0" w:line="240" w:lineRule="auto"/>
              <w:rPr>
                <w:rFonts w:ascii="Arial Narrow" w:eastAsia="Times New Roman" w:hAnsi="Arial Narrow" w:cs="Times New Roman"/>
                <w:b/>
                <w:bCs/>
                <w:sz w:val="16"/>
                <w:szCs w:val="16"/>
                <w:lang w:val="en-US"/>
              </w:rPr>
            </w:pPr>
          </w:p>
        </w:tc>
        <w:tc>
          <w:tcPr>
            <w:tcW w:w="940" w:type="dxa"/>
            <w:tcBorders>
              <w:top w:val="nil"/>
              <w:left w:val="nil"/>
              <w:bottom w:val="nil"/>
              <w:right w:val="nil"/>
            </w:tcBorders>
            <w:shd w:val="clear" w:color="auto" w:fill="auto"/>
            <w:noWrap/>
            <w:vAlign w:val="center"/>
            <w:hideMark/>
          </w:tcPr>
          <w:p w14:paraId="188A36C2"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09637963"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48347453"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40" w:type="dxa"/>
            <w:tcBorders>
              <w:top w:val="nil"/>
              <w:left w:val="nil"/>
              <w:bottom w:val="nil"/>
              <w:right w:val="nil"/>
            </w:tcBorders>
            <w:shd w:val="clear" w:color="auto" w:fill="auto"/>
            <w:noWrap/>
            <w:vAlign w:val="center"/>
            <w:hideMark/>
          </w:tcPr>
          <w:p w14:paraId="1F5F782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center"/>
            <w:hideMark/>
          </w:tcPr>
          <w:p w14:paraId="2C92695C"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vAlign w:val="center"/>
            <w:hideMark/>
          </w:tcPr>
          <w:p w14:paraId="07E0B070"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900" w:type="dxa"/>
            <w:tcBorders>
              <w:top w:val="nil"/>
              <w:left w:val="nil"/>
              <w:bottom w:val="nil"/>
              <w:right w:val="nil"/>
            </w:tcBorders>
            <w:shd w:val="clear" w:color="auto" w:fill="auto"/>
            <w:noWrap/>
            <w:vAlign w:val="center"/>
            <w:hideMark/>
          </w:tcPr>
          <w:p w14:paraId="51DD6D23"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vAlign w:val="center"/>
            <w:hideMark/>
          </w:tcPr>
          <w:p w14:paraId="36B0B740"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r>
      <w:tr w:rsidR="000F28A2" w:rsidRPr="000F28A2" w14:paraId="0FD00C89"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357F3B0F"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center"/>
            <w:hideMark/>
          </w:tcPr>
          <w:p w14:paraId="6D0972C8"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Applications</w:t>
            </w:r>
          </w:p>
        </w:tc>
        <w:tc>
          <w:tcPr>
            <w:tcW w:w="940" w:type="dxa"/>
            <w:tcBorders>
              <w:top w:val="nil"/>
              <w:left w:val="nil"/>
              <w:bottom w:val="nil"/>
              <w:right w:val="nil"/>
            </w:tcBorders>
            <w:shd w:val="clear" w:color="auto" w:fill="auto"/>
            <w:noWrap/>
            <w:vAlign w:val="center"/>
            <w:hideMark/>
          </w:tcPr>
          <w:p w14:paraId="1E8555AC"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15,470 </w:t>
            </w:r>
          </w:p>
        </w:tc>
        <w:tc>
          <w:tcPr>
            <w:tcW w:w="940" w:type="dxa"/>
            <w:tcBorders>
              <w:top w:val="nil"/>
              <w:left w:val="nil"/>
              <w:bottom w:val="nil"/>
              <w:right w:val="nil"/>
            </w:tcBorders>
            <w:shd w:val="clear" w:color="auto" w:fill="auto"/>
            <w:noWrap/>
            <w:vAlign w:val="center"/>
            <w:hideMark/>
          </w:tcPr>
          <w:p w14:paraId="7C347A6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17,113 </w:t>
            </w:r>
          </w:p>
        </w:tc>
        <w:tc>
          <w:tcPr>
            <w:tcW w:w="940" w:type="dxa"/>
            <w:tcBorders>
              <w:top w:val="nil"/>
              <w:left w:val="nil"/>
              <w:bottom w:val="nil"/>
              <w:right w:val="nil"/>
            </w:tcBorders>
            <w:shd w:val="clear" w:color="auto" w:fill="auto"/>
            <w:noWrap/>
            <w:vAlign w:val="center"/>
            <w:hideMark/>
          </w:tcPr>
          <w:p w14:paraId="0449AABA"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9,970 </w:t>
            </w:r>
          </w:p>
        </w:tc>
        <w:tc>
          <w:tcPr>
            <w:tcW w:w="940" w:type="dxa"/>
            <w:tcBorders>
              <w:top w:val="nil"/>
              <w:left w:val="nil"/>
              <w:bottom w:val="nil"/>
              <w:right w:val="nil"/>
            </w:tcBorders>
            <w:shd w:val="clear" w:color="auto" w:fill="auto"/>
            <w:noWrap/>
            <w:vAlign w:val="center"/>
            <w:hideMark/>
          </w:tcPr>
          <w:p w14:paraId="19275041"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10,840 </w:t>
            </w:r>
          </w:p>
        </w:tc>
        <w:tc>
          <w:tcPr>
            <w:tcW w:w="940" w:type="dxa"/>
            <w:tcBorders>
              <w:top w:val="nil"/>
              <w:left w:val="nil"/>
              <w:bottom w:val="nil"/>
              <w:right w:val="nil"/>
            </w:tcBorders>
            <w:shd w:val="clear" w:color="auto" w:fill="auto"/>
            <w:vAlign w:val="center"/>
            <w:hideMark/>
          </w:tcPr>
          <w:p w14:paraId="143E8750"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20,810 </w:t>
            </w:r>
          </w:p>
        </w:tc>
        <w:tc>
          <w:tcPr>
            <w:tcW w:w="900" w:type="dxa"/>
            <w:tcBorders>
              <w:top w:val="nil"/>
              <w:left w:val="nil"/>
              <w:bottom w:val="nil"/>
              <w:right w:val="nil"/>
            </w:tcBorders>
            <w:shd w:val="clear" w:color="auto" w:fill="auto"/>
            <w:noWrap/>
            <w:vAlign w:val="center"/>
            <w:hideMark/>
          </w:tcPr>
          <w:p w14:paraId="3DD9B64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5,340 </w:t>
            </w:r>
          </w:p>
        </w:tc>
        <w:tc>
          <w:tcPr>
            <w:tcW w:w="700" w:type="dxa"/>
            <w:tcBorders>
              <w:top w:val="nil"/>
              <w:left w:val="nil"/>
              <w:bottom w:val="nil"/>
              <w:right w:val="nil"/>
            </w:tcBorders>
            <w:shd w:val="clear" w:color="auto" w:fill="auto"/>
            <w:noWrap/>
            <w:vAlign w:val="center"/>
            <w:hideMark/>
          </w:tcPr>
          <w:p w14:paraId="643337D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34.5%</w:t>
            </w:r>
          </w:p>
        </w:tc>
        <w:tc>
          <w:tcPr>
            <w:tcW w:w="900" w:type="dxa"/>
            <w:tcBorders>
              <w:top w:val="nil"/>
              <w:left w:val="nil"/>
              <w:bottom w:val="nil"/>
              <w:right w:val="nil"/>
            </w:tcBorders>
            <w:shd w:val="clear" w:color="auto" w:fill="auto"/>
            <w:noWrap/>
            <w:vAlign w:val="center"/>
            <w:hideMark/>
          </w:tcPr>
          <w:p w14:paraId="1BF2B9E2"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3,697 </w:t>
            </w:r>
          </w:p>
        </w:tc>
        <w:tc>
          <w:tcPr>
            <w:tcW w:w="700" w:type="dxa"/>
            <w:tcBorders>
              <w:top w:val="nil"/>
              <w:left w:val="nil"/>
              <w:bottom w:val="nil"/>
              <w:right w:val="nil"/>
            </w:tcBorders>
            <w:shd w:val="clear" w:color="auto" w:fill="auto"/>
            <w:noWrap/>
            <w:vAlign w:val="center"/>
            <w:hideMark/>
          </w:tcPr>
          <w:p w14:paraId="49D1C71A"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21.6%</w:t>
            </w:r>
          </w:p>
        </w:tc>
      </w:tr>
      <w:tr w:rsidR="000F28A2" w:rsidRPr="000F28A2" w14:paraId="04FEC8D9"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3B7DA050"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center"/>
            <w:hideMark/>
          </w:tcPr>
          <w:p w14:paraId="5D7BEDE9"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Registrations</w:t>
            </w:r>
          </w:p>
        </w:tc>
        <w:tc>
          <w:tcPr>
            <w:tcW w:w="940" w:type="dxa"/>
            <w:tcBorders>
              <w:top w:val="nil"/>
              <w:left w:val="nil"/>
              <w:bottom w:val="nil"/>
              <w:right w:val="nil"/>
            </w:tcBorders>
            <w:shd w:val="clear" w:color="auto" w:fill="auto"/>
            <w:noWrap/>
            <w:vAlign w:val="center"/>
            <w:hideMark/>
          </w:tcPr>
          <w:p w14:paraId="7662DD1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14,620 </w:t>
            </w:r>
          </w:p>
        </w:tc>
        <w:tc>
          <w:tcPr>
            <w:tcW w:w="940" w:type="dxa"/>
            <w:tcBorders>
              <w:top w:val="nil"/>
              <w:left w:val="nil"/>
              <w:bottom w:val="nil"/>
              <w:right w:val="nil"/>
            </w:tcBorders>
            <w:shd w:val="clear" w:color="auto" w:fill="auto"/>
            <w:noWrap/>
            <w:vAlign w:val="center"/>
            <w:hideMark/>
          </w:tcPr>
          <w:p w14:paraId="49C9505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16,555 </w:t>
            </w:r>
          </w:p>
        </w:tc>
        <w:tc>
          <w:tcPr>
            <w:tcW w:w="940" w:type="dxa"/>
            <w:tcBorders>
              <w:top w:val="nil"/>
              <w:left w:val="nil"/>
              <w:bottom w:val="nil"/>
              <w:right w:val="nil"/>
            </w:tcBorders>
            <w:shd w:val="clear" w:color="auto" w:fill="auto"/>
            <w:noWrap/>
            <w:vAlign w:val="center"/>
            <w:hideMark/>
          </w:tcPr>
          <w:p w14:paraId="4B1CEDD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9,630 </w:t>
            </w:r>
          </w:p>
        </w:tc>
        <w:tc>
          <w:tcPr>
            <w:tcW w:w="940" w:type="dxa"/>
            <w:tcBorders>
              <w:top w:val="nil"/>
              <w:left w:val="nil"/>
              <w:bottom w:val="nil"/>
              <w:right w:val="nil"/>
            </w:tcBorders>
            <w:shd w:val="clear" w:color="auto" w:fill="auto"/>
            <w:noWrap/>
            <w:vAlign w:val="center"/>
            <w:hideMark/>
          </w:tcPr>
          <w:p w14:paraId="2FDDBDE1"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10,510 </w:t>
            </w:r>
          </w:p>
        </w:tc>
        <w:tc>
          <w:tcPr>
            <w:tcW w:w="940" w:type="dxa"/>
            <w:tcBorders>
              <w:top w:val="nil"/>
              <w:left w:val="nil"/>
              <w:bottom w:val="nil"/>
              <w:right w:val="nil"/>
            </w:tcBorders>
            <w:shd w:val="clear" w:color="auto" w:fill="auto"/>
            <w:vAlign w:val="center"/>
            <w:hideMark/>
          </w:tcPr>
          <w:p w14:paraId="68CA39FA"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20,140 </w:t>
            </w:r>
          </w:p>
        </w:tc>
        <w:tc>
          <w:tcPr>
            <w:tcW w:w="900" w:type="dxa"/>
            <w:tcBorders>
              <w:top w:val="nil"/>
              <w:left w:val="nil"/>
              <w:bottom w:val="nil"/>
              <w:right w:val="nil"/>
            </w:tcBorders>
            <w:shd w:val="clear" w:color="auto" w:fill="auto"/>
            <w:noWrap/>
            <w:vAlign w:val="center"/>
            <w:hideMark/>
          </w:tcPr>
          <w:p w14:paraId="311F1279"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5,520 </w:t>
            </w:r>
          </w:p>
        </w:tc>
        <w:tc>
          <w:tcPr>
            <w:tcW w:w="700" w:type="dxa"/>
            <w:tcBorders>
              <w:top w:val="nil"/>
              <w:left w:val="nil"/>
              <w:bottom w:val="nil"/>
              <w:right w:val="nil"/>
            </w:tcBorders>
            <w:shd w:val="clear" w:color="auto" w:fill="auto"/>
            <w:noWrap/>
            <w:vAlign w:val="center"/>
            <w:hideMark/>
          </w:tcPr>
          <w:p w14:paraId="10147FF4"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37.8%</w:t>
            </w:r>
          </w:p>
        </w:tc>
        <w:tc>
          <w:tcPr>
            <w:tcW w:w="900" w:type="dxa"/>
            <w:tcBorders>
              <w:top w:val="nil"/>
              <w:left w:val="nil"/>
              <w:bottom w:val="nil"/>
              <w:right w:val="nil"/>
            </w:tcBorders>
            <w:shd w:val="clear" w:color="auto" w:fill="auto"/>
            <w:noWrap/>
            <w:vAlign w:val="center"/>
            <w:hideMark/>
          </w:tcPr>
          <w:p w14:paraId="7D7D7EDD"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3,585 </w:t>
            </w:r>
          </w:p>
        </w:tc>
        <w:tc>
          <w:tcPr>
            <w:tcW w:w="700" w:type="dxa"/>
            <w:tcBorders>
              <w:top w:val="nil"/>
              <w:left w:val="nil"/>
              <w:bottom w:val="nil"/>
              <w:right w:val="nil"/>
            </w:tcBorders>
            <w:shd w:val="clear" w:color="auto" w:fill="auto"/>
            <w:noWrap/>
            <w:vAlign w:val="center"/>
            <w:hideMark/>
          </w:tcPr>
          <w:p w14:paraId="5278F293"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21.7%</w:t>
            </w:r>
          </w:p>
        </w:tc>
      </w:tr>
      <w:tr w:rsidR="000F28A2" w:rsidRPr="000F28A2" w14:paraId="7D942816" w14:textId="77777777" w:rsidTr="002356E0">
        <w:trPr>
          <w:trHeight w:val="255"/>
          <w:jc w:val="center"/>
        </w:trPr>
        <w:tc>
          <w:tcPr>
            <w:tcW w:w="280" w:type="dxa"/>
            <w:tcBorders>
              <w:top w:val="nil"/>
              <w:left w:val="nil"/>
              <w:bottom w:val="nil"/>
              <w:right w:val="nil"/>
            </w:tcBorders>
            <w:shd w:val="clear" w:color="auto" w:fill="auto"/>
            <w:noWrap/>
            <w:vAlign w:val="center"/>
            <w:hideMark/>
          </w:tcPr>
          <w:p w14:paraId="3D6BDF56"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center"/>
            <w:hideMark/>
          </w:tcPr>
          <w:p w14:paraId="6E63AA0D"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Renewals</w:t>
            </w:r>
          </w:p>
        </w:tc>
        <w:tc>
          <w:tcPr>
            <w:tcW w:w="940" w:type="dxa"/>
            <w:tcBorders>
              <w:top w:val="nil"/>
              <w:left w:val="nil"/>
              <w:bottom w:val="nil"/>
              <w:right w:val="nil"/>
            </w:tcBorders>
            <w:shd w:val="clear" w:color="auto" w:fill="auto"/>
            <w:noWrap/>
            <w:vAlign w:val="center"/>
            <w:hideMark/>
          </w:tcPr>
          <w:p w14:paraId="007F9D54"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9,070 </w:t>
            </w:r>
          </w:p>
        </w:tc>
        <w:tc>
          <w:tcPr>
            <w:tcW w:w="940" w:type="dxa"/>
            <w:tcBorders>
              <w:top w:val="nil"/>
              <w:left w:val="nil"/>
              <w:bottom w:val="nil"/>
              <w:right w:val="nil"/>
            </w:tcBorders>
            <w:shd w:val="clear" w:color="auto" w:fill="auto"/>
            <w:noWrap/>
            <w:vAlign w:val="center"/>
            <w:hideMark/>
          </w:tcPr>
          <w:p w14:paraId="3AC34282"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10,654 </w:t>
            </w:r>
          </w:p>
        </w:tc>
        <w:tc>
          <w:tcPr>
            <w:tcW w:w="940" w:type="dxa"/>
            <w:tcBorders>
              <w:top w:val="nil"/>
              <w:left w:val="nil"/>
              <w:bottom w:val="nil"/>
              <w:right w:val="nil"/>
            </w:tcBorders>
            <w:shd w:val="clear" w:color="auto" w:fill="auto"/>
            <w:noWrap/>
            <w:vAlign w:val="center"/>
            <w:hideMark/>
          </w:tcPr>
          <w:p w14:paraId="6FDB4865"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5,570 </w:t>
            </w:r>
          </w:p>
        </w:tc>
        <w:tc>
          <w:tcPr>
            <w:tcW w:w="940" w:type="dxa"/>
            <w:tcBorders>
              <w:top w:val="nil"/>
              <w:left w:val="nil"/>
              <w:bottom w:val="nil"/>
              <w:right w:val="nil"/>
            </w:tcBorders>
            <w:shd w:val="clear" w:color="auto" w:fill="auto"/>
            <w:noWrap/>
            <w:vAlign w:val="center"/>
            <w:hideMark/>
          </w:tcPr>
          <w:p w14:paraId="4A7547D2"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6,280 </w:t>
            </w:r>
          </w:p>
        </w:tc>
        <w:tc>
          <w:tcPr>
            <w:tcW w:w="940" w:type="dxa"/>
            <w:tcBorders>
              <w:top w:val="nil"/>
              <w:left w:val="nil"/>
              <w:bottom w:val="nil"/>
              <w:right w:val="nil"/>
            </w:tcBorders>
            <w:shd w:val="clear" w:color="auto" w:fill="auto"/>
            <w:vAlign w:val="center"/>
            <w:hideMark/>
          </w:tcPr>
          <w:p w14:paraId="10512A52" w14:textId="77777777" w:rsidR="000F28A2" w:rsidRPr="000F28A2" w:rsidRDefault="000F28A2" w:rsidP="000F28A2">
            <w:pPr>
              <w:spacing w:after="0" w:line="240" w:lineRule="auto"/>
              <w:jc w:val="right"/>
              <w:rPr>
                <w:rFonts w:ascii="Arial Narrow" w:eastAsia="Times New Roman" w:hAnsi="Arial Narrow" w:cs="Times New Roman"/>
                <w:b/>
                <w:bCs/>
                <w:sz w:val="16"/>
                <w:szCs w:val="16"/>
                <w:lang w:val="en-US"/>
              </w:rPr>
            </w:pPr>
            <w:r w:rsidRPr="000F28A2">
              <w:rPr>
                <w:rFonts w:ascii="Arial Narrow" w:eastAsia="Times New Roman" w:hAnsi="Arial Narrow" w:cs="Times New Roman"/>
                <w:b/>
                <w:bCs/>
                <w:sz w:val="16"/>
                <w:szCs w:val="16"/>
                <w:lang w:val="en-US"/>
              </w:rPr>
              <w:t xml:space="preserve">11,850 </w:t>
            </w:r>
          </w:p>
        </w:tc>
        <w:tc>
          <w:tcPr>
            <w:tcW w:w="900" w:type="dxa"/>
            <w:tcBorders>
              <w:top w:val="nil"/>
              <w:left w:val="nil"/>
              <w:bottom w:val="nil"/>
              <w:right w:val="nil"/>
            </w:tcBorders>
            <w:shd w:val="clear" w:color="auto" w:fill="auto"/>
            <w:noWrap/>
            <w:vAlign w:val="center"/>
            <w:hideMark/>
          </w:tcPr>
          <w:p w14:paraId="14D135E7"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2,780 </w:t>
            </w:r>
          </w:p>
        </w:tc>
        <w:tc>
          <w:tcPr>
            <w:tcW w:w="700" w:type="dxa"/>
            <w:tcBorders>
              <w:top w:val="nil"/>
              <w:left w:val="nil"/>
              <w:bottom w:val="nil"/>
              <w:right w:val="nil"/>
            </w:tcBorders>
            <w:shd w:val="clear" w:color="auto" w:fill="auto"/>
            <w:noWrap/>
            <w:vAlign w:val="center"/>
            <w:hideMark/>
          </w:tcPr>
          <w:p w14:paraId="390D958B"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30.7%</w:t>
            </w:r>
          </w:p>
        </w:tc>
        <w:tc>
          <w:tcPr>
            <w:tcW w:w="900" w:type="dxa"/>
            <w:tcBorders>
              <w:top w:val="nil"/>
              <w:left w:val="nil"/>
              <w:bottom w:val="nil"/>
              <w:right w:val="nil"/>
            </w:tcBorders>
            <w:shd w:val="clear" w:color="auto" w:fill="auto"/>
            <w:noWrap/>
            <w:vAlign w:val="center"/>
            <w:hideMark/>
          </w:tcPr>
          <w:p w14:paraId="592EB8EE"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 xml:space="preserve">1,196 </w:t>
            </w:r>
          </w:p>
        </w:tc>
        <w:tc>
          <w:tcPr>
            <w:tcW w:w="700" w:type="dxa"/>
            <w:tcBorders>
              <w:top w:val="nil"/>
              <w:left w:val="nil"/>
              <w:bottom w:val="nil"/>
              <w:right w:val="nil"/>
            </w:tcBorders>
            <w:shd w:val="clear" w:color="auto" w:fill="auto"/>
            <w:noWrap/>
            <w:vAlign w:val="center"/>
            <w:hideMark/>
          </w:tcPr>
          <w:p w14:paraId="70796E94" w14:textId="77777777" w:rsidR="000F28A2" w:rsidRPr="000F28A2" w:rsidRDefault="000F28A2" w:rsidP="000F28A2">
            <w:pPr>
              <w:spacing w:after="0" w:line="240" w:lineRule="auto"/>
              <w:jc w:val="right"/>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11.2%</w:t>
            </w:r>
          </w:p>
        </w:tc>
      </w:tr>
      <w:tr w:rsidR="000F28A2" w:rsidRPr="000F28A2" w14:paraId="5576BD6F" w14:textId="77777777" w:rsidTr="002356E0">
        <w:trPr>
          <w:trHeight w:val="45"/>
          <w:jc w:val="center"/>
        </w:trPr>
        <w:tc>
          <w:tcPr>
            <w:tcW w:w="280" w:type="dxa"/>
            <w:tcBorders>
              <w:top w:val="nil"/>
              <w:left w:val="nil"/>
              <w:bottom w:val="single" w:sz="4" w:space="0" w:color="748B9E"/>
              <w:right w:val="nil"/>
            </w:tcBorders>
            <w:shd w:val="clear" w:color="auto" w:fill="auto"/>
            <w:noWrap/>
            <w:hideMark/>
          </w:tcPr>
          <w:p w14:paraId="37D2CBCE"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1120" w:type="dxa"/>
            <w:tcBorders>
              <w:top w:val="nil"/>
              <w:left w:val="nil"/>
              <w:bottom w:val="single" w:sz="4" w:space="0" w:color="748B9E"/>
              <w:right w:val="nil"/>
            </w:tcBorders>
            <w:shd w:val="clear" w:color="auto" w:fill="auto"/>
            <w:noWrap/>
            <w:hideMark/>
          </w:tcPr>
          <w:p w14:paraId="2CE16266"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5D889E3F" w14:textId="77777777" w:rsidR="000F28A2" w:rsidRPr="000F28A2" w:rsidRDefault="000F28A2" w:rsidP="000F28A2">
            <w:pPr>
              <w:spacing w:after="0" w:line="240" w:lineRule="auto"/>
              <w:rPr>
                <w:rFonts w:ascii="Arial Narrow" w:eastAsia="Times New Roman" w:hAnsi="Arial Narrow" w:cs="Times New Roman"/>
                <w:b/>
                <w:bCs/>
                <w:sz w:val="6"/>
                <w:szCs w:val="6"/>
                <w:lang w:val="en-US"/>
              </w:rPr>
            </w:pPr>
            <w:r w:rsidRPr="000F28A2">
              <w:rPr>
                <w:rFonts w:ascii="Arial Narrow" w:eastAsia="Times New Roman" w:hAnsi="Arial Narrow" w:cs="Times New Roman"/>
                <w:b/>
                <w:bCs/>
                <w:sz w:val="6"/>
                <w:szCs w:val="6"/>
                <w:lang w:val="en-US"/>
              </w:rPr>
              <w:t> </w:t>
            </w:r>
          </w:p>
        </w:tc>
        <w:tc>
          <w:tcPr>
            <w:tcW w:w="940" w:type="dxa"/>
            <w:tcBorders>
              <w:top w:val="nil"/>
              <w:left w:val="nil"/>
              <w:bottom w:val="single" w:sz="4" w:space="0" w:color="748B9E"/>
              <w:right w:val="nil"/>
            </w:tcBorders>
            <w:shd w:val="clear" w:color="auto" w:fill="auto"/>
            <w:noWrap/>
            <w:hideMark/>
          </w:tcPr>
          <w:p w14:paraId="5D2BC3C2"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7301C064"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253EB125"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40" w:type="dxa"/>
            <w:tcBorders>
              <w:top w:val="nil"/>
              <w:left w:val="nil"/>
              <w:bottom w:val="single" w:sz="4" w:space="0" w:color="748B9E"/>
              <w:right w:val="nil"/>
            </w:tcBorders>
            <w:shd w:val="clear" w:color="auto" w:fill="auto"/>
            <w:noWrap/>
            <w:hideMark/>
          </w:tcPr>
          <w:p w14:paraId="711E92CF" w14:textId="77777777" w:rsidR="000F28A2" w:rsidRPr="000F28A2" w:rsidRDefault="000F28A2" w:rsidP="000F28A2">
            <w:pPr>
              <w:spacing w:after="0" w:line="240" w:lineRule="auto"/>
              <w:rPr>
                <w:rFonts w:ascii="Arial Narrow" w:eastAsia="Times New Roman" w:hAnsi="Arial Narrow" w:cs="Times New Roman"/>
                <w:b/>
                <w:bCs/>
                <w:sz w:val="6"/>
                <w:szCs w:val="6"/>
                <w:lang w:val="en-US"/>
              </w:rPr>
            </w:pPr>
            <w:r w:rsidRPr="000F28A2">
              <w:rPr>
                <w:rFonts w:ascii="Arial Narrow" w:eastAsia="Times New Roman" w:hAnsi="Arial Narrow" w:cs="Times New Roman"/>
                <w:b/>
                <w:bCs/>
                <w:sz w:val="6"/>
                <w:szCs w:val="6"/>
                <w:lang w:val="en-US"/>
              </w:rPr>
              <w:t> </w:t>
            </w:r>
          </w:p>
        </w:tc>
        <w:tc>
          <w:tcPr>
            <w:tcW w:w="900" w:type="dxa"/>
            <w:tcBorders>
              <w:top w:val="nil"/>
              <w:left w:val="nil"/>
              <w:bottom w:val="single" w:sz="4" w:space="0" w:color="748B9E"/>
              <w:right w:val="nil"/>
            </w:tcBorders>
            <w:shd w:val="clear" w:color="auto" w:fill="auto"/>
            <w:noWrap/>
            <w:hideMark/>
          </w:tcPr>
          <w:p w14:paraId="3CF2FC25"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50BFF57A" w14:textId="77777777" w:rsidR="000F28A2" w:rsidRPr="000F28A2" w:rsidRDefault="000F28A2" w:rsidP="000F28A2">
            <w:pPr>
              <w:spacing w:after="0" w:line="240" w:lineRule="auto"/>
              <w:jc w:val="right"/>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900" w:type="dxa"/>
            <w:tcBorders>
              <w:top w:val="nil"/>
              <w:left w:val="nil"/>
              <w:bottom w:val="single" w:sz="4" w:space="0" w:color="748B9E"/>
              <w:right w:val="nil"/>
            </w:tcBorders>
            <w:shd w:val="clear" w:color="auto" w:fill="auto"/>
            <w:noWrap/>
            <w:hideMark/>
          </w:tcPr>
          <w:p w14:paraId="6F392195" w14:textId="77777777" w:rsidR="000F28A2" w:rsidRPr="000F28A2" w:rsidRDefault="000F28A2" w:rsidP="000F28A2">
            <w:pPr>
              <w:spacing w:after="0" w:line="240" w:lineRule="auto"/>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c>
          <w:tcPr>
            <w:tcW w:w="700" w:type="dxa"/>
            <w:tcBorders>
              <w:top w:val="nil"/>
              <w:left w:val="nil"/>
              <w:bottom w:val="single" w:sz="4" w:space="0" w:color="748B9E"/>
              <w:right w:val="nil"/>
            </w:tcBorders>
            <w:shd w:val="clear" w:color="auto" w:fill="auto"/>
            <w:noWrap/>
            <w:hideMark/>
          </w:tcPr>
          <w:p w14:paraId="7DCA5047" w14:textId="77777777" w:rsidR="000F28A2" w:rsidRPr="000F28A2" w:rsidRDefault="000F28A2" w:rsidP="000F28A2">
            <w:pPr>
              <w:spacing w:after="0" w:line="240" w:lineRule="auto"/>
              <w:jc w:val="right"/>
              <w:rPr>
                <w:rFonts w:ascii="Arial Narrow" w:eastAsia="Times New Roman" w:hAnsi="Arial Narrow" w:cs="Times New Roman"/>
                <w:sz w:val="6"/>
                <w:szCs w:val="6"/>
                <w:lang w:val="en-US"/>
              </w:rPr>
            </w:pPr>
            <w:r w:rsidRPr="000F28A2">
              <w:rPr>
                <w:rFonts w:ascii="Arial Narrow" w:eastAsia="Times New Roman" w:hAnsi="Arial Narrow" w:cs="Times New Roman"/>
                <w:sz w:val="6"/>
                <w:szCs w:val="6"/>
                <w:lang w:val="en-US"/>
              </w:rPr>
              <w:t> </w:t>
            </w:r>
          </w:p>
        </w:tc>
      </w:tr>
      <w:tr w:rsidR="000F28A2" w:rsidRPr="000F28A2" w14:paraId="67B7A1A8" w14:textId="77777777" w:rsidTr="002356E0">
        <w:trPr>
          <w:trHeight w:val="330"/>
          <w:jc w:val="center"/>
        </w:trPr>
        <w:tc>
          <w:tcPr>
            <w:tcW w:w="7000" w:type="dxa"/>
            <w:gridSpan w:val="8"/>
            <w:tcBorders>
              <w:top w:val="single" w:sz="4" w:space="0" w:color="748B9E"/>
              <w:left w:val="nil"/>
              <w:bottom w:val="nil"/>
              <w:right w:val="nil"/>
            </w:tcBorders>
            <w:shd w:val="clear" w:color="auto" w:fill="auto"/>
            <w:noWrap/>
            <w:vAlign w:val="center"/>
            <w:hideMark/>
          </w:tcPr>
          <w:p w14:paraId="474E3F17" w14:textId="77777777" w:rsidR="000F28A2" w:rsidRPr="000F28A2" w:rsidRDefault="000F28A2" w:rsidP="000F28A2">
            <w:pPr>
              <w:spacing w:after="0" w:line="240" w:lineRule="auto"/>
              <w:rPr>
                <w:rFonts w:ascii="Arial Narrow" w:eastAsia="Times New Roman" w:hAnsi="Arial Narrow" w:cs="Times New Roman"/>
                <w:sz w:val="16"/>
                <w:szCs w:val="16"/>
                <w:lang w:val="en-US"/>
              </w:rPr>
            </w:pPr>
            <w:r w:rsidRPr="000F28A2">
              <w:rPr>
                <w:rFonts w:ascii="Arial Narrow" w:eastAsia="Times New Roman" w:hAnsi="Arial Narrow" w:cs="Times New Roman"/>
                <w:sz w:val="16"/>
                <w:szCs w:val="16"/>
                <w:lang w:val="en-US"/>
              </w:rPr>
              <w:t>Note: 2022/23 Updated Demand Estimates and 2024/25 Demand Estimates as at April 2023.</w:t>
            </w:r>
          </w:p>
        </w:tc>
        <w:tc>
          <w:tcPr>
            <w:tcW w:w="700" w:type="dxa"/>
            <w:tcBorders>
              <w:top w:val="nil"/>
              <w:left w:val="nil"/>
              <w:bottom w:val="nil"/>
              <w:right w:val="nil"/>
            </w:tcBorders>
            <w:shd w:val="clear" w:color="auto" w:fill="auto"/>
            <w:noWrap/>
            <w:hideMark/>
          </w:tcPr>
          <w:p w14:paraId="1FD7212F" w14:textId="77777777" w:rsidR="000F28A2" w:rsidRPr="000F28A2" w:rsidRDefault="000F28A2" w:rsidP="000F28A2">
            <w:pPr>
              <w:spacing w:after="0" w:line="240" w:lineRule="auto"/>
              <w:rPr>
                <w:rFonts w:ascii="Arial Narrow" w:eastAsia="Times New Roman" w:hAnsi="Arial Narrow" w:cs="Times New Roman"/>
                <w:sz w:val="16"/>
                <w:szCs w:val="16"/>
                <w:lang w:val="en-US"/>
              </w:rPr>
            </w:pPr>
          </w:p>
        </w:tc>
        <w:tc>
          <w:tcPr>
            <w:tcW w:w="900" w:type="dxa"/>
            <w:tcBorders>
              <w:top w:val="nil"/>
              <w:left w:val="nil"/>
              <w:bottom w:val="nil"/>
              <w:right w:val="nil"/>
            </w:tcBorders>
            <w:shd w:val="clear" w:color="auto" w:fill="auto"/>
            <w:noWrap/>
            <w:vAlign w:val="bottom"/>
            <w:hideMark/>
          </w:tcPr>
          <w:p w14:paraId="1B20DB06"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c>
          <w:tcPr>
            <w:tcW w:w="700" w:type="dxa"/>
            <w:tcBorders>
              <w:top w:val="nil"/>
              <w:left w:val="nil"/>
              <w:bottom w:val="nil"/>
              <w:right w:val="nil"/>
            </w:tcBorders>
            <w:shd w:val="clear" w:color="auto" w:fill="auto"/>
            <w:noWrap/>
            <w:vAlign w:val="bottom"/>
            <w:hideMark/>
          </w:tcPr>
          <w:p w14:paraId="567F2B94" w14:textId="77777777" w:rsidR="000F28A2" w:rsidRPr="000F28A2" w:rsidRDefault="000F28A2" w:rsidP="000F28A2">
            <w:pPr>
              <w:spacing w:after="0" w:line="240" w:lineRule="auto"/>
              <w:rPr>
                <w:rFonts w:ascii="Times New Roman" w:eastAsia="Times New Roman" w:hAnsi="Times New Roman" w:cs="Times New Roman"/>
                <w:sz w:val="20"/>
                <w:szCs w:val="20"/>
                <w:lang w:val="en-US"/>
              </w:rPr>
            </w:pPr>
          </w:p>
        </w:tc>
      </w:tr>
    </w:tbl>
    <w:p w14:paraId="32490202" w14:textId="0159E3F0" w:rsidR="00434007" w:rsidRPr="007260EA" w:rsidRDefault="00434007" w:rsidP="00434007">
      <w:pPr>
        <w:pStyle w:val="Bullet2"/>
        <w:numPr>
          <w:ilvl w:val="0"/>
          <w:numId w:val="0"/>
        </w:numPr>
        <w:jc w:val="center"/>
        <w:rPr>
          <w:b/>
          <w:lang w:val="en-US"/>
        </w:rPr>
      </w:pPr>
    </w:p>
    <w:p w14:paraId="35DEE3DD" w14:textId="7A051718" w:rsidR="00434007" w:rsidRDefault="00434007" w:rsidP="00434007">
      <w:pPr>
        <w:pStyle w:val="Bullet2"/>
      </w:pPr>
      <w:r w:rsidRPr="00C128E6">
        <w:rPr>
          <w:b/>
        </w:rPr>
        <w:t>PCT fee income.</w:t>
      </w:r>
      <w:r w:rsidRPr="00D350B5">
        <w:t xml:space="preserve"> </w:t>
      </w:r>
      <w:r>
        <w:t xml:space="preserve"> PCT filings in 2024/25 are projected to </w:t>
      </w:r>
      <w:r w:rsidR="0023470D">
        <w:t xml:space="preserve">remain stable </w:t>
      </w:r>
      <w:r w:rsidRPr="00D350B5">
        <w:t>as compared to the 20</w:t>
      </w:r>
      <w:r>
        <w:t>22</w:t>
      </w:r>
      <w:r w:rsidRPr="00D350B5">
        <w:t>/</w:t>
      </w:r>
      <w:r>
        <w:t>23</w:t>
      </w:r>
      <w:r w:rsidRPr="00D350B5">
        <w:t xml:space="preserve"> </w:t>
      </w:r>
      <w:r>
        <w:t>PoW&amp;B Demand Estimates</w:t>
      </w:r>
      <w:r w:rsidRPr="00D350B5">
        <w:t>.  Due to continuing uncertainties in the global economy, PCT fee income in 202</w:t>
      </w:r>
      <w:r>
        <w:t>4</w:t>
      </w:r>
      <w:r w:rsidRPr="00D350B5">
        <w:t>/2</w:t>
      </w:r>
      <w:r>
        <w:t>5</w:t>
      </w:r>
      <w:r w:rsidRPr="00D350B5">
        <w:t xml:space="preserve"> is estimated at </w:t>
      </w:r>
      <w:r>
        <w:t>7</w:t>
      </w:r>
      <w:r w:rsidR="0023470D">
        <w:t>4</w:t>
      </w:r>
      <w:r>
        <w:t>3.</w:t>
      </w:r>
      <w:r w:rsidR="003706BD">
        <w:t>7</w:t>
      </w:r>
      <w:r w:rsidRPr="00D350B5">
        <w:t xml:space="preserve"> million Swiss francs, </w:t>
      </w:r>
      <w:r>
        <w:t>6</w:t>
      </w:r>
      <w:r w:rsidR="00993CE0">
        <w:t> </w:t>
      </w:r>
      <w:r w:rsidRPr="00D350B5">
        <w:t xml:space="preserve">per cent lower than the </w:t>
      </w:r>
      <w:r w:rsidR="00993CE0">
        <w:t>Chief Economist’s forecast</w:t>
      </w:r>
      <w:r>
        <w:t xml:space="preserve">, representing an increase of </w:t>
      </w:r>
      <w:r w:rsidR="0023470D">
        <w:t>0.9</w:t>
      </w:r>
      <w:r>
        <w:t xml:space="preserve"> </w:t>
      </w:r>
      <w:r w:rsidRPr="00D350B5">
        <w:t>per cent as compared to the 20</w:t>
      </w:r>
      <w:r>
        <w:t>22/23</w:t>
      </w:r>
      <w:r w:rsidRPr="00D350B5">
        <w:t xml:space="preserve"> </w:t>
      </w:r>
      <w:r>
        <w:t>PoW&amp;B Income Estimates</w:t>
      </w:r>
      <w:r w:rsidRPr="00D350B5">
        <w:t>.</w:t>
      </w:r>
    </w:p>
    <w:p w14:paraId="42D866A8" w14:textId="2359C95E" w:rsidR="00434007" w:rsidRPr="00D350B5" w:rsidRDefault="00434007" w:rsidP="00434007">
      <w:pPr>
        <w:pStyle w:val="Bullet2"/>
      </w:pPr>
      <w:r w:rsidRPr="00D350B5">
        <w:rPr>
          <w:b/>
        </w:rPr>
        <w:t>Madrid fee income.</w:t>
      </w:r>
      <w:r w:rsidRPr="00D350B5">
        <w:t xml:space="preserve"> </w:t>
      </w:r>
      <w:r>
        <w:t xml:space="preserve"> </w:t>
      </w:r>
      <w:r w:rsidRPr="00D350B5">
        <w:t xml:space="preserve">The number of Madrid </w:t>
      </w:r>
      <w:r>
        <w:t xml:space="preserve">registrations and renewals </w:t>
      </w:r>
      <w:r w:rsidRPr="00D350B5">
        <w:t xml:space="preserve">are projected to increase by </w:t>
      </w:r>
      <w:r w:rsidR="0023470D">
        <w:t>1.7</w:t>
      </w:r>
      <w:r>
        <w:t xml:space="preserve"> </w:t>
      </w:r>
      <w:r w:rsidRPr="00D350B5">
        <w:t xml:space="preserve">per cent </w:t>
      </w:r>
      <w:r>
        <w:t>and 18.7 per cent</w:t>
      </w:r>
      <w:r w:rsidR="00B14943">
        <w:t>, respectively,</w:t>
      </w:r>
      <w:r>
        <w:t xml:space="preserve"> in </w:t>
      </w:r>
      <w:r w:rsidRPr="00D350B5">
        <w:t>202</w:t>
      </w:r>
      <w:r>
        <w:t>4</w:t>
      </w:r>
      <w:r w:rsidRPr="00D350B5">
        <w:t>/2</w:t>
      </w:r>
      <w:r>
        <w:t xml:space="preserve">5, </w:t>
      </w:r>
      <w:r w:rsidRPr="00D350B5">
        <w:t>as compared to the 20</w:t>
      </w:r>
      <w:r>
        <w:t>22/23 PoW&amp;B Demand Estimates</w:t>
      </w:r>
      <w:r w:rsidRPr="00D350B5">
        <w:t xml:space="preserve">.  Due to continuing uncertainties in the global economy, the Madrid fee income </w:t>
      </w:r>
      <w:r>
        <w:t>in</w:t>
      </w:r>
      <w:r w:rsidRPr="00D350B5">
        <w:t xml:space="preserve"> 202</w:t>
      </w:r>
      <w:r>
        <w:t>4</w:t>
      </w:r>
      <w:r w:rsidRPr="00D350B5">
        <w:t>/2</w:t>
      </w:r>
      <w:r>
        <w:t>5</w:t>
      </w:r>
      <w:r w:rsidRPr="00D350B5">
        <w:t xml:space="preserve"> is estimated at 1</w:t>
      </w:r>
      <w:r>
        <w:t>7</w:t>
      </w:r>
      <w:r w:rsidR="0023470D">
        <w:t>0.7</w:t>
      </w:r>
      <w:r>
        <w:t xml:space="preserve"> million Swiss francs, 6</w:t>
      </w:r>
      <w:r w:rsidRPr="00D350B5">
        <w:t xml:space="preserve"> per cent lower than the </w:t>
      </w:r>
      <w:r w:rsidR="00993CE0">
        <w:t>Chief Economist’s forecast</w:t>
      </w:r>
      <w:r w:rsidRPr="00D350B5">
        <w:t xml:space="preserve">, </w:t>
      </w:r>
      <w:r>
        <w:t xml:space="preserve">representing an increase of </w:t>
      </w:r>
      <w:r w:rsidR="0023470D">
        <w:t>6.7</w:t>
      </w:r>
      <w:r w:rsidRPr="00D350B5">
        <w:t xml:space="preserve"> per</w:t>
      </w:r>
      <w:r>
        <w:t xml:space="preserve"> cent as compared to the 2022/23 PoW&amp;B Income Estimates</w:t>
      </w:r>
      <w:r w:rsidRPr="00D350B5">
        <w:t>.</w:t>
      </w:r>
      <w:r>
        <w:t xml:space="preserve"> </w:t>
      </w:r>
    </w:p>
    <w:p w14:paraId="02E71EEA" w14:textId="5725CF01" w:rsidR="00434007" w:rsidRPr="00D350B5" w:rsidRDefault="00434007" w:rsidP="00434007">
      <w:pPr>
        <w:pStyle w:val="Bullet2"/>
      </w:pPr>
      <w:r w:rsidRPr="0008412F">
        <w:rPr>
          <w:b/>
        </w:rPr>
        <w:t>The Hague fee income.</w:t>
      </w:r>
      <w:r w:rsidRPr="0008412F">
        <w:t xml:space="preserve"> </w:t>
      </w:r>
      <w:r>
        <w:t xml:space="preserve"> </w:t>
      </w:r>
      <w:r w:rsidRPr="0008412F">
        <w:t xml:space="preserve">The number of Hague </w:t>
      </w:r>
      <w:r>
        <w:t xml:space="preserve">registrations and renewals </w:t>
      </w:r>
      <w:r w:rsidRPr="0008412F">
        <w:t xml:space="preserve">are projected to </w:t>
      </w:r>
      <w:r w:rsidRPr="00EA63DB">
        <w:t xml:space="preserve">increase </w:t>
      </w:r>
      <w:r w:rsidRPr="0008412F">
        <w:t xml:space="preserve">by </w:t>
      </w:r>
      <w:r>
        <w:t>3</w:t>
      </w:r>
      <w:r w:rsidR="0023470D">
        <w:t>7.</w:t>
      </w:r>
      <w:r>
        <w:t>8</w:t>
      </w:r>
      <w:r w:rsidR="00EC0EE5">
        <w:t> </w:t>
      </w:r>
      <w:r>
        <w:t xml:space="preserve">and 30.7 per cent, respectively, </w:t>
      </w:r>
      <w:r w:rsidRPr="0008412F">
        <w:t>in 202</w:t>
      </w:r>
      <w:r>
        <w:t>4</w:t>
      </w:r>
      <w:r w:rsidRPr="0008412F">
        <w:t>/2</w:t>
      </w:r>
      <w:r>
        <w:t>5</w:t>
      </w:r>
      <w:r w:rsidRPr="0008412F">
        <w:t xml:space="preserve"> </w:t>
      </w:r>
      <w:r>
        <w:t xml:space="preserve">as </w:t>
      </w:r>
      <w:r w:rsidRPr="0008412F">
        <w:t>compared to the 202</w:t>
      </w:r>
      <w:r>
        <w:t>2</w:t>
      </w:r>
      <w:r w:rsidRPr="0008412F">
        <w:t>/2</w:t>
      </w:r>
      <w:r>
        <w:t>3</w:t>
      </w:r>
      <w:r w:rsidRPr="0008412F">
        <w:t xml:space="preserve"> </w:t>
      </w:r>
      <w:r>
        <w:t>PoW&amp;B Demand Estimates</w:t>
      </w:r>
      <w:r w:rsidRPr="0008412F">
        <w:t xml:space="preserve">. </w:t>
      </w:r>
      <w:r w:rsidRPr="00EA63DB">
        <w:t xml:space="preserve"> Due to continuing</w:t>
      </w:r>
      <w:r w:rsidRPr="00D350B5">
        <w:t xml:space="preserve"> uncertainties in the global economy, the Hague fee income is estimated</w:t>
      </w:r>
      <w:r>
        <w:t xml:space="preserve"> at 16.</w:t>
      </w:r>
      <w:r w:rsidR="0023470D">
        <w:t>4</w:t>
      </w:r>
      <w:r>
        <w:t xml:space="preserve"> million Swiss francs, 6</w:t>
      </w:r>
      <w:r w:rsidRPr="00D350B5">
        <w:t xml:space="preserve"> per cent lower than the </w:t>
      </w:r>
      <w:r w:rsidR="00993CE0">
        <w:t>Chief Economist’s forecast</w:t>
      </w:r>
      <w:r>
        <w:t xml:space="preserve">, </w:t>
      </w:r>
      <w:r w:rsidRPr="00D350B5">
        <w:t>representing a</w:t>
      </w:r>
      <w:r>
        <w:t>n increase of 3</w:t>
      </w:r>
      <w:r w:rsidR="0023470D">
        <w:t>4.4</w:t>
      </w:r>
      <w:r w:rsidRPr="00D350B5">
        <w:t xml:space="preserve"> per cent </w:t>
      </w:r>
      <w:r>
        <w:t xml:space="preserve">as </w:t>
      </w:r>
      <w:r w:rsidRPr="00D350B5">
        <w:t>compared to the 20</w:t>
      </w:r>
      <w:r>
        <w:t>22/23</w:t>
      </w:r>
      <w:r w:rsidRPr="00D350B5">
        <w:t xml:space="preserve"> </w:t>
      </w:r>
      <w:r>
        <w:t>PoW&amp;B Income Estimates</w:t>
      </w:r>
      <w:r w:rsidRPr="00D350B5">
        <w:t>.</w:t>
      </w:r>
      <w:r w:rsidRPr="006E1BB2">
        <w:t xml:space="preserve"> </w:t>
      </w:r>
      <w:r>
        <w:t xml:space="preserve"> </w:t>
      </w:r>
    </w:p>
    <w:p w14:paraId="7799AF5A" w14:textId="77777777" w:rsidR="00434007" w:rsidRPr="00D350B5" w:rsidRDefault="00434007" w:rsidP="00434007">
      <w:pPr>
        <w:pStyle w:val="Bullet2"/>
      </w:pPr>
      <w:r w:rsidRPr="00D350B5">
        <w:rPr>
          <w:b/>
        </w:rPr>
        <w:t>Lisbon fee income.</w:t>
      </w:r>
      <w:r w:rsidRPr="00D350B5">
        <w:t xml:space="preserve"> </w:t>
      </w:r>
      <w:r>
        <w:t xml:space="preserve"> </w:t>
      </w:r>
      <w:r w:rsidRPr="00D350B5">
        <w:t xml:space="preserve">The number of applications under the Lisbon System is estimated at </w:t>
      </w:r>
      <w:r>
        <w:t>80 applications per year in 2024</w:t>
      </w:r>
      <w:r w:rsidRPr="00D350B5">
        <w:t>/2</w:t>
      </w:r>
      <w:r>
        <w:t>5</w:t>
      </w:r>
      <w:r w:rsidRPr="00D350B5">
        <w:t xml:space="preserve">.  The corresponding Lisbon fee income for the biennium is estimated at </w:t>
      </w:r>
      <w:r>
        <w:t>20</w:t>
      </w:r>
      <w:r w:rsidRPr="00D350B5">
        <w:t xml:space="preserve">0,000 Swiss francs, an increase of </w:t>
      </w:r>
      <w:r>
        <w:t>33.3</w:t>
      </w:r>
      <w:r w:rsidRPr="00D350B5">
        <w:t xml:space="preserve"> per cent </w:t>
      </w:r>
      <w:r>
        <w:t xml:space="preserve">as </w:t>
      </w:r>
      <w:r w:rsidRPr="00D350B5">
        <w:t>compared to the 20</w:t>
      </w:r>
      <w:r>
        <w:t>22/23 PoW&amp;B Income Estimates</w:t>
      </w:r>
      <w:r w:rsidRPr="00D350B5">
        <w:t>.</w:t>
      </w:r>
    </w:p>
    <w:p w14:paraId="5DE90050" w14:textId="77777777" w:rsidR="00434007" w:rsidRPr="00D350B5" w:rsidRDefault="00434007" w:rsidP="00434007">
      <w:pPr>
        <w:pStyle w:val="Bullet2"/>
      </w:pPr>
      <w:r w:rsidRPr="00D350B5">
        <w:rPr>
          <w:b/>
        </w:rPr>
        <w:t>Assessed contributions.</w:t>
      </w:r>
      <w:r w:rsidRPr="00D350B5">
        <w:t xml:space="preserve"> </w:t>
      </w:r>
      <w:r>
        <w:t xml:space="preserve"> </w:t>
      </w:r>
      <w:r w:rsidRPr="00D350B5">
        <w:t>Estimates for Member States’ assessed contributions in 202</w:t>
      </w:r>
      <w:r>
        <w:t>4</w:t>
      </w:r>
      <w:r w:rsidRPr="00D350B5">
        <w:t>/2</w:t>
      </w:r>
      <w:r>
        <w:t>5</w:t>
      </w:r>
      <w:r w:rsidRPr="00D350B5">
        <w:t xml:space="preserve"> are based on a contribution unit value of 45,579 Swiss francs</w:t>
      </w:r>
      <w:r w:rsidRPr="00D350B5">
        <w:rPr>
          <w:rStyle w:val="FootnoteReference"/>
        </w:rPr>
        <w:footnoteReference w:id="4"/>
      </w:r>
      <w:r>
        <w:t>, the same as in 2022/</w:t>
      </w:r>
      <w:r w:rsidRPr="00837CBD">
        <w:t>2</w:t>
      </w:r>
      <w:r>
        <w:t>3</w:t>
      </w:r>
      <w:r w:rsidRPr="0008412F">
        <w:t>.</w:t>
      </w:r>
      <w:r w:rsidRPr="00837CBD">
        <w:t xml:space="preserve">  Income</w:t>
      </w:r>
      <w:r w:rsidRPr="00D350B5">
        <w:t xml:space="preserve"> from Member States’ contributions is estimated at 3</w:t>
      </w:r>
      <w:r>
        <w:t>5.2</w:t>
      </w:r>
      <w:r w:rsidRPr="00D350B5">
        <w:t xml:space="preserve"> million Swiss francs in 202</w:t>
      </w:r>
      <w:r>
        <w:t>4</w:t>
      </w:r>
      <w:r w:rsidRPr="00D350B5">
        <w:t>/2</w:t>
      </w:r>
      <w:r>
        <w:t>5</w:t>
      </w:r>
      <w:r w:rsidRPr="00D350B5">
        <w:t xml:space="preserve">, </w:t>
      </w:r>
      <w:r>
        <w:t xml:space="preserve">an increase of 0.2 million Swiss francs as compared to </w:t>
      </w:r>
      <w:r w:rsidRPr="00D350B5">
        <w:t>the 20</w:t>
      </w:r>
      <w:r>
        <w:t>22</w:t>
      </w:r>
      <w:r w:rsidRPr="00D350B5">
        <w:t>/</w:t>
      </w:r>
      <w:r>
        <w:t>23</w:t>
      </w:r>
      <w:r w:rsidRPr="00D350B5">
        <w:t xml:space="preserve"> </w:t>
      </w:r>
      <w:r>
        <w:t xml:space="preserve">PoW&amp;B due to increases in contribution classes for certain countries. </w:t>
      </w:r>
    </w:p>
    <w:p w14:paraId="4EBDEE21" w14:textId="77777777" w:rsidR="00434007" w:rsidRPr="00D350B5" w:rsidRDefault="00434007" w:rsidP="00434007">
      <w:pPr>
        <w:pStyle w:val="Bullet2"/>
      </w:pPr>
      <w:r w:rsidRPr="00D350B5">
        <w:rPr>
          <w:b/>
        </w:rPr>
        <w:t>Income from the WIPO Arbitration and Mediation Center.</w:t>
      </w:r>
      <w:r>
        <w:t xml:space="preserve">  I</w:t>
      </w:r>
      <w:r w:rsidRPr="00D350B5">
        <w:t>ncome from the Arbitration and Mediation Center is projected at 3.</w:t>
      </w:r>
      <w:r>
        <w:t>4</w:t>
      </w:r>
      <w:r w:rsidRPr="00D350B5">
        <w:t xml:space="preserve"> million Swiss francs, </w:t>
      </w:r>
      <w:r>
        <w:t xml:space="preserve">remaining stable as </w:t>
      </w:r>
      <w:r w:rsidRPr="00D350B5">
        <w:t>compared to the 20</w:t>
      </w:r>
      <w:r>
        <w:t>22/23</w:t>
      </w:r>
      <w:r w:rsidRPr="00D350B5">
        <w:t xml:space="preserve"> </w:t>
      </w:r>
      <w:r>
        <w:t xml:space="preserve">PoW&amp;B Income Estimates, due to continuing uncertainties in the global economy and market-driven competition from </w:t>
      </w:r>
      <w:r w:rsidRPr="007514A6">
        <w:t>other (established or newly emerging/accredited) ADR or ICANN providers</w:t>
      </w:r>
      <w:r>
        <w:t xml:space="preserve">.  </w:t>
      </w:r>
    </w:p>
    <w:p w14:paraId="6765457F" w14:textId="77777777" w:rsidR="00434007" w:rsidRDefault="00434007" w:rsidP="008407D7">
      <w:pPr>
        <w:pStyle w:val="Bullet2"/>
        <w:numPr>
          <w:ilvl w:val="0"/>
          <w:numId w:val="16"/>
        </w:numPr>
      </w:pPr>
      <w:r w:rsidRPr="00F770D2">
        <w:rPr>
          <w:b/>
        </w:rPr>
        <w:lastRenderedPageBreak/>
        <w:t>Income from publications.</w:t>
      </w:r>
      <w:r w:rsidRPr="00D350B5">
        <w:t xml:space="preserve">  Income from publications is estimated at </w:t>
      </w:r>
      <w:r>
        <w:t>0.9</w:t>
      </w:r>
      <w:r w:rsidRPr="00D350B5">
        <w:t xml:space="preserve"> million Swiss francs, </w:t>
      </w:r>
      <w:r>
        <w:t xml:space="preserve">remaining stable as </w:t>
      </w:r>
      <w:r w:rsidRPr="00D350B5">
        <w:t>compared to the 20</w:t>
      </w:r>
      <w:r>
        <w:t>22</w:t>
      </w:r>
      <w:r w:rsidRPr="00D350B5">
        <w:t>/</w:t>
      </w:r>
      <w:r>
        <w:t>23</w:t>
      </w:r>
      <w:r w:rsidRPr="00D350B5">
        <w:t xml:space="preserve"> </w:t>
      </w:r>
      <w:r>
        <w:t>PoW&amp;B Income Estimates</w:t>
      </w:r>
      <w:r w:rsidRPr="00D350B5">
        <w:t xml:space="preserve">.  </w:t>
      </w:r>
    </w:p>
    <w:p w14:paraId="33280D5A" w14:textId="77777777" w:rsidR="00434007" w:rsidRDefault="00434007" w:rsidP="008407D7">
      <w:pPr>
        <w:pStyle w:val="Bullet2"/>
        <w:numPr>
          <w:ilvl w:val="0"/>
          <w:numId w:val="16"/>
        </w:numPr>
        <w:spacing w:after="0" w:line="240" w:lineRule="auto"/>
      </w:pPr>
      <w:r w:rsidRPr="008561C3">
        <w:rPr>
          <w:b/>
        </w:rPr>
        <w:t>Miscellaneous income.</w:t>
      </w:r>
      <w:r w:rsidRPr="00F770D2">
        <w:t xml:space="preserve">  Miscellaneous income is projected at </w:t>
      </w:r>
      <w:r>
        <w:t xml:space="preserve">2 </w:t>
      </w:r>
      <w:r w:rsidRPr="00F770D2">
        <w:t>million Swiss francs in 202</w:t>
      </w:r>
      <w:r>
        <w:t>4</w:t>
      </w:r>
      <w:r w:rsidRPr="00F770D2">
        <w:t>/2</w:t>
      </w:r>
      <w:r>
        <w:t>5</w:t>
      </w:r>
      <w:r w:rsidRPr="00F770D2">
        <w:t xml:space="preserve">, </w:t>
      </w:r>
      <w:r>
        <w:t>representing a decrease of 1.1 million Swiss francs as</w:t>
      </w:r>
      <w:r w:rsidRPr="00F770D2">
        <w:t xml:space="preserve"> compared to the 20</w:t>
      </w:r>
      <w:r>
        <w:t>22</w:t>
      </w:r>
      <w:r w:rsidRPr="00F770D2">
        <w:t>/</w:t>
      </w:r>
      <w:r>
        <w:t>23</w:t>
      </w:r>
      <w:r w:rsidRPr="00F770D2">
        <w:t xml:space="preserve"> </w:t>
      </w:r>
      <w:r>
        <w:t xml:space="preserve">PoW&amp;B Income Estimates, mainly due to higher credit card charges </w:t>
      </w:r>
      <w:r>
        <w:rPr>
          <w:rStyle w:val="ui-provider"/>
        </w:rPr>
        <w:t>incurred in the context of fee payments by WIPO customers</w:t>
      </w:r>
      <w:r>
        <w:t xml:space="preserve"> and lower </w:t>
      </w:r>
      <w:r w:rsidRPr="00F770D2">
        <w:t>income from administrative charges on the Funds-in-Trust</w:t>
      </w:r>
      <w:r>
        <w:t xml:space="preserve">. </w:t>
      </w:r>
    </w:p>
    <w:p w14:paraId="229504F9" w14:textId="77777777" w:rsidR="00434007" w:rsidRDefault="00434007" w:rsidP="00434007">
      <w:pPr>
        <w:pStyle w:val="Bullet2"/>
        <w:numPr>
          <w:ilvl w:val="0"/>
          <w:numId w:val="0"/>
        </w:numPr>
        <w:spacing w:after="0" w:line="240" w:lineRule="auto"/>
        <w:ind w:left="680" w:hanging="340"/>
      </w:pPr>
    </w:p>
    <w:p w14:paraId="49EC7EAD" w14:textId="77777777" w:rsidR="00434007" w:rsidRDefault="00434007" w:rsidP="00434007">
      <w:pPr>
        <w:pStyle w:val="Bullet2"/>
        <w:numPr>
          <w:ilvl w:val="0"/>
          <w:numId w:val="0"/>
        </w:numPr>
        <w:spacing w:after="0" w:line="240" w:lineRule="auto"/>
        <w:ind w:left="680" w:hanging="340"/>
      </w:pPr>
    </w:p>
    <w:p w14:paraId="10C491DC" w14:textId="77777777" w:rsidR="00434007" w:rsidRDefault="00434007" w:rsidP="00434007">
      <w:pPr>
        <w:pStyle w:val="TableAndChartTitle"/>
        <w:spacing w:after="240"/>
      </w:pPr>
    </w:p>
    <w:p w14:paraId="601C64AF" w14:textId="77777777" w:rsidR="00434007" w:rsidRPr="00D350B5" w:rsidRDefault="00434007" w:rsidP="00434007">
      <w:pPr>
        <w:pStyle w:val="Bullet1"/>
        <w:numPr>
          <w:ilvl w:val="0"/>
          <w:numId w:val="0"/>
        </w:numPr>
        <w:ind w:left="340"/>
      </w:pPr>
    </w:p>
    <w:p w14:paraId="3C4F7D85" w14:textId="77777777" w:rsidR="00434007" w:rsidRPr="00D350B5" w:rsidRDefault="00434007" w:rsidP="00434007">
      <w:pPr>
        <w:pStyle w:val="Bullet1"/>
        <w:numPr>
          <w:ilvl w:val="0"/>
          <w:numId w:val="0"/>
        </w:numPr>
        <w:ind w:left="340" w:hanging="340"/>
        <w:rPr>
          <w:lang w:val="en-US"/>
        </w:rPr>
      </w:pPr>
    </w:p>
    <w:p w14:paraId="616B88AA" w14:textId="77777777" w:rsidR="0021104B" w:rsidRPr="0021104B" w:rsidRDefault="0021104B" w:rsidP="0023452A">
      <w:pPr>
        <w:pStyle w:val="TableAndChartTitle"/>
        <w:spacing w:before="0" w:after="0"/>
        <w:jc w:val="left"/>
        <w:rPr>
          <w:lang w:val="en-US"/>
        </w:rPr>
      </w:pPr>
    </w:p>
    <w:p w14:paraId="677D1C5B" w14:textId="77777777" w:rsidR="00CD34B4" w:rsidRPr="00D350B5" w:rsidRDefault="00CD34B4" w:rsidP="00CD34B4">
      <w:pPr>
        <w:pStyle w:val="Bullet1"/>
        <w:numPr>
          <w:ilvl w:val="0"/>
          <w:numId w:val="0"/>
        </w:numPr>
        <w:ind w:left="340" w:hanging="340"/>
        <w:rPr>
          <w:lang w:val="en-US"/>
        </w:rPr>
      </w:pPr>
    </w:p>
    <w:p w14:paraId="45B5B782" w14:textId="77777777" w:rsidR="00CD34B4" w:rsidRPr="00BC5267" w:rsidRDefault="00CD34B4" w:rsidP="00CD34B4">
      <w:pPr>
        <w:pStyle w:val="Bullet1"/>
        <w:numPr>
          <w:ilvl w:val="0"/>
          <w:numId w:val="0"/>
        </w:numPr>
        <w:ind w:left="340" w:hanging="340"/>
        <w:rPr>
          <w:lang w:val="en-US"/>
        </w:rPr>
        <w:sectPr w:rsidR="00CD34B4" w:rsidRPr="00BC5267" w:rsidSect="00382909">
          <w:headerReference w:type="even" r:id="rId28"/>
          <w:headerReference w:type="default" r:id="rId29"/>
          <w:footerReference w:type="even" r:id="rId30"/>
          <w:footerReference w:type="default" r:id="rId31"/>
          <w:headerReference w:type="first" r:id="rId32"/>
          <w:footerReference w:type="first" r:id="rId33"/>
          <w:pgSz w:w="11906" w:h="16838"/>
          <w:pgMar w:top="1361" w:right="1134" w:bottom="1361" w:left="1134" w:header="567" w:footer="454" w:gutter="0"/>
          <w:cols w:space="708"/>
          <w:titlePg/>
          <w:docGrid w:linePitch="360"/>
        </w:sectPr>
      </w:pPr>
    </w:p>
    <w:p w14:paraId="674DD802" w14:textId="638674C6" w:rsidR="00CD34B4" w:rsidRDefault="00CD34B4" w:rsidP="00CD34B4">
      <w:pPr>
        <w:pStyle w:val="TableAndChartTitle"/>
        <w:spacing w:before="0" w:after="0"/>
      </w:pPr>
      <w:r w:rsidRPr="00D433CD">
        <w:lastRenderedPageBreak/>
        <w:t xml:space="preserve">RESULTS FRAMEWORK AND BUDGET </w:t>
      </w:r>
      <w:r w:rsidR="00050D80" w:rsidRPr="00D433CD">
        <w:t xml:space="preserve">FOR </w:t>
      </w:r>
      <w:r w:rsidRPr="00D433CD">
        <w:t>20</w:t>
      </w:r>
      <w:r w:rsidR="002E0DC5" w:rsidRPr="00D433CD">
        <w:t>2</w:t>
      </w:r>
      <w:r w:rsidR="00CB1AF7" w:rsidRPr="00D433CD">
        <w:t>4</w:t>
      </w:r>
      <w:r w:rsidRPr="00D433CD">
        <w:t>/</w:t>
      </w:r>
      <w:r w:rsidR="002E0DC5" w:rsidRPr="00D433CD">
        <w:t>2</w:t>
      </w:r>
      <w:r w:rsidR="00CB1AF7" w:rsidRPr="00D433CD">
        <w:t>5</w:t>
      </w:r>
      <w:r w:rsidRPr="00D433CD">
        <w:t xml:space="preserve"> INCLUDING DEVELOPMENT SHARE BY </w:t>
      </w:r>
      <w:r w:rsidR="0056179B" w:rsidRPr="00D433CD">
        <w:t xml:space="preserve">STRATEGIC </w:t>
      </w:r>
      <w:r w:rsidR="00227DF8" w:rsidRPr="00D433CD">
        <w:t>PILLAR</w:t>
      </w:r>
    </w:p>
    <w:p w14:paraId="4F41DC80" w14:textId="31873AD8" w:rsidR="00434007" w:rsidRPr="005F77FD" w:rsidRDefault="00107BF8" w:rsidP="00434007">
      <w:pPr>
        <w:rPr>
          <w:sz w:val="8"/>
          <w:szCs w:val="8"/>
        </w:rPr>
      </w:pPr>
      <w:r>
        <w:rPr>
          <w:noProof/>
          <w:lang w:val="en-US"/>
        </w:rPr>
        <w:drawing>
          <wp:anchor distT="0" distB="0" distL="114300" distR="114300" simplePos="0" relativeHeight="251838976" behindDoc="0" locked="0" layoutInCell="1" allowOverlap="1" wp14:anchorId="52262D3A" wp14:editId="699FAC96">
            <wp:simplePos x="0" y="0"/>
            <wp:positionH relativeFrom="column">
              <wp:posOffset>217170</wp:posOffset>
            </wp:positionH>
            <wp:positionV relativeFrom="paragraph">
              <wp:posOffset>179596</wp:posOffset>
            </wp:positionV>
            <wp:extent cx="9348952" cy="5067503"/>
            <wp:effectExtent l="0" t="0" r="508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9348952" cy="5067503"/>
                    </a:xfrm>
                    <a:prstGeom prst="rect">
                      <a:avLst/>
                    </a:prstGeom>
                    <a:noFill/>
                    <a:ln w="38100">
                      <a:noFill/>
                    </a:ln>
                  </pic:spPr>
                </pic:pic>
              </a:graphicData>
            </a:graphic>
            <wp14:sizeRelH relativeFrom="page">
              <wp14:pctWidth>0</wp14:pctWidth>
            </wp14:sizeRelH>
            <wp14:sizeRelV relativeFrom="page">
              <wp14:pctHeight>0</wp14:pctHeight>
            </wp14:sizeRelV>
          </wp:anchor>
        </w:drawing>
      </w:r>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12026"/>
        <w:gridCol w:w="3212"/>
      </w:tblGrid>
      <w:tr w:rsidR="005F77FD" w:rsidRPr="00D350B5" w14:paraId="313919C3" w14:textId="77777777" w:rsidTr="00434007">
        <w:trPr>
          <w:trHeight w:val="909"/>
          <w:jc w:val="center"/>
        </w:trPr>
        <w:tc>
          <w:tcPr>
            <w:tcW w:w="3946" w:type="pct"/>
            <w:shd w:val="clear" w:color="auto" w:fill="auto"/>
          </w:tcPr>
          <w:p w14:paraId="5A33E85F" w14:textId="0428EFE1" w:rsidR="00434007" w:rsidRDefault="00434007" w:rsidP="00E84A9B">
            <w:pPr>
              <w:ind w:left="1440"/>
              <w:jc w:val="center"/>
              <w:rPr>
                <w:noProof/>
                <w:lang w:val="en-US"/>
              </w:rPr>
            </w:pPr>
          </w:p>
          <w:p w14:paraId="14666D6A" w14:textId="151E9EB8" w:rsidR="00434007" w:rsidRDefault="00434007" w:rsidP="00434007">
            <w:pPr>
              <w:jc w:val="center"/>
              <w:rPr>
                <w:noProof/>
                <w:lang w:val="en-US"/>
              </w:rPr>
            </w:pPr>
          </w:p>
          <w:p w14:paraId="38803A60" w14:textId="6D6B41B9" w:rsidR="00434007" w:rsidRDefault="00434007" w:rsidP="00434007">
            <w:pPr>
              <w:jc w:val="center"/>
              <w:rPr>
                <w:noProof/>
                <w:lang w:val="en-US"/>
              </w:rPr>
            </w:pPr>
          </w:p>
          <w:p w14:paraId="2A4C3790" w14:textId="47064896" w:rsidR="00434007" w:rsidRDefault="00434007" w:rsidP="00434007">
            <w:pPr>
              <w:jc w:val="center"/>
              <w:rPr>
                <w:noProof/>
                <w:lang w:val="en-US"/>
              </w:rPr>
            </w:pPr>
          </w:p>
          <w:p w14:paraId="48FC5C1D" w14:textId="68087604" w:rsidR="00434007" w:rsidRDefault="00434007" w:rsidP="00434007">
            <w:pPr>
              <w:jc w:val="center"/>
              <w:rPr>
                <w:noProof/>
                <w:lang w:val="en-US"/>
              </w:rPr>
            </w:pPr>
          </w:p>
          <w:p w14:paraId="1466A558" w14:textId="6631A80B" w:rsidR="00434007" w:rsidRDefault="00434007" w:rsidP="00434007">
            <w:pPr>
              <w:jc w:val="center"/>
              <w:rPr>
                <w:noProof/>
                <w:lang w:val="en-US"/>
              </w:rPr>
            </w:pPr>
          </w:p>
          <w:p w14:paraId="40E1EE85" w14:textId="0F358DB5" w:rsidR="00434007" w:rsidRDefault="00434007" w:rsidP="00434007">
            <w:pPr>
              <w:jc w:val="center"/>
              <w:rPr>
                <w:noProof/>
                <w:lang w:val="en-US"/>
              </w:rPr>
            </w:pPr>
          </w:p>
          <w:p w14:paraId="36883E15" w14:textId="77777777" w:rsidR="00434007" w:rsidRDefault="00434007" w:rsidP="00434007">
            <w:pPr>
              <w:jc w:val="center"/>
              <w:rPr>
                <w:noProof/>
                <w:lang w:val="en-US"/>
              </w:rPr>
            </w:pPr>
          </w:p>
          <w:p w14:paraId="23C27656" w14:textId="77777777" w:rsidR="00434007" w:rsidRDefault="00434007" w:rsidP="00434007">
            <w:pPr>
              <w:jc w:val="center"/>
              <w:rPr>
                <w:noProof/>
                <w:lang w:val="en-US"/>
              </w:rPr>
            </w:pPr>
          </w:p>
          <w:p w14:paraId="76427863" w14:textId="77777777" w:rsidR="00434007" w:rsidRDefault="00434007" w:rsidP="00434007">
            <w:pPr>
              <w:jc w:val="center"/>
              <w:rPr>
                <w:noProof/>
                <w:lang w:val="en-US"/>
              </w:rPr>
            </w:pPr>
          </w:p>
          <w:p w14:paraId="6F11622D" w14:textId="77777777" w:rsidR="00434007" w:rsidRDefault="00434007" w:rsidP="00434007">
            <w:pPr>
              <w:jc w:val="center"/>
              <w:rPr>
                <w:noProof/>
                <w:lang w:val="en-US"/>
              </w:rPr>
            </w:pPr>
          </w:p>
          <w:p w14:paraId="08F04E10" w14:textId="77777777" w:rsidR="00434007" w:rsidRDefault="00434007" w:rsidP="00434007">
            <w:pPr>
              <w:jc w:val="center"/>
              <w:rPr>
                <w:noProof/>
                <w:lang w:val="en-US"/>
              </w:rPr>
            </w:pPr>
          </w:p>
          <w:p w14:paraId="05EF7D14" w14:textId="77777777" w:rsidR="00434007" w:rsidRDefault="00434007" w:rsidP="00434007">
            <w:pPr>
              <w:jc w:val="center"/>
              <w:rPr>
                <w:noProof/>
                <w:lang w:val="en-US"/>
              </w:rPr>
            </w:pPr>
          </w:p>
          <w:p w14:paraId="4F9E23C2" w14:textId="77777777" w:rsidR="00434007" w:rsidRDefault="00434007" w:rsidP="00434007">
            <w:pPr>
              <w:jc w:val="center"/>
              <w:rPr>
                <w:noProof/>
                <w:lang w:val="en-US"/>
              </w:rPr>
            </w:pPr>
          </w:p>
          <w:p w14:paraId="00CEABDD" w14:textId="77777777" w:rsidR="00434007" w:rsidRDefault="00434007" w:rsidP="00434007">
            <w:pPr>
              <w:jc w:val="center"/>
              <w:rPr>
                <w:noProof/>
                <w:lang w:val="en-US"/>
              </w:rPr>
            </w:pPr>
          </w:p>
          <w:p w14:paraId="13A3DD5C" w14:textId="77777777" w:rsidR="00434007" w:rsidRDefault="00434007" w:rsidP="00434007">
            <w:pPr>
              <w:jc w:val="center"/>
              <w:rPr>
                <w:noProof/>
                <w:lang w:val="en-US"/>
              </w:rPr>
            </w:pPr>
          </w:p>
          <w:p w14:paraId="106FBC03" w14:textId="77777777" w:rsidR="00434007" w:rsidRDefault="00434007" w:rsidP="00434007">
            <w:pPr>
              <w:jc w:val="center"/>
              <w:rPr>
                <w:noProof/>
                <w:lang w:val="en-US"/>
              </w:rPr>
            </w:pPr>
          </w:p>
          <w:p w14:paraId="298C76CD" w14:textId="77777777" w:rsidR="00434007" w:rsidRDefault="00434007" w:rsidP="00434007">
            <w:pPr>
              <w:jc w:val="center"/>
              <w:rPr>
                <w:noProof/>
                <w:lang w:val="en-US"/>
              </w:rPr>
            </w:pPr>
          </w:p>
          <w:p w14:paraId="0CB65F0B" w14:textId="77777777" w:rsidR="00434007" w:rsidRDefault="00434007" w:rsidP="00434007">
            <w:pPr>
              <w:jc w:val="center"/>
              <w:rPr>
                <w:noProof/>
                <w:lang w:val="en-US"/>
              </w:rPr>
            </w:pPr>
          </w:p>
          <w:p w14:paraId="4B68EC8B" w14:textId="77777777" w:rsidR="00434007" w:rsidRDefault="00434007" w:rsidP="00434007">
            <w:pPr>
              <w:jc w:val="center"/>
              <w:rPr>
                <w:noProof/>
                <w:lang w:val="en-US"/>
              </w:rPr>
            </w:pPr>
          </w:p>
          <w:p w14:paraId="134773E4" w14:textId="2789E894" w:rsidR="00434007" w:rsidRPr="00157C2A" w:rsidRDefault="00E803A4" w:rsidP="00434007">
            <w:pPr>
              <w:spacing w:after="0" w:line="200" w:lineRule="atLeast"/>
              <w:ind w:left="113"/>
              <w:rPr>
                <w:rFonts w:ascii="Arial Narrow" w:hAnsi="Arial Narrow"/>
                <w:sz w:val="16"/>
              </w:rPr>
            </w:pPr>
            <w:r>
              <w:rPr>
                <w:rFonts w:ascii="Arial Narrow" w:hAnsi="Arial Narrow"/>
                <w:sz w:val="16"/>
              </w:rPr>
              <w:t>The budget by R</w:t>
            </w:r>
            <w:r w:rsidR="00434007" w:rsidRPr="00157C2A">
              <w:rPr>
                <w:rFonts w:ascii="Arial Narrow" w:hAnsi="Arial Narrow"/>
                <w:sz w:val="16"/>
              </w:rPr>
              <w:t xml:space="preserve">esult </w:t>
            </w:r>
            <w:r w:rsidR="00434007">
              <w:rPr>
                <w:rFonts w:ascii="Arial Narrow" w:hAnsi="Arial Narrow"/>
                <w:sz w:val="16"/>
              </w:rPr>
              <w:t xml:space="preserve">in the Strategy House excludes </w:t>
            </w:r>
            <w:r w:rsidR="00434007" w:rsidRPr="00157C2A">
              <w:rPr>
                <w:rFonts w:ascii="Arial Narrow" w:hAnsi="Arial Narrow"/>
                <w:sz w:val="16"/>
              </w:rPr>
              <w:t xml:space="preserve">unallocated of </w:t>
            </w:r>
            <w:r w:rsidR="00434007">
              <w:rPr>
                <w:rFonts w:ascii="Arial Narrow" w:hAnsi="Arial Narrow"/>
                <w:sz w:val="16"/>
              </w:rPr>
              <w:t xml:space="preserve">8.2 </w:t>
            </w:r>
            <w:r w:rsidR="00434007" w:rsidRPr="00157C2A">
              <w:rPr>
                <w:rFonts w:ascii="Arial Narrow" w:hAnsi="Arial Narrow"/>
                <w:sz w:val="16"/>
              </w:rPr>
              <w:t xml:space="preserve">million Swiss francs.  The total budget </w:t>
            </w:r>
            <w:r w:rsidR="00434007">
              <w:rPr>
                <w:rFonts w:ascii="Arial Narrow" w:hAnsi="Arial Narrow"/>
                <w:sz w:val="16"/>
              </w:rPr>
              <w:t xml:space="preserve">for </w:t>
            </w:r>
            <w:r w:rsidR="00434007" w:rsidRPr="00157C2A">
              <w:rPr>
                <w:rFonts w:ascii="Arial Narrow" w:hAnsi="Arial Narrow"/>
                <w:sz w:val="16"/>
              </w:rPr>
              <w:t>202</w:t>
            </w:r>
            <w:r w:rsidR="00434007">
              <w:rPr>
                <w:rFonts w:ascii="Arial Narrow" w:hAnsi="Arial Narrow"/>
                <w:sz w:val="16"/>
              </w:rPr>
              <w:t>4</w:t>
            </w:r>
            <w:r w:rsidR="00434007" w:rsidRPr="00157C2A">
              <w:rPr>
                <w:rFonts w:ascii="Arial Narrow" w:hAnsi="Arial Narrow"/>
                <w:sz w:val="16"/>
              </w:rPr>
              <w:t>/2</w:t>
            </w:r>
            <w:r w:rsidR="00434007">
              <w:rPr>
                <w:rFonts w:ascii="Arial Narrow" w:hAnsi="Arial Narrow"/>
                <w:sz w:val="16"/>
              </w:rPr>
              <w:t>5</w:t>
            </w:r>
            <w:r w:rsidR="00434007" w:rsidRPr="00157C2A">
              <w:rPr>
                <w:rFonts w:ascii="Arial Narrow" w:hAnsi="Arial Narrow"/>
                <w:sz w:val="16"/>
              </w:rPr>
              <w:t xml:space="preserve"> includes unallocated. </w:t>
            </w:r>
          </w:p>
          <w:p w14:paraId="3735B677" w14:textId="77777777" w:rsidR="00434007" w:rsidRPr="00157C2A" w:rsidRDefault="00434007" w:rsidP="00434007">
            <w:pPr>
              <w:spacing w:after="0" w:line="200" w:lineRule="atLeast"/>
              <w:ind w:left="113"/>
              <w:rPr>
                <w:rFonts w:ascii="Arial Narrow" w:hAnsi="Arial Narrow"/>
                <w:sz w:val="16"/>
              </w:rPr>
            </w:pPr>
            <w:r w:rsidRPr="00157C2A">
              <w:rPr>
                <w:rFonts w:ascii="Arial Narrow" w:hAnsi="Arial Narrow"/>
                <w:sz w:val="16"/>
              </w:rPr>
              <w:t xml:space="preserve">Development share: Expenditure is qualified as “development expenditure” </w:t>
            </w:r>
            <w:r>
              <w:rPr>
                <w:rFonts w:ascii="Arial Narrow" w:hAnsi="Arial Narrow"/>
                <w:sz w:val="16"/>
              </w:rPr>
              <w:t>as per</w:t>
            </w:r>
            <w:r w:rsidRPr="00157C2A">
              <w:rPr>
                <w:rFonts w:ascii="Arial Narrow" w:hAnsi="Arial Narrow"/>
                <w:sz w:val="16"/>
              </w:rPr>
              <w:t xml:space="preserve"> the revised definition of development expenditure </w:t>
            </w:r>
            <w:r>
              <w:rPr>
                <w:rFonts w:ascii="Arial Narrow" w:hAnsi="Arial Narrow"/>
                <w:sz w:val="16"/>
              </w:rPr>
              <w:t>(</w:t>
            </w:r>
            <w:r w:rsidRPr="00157C2A">
              <w:rPr>
                <w:rFonts w:ascii="Arial Narrow" w:hAnsi="Arial Narrow"/>
                <w:sz w:val="16"/>
              </w:rPr>
              <w:t xml:space="preserve">document </w:t>
            </w:r>
            <w:r>
              <w:rPr>
                <w:rFonts w:ascii="Arial Narrow" w:hAnsi="Arial Narrow"/>
                <w:sz w:val="16"/>
              </w:rPr>
              <w:t>A/55/4)</w:t>
            </w:r>
            <w:r w:rsidRPr="00157C2A">
              <w:rPr>
                <w:rFonts w:ascii="Arial Narrow" w:hAnsi="Arial Narrow"/>
                <w:sz w:val="16"/>
              </w:rPr>
              <w:t>.</w:t>
            </w:r>
          </w:p>
          <w:p w14:paraId="6A4C6B56" w14:textId="77777777" w:rsidR="00434007" w:rsidRDefault="00434007" w:rsidP="00434007">
            <w:pPr>
              <w:spacing w:after="0" w:line="200" w:lineRule="atLeast"/>
              <w:ind w:left="113"/>
              <w:rPr>
                <w:rFonts w:ascii="Arial Narrow" w:hAnsi="Arial Narrow"/>
                <w:sz w:val="16"/>
              </w:rPr>
            </w:pPr>
          </w:p>
          <w:p w14:paraId="0A4EBE31" w14:textId="77777777" w:rsidR="00586CE6" w:rsidRPr="00157C2A" w:rsidRDefault="00586CE6" w:rsidP="00586CE6">
            <w:pPr>
              <w:spacing w:after="0" w:line="200" w:lineRule="atLeast"/>
              <w:ind w:left="113"/>
              <w:rPr>
                <w:rFonts w:ascii="Arial Narrow" w:hAnsi="Arial Narrow"/>
                <w:sz w:val="16"/>
              </w:rPr>
            </w:pPr>
            <w:r>
              <w:rPr>
                <w:rFonts w:ascii="Arial Narrow" w:hAnsi="Arial Narrow"/>
                <w:sz w:val="16"/>
              </w:rPr>
              <w:t xml:space="preserve">* </w:t>
            </w:r>
            <w:r w:rsidRPr="000754DD">
              <w:rPr>
                <w:rFonts w:ascii="Arial Narrow" w:hAnsi="Arial Narrow"/>
                <w:sz w:val="16"/>
              </w:rPr>
              <w:t>This change to the ER defined in the MTSP 2022-2026 is made on an exceptional basis.</w:t>
            </w:r>
          </w:p>
          <w:p w14:paraId="22A5B565" w14:textId="660F0C01" w:rsidR="00586CE6" w:rsidRPr="00D350B5" w:rsidRDefault="00586CE6" w:rsidP="00434007">
            <w:pPr>
              <w:spacing w:after="0" w:line="200" w:lineRule="atLeast"/>
              <w:ind w:left="113"/>
              <w:rPr>
                <w:rFonts w:ascii="Arial Narrow" w:hAnsi="Arial Narrow"/>
                <w:sz w:val="16"/>
              </w:rPr>
            </w:pPr>
          </w:p>
        </w:tc>
        <w:tc>
          <w:tcPr>
            <w:tcW w:w="1054" w:type="pct"/>
            <w:shd w:val="clear" w:color="auto" w:fill="auto"/>
          </w:tcPr>
          <w:p w14:paraId="4A2CA614" w14:textId="4EA5596D" w:rsidR="00434007" w:rsidRDefault="00434007" w:rsidP="00434007">
            <w:pPr>
              <w:spacing w:after="0" w:line="200" w:lineRule="atLeast"/>
              <w:ind w:right="115"/>
              <w:jc w:val="right"/>
              <w:rPr>
                <w:rFonts w:ascii="Arial Narrow" w:hAnsi="Arial Narrow"/>
                <w:b/>
                <w:sz w:val="16"/>
              </w:rPr>
            </w:pPr>
          </w:p>
          <w:p w14:paraId="2DEC248F" w14:textId="77777777" w:rsidR="00434007" w:rsidRDefault="00434007" w:rsidP="00434007">
            <w:pPr>
              <w:spacing w:after="0" w:line="200" w:lineRule="atLeast"/>
              <w:ind w:right="115"/>
              <w:jc w:val="right"/>
              <w:rPr>
                <w:rFonts w:ascii="Arial Narrow" w:hAnsi="Arial Narrow"/>
                <w:b/>
                <w:sz w:val="16"/>
              </w:rPr>
            </w:pPr>
          </w:p>
          <w:p w14:paraId="57434CE0" w14:textId="77777777" w:rsidR="00434007" w:rsidRDefault="00434007" w:rsidP="00434007">
            <w:pPr>
              <w:spacing w:after="0" w:line="200" w:lineRule="atLeast"/>
              <w:ind w:right="115"/>
              <w:jc w:val="right"/>
              <w:rPr>
                <w:rFonts w:ascii="Arial Narrow" w:hAnsi="Arial Narrow"/>
                <w:b/>
                <w:sz w:val="16"/>
              </w:rPr>
            </w:pPr>
          </w:p>
          <w:p w14:paraId="4BE91FCA" w14:textId="77777777" w:rsidR="00434007" w:rsidRDefault="00434007" w:rsidP="00434007">
            <w:pPr>
              <w:spacing w:after="0" w:line="200" w:lineRule="atLeast"/>
              <w:ind w:right="115"/>
              <w:jc w:val="right"/>
              <w:rPr>
                <w:rFonts w:ascii="Arial Narrow" w:hAnsi="Arial Narrow"/>
                <w:b/>
                <w:sz w:val="16"/>
              </w:rPr>
            </w:pPr>
          </w:p>
          <w:p w14:paraId="4975703C" w14:textId="77777777" w:rsidR="00434007" w:rsidRDefault="00434007" w:rsidP="00434007">
            <w:pPr>
              <w:spacing w:after="0" w:line="200" w:lineRule="atLeast"/>
              <w:ind w:right="115"/>
              <w:jc w:val="right"/>
              <w:rPr>
                <w:rFonts w:ascii="Arial Narrow" w:hAnsi="Arial Narrow"/>
                <w:b/>
                <w:sz w:val="16"/>
              </w:rPr>
            </w:pPr>
          </w:p>
          <w:p w14:paraId="395F7E32" w14:textId="77777777" w:rsidR="00434007" w:rsidRDefault="00434007" w:rsidP="00434007">
            <w:pPr>
              <w:spacing w:after="0" w:line="200" w:lineRule="atLeast"/>
              <w:ind w:right="115"/>
              <w:jc w:val="right"/>
              <w:rPr>
                <w:rFonts w:ascii="Arial Narrow" w:hAnsi="Arial Narrow"/>
                <w:b/>
                <w:sz w:val="16"/>
              </w:rPr>
            </w:pPr>
          </w:p>
          <w:p w14:paraId="1F791A2F" w14:textId="77777777" w:rsidR="00434007" w:rsidRDefault="00434007" w:rsidP="00434007">
            <w:pPr>
              <w:spacing w:after="0" w:line="200" w:lineRule="atLeast"/>
              <w:ind w:right="115"/>
              <w:jc w:val="right"/>
              <w:rPr>
                <w:rFonts w:ascii="Arial Narrow" w:hAnsi="Arial Narrow"/>
                <w:b/>
                <w:sz w:val="16"/>
              </w:rPr>
            </w:pPr>
          </w:p>
          <w:p w14:paraId="03EE44A2" w14:textId="77777777" w:rsidR="00434007" w:rsidRDefault="00434007" w:rsidP="00434007">
            <w:pPr>
              <w:spacing w:after="0" w:line="200" w:lineRule="atLeast"/>
              <w:ind w:right="115"/>
              <w:jc w:val="right"/>
              <w:rPr>
                <w:rFonts w:ascii="Arial Narrow" w:hAnsi="Arial Narrow"/>
                <w:b/>
                <w:sz w:val="16"/>
              </w:rPr>
            </w:pPr>
          </w:p>
          <w:p w14:paraId="66CBC03C" w14:textId="77777777" w:rsidR="00434007" w:rsidRDefault="00434007" w:rsidP="00434007">
            <w:pPr>
              <w:spacing w:after="0" w:line="200" w:lineRule="atLeast"/>
              <w:ind w:right="115"/>
              <w:jc w:val="right"/>
              <w:rPr>
                <w:rFonts w:ascii="Arial Narrow" w:hAnsi="Arial Narrow"/>
                <w:b/>
                <w:sz w:val="16"/>
              </w:rPr>
            </w:pPr>
          </w:p>
          <w:p w14:paraId="319A9F48" w14:textId="77777777" w:rsidR="00434007" w:rsidRDefault="00434007" w:rsidP="00434007">
            <w:pPr>
              <w:spacing w:after="0" w:line="200" w:lineRule="atLeast"/>
              <w:ind w:right="115"/>
              <w:jc w:val="right"/>
              <w:rPr>
                <w:rFonts w:ascii="Arial Narrow" w:hAnsi="Arial Narrow"/>
                <w:b/>
                <w:sz w:val="16"/>
              </w:rPr>
            </w:pPr>
          </w:p>
          <w:p w14:paraId="13DD4CB3" w14:textId="77777777" w:rsidR="00434007" w:rsidRDefault="00434007" w:rsidP="00434007">
            <w:pPr>
              <w:spacing w:after="0" w:line="200" w:lineRule="atLeast"/>
              <w:ind w:right="115"/>
              <w:jc w:val="right"/>
              <w:rPr>
                <w:rFonts w:ascii="Arial Narrow" w:hAnsi="Arial Narrow"/>
                <w:b/>
                <w:sz w:val="16"/>
              </w:rPr>
            </w:pPr>
          </w:p>
          <w:p w14:paraId="2BD423B4" w14:textId="77777777" w:rsidR="00434007" w:rsidRDefault="00434007" w:rsidP="00434007">
            <w:pPr>
              <w:spacing w:after="0" w:line="200" w:lineRule="atLeast"/>
              <w:ind w:right="115"/>
              <w:jc w:val="right"/>
              <w:rPr>
                <w:rFonts w:ascii="Arial Narrow" w:hAnsi="Arial Narrow"/>
                <w:b/>
                <w:sz w:val="16"/>
              </w:rPr>
            </w:pPr>
          </w:p>
          <w:p w14:paraId="046A7E78" w14:textId="77777777" w:rsidR="00434007" w:rsidRDefault="00434007" w:rsidP="00434007">
            <w:pPr>
              <w:spacing w:after="0" w:line="200" w:lineRule="atLeast"/>
              <w:ind w:right="115"/>
              <w:jc w:val="right"/>
              <w:rPr>
                <w:rFonts w:ascii="Arial Narrow" w:hAnsi="Arial Narrow"/>
                <w:b/>
                <w:sz w:val="16"/>
              </w:rPr>
            </w:pPr>
          </w:p>
          <w:p w14:paraId="04827F6A" w14:textId="77777777" w:rsidR="00434007" w:rsidRDefault="00434007" w:rsidP="00434007">
            <w:pPr>
              <w:spacing w:after="0" w:line="200" w:lineRule="atLeast"/>
              <w:ind w:right="115"/>
              <w:jc w:val="right"/>
              <w:rPr>
                <w:rFonts w:ascii="Arial Narrow" w:hAnsi="Arial Narrow"/>
                <w:b/>
                <w:sz w:val="16"/>
              </w:rPr>
            </w:pPr>
          </w:p>
          <w:p w14:paraId="1D5EB35E" w14:textId="77777777" w:rsidR="00434007" w:rsidRDefault="00434007" w:rsidP="00434007">
            <w:pPr>
              <w:spacing w:after="0" w:line="200" w:lineRule="atLeast"/>
              <w:ind w:right="115"/>
              <w:jc w:val="right"/>
              <w:rPr>
                <w:rFonts w:ascii="Arial Narrow" w:hAnsi="Arial Narrow"/>
                <w:b/>
                <w:sz w:val="16"/>
              </w:rPr>
            </w:pPr>
          </w:p>
          <w:p w14:paraId="5513D6EB" w14:textId="77777777" w:rsidR="00434007" w:rsidRDefault="00434007" w:rsidP="00434007">
            <w:pPr>
              <w:spacing w:after="0" w:line="200" w:lineRule="atLeast"/>
              <w:ind w:right="115"/>
              <w:jc w:val="right"/>
              <w:rPr>
                <w:rFonts w:ascii="Arial Narrow" w:hAnsi="Arial Narrow"/>
                <w:b/>
                <w:sz w:val="16"/>
              </w:rPr>
            </w:pPr>
          </w:p>
          <w:p w14:paraId="7528D0EE" w14:textId="77777777" w:rsidR="00434007" w:rsidRDefault="00434007" w:rsidP="00434007">
            <w:pPr>
              <w:spacing w:after="0" w:line="200" w:lineRule="atLeast"/>
              <w:ind w:right="115"/>
              <w:jc w:val="right"/>
              <w:rPr>
                <w:rFonts w:ascii="Arial Narrow" w:hAnsi="Arial Narrow"/>
                <w:b/>
                <w:sz w:val="16"/>
              </w:rPr>
            </w:pPr>
          </w:p>
          <w:p w14:paraId="39E43951" w14:textId="77777777" w:rsidR="00434007" w:rsidRDefault="00434007" w:rsidP="00434007">
            <w:pPr>
              <w:spacing w:after="0" w:line="200" w:lineRule="atLeast"/>
              <w:ind w:right="115"/>
              <w:jc w:val="right"/>
              <w:rPr>
                <w:rFonts w:ascii="Arial Narrow" w:hAnsi="Arial Narrow"/>
                <w:b/>
                <w:sz w:val="16"/>
              </w:rPr>
            </w:pPr>
          </w:p>
          <w:p w14:paraId="03779FD6" w14:textId="77777777" w:rsidR="00434007" w:rsidRDefault="00434007" w:rsidP="00434007">
            <w:pPr>
              <w:spacing w:after="0" w:line="200" w:lineRule="atLeast"/>
              <w:ind w:right="115"/>
              <w:jc w:val="right"/>
              <w:rPr>
                <w:rFonts w:ascii="Arial Narrow" w:hAnsi="Arial Narrow"/>
                <w:b/>
                <w:sz w:val="16"/>
              </w:rPr>
            </w:pPr>
          </w:p>
          <w:p w14:paraId="1F3B8C31" w14:textId="77777777" w:rsidR="00434007" w:rsidRDefault="00434007" w:rsidP="00434007">
            <w:pPr>
              <w:spacing w:after="0" w:line="200" w:lineRule="atLeast"/>
              <w:ind w:right="115"/>
              <w:jc w:val="right"/>
              <w:rPr>
                <w:rFonts w:ascii="Arial Narrow" w:hAnsi="Arial Narrow"/>
                <w:b/>
                <w:sz w:val="16"/>
              </w:rPr>
            </w:pPr>
          </w:p>
          <w:p w14:paraId="4A7DF729" w14:textId="77777777" w:rsidR="00434007" w:rsidRDefault="00434007" w:rsidP="00434007">
            <w:pPr>
              <w:spacing w:after="0" w:line="200" w:lineRule="atLeast"/>
              <w:ind w:right="115"/>
              <w:jc w:val="right"/>
              <w:rPr>
                <w:rFonts w:ascii="Arial Narrow" w:hAnsi="Arial Narrow"/>
                <w:b/>
                <w:sz w:val="16"/>
              </w:rPr>
            </w:pPr>
          </w:p>
          <w:p w14:paraId="5D7FC50C" w14:textId="77777777" w:rsidR="00434007" w:rsidRDefault="00434007" w:rsidP="00434007">
            <w:pPr>
              <w:spacing w:after="0" w:line="200" w:lineRule="atLeast"/>
              <w:ind w:right="115"/>
              <w:jc w:val="right"/>
              <w:rPr>
                <w:rFonts w:ascii="Arial Narrow" w:hAnsi="Arial Narrow"/>
                <w:b/>
                <w:sz w:val="16"/>
              </w:rPr>
            </w:pPr>
          </w:p>
          <w:p w14:paraId="09B73F72" w14:textId="77777777" w:rsidR="00434007" w:rsidRDefault="00434007" w:rsidP="00434007">
            <w:pPr>
              <w:spacing w:after="0" w:line="200" w:lineRule="atLeast"/>
              <w:ind w:right="115"/>
              <w:jc w:val="right"/>
              <w:rPr>
                <w:rFonts w:ascii="Arial Narrow" w:hAnsi="Arial Narrow"/>
                <w:b/>
                <w:sz w:val="16"/>
              </w:rPr>
            </w:pPr>
          </w:p>
          <w:p w14:paraId="5609A2F9" w14:textId="77777777" w:rsidR="00434007" w:rsidRDefault="00434007" w:rsidP="00434007">
            <w:pPr>
              <w:spacing w:after="0" w:line="200" w:lineRule="atLeast"/>
              <w:ind w:right="115"/>
              <w:jc w:val="right"/>
              <w:rPr>
                <w:rFonts w:ascii="Arial Narrow" w:hAnsi="Arial Narrow"/>
                <w:b/>
                <w:sz w:val="16"/>
              </w:rPr>
            </w:pPr>
          </w:p>
          <w:p w14:paraId="4ABE0AE4" w14:textId="77777777" w:rsidR="00434007" w:rsidRDefault="00434007" w:rsidP="00434007">
            <w:pPr>
              <w:spacing w:after="0" w:line="200" w:lineRule="atLeast"/>
              <w:ind w:right="115"/>
              <w:jc w:val="right"/>
              <w:rPr>
                <w:rFonts w:ascii="Arial Narrow" w:hAnsi="Arial Narrow"/>
                <w:b/>
                <w:sz w:val="16"/>
              </w:rPr>
            </w:pPr>
          </w:p>
          <w:p w14:paraId="77B49DE6" w14:textId="77777777" w:rsidR="00434007" w:rsidRDefault="00434007" w:rsidP="00434007">
            <w:pPr>
              <w:spacing w:after="0" w:line="200" w:lineRule="atLeast"/>
              <w:ind w:right="115"/>
              <w:jc w:val="right"/>
              <w:rPr>
                <w:rFonts w:ascii="Arial Narrow" w:hAnsi="Arial Narrow"/>
                <w:b/>
                <w:sz w:val="16"/>
              </w:rPr>
            </w:pPr>
          </w:p>
          <w:p w14:paraId="671A6EEC" w14:textId="77777777" w:rsidR="00434007" w:rsidRDefault="00434007" w:rsidP="00434007">
            <w:pPr>
              <w:spacing w:after="0" w:line="200" w:lineRule="atLeast"/>
              <w:ind w:right="115"/>
              <w:jc w:val="right"/>
              <w:rPr>
                <w:rFonts w:ascii="Arial Narrow" w:hAnsi="Arial Narrow"/>
                <w:b/>
                <w:sz w:val="16"/>
              </w:rPr>
            </w:pPr>
          </w:p>
          <w:p w14:paraId="7C1E4300" w14:textId="77777777" w:rsidR="00434007" w:rsidRDefault="00434007" w:rsidP="00434007">
            <w:pPr>
              <w:spacing w:after="0" w:line="200" w:lineRule="atLeast"/>
              <w:ind w:right="115"/>
              <w:jc w:val="right"/>
              <w:rPr>
                <w:rFonts w:ascii="Arial Narrow" w:hAnsi="Arial Narrow"/>
                <w:b/>
                <w:sz w:val="16"/>
              </w:rPr>
            </w:pPr>
          </w:p>
          <w:p w14:paraId="2FFD4D17" w14:textId="77777777" w:rsidR="00434007" w:rsidRDefault="00434007" w:rsidP="00434007">
            <w:pPr>
              <w:spacing w:after="0" w:line="200" w:lineRule="atLeast"/>
              <w:ind w:right="115"/>
              <w:jc w:val="right"/>
              <w:rPr>
                <w:rFonts w:ascii="Arial Narrow" w:hAnsi="Arial Narrow"/>
                <w:b/>
                <w:sz w:val="16"/>
              </w:rPr>
            </w:pPr>
          </w:p>
          <w:p w14:paraId="23832906" w14:textId="77777777" w:rsidR="00434007" w:rsidRDefault="00434007" w:rsidP="00434007">
            <w:pPr>
              <w:spacing w:after="0" w:line="200" w:lineRule="atLeast"/>
              <w:ind w:right="115"/>
              <w:jc w:val="right"/>
              <w:rPr>
                <w:rFonts w:ascii="Arial Narrow" w:hAnsi="Arial Narrow"/>
                <w:b/>
                <w:sz w:val="16"/>
              </w:rPr>
            </w:pPr>
          </w:p>
          <w:p w14:paraId="79C99176" w14:textId="77777777" w:rsidR="00434007" w:rsidRDefault="00434007" w:rsidP="00434007">
            <w:pPr>
              <w:spacing w:after="0" w:line="200" w:lineRule="atLeast"/>
              <w:ind w:right="115"/>
              <w:jc w:val="right"/>
              <w:rPr>
                <w:rFonts w:ascii="Arial Narrow" w:hAnsi="Arial Narrow"/>
                <w:b/>
                <w:sz w:val="16"/>
              </w:rPr>
            </w:pPr>
          </w:p>
          <w:p w14:paraId="44DE443E" w14:textId="77777777" w:rsidR="00434007" w:rsidRDefault="00434007" w:rsidP="00434007">
            <w:pPr>
              <w:spacing w:after="0" w:line="200" w:lineRule="atLeast"/>
              <w:ind w:right="115"/>
              <w:jc w:val="right"/>
              <w:rPr>
                <w:rFonts w:ascii="Arial Narrow" w:hAnsi="Arial Narrow"/>
                <w:b/>
                <w:sz w:val="16"/>
              </w:rPr>
            </w:pPr>
          </w:p>
          <w:p w14:paraId="1DECD96A" w14:textId="77777777" w:rsidR="00434007" w:rsidRDefault="00434007" w:rsidP="00434007">
            <w:pPr>
              <w:spacing w:after="0" w:line="200" w:lineRule="atLeast"/>
              <w:ind w:right="115"/>
              <w:jc w:val="right"/>
              <w:rPr>
                <w:rFonts w:ascii="Arial Narrow" w:hAnsi="Arial Narrow"/>
                <w:b/>
                <w:sz w:val="16"/>
              </w:rPr>
            </w:pPr>
          </w:p>
          <w:p w14:paraId="225D77A6" w14:textId="77777777" w:rsidR="00434007" w:rsidRDefault="00434007" w:rsidP="00434007">
            <w:pPr>
              <w:spacing w:after="0" w:line="200" w:lineRule="atLeast"/>
              <w:ind w:right="115"/>
              <w:jc w:val="right"/>
              <w:rPr>
                <w:rFonts w:ascii="Arial Narrow" w:hAnsi="Arial Narrow"/>
                <w:b/>
                <w:sz w:val="16"/>
              </w:rPr>
            </w:pPr>
          </w:p>
          <w:p w14:paraId="76C3E15C" w14:textId="77777777" w:rsidR="00434007" w:rsidRDefault="00434007" w:rsidP="00434007">
            <w:pPr>
              <w:spacing w:after="0" w:line="200" w:lineRule="atLeast"/>
              <w:ind w:right="115"/>
              <w:jc w:val="right"/>
              <w:rPr>
                <w:rFonts w:ascii="Arial Narrow" w:hAnsi="Arial Narrow"/>
                <w:b/>
                <w:sz w:val="16"/>
              </w:rPr>
            </w:pPr>
          </w:p>
          <w:p w14:paraId="53A98041" w14:textId="77777777" w:rsidR="00434007" w:rsidRDefault="00434007" w:rsidP="00434007">
            <w:pPr>
              <w:spacing w:after="0" w:line="200" w:lineRule="atLeast"/>
              <w:ind w:right="115"/>
              <w:jc w:val="right"/>
              <w:rPr>
                <w:rFonts w:ascii="Arial Narrow" w:hAnsi="Arial Narrow"/>
                <w:b/>
                <w:sz w:val="16"/>
              </w:rPr>
            </w:pPr>
          </w:p>
          <w:p w14:paraId="28AA24F1" w14:textId="77777777" w:rsidR="00434007" w:rsidRDefault="00434007" w:rsidP="00434007">
            <w:pPr>
              <w:spacing w:after="0" w:line="200" w:lineRule="atLeast"/>
              <w:ind w:right="115"/>
              <w:jc w:val="right"/>
              <w:rPr>
                <w:rFonts w:ascii="Arial Narrow" w:hAnsi="Arial Narrow"/>
                <w:b/>
                <w:sz w:val="16"/>
              </w:rPr>
            </w:pPr>
          </w:p>
          <w:p w14:paraId="2257F789" w14:textId="77777777" w:rsidR="00434007" w:rsidRDefault="00434007" w:rsidP="00434007">
            <w:pPr>
              <w:spacing w:after="0" w:line="200" w:lineRule="atLeast"/>
              <w:ind w:right="115"/>
              <w:jc w:val="right"/>
              <w:rPr>
                <w:rFonts w:ascii="Arial Narrow" w:hAnsi="Arial Narrow"/>
                <w:b/>
                <w:sz w:val="16"/>
              </w:rPr>
            </w:pPr>
          </w:p>
          <w:p w14:paraId="23C00F46" w14:textId="77777777" w:rsidR="00434007" w:rsidRDefault="00434007" w:rsidP="00434007">
            <w:pPr>
              <w:spacing w:after="0" w:line="200" w:lineRule="atLeast"/>
              <w:ind w:right="115"/>
              <w:jc w:val="right"/>
              <w:rPr>
                <w:rFonts w:ascii="Arial Narrow" w:hAnsi="Arial Narrow"/>
                <w:b/>
                <w:sz w:val="16"/>
              </w:rPr>
            </w:pPr>
          </w:p>
          <w:p w14:paraId="1A16B55E" w14:textId="77777777" w:rsidR="00434007" w:rsidRDefault="00434007" w:rsidP="00434007">
            <w:pPr>
              <w:spacing w:after="0" w:line="200" w:lineRule="atLeast"/>
              <w:ind w:right="115"/>
              <w:jc w:val="right"/>
              <w:rPr>
                <w:rFonts w:ascii="Arial Narrow" w:hAnsi="Arial Narrow"/>
                <w:b/>
                <w:sz w:val="16"/>
              </w:rPr>
            </w:pPr>
          </w:p>
          <w:p w14:paraId="74388ED1" w14:textId="77777777" w:rsidR="00434007" w:rsidRPr="00157C2A" w:rsidRDefault="00434007" w:rsidP="00434007">
            <w:pPr>
              <w:spacing w:after="0" w:line="200" w:lineRule="atLeast"/>
              <w:ind w:right="115"/>
              <w:jc w:val="right"/>
              <w:rPr>
                <w:rFonts w:ascii="Arial Narrow" w:hAnsi="Arial Narrow"/>
                <w:b/>
                <w:sz w:val="16"/>
              </w:rPr>
            </w:pPr>
            <w:r w:rsidRPr="00157C2A">
              <w:rPr>
                <w:rFonts w:ascii="Arial Narrow" w:hAnsi="Arial Narrow"/>
                <w:b/>
                <w:sz w:val="16"/>
              </w:rPr>
              <w:t>Total proposed budget 202</w:t>
            </w:r>
            <w:r>
              <w:rPr>
                <w:rFonts w:ascii="Arial Narrow" w:hAnsi="Arial Narrow"/>
                <w:b/>
                <w:sz w:val="16"/>
              </w:rPr>
              <w:t>4</w:t>
            </w:r>
            <w:r w:rsidRPr="00157C2A">
              <w:rPr>
                <w:rFonts w:ascii="Arial Narrow" w:hAnsi="Arial Narrow"/>
                <w:b/>
                <w:sz w:val="16"/>
              </w:rPr>
              <w:t>/2</w:t>
            </w:r>
            <w:r>
              <w:rPr>
                <w:rFonts w:ascii="Arial Narrow" w:hAnsi="Arial Narrow"/>
                <w:b/>
                <w:sz w:val="16"/>
              </w:rPr>
              <w:t>5</w:t>
            </w:r>
            <w:r w:rsidRPr="00157C2A">
              <w:rPr>
                <w:rFonts w:ascii="Arial Narrow" w:hAnsi="Arial Narrow"/>
                <w:b/>
                <w:sz w:val="16"/>
              </w:rPr>
              <w:t xml:space="preserve">:      </w:t>
            </w:r>
            <w:r>
              <w:rPr>
                <w:rFonts w:ascii="Arial Narrow" w:hAnsi="Arial Narrow"/>
                <w:b/>
                <w:sz w:val="16"/>
              </w:rPr>
              <w:t>857</w:t>
            </w:r>
            <w:r w:rsidRPr="00157C2A">
              <w:rPr>
                <w:rFonts w:ascii="Arial Narrow" w:hAnsi="Arial Narrow"/>
                <w:b/>
                <w:sz w:val="16"/>
              </w:rPr>
              <w:t>,</w:t>
            </w:r>
            <w:r>
              <w:rPr>
                <w:rFonts w:ascii="Arial Narrow" w:hAnsi="Arial Narrow"/>
                <w:b/>
                <w:sz w:val="16"/>
              </w:rPr>
              <w:t>300</w:t>
            </w:r>
          </w:p>
          <w:p w14:paraId="38CBE68E" w14:textId="220C4721" w:rsidR="00434007" w:rsidRPr="00157C2A" w:rsidRDefault="00434007" w:rsidP="00434007">
            <w:pPr>
              <w:spacing w:after="0" w:line="200" w:lineRule="atLeast"/>
              <w:ind w:right="115"/>
              <w:jc w:val="right"/>
              <w:rPr>
                <w:rFonts w:ascii="Arial Narrow" w:hAnsi="Arial Narrow"/>
                <w:b/>
                <w:sz w:val="16"/>
              </w:rPr>
            </w:pPr>
            <w:r w:rsidRPr="00157C2A">
              <w:rPr>
                <w:rFonts w:ascii="Arial Narrow" w:hAnsi="Arial Narrow"/>
                <w:b/>
                <w:sz w:val="16"/>
              </w:rPr>
              <w:t>(</w:t>
            </w:r>
            <w:r w:rsidRPr="00157C2A">
              <w:rPr>
                <w:rFonts w:ascii="Arial Narrow" w:hAnsi="Arial Narrow"/>
                <w:b/>
                <w:color w:val="005172" w:themeColor="text2"/>
                <w:sz w:val="16"/>
              </w:rPr>
              <w:t xml:space="preserve">Total development share:              </w:t>
            </w:r>
            <w:r w:rsidRPr="006E40BB">
              <w:rPr>
                <w:rFonts w:ascii="Arial Narrow" w:hAnsi="Arial Narrow"/>
                <w:b/>
                <w:color w:val="005172" w:themeColor="text2"/>
                <w:sz w:val="16"/>
              </w:rPr>
              <w:t>1</w:t>
            </w:r>
            <w:r>
              <w:rPr>
                <w:rFonts w:ascii="Arial Narrow" w:hAnsi="Arial Narrow"/>
                <w:b/>
                <w:color w:val="005172" w:themeColor="text2"/>
                <w:sz w:val="16"/>
              </w:rPr>
              <w:t>83</w:t>
            </w:r>
            <w:r w:rsidRPr="006E40BB">
              <w:rPr>
                <w:rFonts w:ascii="Arial Narrow" w:hAnsi="Arial Narrow"/>
                <w:b/>
                <w:color w:val="005172" w:themeColor="text2"/>
                <w:sz w:val="16"/>
              </w:rPr>
              <w:t>,</w:t>
            </w:r>
            <w:r w:rsidR="005F77FD">
              <w:rPr>
                <w:rFonts w:ascii="Arial Narrow" w:hAnsi="Arial Narrow"/>
                <w:b/>
                <w:color w:val="005172" w:themeColor="text2"/>
                <w:sz w:val="16"/>
              </w:rPr>
              <w:t>449</w:t>
            </w:r>
            <w:r w:rsidRPr="00157C2A">
              <w:rPr>
                <w:rFonts w:ascii="Arial Narrow" w:hAnsi="Arial Narrow"/>
                <w:b/>
                <w:sz w:val="16"/>
              </w:rPr>
              <w:t>)</w:t>
            </w:r>
          </w:p>
          <w:p w14:paraId="0158AE88" w14:textId="77777777" w:rsidR="00434007" w:rsidRPr="00157C2A" w:rsidRDefault="00434007" w:rsidP="00434007">
            <w:pPr>
              <w:spacing w:after="0" w:line="200" w:lineRule="atLeast"/>
              <w:ind w:right="115"/>
              <w:jc w:val="right"/>
              <w:rPr>
                <w:rFonts w:ascii="Arial Narrow" w:hAnsi="Arial Narrow"/>
                <w:b/>
                <w:sz w:val="16"/>
              </w:rPr>
            </w:pPr>
          </w:p>
          <w:p w14:paraId="422C3BD2" w14:textId="77777777" w:rsidR="00434007" w:rsidRPr="00157C2A" w:rsidRDefault="00434007" w:rsidP="00434007">
            <w:pPr>
              <w:spacing w:after="0" w:line="200" w:lineRule="atLeast"/>
              <w:ind w:right="115"/>
              <w:jc w:val="right"/>
              <w:rPr>
                <w:rFonts w:ascii="Arial Narrow" w:hAnsi="Arial Narrow"/>
                <w:b/>
                <w:sz w:val="16"/>
              </w:rPr>
            </w:pPr>
            <w:r w:rsidRPr="00157C2A">
              <w:rPr>
                <w:rFonts w:ascii="Arial Narrow" w:hAnsi="Arial Narrow"/>
                <w:b/>
                <w:sz w:val="16"/>
              </w:rPr>
              <w:t>Total budget 202</w:t>
            </w:r>
            <w:r>
              <w:rPr>
                <w:rFonts w:ascii="Arial Narrow" w:hAnsi="Arial Narrow"/>
                <w:b/>
                <w:sz w:val="16"/>
              </w:rPr>
              <w:t>2</w:t>
            </w:r>
            <w:r w:rsidRPr="00157C2A">
              <w:rPr>
                <w:rFonts w:ascii="Arial Narrow" w:hAnsi="Arial Narrow"/>
                <w:b/>
                <w:sz w:val="16"/>
              </w:rPr>
              <w:t>/2</w:t>
            </w:r>
            <w:r>
              <w:rPr>
                <w:rFonts w:ascii="Arial Narrow" w:hAnsi="Arial Narrow"/>
                <w:b/>
                <w:sz w:val="16"/>
              </w:rPr>
              <w:t>3</w:t>
            </w:r>
            <w:r w:rsidRPr="00157C2A">
              <w:rPr>
                <w:rFonts w:ascii="Arial Narrow" w:hAnsi="Arial Narrow"/>
                <w:b/>
                <w:sz w:val="16"/>
              </w:rPr>
              <w:t>:      7</w:t>
            </w:r>
            <w:r>
              <w:rPr>
                <w:rFonts w:ascii="Arial Narrow" w:hAnsi="Arial Narrow"/>
                <w:b/>
                <w:sz w:val="16"/>
              </w:rPr>
              <w:t>93</w:t>
            </w:r>
            <w:r w:rsidRPr="00157C2A">
              <w:rPr>
                <w:rFonts w:ascii="Arial Narrow" w:hAnsi="Arial Narrow"/>
                <w:b/>
                <w:sz w:val="16"/>
              </w:rPr>
              <w:t>,</w:t>
            </w:r>
            <w:r>
              <w:rPr>
                <w:rFonts w:ascii="Arial Narrow" w:hAnsi="Arial Narrow"/>
                <w:b/>
                <w:sz w:val="16"/>
              </w:rPr>
              <w:t>792</w:t>
            </w:r>
          </w:p>
          <w:p w14:paraId="35FFCBC5" w14:textId="77777777" w:rsidR="00434007" w:rsidRPr="00D350B5" w:rsidRDefault="00434007" w:rsidP="00434007">
            <w:pPr>
              <w:spacing w:after="0" w:line="200" w:lineRule="atLeast"/>
              <w:ind w:right="115"/>
              <w:jc w:val="right"/>
              <w:rPr>
                <w:rFonts w:ascii="Arial Narrow" w:hAnsi="Arial Narrow"/>
                <w:sz w:val="16"/>
              </w:rPr>
            </w:pPr>
            <w:r w:rsidRPr="00157C2A">
              <w:rPr>
                <w:rFonts w:ascii="Arial Narrow" w:hAnsi="Arial Narrow"/>
                <w:b/>
                <w:sz w:val="16"/>
              </w:rPr>
              <w:t>(</w:t>
            </w:r>
            <w:r w:rsidRPr="00157C2A">
              <w:rPr>
                <w:rFonts w:ascii="Arial Narrow" w:hAnsi="Arial Narrow"/>
                <w:b/>
                <w:color w:val="005172" w:themeColor="text2"/>
                <w:sz w:val="16"/>
              </w:rPr>
              <w:t>Total development share:   1</w:t>
            </w:r>
            <w:r>
              <w:rPr>
                <w:rFonts w:ascii="Arial Narrow" w:hAnsi="Arial Narrow"/>
                <w:b/>
                <w:color w:val="005172" w:themeColor="text2"/>
                <w:sz w:val="16"/>
              </w:rPr>
              <w:t>5</w:t>
            </w:r>
            <w:r w:rsidRPr="00157C2A">
              <w:rPr>
                <w:rFonts w:ascii="Arial Narrow" w:hAnsi="Arial Narrow"/>
                <w:b/>
                <w:color w:val="005172" w:themeColor="text2"/>
                <w:sz w:val="16"/>
              </w:rPr>
              <w:t>0,</w:t>
            </w:r>
            <w:r>
              <w:rPr>
                <w:rFonts w:ascii="Arial Narrow" w:hAnsi="Arial Narrow"/>
                <w:b/>
                <w:color w:val="005172" w:themeColor="text2"/>
                <w:sz w:val="16"/>
              </w:rPr>
              <w:t>3</w:t>
            </w:r>
            <w:r w:rsidRPr="00157C2A">
              <w:rPr>
                <w:rFonts w:ascii="Arial Narrow" w:hAnsi="Arial Narrow"/>
                <w:b/>
                <w:color w:val="005172" w:themeColor="text2"/>
                <w:sz w:val="16"/>
              </w:rPr>
              <w:t>12</w:t>
            </w:r>
            <w:r w:rsidRPr="00157C2A">
              <w:rPr>
                <w:rFonts w:ascii="Arial Narrow" w:hAnsi="Arial Narrow"/>
                <w:b/>
                <w:sz w:val="16"/>
              </w:rPr>
              <w:t>)</w:t>
            </w:r>
          </w:p>
        </w:tc>
      </w:tr>
    </w:tbl>
    <w:p w14:paraId="0D53C1B4" w14:textId="29DF37E7" w:rsidR="00CD34B4" w:rsidRPr="00D350B5" w:rsidRDefault="00CD34B4" w:rsidP="00CD34B4">
      <w:pPr>
        <w:sectPr w:rsidR="00CD34B4" w:rsidRPr="00D350B5" w:rsidSect="00382909">
          <w:headerReference w:type="even" r:id="rId35"/>
          <w:headerReference w:type="default" r:id="rId36"/>
          <w:footerReference w:type="even" r:id="rId37"/>
          <w:footerReference w:type="default" r:id="rId38"/>
          <w:headerReference w:type="first" r:id="rId39"/>
          <w:footerReference w:type="first" r:id="rId40"/>
          <w:pgSz w:w="16838" w:h="11906" w:orient="landscape" w:code="9"/>
          <w:pgMar w:top="1000" w:right="800" w:bottom="800" w:left="800" w:header="454" w:footer="340" w:gutter="0"/>
          <w:cols w:space="708"/>
          <w:titlePg/>
          <w:docGrid w:linePitch="360"/>
        </w:sectPr>
      </w:pPr>
    </w:p>
    <w:p w14:paraId="5B7A6A96" w14:textId="77777777" w:rsidR="00434007" w:rsidRDefault="00434007" w:rsidP="00434007">
      <w:pPr>
        <w:pStyle w:val="Heading1NoNumb"/>
        <w:spacing w:before="240" w:after="200"/>
      </w:pPr>
      <w:r w:rsidRPr="00D350B5">
        <w:lastRenderedPageBreak/>
        <w:t>Results and Resources</w:t>
      </w:r>
    </w:p>
    <w:p w14:paraId="0257D42A" w14:textId="70A0EC66" w:rsidR="00434007" w:rsidRPr="00733AA8" w:rsidRDefault="00434007" w:rsidP="00733AA8">
      <w:pPr>
        <w:pStyle w:val="NormalNumb"/>
        <w:keepNext/>
        <w:ind w:left="0"/>
        <w:rPr>
          <w:lang w:val="en-US"/>
        </w:rPr>
      </w:pPr>
      <w:r w:rsidRPr="00733AA8">
        <w:rPr>
          <w:lang w:val="en-US"/>
        </w:rPr>
        <w:t xml:space="preserve">The Program of Work and Budget for the biennium 2024/25 is fully aligned with the four Strategic Pillars and the Foundation of the MTSP 2022-2026 and the 16 associated Expected Results, following </w:t>
      </w:r>
      <w:r w:rsidR="00B02668">
        <w:rPr>
          <w:lang w:val="en-US"/>
        </w:rPr>
        <w:t>the</w:t>
      </w:r>
      <w:r w:rsidRPr="00733AA8">
        <w:rPr>
          <w:lang w:val="en-US"/>
        </w:rPr>
        <w:t xml:space="preserve"> results-based management approach.  The total expenditure for the 2024/25 biennium amounts to 857.3 million Swiss francs, representing an increase of 63.5 million Swiss francs or 8 per cent over the </w:t>
      </w:r>
      <w:r w:rsidR="00996A80">
        <w:rPr>
          <w:lang w:val="en-US"/>
        </w:rPr>
        <w:t xml:space="preserve">2022/23 PoW&amp;B of 793.8 million </w:t>
      </w:r>
      <w:r w:rsidRPr="00733AA8">
        <w:rPr>
          <w:lang w:val="en-US"/>
        </w:rPr>
        <w:t xml:space="preserve">Swiss francs.  </w:t>
      </w:r>
    </w:p>
    <w:p w14:paraId="7E72F04C" w14:textId="1B6A3C8A" w:rsidR="00434007" w:rsidRPr="00733AA8" w:rsidRDefault="00434007" w:rsidP="00733AA8">
      <w:pPr>
        <w:pStyle w:val="NormalNumb"/>
        <w:keepNext/>
        <w:ind w:left="0"/>
        <w:rPr>
          <w:lang w:val="en-US"/>
        </w:rPr>
      </w:pPr>
      <w:r w:rsidRPr="00733AA8">
        <w:rPr>
          <w:lang w:val="en-US"/>
        </w:rPr>
        <w:t>Personnel costs for 2024/25 represent an increase of 35.7 million Swiss francs, or 7.5</w:t>
      </w:r>
      <w:r w:rsidR="00E803A4" w:rsidRPr="00733AA8">
        <w:rPr>
          <w:lang w:val="en-US"/>
        </w:rPr>
        <w:t xml:space="preserve"> per cent</w:t>
      </w:r>
      <w:r w:rsidRPr="00733AA8">
        <w:rPr>
          <w:lang w:val="en-US"/>
        </w:rPr>
        <w:t xml:space="preserve"> as compared to the </w:t>
      </w:r>
      <w:r w:rsidRPr="00733AA8">
        <w:rPr>
          <w:lang w:val="en-US"/>
        </w:rPr>
        <w:br/>
        <w:t xml:space="preserve">2022/23 PoW&amp;B.  </w:t>
      </w:r>
    </w:p>
    <w:p w14:paraId="1A7997CA" w14:textId="558C2D67" w:rsidR="00434007" w:rsidRPr="00733AA8" w:rsidRDefault="00B02668" w:rsidP="00733AA8">
      <w:pPr>
        <w:pStyle w:val="NormalNumb"/>
        <w:keepNext/>
        <w:ind w:left="0"/>
        <w:rPr>
          <w:lang w:val="en-US"/>
        </w:rPr>
      </w:pPr>
      <w:r w:rsidRPr="00D350B5">
        <w:t>The increase in non-personnel resources in 202</w:t>
      </w:r>
      <w:r>
        <w:t>4</w:t>
      </w:r>
      <w:r w:rsidRPr="00D350B5">
        <w:t>/2</w:t>
      </w:r>
      <w:r>
        <w:t>5</w:t>
      </w:r>
      <w:r w:rsidRPr="00D350B5">
        <w:t xml:space="preserve"> amounts to </w:t>
      </w:r>
      <w:r>
        <w:t>27.8</w:t>
      </w:r>
      <w:r w:rsidRPr="00D350B5">
        <w:t xml:space="preserve"> million Swiss francs, or </w:t>
      </w:r>
      <w:r>
        <w:t>8.8</w:t>
      </w:r>
      <w:r w:rsidRPr="00D350B5">
        <w:t xml:space="preserve"> per cent, compared to the 20</w:t>
      </w:r>
      <w:r>
        <w:t>22</w:t>
      </w:r>
      <w:r w:rsidRPr="00D350B5">
        <w:t>/</w:t>
      </w:r>
      <w:r>
        <w:t>23</w:t>
      </w:r>
      <w:r w:rsidRPr="00D350B5">
        <w:t xml:space="preserve"> </w:t>
      </w:r>
      <w:r>
        <w:t>PoW&amp;B</w:t>
      </w:r>
      <w:r w:rsidRPr="00D350B5">
        <w:t xml:space="preserve">.  </w:t>
      </w:r>
      <w:r>
        <w:t xml:space="preserve">The increase primarily reflects new or enhanced platforms and tools for the benefit of creators and innovators globally, enhanced services for SMEs and their support </w:t>
      </w:r>
      <w:r w:rsidR="0026419C">
        <w:t>institutions</w:t>
      </w:r>
      <w:r>
        <w:t xml:space="preserve">, the increased footprint of our expanding ICT services, transition to operations of ICT CMP projects, inflation-driven cost increases for contractual services and utilities, increased demand for skills and knowledge building, and modernization of our communication and publication tools. </w:t>
      </w:r>
      <w:r w:rsidR="00434007" w:rsidRPr="00733AA8">
        <w:rPr>
          <w:lang w:val="en-US"/>
        </w:rPr>
        <w:t xml:space="preserve"> </w:t>
      </w:r>
    </w:p>
    <w:p w14:paraId="45C0D475" w14:textId="1DFF1D94" w:rsidR="00434007" w:rsidRPr="00733AA8" w:rsidRDefault="00434007" w:rsidP="00733AA8">
      <w:pPr>
        <w:pStyle w:val="NormalNumb"/>
        <w:keepNext/>
        <w:ind w:left="0"/>
        <w:rPr>
          <w:lang w:val="en-US"/>
        </w:rPr>
      </w:pPr>
      <w:r w:rsidRPr="00733AA8">
        <w:rPr>
          <w:lang w:val="en-US"/>
        </w:rPr>
        <w:t>The Results Framework for the 2024/25 biennium is framed along the Four Strategic Pillars, Foundation and 16</w:t>
      </w:r>
      <w:r w:rsidR="00C908D2">
        <w:rPr>
          <w:lang w:val="en-US"/>
        </w:rPr>
        <w:t> </w:t>
      </w:r>
      <w:r w:rsidRPr="00733AA8">
        <w:rPr>
          <w:lang w:val="en-US"/>
        </w:rPr>
        <w:t xml:space="preserve">Expected Results articulated in the MTSP as in 2022/23.  The WIPO Development Agenda (DA), Gender Equality </w:t>
      </w:r>
      <w:r w:rsidRPr="00733AA8">
        <w:rPr>
          <w:lang w:val="en-US"/>
        </w:rPr>
        <w:br/>
        <w:t>(SDG 5), Reduced Inequalities (SDG 10), Climate Action (SDG 13) and Partnerships for the Goals (SDG 17) are Sustainable Development Goals (SDGs) cutting across all Strategic Pillars.  The Results Framework also provides the results-based view of the budget for the biennium 2024/25 and the development expenditure for each Expected Result.  A breakdown of the extra-budgetary resources potentially available for programming is reflected in the Sector narratives and in Annex VII.</w:t>
      </w:r>
    </w:p>
    <w:p w14:paraId="11A36F90" w14:textId="77777777" w:rsidR="00434007" w:rsidRPr="00733AA8" w:rsidRDefault="00434007" w:rsidP="00733AA8">
      <w:pPr>
        <w:pStyle w:val="NormalNumb"/>
        <w:keepNext/>
        <w:ind w:left="0"/>
        <w:rPr>
          <w:lang w:val="en-US"/>
        </w:rPr>
      </w:pPr>
      <w:r w:rsidRPr="00733AA8">
        <w:rPr>
          <w:lang w:val="en-US"/>
        </w:rPr>
        <w:t>The 2024/25 Budget by Sector, by Expected Result and Sector as well as by Cost Category is summarized in Tables 4, 5 and 6, respectively.  The 2022/23 Budget after Transfers</w:t>
      </w:r>
      <w:r w:rsidRPr="00996A80">
        <w:rPr>
          <w:vertAlign w:val="superscript"/>
          <w:lang w:val="en-US"/>
        </w:rPr>
        <w:footnoteReference w:id="5"/>
      </w:r>
      <w:r w:rsidRPr="00733AA8">
        <w:rPr>
          <w:lang w:val="en-US"/>
        </w:rPr>
        <w:t xml:space="preserve"> by Sector is provided in Annex I.  Annex IV contains the 2024/25 allocation of income and expenditure by Union.  </w:t>
      </w:r>
    </w:p>
    <w:p w14:paraId="612BC084" w14:textId="42EE39E2" w:rsidR="00434007" w:rsidRPr="00733AA8" w:rsidRDefault="00434007" w:rsidP="00733AA8">
      <w:pPr>
        <w:pStyle w:val="NormalNumb"/>
        <w:keepNext/>
        <w:ind w:left="0"/>
        <w:rPr>
          <w:lang w:val="en-US"/>
        </w:rPr>
      </w:pPr>
      <w:r w:rsidRPr="00733AA8">
        <w:rPr>
          <w:lang w:val="en-US"/>
        </w:rPr>
        <w:t>The expenditure budget is prepared on a modified accrual basis in accordance with the Organization’s Financial Regulations and Rules.  The IPSAS requirement for annual reporting in the Organization’s financial statements also requires the Organization to present its budget on an annual basis.  For this purpose, annual budget figures are provided for both income and expenditure in Annex VIII of this document.</w:t>
      </w:r>
    </w:p>
    <w:p w14:paraId="66858442" w14:textId="77777777" w:rsidR="00434007" w:rsidRDefault="00434007" w:rsidP="00434007">
      <w:pPr>
        <w:pStyle w:val="NormalProgram"/>
        <w:spacing w:after="0" w:line="240" w:lineRule="auto"/>
        <w:ind w:left="1699" w:hanging="1699"/>
        <w:jc w:val="center"/>
        <w:rPr>
          <w:b/>
          <w:color w:val="005172" w:themeColor="text2"/>
        </w:rPr>
      </w:pPr>
    </w:p>
    <w:p w14:paraId="2B2FBEEE" w14:textId="77777777" w:rsidR="00434007" w:rsidRPr="00FC75FA" w:rsidRDefault="00434007" w:rsidP="00434007">
      <w:pPr>
        <w:pStyle w:val="NormalProgram"/>
        <w:spacing w:after="0" w:line="240" w:lineRule="auto"/>
        <w:ind w:left="1699" w:hanging="1699"/>
        <w:jc w:val="center"/>
        <w:rPr>
          <w:b/>
          <w:color w:val="005172" w:themeColor="text2"/>
        </w:rPr>
      </w:pPr>
      <w:r w:rsidRPr="00DE199A">
        <w:rPr>
          <w:b/>
          <w:color w:val="005172" w:themeColor="text2"/>
        </w:rPr>
        <w:t>Table 4</w:t>
      </w:r>
      <w:r>
        <w:rPr>
          <w:b/>
          <w:color w:val="005172" w:themeColor="text2"/>
        </w:rPr>
        <w:t>:</w:t>
      </w:r>
      <w:r w:rsidRPr="00DE199A">
        <w:rPr>
          <w:b/>
          <w:color w:val="005172" w:themeColor="text2"/>
        </w:rPr>
        <w:t xml:space="preserve">  202</w:t>
      </w:r>
      <w:r>
        <w:rPr>
          <w:b/>
          <w:color w:val="005172" w:themeColor="text2"/>
        </w:rPr>
        <w:t>4</w:t>
      </w:r>
      <w:r w:rsidRPr="00DE199A">
        <w:rPr>
          <w:b/>
          <w:color w:val="005172" w:themeColor="text2"/>
        </w:rPr>
        <w:t>/2</w:t>
      </w:r>
      <w:r>
        <w:rPr>
          <w:b/>
          <w:color w:val="005172" w:themeColor="text2"/>
        </w:rPr>
        <w:t>5</w:t>
      </w:r>
      <w:r w:rsidRPr="00DE199A">
        <w:rPr>
          <w:b/>
          <w:color w:val="005172" w:themeColor="text2"/>
        </w:rPr>
        <w:t xml:space="preserve"> Budget by Sector</w:t>
      </w:r>
    </w:p>
    <w:p w14:paraId="123BEA63" w14:textId="3DB7D3FE" w:rsidR="00DF073F" w:rsidRPr="00DF073F" w:rsidRDefault="00DF073F" w:rsidP="00DF073F">
      <w:pPr>
        <w:spacing w:after="0" w:line="240" w:lineRule="auto"/>
        <w:jc w:val="center"/>
        <w:rPr>
          <w:i/>
          <w:sz w:val="16"/>
          <w:szCs w:val="16"/>
        </w:rPr>
      </w:pPr>
      <w:r>
        <w:rPr>
          <w:i/>
          <w:sz w:val="16"/>
          <w:szCs w:val="16"/>
        </w:rPr>
        <w:t>(in thousands of Swiss francs)</w:t>
      </w:r>
    </w:p>
    <w:p w14:paraId="5F74092F" w14:textId="726C5AA0" w:rsidR="00D96210" w:rsidRDefault="00D96210" w:rsidP="00434007">
      <w:pPr>
        <w:pStyle w:val="TableAndChartTitle"/>
        <w:tabs>
          <w:tab w:val="left" w:pos="6946"/>
          <w:tab w:val="left" w:pos="8222"/>
        </w:tabs>
        <w:spacing w:before="0" w:after="0" w:line="240" w:lineRule="auto"/>
        <w:rPr>
          <w:rFonts w:asciiTheme="minorHAnsi" w:hAnsiTheme="minorHAnsi"/>
          <w:b w:val="0"/>
          <w:color w:val="auto"/>
          <w:sz w:val="22"/>
        </w:rPr>
      </w:pPr>
    </w:p>
    <w:tbl>
      <w:tblPr>
        <w:tblW w:w="7720" w:type="dxa"/>
        <w:jc w:val="center"/>
        <w:tblLook w:val="04A0" w:firstRow="1" w:lastRow="0" w:firstColumn="1" w:lastColumn="0" w:noHBand="0" w:noVBand="1"/>
      </w:tblPr>
      <w:tblGrid>
        <w:gridCol w:w="3460"/>
        <w:gridCol w:w="1420"/>
        <w:gridCol w:w="1440"/>
        <w:gridCol w:w="1400"/>
      </w:tblGrid>
      <w:tr w:rsidR="00D96210" w:rsidRPr="00D96210" w14:paraId="44B63FB3" w14:textId="77777777" w:rsidTr="00D96210">
        <w:trPr>
          <w:divId w:val="2109621777"/>
          <w:trHeight w:val="345"/>
          <w:jc w:val="center"/>
        </w:trPr>
        <w:tc>
          <w:tcPr>
            <w:tcW w:w="3460" w:type="dxa"/>
            <w:vMerge w:val="restart"/>
            <w:tcBorders>
              <w:top w:val="nil"/>
              <w:left w:val="nil"/>
              <w:bottom w:val="nil"/>
              <w:right w:val="nil"/>
            </w:tcBorders>
            <w:shd w:val="clear" w:color="000000" w:fill="C7CFD8"/>
            <w:noWrap/>
            <w:vAlign w:val="center"/>
            <w:hideMark/>
          </w:tcPr>
          <w:p w14:paraId="1B2F258E" w14:textId="2490BB74" w:rsidR="00D96210" w:rsidRPr="00D96210" w:rsidRDefault="00D96210" w:rsidP="00D96210">
            <w:pPr>
              <w:spacing w:after="0" w:line="240" w:lineRule="auto"/>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Sector</w:t>
            </w:r>
          </w:p>
        </w:tc>
        <w:tc>
          <w:tcPr>
            <w:tcW w:w="4260" w:type="dxa"/>
            <w:gridSpan w:val="3"/>
            <w:tcBorders>
              <w:top w:val="nil"/>
              <w:left w:val="nil"/>
              <w:bottom w:val="single" w:sz="4" w:space="0" w:color="748B9E"/>
              <w:right w:val="nil"/>
            </w:tcBorders>
            <w:shd w:val="clear" w:color="000000" w:fill="C7CFD8"/>
            <w:vAlign w:val="center"/>
            <w:hideMark/>
          </w:tcPr>
          <w:p w14:paraId="7AC07786" w14:textId="77777777" w:rsidR="00D96210" w:rsidRPr="00D96210" w:rsidRDefault="00D96210" w:rsidP="00D96210">
            <w:pPr>
              <w:spacing w:after="0" w:line="240" w:lineRule="auto"/>
              <w:jc w:val="center"/>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 xml:space="preserve"> 2024/25 Proposed Budget </w:t>
            </w:r>
          </w:p>
        </w:tc>
      </w:tr>
      <w:tr w:rsidR="00D96210" w:rsidRPr="00D96210" w14:paraId="7AC244CE" w14:textId="77777777" w:rsidTr="00D96210">
        <w:trPr>
          <w:divId w:val="2109621777"/>
          <w:trHeight w:val="450"/>
          <w:jc w:val="center"/>
        </w:trPr>
        <w:tc>
          <w:tcPr>
            <w:tcW w:w="3460" w:type="dxa"/>
            <w:vMerge/>
            <w:tcBorders>
              <w:top w:val="nil"/>
              <w:left w:val="nil"/>
              <w:bottom w:val="nil"/>
              <w:right w:val="nil"/>
            </w:tcBorders>
            <w:vAlign w:val="center"/>
            <w:hideMark/>
          </w:tcPr>
          <w:p w14:paraId="1EB67EC9" w14:textId="77777777" w:rsidR="00D96210" w:rsidRPr="00D96210" w:rsidRDefault="00D96210" w:rsidP="00D96210">
            <w:pPr>
              <w:spacing w:after="0" w:line="240" w:lineRule="auto"/>
              <w:rPr>
                <w:rFonts w:ascii="Arial Narrow" w:eastAsia="Times New Roman" w:hAnsi="Arial Narrow" w:cs="Times New Roman"/>
                <w:b/>
                <w:bCs/>
                <w:sz w:val="16"/>
                <w:szCs w:val="16"/>
                <w:lang w:val="en-US"/>
              </w:rPr>
            </w:pPr>
          </w:p>
        </w:tc>
        <w:tc>
          <w:tcPr>
            <w:tcW w:w="1420" w:type="dxa"/>
            <w:tcBorders>
              <w:top w:val="nil"/>
              <w:left w:val="nil"/>
              <w:bottom w:val="nil"/>
              <w:right w:val="nil"/>
            </w:tcBorders>
            <w:shd w:val="clear" w:color="000000" w:fill="C7CFD8"/>
            <w:vAlign w:val="center"/>
            <w:hideMark/>
          </w:tcPr>
          <w:p w14:paraId="5A2AA6CE"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 xml:space="preserve"> Personnel Resources </w:t>
            </w:r>
          </w:p>
        </w:tc>
        <w:tc>
          <w:tcPr>
            <w:tcW w:w="1440" w:type="dxa"/>
            <w:tcBorders>
              <w:top w:val="nil"/>
              <w:left w:val="nil"/>
              <w:bottom w:val="nil"/>
              <w:right w:val="nil"/>
            </w:tcBorders>
            <w:shd w:val="clear" w:color="000000" w:fill="C7CFD8"/>
            <w:vAlign w:val="center"/>
            <w:hideMark/>
          </w:tcPr>
          <w:p w14:paraId="314E191C"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 xml:space="preserve"> Non-Personnel Resources </w:t>
            </w:r>
          </w:p>
        </w:tc>
        <w:tc>
          <w:tcPr>
            <w:tcW w:w="1400" w:type="dxa"/>
            <w:tcBorders>
              <w:top w:val="nil"/>
              <w:left w:val="nil"/>
              <w:bottom w:val="nil"/>
              <w:right w:val="nil"/>
            </w:tcBorders>
            <w:shd w:val="clear" w:color="000000" w:fill="C7CFD8"/>
            <w:vAlign w:val="center"/>
            <w:hideMark/>
          </w:tcPr>
          <w:p w14:paraId="1C260CB5"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Total</w:t>
            </w:r>
          </w:p>
        </w:tc>
      </w:tr>
      <w:tr w:rsidR="00D96210" w:rsidRPr="00D96210" w14:paraId="2C8EE816" w14:textId="77777777" w:rsidTr="00D96210">
        <w:trPr>
          <w:divId w:val="2109621777"/>
          <w:trHeight w:val="105"/>
          <w:jc w:val="center"/>
        </w:trPr>
        <w:tc>
          <w:tcPr>
            <w:tcW w:w="3460" w:type="dxa"/>
            <w:tcBorders>
              <w:top w:val="nil"/>
              <w:left w:val="nil"/>
              <w:bottom w:val="nil"/>
              <w:right w:val="nil"/>
            </w:tcBorders>
            <w:shd w:val="clear" w:color="auto" w:fill="auto"/>
            <w:noWrap/>
            <w:vAlign w:val="center"/>
            <w:hideMark/>
          </w:tcPr>
          <w:p w14:paraId="09D696DD"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p>
        </w:tc>
        <w:tc>
          <w:tcPr>
            <w:tcW w:w="1420" w:type="dxa"/>
            <w:tcBorders>
              <w:top w:val="nil"/>
              <w:left w:val="nil"/>
              <w:bottom w:val="nil"/>
              <w:right w:val="nil"/>
            </w:tcBorders>
            <w:shd w:val="clear" w:color="auto" w:fill="auto"/>
            <w:vAlign w:val="center"/>
            <w:hideMark/>
          </w:tcPr>
          <w:p w14:paraId="086651DD" w14:textId="77777777" w:rsidR="00D96210" w:rsidRPr="00D96210" w:rsidRDefault="00D96210" w:rsidP="00D96210">
            <w:pPr>
              <w:spacing w:after="0" w:line="240" w:lineRule="auto"/>
              <w:rPr>
                <w:rFonts w:ascii="Times New Roman" w:eastAsia="Times New Roman" w:hAnsi="Times New Roman" w:cs="Times New Roman"/>
                <w:sz w:val="20"/>
                <w:szCs w:val="20"/>
                <w:lang w:val="en-US"/>
              </w:rPr>
            </w:pPr>
          </w:p>
        </w:tc>
        <w:tc>
          <w:tcPr>
            <w:tcW w:w="1440" w:type="dxa"/>
            <w:tcBorders>
              <w:top w:val="nil"/>
              <w:left w:val="nil"/>
              <w:bottom w:val="nil"/>
              <w:right w:val="nil"/>
            </w:tcBorders>
            <w:shd w:val="clear" w:color="auto" w:fill="auto"/>
            <w:vAlign w:val="center"/>
            <w:hideMark/>
          </w:tcPr>
          <w:p w14:paraId="585F39E4" w14:textId="77777777" w:rsidR="00D96210" w:rsidRPr="00D96210" w:rsidRDefault="00D96210" w:rsidP="00D96210">
            <w:pPr>
              <w:spacing w:after="0" w:line="240" w:lineRule="auto"/>
              <w:jc w:val="center"/>
              <w:rPr>
                <w:rFonts w:ascii="Times New Roman" w:eastAsia="Times New Roman" w:hAnsi="Times New Roman" w:cs="Times New Roman"/>
                <w:sz w:val="20"/>
                <w:szCs w:val="20"/>
                <w:lang w:val="en-US"/>
              </w:rPr>
            </w:pPr>
          </w:p>
        </w:tc>
        <w:tc>
          <w:tcPr>
            <w:tcW w:w="1400" w:type="dxa"/>
            <w:tcBorders>
              <w:top w:val="nil"/>
              <w:left w:val="nil"/>
              <w:bottom w:val="nil"/>
              <w:right w:val="nil"/>
            </w:tcBorders>
            <w:shd w:val="clear" w:color="auto" w:fill="auto"/>
            <w:vAlign w:val="center"/>
            <w:hideMark/>
          </w:tcPr>
          <w:p w14:paraId="583CB8EB" w14:textId="77777777" w:rsidR="00D96210" w:rsidRPr="00D96210" w:rsidRDefault="00D96210" w:rsidP="00D96210">
            <w:pPr>
              <w:spacing w:after="0" w:line="240" w:lineRule="auto"/>
              <w:jc w:val="center"/>
              <w:rPr>
                <w:rFonts w:ascii="Times New Roman" w:eastAsia="Times New Roman" w:hAnsi="Times New Roman" w:cs="Times New Roman"/>
                <w:sz w:val="20"/>
                <w:szCs w:val="20"/>
                <w:lang w:val="en-US"/>
              </w:rPr>
            </w:pPr>
          </w:p>
        </w:tc>
      </w:tr>
      <w:tr w:rsidR="00D96210" w:rsidRPr="00D96210" w14:paraId="0D61245C" w14:textId="77777777" w:rsidTr="00D96210">
        <w:trPr>
          <w:divId w:val="2109621777"/>
          <w:trHeight w:val="330"/>
          <w:jc w:val="center"/>
        </w:trPr>
        <w:tc>
          <w:tcPr>
            <w:tcW w:w="3460" w:type="dxa"/>
            <w:tcBorders>
              <w:top w:val="nil"/>
              <w:left w:val="nil"/>
              <w:bottom w:val="nil"/>
              <w:right w:val="nil"/>
            </w:tcBorders>
            <w:shd w:val="clear" w:color="auto" w:fill="auto"/>
            <w:hideMark/>
          </w:tcPr>
          <w:p w14:paraId="016A703C"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Patents and Technology (PT)</w:t>
            </w:r>
          </w:p>
        </w:tc>
        <w:tc>
          <w:tcPr>
            <w:tcW w:w="1420" w:type="dxa"/>
            <w:tcBorders>
              <w:top w:val="nil"/>
              <w:left w:val="nil"/>
              <w:bottom w:val="nil"/>
              <w:right w:val="nil"/>
            </w:tcBorders>
            <w:shd w:val="clear" w:color="auto" w:fill="auto"/>
            <w:noWrap/>
            <w:hideMark/>
          </w:tcPr>
          <w:p w14:paraId="6B6051E9"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128,128</w:t>
            </w:r>
          </w:p>
        </w:tc>
        <w:tc>
          <w:tcPr>
            <w:tcW w:w="1440" w:type="dxa"/>
            <w:tcBorders>
              <w:top w:val="nil"/>
              <w:left w:val="nil"/>
              <w:bottom w:val="nil"/>
              <w:right w:val="nil"/>
            </w:tcBorders>
            <w:shd w:val="clear" w:color="auto" w:fill="auto"/>
            <w:noWrap/>
            <w:hideMark/>
          </w:tcPr>
          <w:p w14:paraId="6933469D"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85,907</w:t>
            </w:r>
          </w:p>
        </w:tc>
        <w:tc>
          <w:tcPr>
            <w:tcW w:w="1400" w:type="dxa"/>
            <w:tcBorders>
              <w:top w:val="nil"/>
              <w:left w:val="nil"/>
              <w:bottom w:val="nil"/>
              <w:right w:val="nil"/>
            </w:tcBorders>
            <w:shd w:val="clear" w:color="auto" w:fill="auto"/>
            <w:hideMark/>
          </w:tcPr>
          <w:p w14:paraId="6F28DADC"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214,036</w:t>
            </w:r>
          </w:p>
        </w:tc>
      </w:tr>
      <w:tr w:rsidR="00D96210" w:rsidRPr="00D96210" w14:paraId="2381E372" w14:textId="77777777" w:rsidTr="00D96210">
        <w:trPr>
          <w:divId w:val="2109621777"/>
          <w:trHeight w:val="330"/>
          <w:jc w:val="center"/>
        </w:trPr>
        <w:tc>
          <w:tcPr>
            <w:tcW w:w="3460" w:type="dxa"/>
            <w:tcBorders>
              <w:top w:val="nil"/>
              <w:left w:val="nil"/>
              <w:bottom w:val="nil"/>
              <w:right w:val="nil"/>
            </w:tcBorders>
            <w:shd w:val="clear" w:color="auto" w:fill="auto"/>
            <w:hideMark/>
          </w:tcPr>
          <w:p w14:paraId="62BC8967"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Brands and Designs (BD)</w:t>
            </w:r>
          </w:p>
        </w:tc>
        <w:tc>
          <w:tcPr>
            <w:tcW w:w="1420" w:type="dxa"/>
            <w:tcBorders>
              <w:top w:val="nil"/>
              <w:left w:val="nil"/>
              <w:bottom w:val="nil"/>
              <w:right w:val="nil"/>
            </w:tcBorders>
            <w:shd w:val="clear" w:color="auto" w:fill="auto"/>
            <w:noWrap/>
            <w:hideMark/>
          </w:tcPr>
          <w:p w14:paraId="75F02628"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59,682</w:t>
            </w:r>
          </w:p>
        </w:tc>
        <w:tc>
          <w:tcPr>
            <w:tcW w:w="1440" w:type="dxa"/>
            <w:tcBorders>
              <w:top w:val="nil"/>
              <w:left w:val="nil"/>
              <w:bottom w:val="nil"/>
              <w:right w:val="nil"/>
            </w:tcBorders>
            <w:shd w:val="clear" w:color="auto" w:fill="auto"/>
            <w:noWrap/>
            <w:hideMark/>
          </w:tcPr>
          <w:p w14:paraId="18F4C265"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19,548</w:t>
            </w:r>
          </w:p>
        </w:tc>
        <w:tc>
          <w:tcPr>
            <w:tcW w:w="1400" w:type="dxa"/>
            <w:tcBorders>
              <w:top w:val="nil"/>
              <w:left w:val="nil"/>
              <w:bottom w:val="nil"/>
              <w:right w:val="nil"/>
            </w:tcBorders>
            <w:shd w:val="clear" w:color="auto" w:fill="auto"/>
            <w:hideMark/>
          </w:tcPr>
          <w:p w14:paraId="00D26BE5"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79,230</w:t>
            </w:r>
          </w:p>
        </w:tc>
      </w:tr>
      <w:tr w:rsidR="00D96210" w:rsidRPr="00D96210" w14:paraId="72F367C5" w14:textId="77777777" w:rsidTr="00D96210">
        <w:trPr>
          <w:divId w:val="2109621777"/>
          <w:trHeight w:val="330"/>
          <w:jc w:val="center"/>
        </w:trPr>
        <w:tc>
          <w:tcPr>
            <w:tcW w:w="3460" w:type="dxa"/>
            <w:tcBorders>
              <w:top w:val="nil"/>
              <w:left w:val="nil"/>
              <w:bottom w:val="nil"/>
              <w:right w:val="nil"/>
            </w:tcBorders>
            <w:shd w:val="clear" w:color="auto" w:fill="auto"/>
            <w:hideMark/>
          </w:tcPr>
          <w:p w14:paraId="48FF492F"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 xml:space="preserve">Copyright and Creative Industries (CCI) </w:t>
            </w:r>
          </w:p>
        </w:tc>
        <w:tc>
          <w:tcPr>
            <w:tcW w:w="1420" w:type="dxa"/>
            <w:tcBorders>
              <w:top w:val="nil"/>
              <w:left w:val="nil"/>
              <w:bottom w:val="nil"/>
              <w:right w:val="nil"/>
            </w:tcBorders>
            <w:shd w:val="clear" w:color="auto" w:fill="auto"/>
            <w:noWrap/>
            <w:hideMark/>
          </w:tcPr>
          <w:p w14:paraId="04A75AF8"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19,899</w:t>
            </w:r>
          </w:p>
        </w:tc>
        <w:tc>
          <w:tcPr>
            <w:tcW w:w="1440" w:type="dxa"/>
            <w:tcBorders>
              <w:top w:val="nil"/>
              <w:left w:val="nil"/>
              <w:bottom w:val="nil"/>
              <w:right w:val="nil"/>
            </w:tcBorders>
            <w:shd w:val="clear" w:color="auto" w:fill="auto"/>
            <w:noWrap/>
            <w:hideMark/>
          </w:tcPr>
          <w:p w14:paraId="23599172"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17,866</w:t>
            </w:r>
          </w:p>
        </w:tc>
        <w:tc>
          <w:tcPr>
            <w:tcW w:w="1400" w:type="dxa"/>
            <w:tcBorders>
              <w:top w:val="nil"/>
              <w:left w:val="nil"/>
              <w:bottom w:val="nil"/>
              <w:right w:val="nil"/>
            </w:tcBorders>
            <w:shd w:val="clear" w:color="auto" w:fill="auto"/>
            <w:hideMark/>
          </w:tcPr>
          <w:p w14:paraId="3E2D827A"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37,764</w:t>
            </w:r>
          </w:p>
        </w:tc>
      </w:tr>
      <w:tr w:rsidR="00D96210" w:rsidRPr="00D96210" w14:paraId="54B19F8D" w14:textId="77777777" w:rsidTr="00D96210">
        <w:trPr>
          <w:divId w:val="2109621777"/>
          <w:trHeight w:val="330"/>
          <w:jc w:val="center"/>
        </w:trPr>
        <w:tc>
          <w:tcPr>
            <w:tcW w:w="3460" w:type="dxa"/>
            <w:tcBorders>
              <w:top w:val="nil"/>
              <w:left w:val="nil"/>
              <w:bottom w:val="nil"/>
              <w:right w:val="nil"/>
            </w:tcBorders>
            <w:shd w:val="clear" w:color="auto" w:fill="auto"/>
            <w:hideMark/>
          </w:tcPr>
          <w:p w14:paraId="7EE0EE84"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Regional and National Development (RND)</w:t>
            </w:r>
          </w:p>
        </w:tc>
        <w:tc>
          <w:tcPr>
            <w:tcW w:w="1420" w:type="dxa"/>
            <w:tcBorders>
              <w:top w:val="nil"/>
              <w:left w:val="nil"/>
              <w:bottom w:val="nil"/>
              <w:right w:val="nil"/>
            </w:tcBorders>
            <w:shd w:val="clear" w:color="auto" w:fill="auto"/>
            <w:noWrap/>
            <w:hideMark/>
          </w:tcPr>
          <w:p w14:paraId="162B4B32"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48,435</w:t>
            </w:r>
          </w:p>
        </w:tc>
        <w:tc>
          <w:tcPr>
            <w:tcW w:w="1440" w:type="dxa"/>
            <w:tcBorders>
              <w:top w:val="nil"/>
              <w:left w:val="nil"/>
              <w:bottom w:val="nil"/>
              <w:right w:val="nil"/>
            </w:tcBorders>
            <w:shd w:val="clear" w:color="auto" w:fill="auto"/>
            <w:noWrap/>
            <w:hideMark/>
          </w:tcPr>
          <w:p w14:paraId="15F07FC7"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31,938</w:t>
            </w:r>
          </w:p>
        </w:tc>
        <w:tc>
          <w:tcPr>
            <w:tcW w:w="1400" w:type="dxa"/>
            <w:tcBorders>
              <w:top w:val="nil"/>
              <w:left w:val="nil"/>
              <w:bottom w:val="nil"/>
              <w:right w:val="nil"/>
            </w:tcBorders>
            <w:shd w:val="clear" w:color="auto" w:fill="auto"/>
            <w:hideMark/>
          </w:tcPr>
          <w:p w14:paraId="4662BB20"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80,374</w:t>
            </w:r>
          </w:p>
        </w:tc>
      </w:tr>
      <w:tr w:rsidR="00D96210" w:rsidRPr="00D96210" w14:paraId="29CA7954" w14:textId="77777777" w:rsidTr="00D96210">
        <w:trPr>
          <w:divId w:val="2109621777"/>
          <w:trHeight w:val="330"/>
          <w:jc w:val="center"/>
        </w:trPr>
        <w:tc>
          <w:tcPr>
            <w:tcW w:w="3460" w:type="dxa"/>
            <w:tcBorders>
              <w:top w:val="nil"/>
              <w:left w:val="nil"/>
              <w:bottom w:val="nil"/>
              <w:right w:val="nil"/>
            </w:tcBorders>
            <w:shd w:val="clear" w:color="auto" w:fill="auto"/>
            <w:hideMark/>
          </w:tcPr>
          <w:p w14:paraId="3D42D7C3"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Infrastructure and Platforms (IP)</w:t>
            </w:r>
          </w:p>
        </w:tc>
        <w:tc>
          <w:tcPr>
            <w:tcW w:w="1420" w:type="dxa"/>
            <w:tcBorders>
              <w:top w:val="nil"/>
              <w:left w:val="nil"/>
              <w:bottom w:val="nil"/>
              <w:right w:val="nil"/>
            </w:tcBorders>
            <w:shd w:val="clear" w:color="auto" w:fill="auto"/>
            <w:noWrap/>
            <w:hideMark/>
          </w:tcPr>
          <w:p w14:paraId="485C3120"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27,116</w:t>
            </w:r>
          </w:p>
        </w:tc>
        <w:tc>
          <w:tcPr>
            <w:tcW w:w="1440" w:type="dxa"/>
            <w:tcBorders>
              <w:top w:val="nil"/>
              <w:left w:val="nil"/>
              <w:bottom w:val="nil"/>
              <w:right w:val="nil"/>
            </w:tcBorders>
            <w:shd w:val="clear" w:color="auto" w:fill="auto"/>
            <w:noWrap/>
            <w:hideMark/>
          </w:tcPr>
          <w:p w14:paraId="13D577F0"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14,694</w:t>
            </w:r>
          </w:p>
        </w:tc>
        <w:tc>
          <w:tcPr>
            <w:tcW w:w="1400" w:type="dxa"/>
            <w:tcBorders>
              <w:top w:val="nil"/>
              <w:left w:val="nil"/>
              <w:bottom w:val="nil"/>
              <w:right w:val="nil"/>
            </w:tcBorders>
            <w:shd w:val="clear" w:color="auto" w:fill="auto"/>
            <w:hideMark/>
          </w:tcPr>
          <w:p w14:paraId="7F66E775"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41,810</w:t>
            </w:r>
          </w:p>
        </w:tc>
      </w:tr>
      <w:tr w:rsidR="00D96210" w:rsidRPr="00D96210" w14:paraId="17FF484B" w14:textId="77777777" w:rsidTr="00D96210">
        <w:trPr>
          <w:divId w:val="2109621777"/>
          <w:trHeight w:val="330"/>
          <w:jc w:val="center"/>
        </w:trPr>
        <w:tc>
          <w:tcPr>
            <w:tcW w:w="3460" w:type="dxa"/>
            <w:tcBorders>
              <w:top w:val="nil"/>
              <w:left w:val="nil"/>
              <w:bottom w:val="nil"/>
              <w:right w:val="nil"/>
            </w:tcBorders>
            <w:shd w:val="clear" w:color="auto" w:fill="auto"/>
            <w:hideMark/>
          </w:tcPr>
          <w:p w14:paraId="579D4EE0"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Global Challenges and Partnerships (GCP)</w:t>
            </w:r>
          </w:p>
        </w:tc>
        <w:tc>
          <w:tcPr>
            <w:tcW w:w="1420" w:type="dxa"/>
            <w:tcBorders>
              <w:top w:val="nil"/>
              <w:left w:val="nil"/>
              <w:bottom w:val="nil"/>
              <w:right w:val="nil"/>
            </w:tcBorders>
            <w:shd w:val="clear" w:color="auto" w:fill="auto"/>
            <w:noWrap/>
            <w:hideMark/>
          </w:tcPr>
          <w:p w14:paraId="48E7CC87"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20,338</w:t>
            </w:r>
          </w:p>
        </w:tc>
        <w:tc>
          <w:tcPr>
            <w:tcW w:w="1440" w:type="dxa"/>
            <w:tcBorders>
              <w:top w:val="nil"/>
              <w:left w:val="nil"/>
              <w:bottom w:val="nil"/>
              <w:right w:val="nil"/>
            </w:tcBorders>
            <w:shd w:val="clear" w:color="auto" w:fill="auto"/>
            <w:noWrap/>
            <w:hideMark/>
          </w:tcPr>
          <w:p w14:paraId="7F9E391F"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8,943</w:t>
            </w:r>
          </w:p>
        </w:tc>
        <w:tc>
          <w:tcPr>
            <w:tcW w:w="1400" w:type="dxa"/>
            <w:tcBorders>
              <w:top w:val="nil"/>
              <w:left w:val="nil"/>
              <w:bottom w:val="nil"/>
              <w:right w:val="nil"/>
            </w:tcBorders>
            <w:shd w:val="clear" w:color="auto" w:fill="auto"/>
            <w:hideMark/>
          </w:tcPr>
          <w:p w14:paraId="7402518B"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29,281</w:t>
            </w:r>
          </w:p>
        </w:tc>
      </w:tr>
      <w:tr w:rsidR="00D96210" w:rsidRPr="00D96210" w14:paraId="0D5D12DC" w14:textId="77777777" w:rsidTr="00D96210">
        <w:trPr>
          <w:divId w:val="2109621777"/>
          <w:trHeight w:val="330"/>
          <w:jc w:val="center"/>
        </w:trPr>
        <w:tc>
          <w:tcPr>
            <w:tcW w:w="3460" w:type="dxa"/>
            <w:tcBorders>
              <w:top w:val="nil"/>
              <w:left w:val="nil"/>
              <w:bottom w:val="nil"/>
              <w:right w:val="nil"/>
            </w:tcBorders>
            <w:shd w:val="clear" w:color="auto" w:fill="auto"/>
            <w:hideMark/>
          </w:tcPr>
          <w:p w14:paraId="37853665"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IP and Innovation Ecosystems (IE)</w:t>
            </w:r>
          </w:p>
        </w:tc>
        <w:tc>
          <w:tcPr>
            <w:tcW w:w="1420" w:type="dxa"/>
            <w:tcBorders>
              <w:top w:val="nil"/>
              <w:left w:val="nil"/>
              <w:bottom w:val="nil"/>
              <w:right w:val="nil"/>
            </w:tcBorders>
            <w:shd w:val="clear" w:color="auto" w:fill="auto"/>
            <w:noWrap/>
            <w:hideMark/>
          </w:tcPr>
          <w:p w14:paraId="0C848FAB"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37,652</w:t>
            </w:r>
          </w:p>
        </w:tc>
        <w:tc>
          <w:tcPr>
            <w:tcW w:w="1440" w:type="dxa"/>
            <w:tcBorders>
              <w:top w:val="nil"/>
              <w:left w:val="nil"/>
              <w:bottom w:val="nil"/>
              <w:right w:val="nil"/>
            </w:tcBorders>
            <w:shd w:val="clear" w:color="auto" w:fill="auto"/>
            <w:noWrap/>
            <w:hideMark/>
          </w:tcPr>
          <w:p w14:paraId="548857D4"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13,119</w:t>
            </w:r>
          </w:p>
        </w:tc>
        <w:tc>
          <w:tcPr>
            <w:tcW w:w="1400" w:type="dxa"/>
            <w:tcBorders>
              <w:top w:val="nil"/>
              <w:left w:val="nil"/>
              <w:bottom w:val="nil"/>
              <w:right w:val="nil"/>
            </w:tcBorders>
            <w:shd w:val="clear" w:color="auto" w:fill="auto"/>
            <w:hideMark/>
          </w:tcPr>
          <w:p w14:paraId="0D9E4F83"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50,771</w:t>
            </w:r>
          </w:p>
        </w:tc>
      </w:tr>
      <w:tr w:rsidR="00D96210" w:rsidRPr="00D96210" w14:paraId="147C8B46" w14:textId="77777777" w:rsidTr="00D96210">
        <w:trPr>
          <w:divId w:val="2109621777"/>
          <w:trHeight w:val="330"/>
          <w:jc w:val="center"/>
        </w:trPr>
        <w:tc>
          <w:tcPr>
            <w:tcW w:w="3460" w:type="dxa"/>
            <w:tcBorders>
              <w:top w:val="nil"/>
              <w:left w:val="nil"/>
              <w:bottom w:val="nil"/>
              <w:right w:val="nil"/>
            </w:tcBorders>
            <w:shd w:val="clear" w:color="auto" w:fill="auto"/>
            <w:hideMark/>
          </w:tcPr>
          <w:p w14:paraId="46A9333A" w14:textId="54159613"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Administrati</w:t>
            </w:r>
            <w:r>
              <w:rPr>
                <w:rFonts w:ascii="Arial Narrow" w:eastAsia="Times New Roman" w:hAnsi="Arial Narrow" w:cs="Times New Roman"/>
                <w:color w:val="000000"/>
                <w:sz w:val="16"/>
                <w:szCs w:val="16"/>
                <w:lang w:val="en-US"/>
              </w:rPr>
              <w:t>on, Finance and Management (AFM</w:t>
            </w:r>
            <w:r>
              <w:rPr>
                <w:rStyle w:val="FootnoteReference"/>
                <w:rFonts w:ascii="Arial Narrow" w:eastAsia="Times New Roman" w:hAnsi="Arial Narrow" w:cs="Times New Roman"/>
                <w:color w:val="000000"/>
                <w:sz w:val="16"/>
                <w:szCs w:val="16"/>
                <w:lang w:val="en-US"/>
              </w:rPr>
              <w:footnoteReference w:id="6"/>
            </w:r>
            <w:r w:rsidRPr="00D96210">
              <w:rPr>
                <w:rFonts w:ascii="Arial Narrow" w:eastAsia="Times New Roman" w:hAnsi="Arial Narrow" w:cs="Times New Roman"/>
                <w:color w:val="000000"/>
                <w:sz w:val="16"/>
                <w:szCs w:val="16"/>
                <w:lang w:val="en-US"/>
              </w:rPr>
              <w:t>)</w:t>
            </w:r>
          </w:p>
        </w:tc>
        <w:tc>
          <w:tcPr>
            <w:tcW w:w="1420" w:type="dxa"/>
            <w:tcBorders>
              <w:top w:val="nil"/>
              <w:left w:val="nil"/>
              <w:bottom w:val="nil"/>
              <w:right w:val="nil"/>
            </w:tcBorders>
            <w:shd w:val="clear" w:color="auto" w:fill="auto"/>
            <w:noWrap/>
            <w:hideMark/>
          </w:tcPr>
          <w:p w14:paraId="641EFF7A"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165,346</w:t>
            </w:r>
          </w:p>
        </w:tc>
        <w:tc>
          <w:tcPr>
            <w:tcW w:w="1440" w:type="dxa"/>
            <w:tcBorders>
              <w:top w:val="nil"/>
              <w:left w:val="nil"/>
              <w:bottom w:val="nil"/>
              <w:right w:val="nil"/>
            </w:tcBorders>
            <w:shd w:val="clear" w:color="auto" w:fill="auto"/>
            <w:noWrap/>
            <w:hideMark/>
          </w:tcPr>
          <w:p w14:paraId="143BC922"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150,517</w:t>
            </w:r>
          </w:p>
        </w:tc>
        <w:tc>
          <w:tcPr>
            <w:tcW w:w="1400" w:type="dxa"/>
            <w:tcBorders>
              <w:top w:val="nil"/>
              <w:left w:val="nil"/>
              <w:bottom w:val="nil"/>
              <w:right w:val="nil"/>
            </w:tcBorders>
            <w:shd w:val="clear" w:color="auto" w:fill="auto"/>
            <w:hideMark/>
          </w:tcPr>
          <w:p w14:paraId="549FE0B6"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315,863</w:t>
            </w:r>
          </w:p>
        </w:tc>
      </w:tr>
      <w:tr w:rsidR="00D96210" w:rsidRPr="00D96210" w14:paraId="246DCDB2" w14:textId="77777777" w:rsidTr="00D96210">
        <w:trPr>
          <w:divId w:val="2109621777"/>
          <w:trHeight w:val="330"/>
          <w:jc w:val="center"/>
        </w:trPr>
        <w:tc>
          <w:tcPr>
            <w:tcW w:w="3460" w:type="dxa"/>
            <w:tcBorders>
              <w:top w:val="nil"/>
              <w:left w:val="nil"/>
              <w:bottom w:val="nil"/>
              <w:right w:val="nil"/>
            </w:tcBorders>
            <w:shd w:val="clear" w:color="auto" w:fill="auto"/>
            <w:hideMark/>
          </w:tcPr>
          <w:p w14:paraId="08F7B827" w14:textId="77777777" w:rsidR="00D96210" w:rsidRPr="00D96210" w:rsidRDefault="00D96210" w:rsidP="00D96210">
            <w:pPr>
              <w:spacing w:after="0" w:line="240" w:lineRule="auto"/>
              <w:rPr>
                <w:rFonts w:ascii="Arial Narrow" w:eastAsia="Times New Roman" w:hAnsi="Arial Narrow" w:cs="Times New Roman"/>
                <w:color w:val="000000"/>
                <w:sz w:val="16"/>
                <w:szCs w:val="16"/>
                <w:lang w:val="en-US"/>
              </w:rPr>
            </w:pPr>
            <w:r w:rsidRPr="00D96210">
              <w:rPr>
                <w:rFonts w:ascii="Arial Narrow" w:eastAsia="Times New Roman" w:hAnsi="Arial Narrow" w:cs="Times New Roman"/>
                <w:color w:val="000000"/>
                <w:sz w:val="16"/>
                <w:szCs w:val="16"/>
                <w:lang w:val="en-US"/>
              </w:rPr>
              <w:t>Unallocated</w:t>
            </w:r>
          </w:p>
        </w:tc>
        <w:tc>
          <w:tcPr>
            <w:tcW w:w="1420" w:type="dxa"/>
            <w:tcBorders>
              <w:top w:val="nil"/>
              <w:left w:val="nil"/>
              <w:bottom w:val="nil"/>
              <w:right w:val="nil"/>
            </w:tcBorders>
            <w:shd w:val="clear" w:color="auto" w:fill="auto"/>
            <w:noWrap/>
            <w:hideMark/>
          </w:tcPr>
          <w:p w14:paraId="22605ABB"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5,571</w:t>
            </w:r>
          </w:p>
        </w:tc>
        <w:tc>
          <w:tcPr>
            <w:tcW w:w="1440" w:type="dxa"/>
            <w:tcBorders>
              <w:top w:val="nil"/>
              <w:left w:val="nil"/>
              <w:bottom w:val="nil"/>
              <w:right w:val="nil"/>
            </w:tcBorders>
            <w:shd w:val="clear" w:color="auto" w:fill="auto"/>
            <w:noWrap/>
            <w:hideMark/>
          </w:tcPr>
          <w:p w14:paraId="65857200" w14:textId="77777777" w:rsidR="00D96210" w:rsidRPr="00D96210" w:rsidRDefault="00D96210" w:rsidP="00D96210">
            <w:pPr>
              <w:spacing w:after="0" w:line="240" w:lineRule="auto"/>
              <w:jc w:val="right"/>
              <w:rPr>
                <w:rFonts w:ascii="Arial Narrow" w:eastAsia="Times New Roman" w:hAnsi="Arial Narrow" w:cs="Times New Roman"/>
                <w:sz w:val="16"/>
                <w:szCs w:val="16"/>
                <w:lang w:val="en-US"/>
              </w:rPr>
            </w:pPr>
            <w:r w:rsidRPr="00D96210">
              <w:rPr>
                <w:rFonts w:ascii="Arial Narrow" w:eastAsia="Times New Roman" w:hAnsi="Arial Narrow" w:cs="Times New Roman"/>
                <w:sz w:val="16"/>
                <w:szCs w:val="16"/>
                <w:lang w:val="en-US"/>
              </w:rPr>
              <w:t>2,600</w:t>
            </w:r>
          </w:p>
        </w:tc>
        <w:tc>
          <w:tcPr>
            <w:tcW w:w="1400" w:type="dxa"/>
            <w:tcBorders>
              <w:top w:val="nil"/>
              <w:left w:val="nil"/>
              <w:bottom w:val="nil"/>
              <w:right w:val="nil"/>
            </w:tcBorders>
            <w:shd w:val="clear" w:color="auto" w:fill="auto"/>
            <w:hideMark/>
          </w:tcPr>
          <w:p w14:paraId="4B73616F"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8,171</w:t>
            </w:r>
          </w:p>
        </w:tc>
      </w:tr>
      <w:tr w:rsidR="00D96210" w:rsidRPr="00D96210" w14:paraId="2CF094FF" w14:textId="77777777" w:rsidTr="00D96210">
        <w:trPr>
          <w:divId w:val="2109621777"/>
          <w:trHeight w:val="375"/>
          <w:jc w:val="center"/>
        </w:trPr>
        <w:tc>
          <w:tcPr>
            <w:tcW w:w="3460" w:type="dxa"/>
            <w:tcBorders>
              <w:top w:val="single" w:sz="4" w:space="0" w:color="BFBFBF"/>
              <w:left w:val="nil"/>
              <w:bottom w:val="single" w:sz="8" w:space="0" w:color="BFBFBF"/>
              <w:right w:val="single" w:sz="4" w:space="0" w:color="FFFFFF"/>
            </w:tcBorders>
            <w:shd w:val="clear" w:color="auto" w:fill="auto"/>
            <w:vAlign w:val="center"/>
            <w:hideMark/>
          </w:tcPr>
          <w:p w14:paraId="2378EE7F" w14:textId="77777777" w:rsidR="00D96210" w:rsidRPr="00D96210" w:rsidRDefault="00D96210" w:rsidP="00D96210">
            <w:pPr>
              <w:spacing w:after="0" w:line="240" w:lineRule="auto"/>
              <w:rPr>
                <w:rFonts w:ascii="Arial Narrow" w:eastAsia="Times New Roman" w:hAnsi="Arial Narrow" w:cs="Times New Roman"/>
                <w:b/>
                <w:bCs/>
                <w:color w:val="000000"/>
                <w:sz w:val="16"/>
                <w:szCs w:val="16"/>
                <w:lang w:val="en-US"/>
              </w:rPr>
            </w:pPr>
            <w:r w:rsidRPr="00D96210">
              <w:rPr>
                <w:rFonts w:ascii="Arial Narrow" w:eastAsia="Times New Roman" w:hAnsi="Arial Narrow" w:cs="Times New Roman"/>
                <w:b/>
                <w:bCs/>
                <w:color w:val="000000"/>
                <w:sz w:val="16"/>
                <w:szCs w:val="16"/>
                <w:lang w:val="en-US"/>
              </w:rPr>
              <w:t>TOTAL</w:t>
            </w:r>
          </w:p>
        </w:tc>
        <w:tc>
          <w:tcPr>
            <w:tcW w:w="1420" w:type="dxa"/>
            <w:tcBorders>
              <w:top w:val="single" w:sz="4" w:space="0" w:color="BFBFBF"/>
              <w:left w:val="nil"/>
              <w:bottom w:val="single" w:sz="8" w:space="0" w:color="BFBFBF"/>
              <w:right w:val="single" w:sz="4" w:space="0" w:color="FFFFFF"/>
            </w:tcBorders>
            <w:shd w:val="clear" w:color="auto" w:fill="auto"/>
            <w:vAlign w:val="center"/>
            <w:hideMark/>
          </w:tcPr>
          <w:p w14:paraId="716246E4"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512,168</w:t>
            </w:r>
          </w:p>
        </w:tc>
        <w:tc>
          <w:tcPr>
            <w:tcW w:w="1440" w:type="dxa"/>
            <w:tcBorders>
              <w:top w:val="single" w:sz="4" w:space="0" w:color="BFBFBF"/>
              <w:left w:val="nil"/>
              <w:bottom w:val="single" w:sz="8" w:space="0" w:color="BFBFBF"/>
              <w:right w:val="single" w:sz="4" w:space="0" w:color="FFFFFF"/>
            </w:tcBorders>
            <w:shd w:val="clear" w:color="auto" w:fill="auto"/>
            <w:vAlign w:val="center"/>
            <w:hideMark/>
          </w:tcPr>
          <w:p w14:paraId="624680FA"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345,132</w:t>
            </w:r>
          </w:p>
        </w:tc>
        <w:tc>
          <w:tcPr>
            <w:tcW w:w="1400" w:type="dxa"/>
            <w:tcBorders>
              <w:top w:val="single" w:sz="4" w:space="0" w:color="BFBFBF"/>
              <w:left w:val="nil"/>
              <w:bottom w:val="single" w:sz="8" w:space="0" w:color="BFBFBF"/>
              <w:right w:val="single" w:sz="4" w:space="0" w:color="FFFFFF"/>
            </w:tcBorders>
            <w:shd w:val="clear" w:color="auto" w:fill="auto"/>
            <w:vAlign w:val="center"/>
            <w:hideMark/>
          </w:tcPr>
          <w:p w14:paraId="45CEE33E" w14:textId="77777777" w:rsidR="00D96210" w:rsidRPr="00D96210" w:rsidRDefault="00D96210" w:rsidP="00D96210">
            <w:pPr>
              <w:spacing w:after="0" w:line="240" w:lineRule="auto"/>
              <w:jc w:val="right"/>
              <w:rPr>
                <w:rFonts w:ascii="Arial Narrow" w:eastAsia="Times New Roman" w:hAnsi="Arial Narrow" w:cs="Times New Roman"/>
                <w:b/>
                <w:bCs/>
                <w:sz w:val="16"/>
                <w:szCs w:val="16"/>
                <w:lang w:val="en-US"/>
              </w:rPr>
            </w:pPr>
            <w:r w:rsidRPr="00D96210">
              <w:rPr>
                <w:rFonts w:ascii="Arial Narrow" w:eastAsia="Times New Roman" w:hAnsi="Arial Narrow" w:cs="Times New Roman"/>
                <w:b/>
                <w:bCs/>
                <w:sz w:val="16"/>
                <w:szCs w:val="16"/>
                <w:lang w:val="en-US"/>
              </w:rPr>
              <w:t>857,300</w:t>
            </w:r>
          </w:p>
        </w:tc>
      </w:tr>
    </w:tbl>
    <w:p w14:paraId="6BEDE4B9" w14:textId="381CF9AF" w:rsidR="00434007" w:rsidRDefault="00434007" w:rsidP="00434007">
      <w:pPr>
        <w:spacing w:after="200" w:line="276" w:lineRule="auto"/>
        <w:rPr>
          <w:b/>
          <w:color w:val="005172" w:themeColor="text2"/>
        </w:rPr>
      </w:pPr>
      <w:r>
        <w:br w:type="page"/>
      </w:r>
    </w:p>
    <w:p w14:paraId="1F9A7B8F" w14:textId="77777777" w:rsidR="00434007" w:rsidRPr="00D350B5" w:rsidRDefault="00434007" w:rsidP="00434007">
      <w:pPr>
        <w:pStyle w:val="TableAndChartTitle"/>
        <w:tabs>
          <w:tab w:val="left" w:pos="6946"/>
          <w:tab w:val="left" w:pos="8222"/>
        </w:tabs>
        <w:spacing w:before="0" w:after="0" w:line="240" w:lineRule="auto"/>
      </w:pPr>
      <w:r w:rsidRPr="00C730B1">
        <w:lastRenderedPageBreak/>
        <w:t>Table 5</w:t>
      </w:r>
      <w:r>
        <w:t>.  2024</w:t>
      </w:r>
      <w:r w:rsidRPr="00C730B1">
        <w:t>/2</w:t>
      </w:r>
      <w:r>
        <w:t>5</w:t>
      </w:r>
      <w:r w:rsidRPr="00C730B1">
        <w:t xml:space="preserve"> Budget by Expected Result and Sector</w:t>
      </w:r>
      <w:r>
        <w:rPr>
          <w:rStyle w:val="FootnoteReference"/>
        </w:rPr>
        <w:footnoteReference w:id="7"/>
      </w:r>
    </w:p>
    <w:p w14:paraId="2F7D01EA" w14:textId="1617F5D8" w:rsidR="00DF073F" w:rsidRDefault="00434007" w:rsidP="00816075">
      <w:pPr>
        <w:spacing w:after="0" w:line="240" w:lineRule="auto"/>
        <w:jc w:val="center"/>
        <w:rPr>
          <w:i/>
          <w:sz w:val="16"/>
          <w:szCs w:val="16"/>
        </w:rPr>
      </w:pPr>
      <w:r w:rsidRPr="000A6D82">
        <w:rPr>
          <w:i/>
          <w:sz w:val="16"/>
          <w:szCs w:val="16"/>
        </w:rPr>
        <w:t>(in thousands of Swiss francs)</w:t>
      </w:r>
    </w:p>
    <w:p w14:paraId="222CEA52" w14:textId="2015DA06" w:rsidR="005F77FD" w:rsidRDefault="005F77FD" w:rsidP="00816075">
      <w:pPr>
        <w:spacing w:after="0" w:line="240" w:lineRule="auto"/>
        <w:jc w:val="center"/>
        <w:rPr>
          <w:rFonts w:asciiTheme="minorHAnsi" w:hAnsiTheme="minorHAnsi"/>
          <w:sz w:val="22"/>
        </w:rPr>
      </w:pPr>
    </w:p>
    <w:tbl>
      <w:tblPr>
        <w:tblW w:w="9740" w:type="dxa"/>
        <w:tblLook w:val="04A0" w:firstRow="1" w:lastRow="0" w:firstColumn="1" w:lastColumn="0" w:noHBand="0" w:noVBand="1"/>
      </w:tblPr>
      <w:tblGrid>
        <w:gridCol w:w="382"/>
        <w:gridCol w:w="3100"/>
        <w:gridCol w:w="680"/>
        <w:gridCol w:w="620"/>
        <w:gridCol w:w="620"/>
        <w:gridCol w:w="620"/>
        <w:gridCol w:w="620"/>
        <w:gridCol w:w="620"/>
        <w:gridCol w:w="620"/>
        <w:gridCol w:w="680"/>
        <w:gridCol w:w="714"/>
        <w:gridCol w:w="680"/>
      </w:tblGrid>
      <w:tr w:rsidR="005F77FD" w:rsidRPr="005F77FD" w14:paraId="6B148014" w14:textId="77777777" w:rsidTr="005F77FD">
        <w:trPr>
          <w:trHeight w:val="270"/>
        </w:trPr>
        <w:tc>
          <w:tcPr>
            <w:tcW w:w="280" w:type="dxa"/>
            <w:tcBorders>
              <w:top w:val="nil"/>
              <w:left w:val="nil"/>
              <w:bottom w:val="nil"/>
              <w:right w:val="nil"/>
            </w:tcBorders>
            <w:shd w:val="clear" w:color="000000" w:fill="C7CFD8"/>
            <w:noWrap/>
            <w:vAlign w:val="center"/>
            <w:hideMark/>
          </w:tcPr>
          <w:p w14:paraId="489207EF" w14:textId="65B314AC" w:rsidR="005F77FD" w:rsidRPr="005F77FD" w:rsidRDefault="005F77FD" w:rsidP="005F77FD">
            <w:pPr>
              <w:spacing w:after="0" w:line="240" w:lineRule="auto"/>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 </w:t>
            </w:r>
          </w:p>
        </w:tc>
        <w:tc>
          <w:tcPr>
            <w:tcW w:w="3100" w:type="dxa"/>
            <w:vMerge w:val="restart"/>
            <w:tcBorders>
              <w:top w:val="nil"/>
              <w:left w:val="nil"/>
              <w:bottom w:val="nil"/>
              <w:right w:val="nil"/>
            </w:tcBorders>
            <w:shd w:val="clear" w:color="000000" w:fill="C7CFD8"/>
            <w:noWrap/>
            <w:vAlign w:val="center"/>
            <w:hideMark/>
          </w:tcPr>
          <w:p w14:paraId="25472DA6"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 xml:space="preserve">Expected Result </w:t>
            </w:r>
          </w:p>
        </w:tc>
        <w:tc>
          <w:tcPr>
            <w:tcW w:w="5080" w:type="dxa"/>
            <w:gridSpan w:val="8"/>
            <w:tcBorders>
              <w:top w:val="nil"/>
              <w:left w:val="nil"/>
              <w:bottom w:val="single" w:sz="4" w:space="0" w:color="748B9E"/>
              <w:right w:val="nil"/>
            </w:tcBorders>
            <w:shd w:val="clear" w:color="000000" w:fill="C7CFD8"/>
            <w:noWrap/>
            <w:vAlign w:val="center"/>
            <w:hideMark/>
          </w:tcPr>
          <w:p w14:paraId="36AEFA45" w14:textId="77777777" w:rsidR="005F77FD" w:rsidRPr="005F77FD" w:rsidRDefault="005F77FD" w:rsidP="005F77FD">
            <w:pPr>
              <w:spacing w:after="0" w:line="240" w:lineRule="auto"/>
              <w:jc w:val="center"/>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Sector</w:t>
            </w:r>
          </w:p>
        </w:tc>
        <w:tc>
          <w:tcPr>
            <w:tcW w:w="600" w:type="dxa"/>
            <w:vMerge w:val="restart"/>
            <w:tcBorders>
              <w:top w:val="nil"/>
              <w:left w:val="nil"/>
              <w:bottom w:val="nil"/>
              <w:right w:val="nil"/>
            </w:tcBorders>
            <w:shd w:val="clear" w:color="000000" w:fill="C7CFD8"/>
            <w:vAlign w:val="center"/>
            <w:hideMark/>
          </w:tcPr>
          <w:p w14:paraId="71C3EF0C" w14:textId="77777777" w:rsidR="005F77FD" w:rsidRPr="005F77FD" w:rsidRDefault="005F77FD" w:rsidP="005F77FD">
            <w:pPr>
              <w:spacing w:after="0" w:line="240" w:lineRule="auto"/>
              <w:jc w:val="center"/>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Un-</w:t>
            </w:r>
            <w:r w:rsidRPr="005F77FD">
              <w:rPr>
                <w:rFonts w:ascii="Arial Narrow" w:eastAsia="Times New Roman" w:hAnsi="Arial Narrow" w:cs="Times New Roman"/>
                <w:b/>
                <w:bCs/>
                <w:sz w:val="14"/>
                <w:szCs w:val="14"/>
                <w:lang w:val="en-US"/>
              </w:rPr>
              <w:br/>
              <w:t>allocated</w:t>
            </w:r>
          </w:p>
        </w:tc>
        <w:tc>
          <w:tcPr>
            <w:tcW w:w="680" w:type="dxa"/>
            <w:vMerge w:val="restart"/>
            <w:tcBorders>
              <w:top w:val="nil"/>
              <w:left w:val="nil"/>
              <w:bottom w:val="nil"/>
              <w:right w:val="nil"/>
            </w:tcBorders>
            <w:shd w:val="clear" w:color="000000" w:fill="C7CFD8"/>
            <w:vAlign w:val="center"/>
            <w:hideMark/>
          </w:tcPr>
          <w:p w14:paraId="04B6923A" w14:textId="77777777" w:rsidR="005F77FD" w:rsidRPr="005F77FD" w:rsidRDefault="005F77FD" w:rsidP="005F77FD">
            <w:pPr>
              <w:spacing w:after="0" w:line="240" w:lineRule="auto"/>
              <w:jc w:val="center"/>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TOTAL</w:t>
            </w:r>
          </w:p>
        </w:tc>
      </w:tr>
      <w:tr w:rsidR="005F77FD" w:rsidRPr="005F77FD" w14:paraId="3904C6D0" w14:textId="77777777" w:rsidTr="005F77FD">
        <w:trPr>
          <w:trHeight w:val="270"/>
        </w:trPr>
        <w:tc>
          <w:tcPr>
            <w:tcW w:w="280" w:type="dxa"/>
            <w:tcBorders>
              <w:top w:val="nil"/>
              <w:left w:val="nil"/>
              <w:bottom w:val="nil"/>
              <w:right w:val="nil"/>
            </w:tcBorders>
            <w:shd w:val="clear" w:color="000000" w:fill="C7CFD8"/>
            <w:noWrap/>
            <w:vAlign w:val="center"/>
            <w:hideMark/>
          </w:tcPr>
          <w:p w14:paraId="0C826446"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 </w:t>
            </w:r>
          </w:p>
        </w:tc>
        <w:tc>
          <w:tcPr>
            <w:tcW w:w="3100" w:type="dxa"/>
            <w:vMerge/>
            <w:tcBorders>
              <w:top w:val="nil"/>
              <w:left w:val="nil"/>
              <w:bottom w:val="nil"/>
              <w:right w:val="nil"/>
            </w:tcBorders>
            <w:vAlign w:val="center"/>
            <w:hideMark/>
          </w:tcPr>
          <w:p w14:paraId="014D7F37"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p>
        </w:tc>
        <w:tc>
          <w:tcPr>
            <w:tcW w:w="680" w:type="dxa"/>
            <w:tcBorders>
              <w:top w:val="nil"/>
              <w:left w:val="nil"/>
              <w:bottom w:val="nil"/>
              <w:right w:val="nil"/>
            </w:tcBorders>
            <w:shd w:val="clear" w:color="000000" w:fill="C7CFD8"/>
            <w:vAlign w:val="center"/>
            <w:hideMark/>
          </w:tcPr>
          <w:p w14:paraId="151613C9"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PT</w:t>
            </w:r>
          </w:p>
        </w:tc>
        <w:tc>
          <w:tcPr>
            <w:tcW w:w="620" w:type="dxa"/>
            <w:tcBorders>
              <w:top w:val="nil"/>
              <w:left w:val="nil"/>
              <w:bottom w:val="nil"/>
              <w:right w:val="nil"/>
            </w:tcBorders>
            <w:shd w:val="clear" w:color="000000" w:fill="C7CFD8"/>
            <w:vAlign w:val="center"/>
            <w:hideMark/>
          </w:tcPr>
          <w:p w14:paraId="0B01BF58"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BD</w:t>
            </w:r>
          </w:p>
        </w:tc>
        <w:tc>
          <w:tcPr>
            <w:tcW w:w="620" w:type="dxa"/>
            <w:tcBorders>
              <w:top w:val="nil"/>
              <w:left w:val="nil"/>
              <w:bottom w:val="nil"/>
              <w:right w:val="nil"/>
            </w:tcBorders>
            <w:shd w:val="clear" w:color="000000" w:fill="C7CFD8"/>
            <w:vAlign w:val="center"/>
            <w:hideMark/>
          </w:tcPr>
          <w:p w14:paraId="5D165039"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CCI</w:t>
            </w:r>
          </w:p>
        </w:tc>
        <w:tc>
          <w:tcPr>
            <w:tcW w:w="620" w:type="dxa"/>
            <w:tcBorders>
              <w:top w:val="nil"/>
              <w:left w:val="nil"/>
              <w:bottom w:val="nil"/>
              <w:right w:val="nil"/>
            </w:tcBorders>
            <w:shd w:val="clear" w:color="000000" w:fill="C7CFD8"/>
            <w:vAlign w:val="center"/>
            <w:hideMark/>
          </w:tcPr>
          <w:p w14:paraId="3C107436"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RND</w:t>
            </w:r>
          </w:p>
        </w:tc>
        <w:tc>
          <w:tcPr>
            <w:tcW w:w="620" w:type="dxa"/>
            <w:tcBorders>
              <w:top w:val="nil"/>
              <w:left w:val="nil"/>
              <w:bottom w:val="nil"/>
              <w:right w:val="nil"/>
            </w:tcBorders>
            <w:shd w:val="clear" w:color="000000" w:fill="C7CFD8"/>
            <w:vAlign w:val="center"/>
            <w:hideMark/>
          </w:tcPr>
          <w:p w14:paraId="5E470126"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IP</w:t>
            </w:r>
          </w:p>
        </w:tc>
        <w:tc>
          <w:tcPr>
            <w:tcW w:w="620" w:type="dxa"/>
            <w:tcBorders>
              <w:top w:val="nil"/>
              <w:left w:val="nil"/>
              <w:bottom w:val="nil"/>
              <w:right w:val="nil"/>
            </w:tcBorders>
            <w:shd w:val="clear" w:color="000000" w:fill="C7CFD8"/>
            <w:vAlign w:val="center"/>
            <w:hideMark/>
          </w:tcPr>
          <w:p w14:paraId="6503FE39"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GCP</w:t>
            </w:r>
          </w:p>
        </w:tc>
        <w:tc>
          <w:tcPr>
            <w:tcW w:w="620" w:type="dxa"/>
            <w:tcBorders>
              <w:top w:val="nil"/>
              <w:left w:val="nil"/>
              <w:bottom w:val="nil"/>
              <w:right w:val="nil"/>
            </w:tcBorders>
            <w:shd w:val="clear" w:color="000000" w:fill="C7CFD8"/>
            <w:vAlign w:val="center"/>
            <w:hideMark/>
          </w:tcPr>
          <w:p w14:paraId="653CAE5E" w14:textId="7777777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IE</w:t>
            </w:r>
          </w:p>
        </w:tc>
        <w:tc>
          <w:tcPr>
            <w:tcW w:w="680" w:type="dxa"/>
            <w:tcBorders>
              <w:top w:val="nil"/>
              <w:left w:val="nil"/>
              <w:bottom w:val="nil"/>
              <w:right w:val="nil"/>
            </w:tcBorders>
            <w:shd w:val="clear" w:color="000000" w:fill="C7CFD8"/>
            <w:vAlign w:val="center"/>
            <w:hideMark/>
          </w:tcPr>
          <w:p w14:paraId="63FA27EF" w14:textId="0D97B357" w:rsidR="005F77FD" w:rsidRPr="005F77FD" w:rsidRDefault="005F77FD" w:rsidP="005F77FD">
            <w:pPr>
              <w:spacing w:after="0" w:line="240" w:lineRule="auto"/>
              <w:ind w:firstLineChars="100" w:firstLine="140"/>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AFM</w:t>
            </w:r>
            <w:r w:rsidR="00A6384F">
              <w:rPr>
                <w:rStyle w:val="FootnoteReference"/>
                <w:rFonts w:ascii="Arial Narrow" w:eastAsia="Times New Roman" w:hAnsi="Arial Narrow" w:cs="Times New Roman"/>
                <w:b/>
                <w:bCs/>
                <w:sz w:val="14"/>
                <w:szCs w:val="14"/>
                <w:lang w:val="en-US"/>
              </w:rPr>
              <w:footnoteReference w:id="8"/>
            </w:r>
          </w:p>
        </w:tc>
        <w:tc>
          <w:tcPr>
            <w:tcW w:w="600" w:type="dxa"/>
            <w:vMerge/>
            <w:tcBorders>
              <w:top w:val="nil"/>
              <w:left w:val="nil"/>
              <w:bottom w:val="nil"/>
              <w:right w:val="nil"/>
            </w:tcBorders>
            <w:vAlign w:val="center"/>
            <w:hideMark/>
          </w:tcPr>
          <w:p w14:paraId="0EDAE939"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p>
        </w:tc>
        <w:tc>
          <w:tcPr>
            <w:tcW w:w="680" w:type="dxa"/>
            <w:vMerge/>
            <w:tcBorders>
              <w:top w:val="nil"/>
              <w:left w:val="nil"/>
              <w:bottom w:val="nil"/>
              <w:right w:val="nil"/>
            </w:tcBorders>
            <w:vAlign w:val="center"/>
            <w:hideMark/>
          </w:tcPr>
          <w:p w14:paraId="7F31EAAC"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p>
        </w:tc>
      </w:tr>
      <w:tr w:rsidR="005F77FD" w:rsidRPr="005F77FD" w14:paraId="07330593" w14:textId="77777777" w:rsidTr="005F77FD">
        <w:trPr>
          <w:trHeight w:val="690"/>
        </w:trPr>
        <w:tc>
          <w:tcPr>
            <w:tcW w:w="280" w:type="dxa"/>
            <w:tcBorders>
              <w:top w:val="nil"/>
              <w:left w:val="nil"/>
              <w:bottom w:val="single" w:sz="4" w:space="0" w:color="C7CFD8"/>
              <w:right w:val="nil"/>
            </w:tcBorders>
            <w:shd w:val="clear" w:color="auto" w:fill="auto"/>
            <w:noWrap/>
            <w:hideMark/>
          </w:tcPr>
          <w:p w14:paraId="074BFCFF"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1.1</w:t>
            </w:r>
          </w:p>
        </w:tc>
        <w:tc>
          <w:tcPr>
            <w:tcW w:w="3100" w:type="dxa"/>
            <w:tcBorders>
              <w:top w:val="nil"/>
              <w:left w:val="nil"/>
              <w:bottom w:val="single" w:sz="4" w:space="0" w:color="C7CFD8"/>
              <w:right w:val="nil"/>
            </w:tcBorders>
            <w:shd w:val="clear" w:color="auto" w:fill="auto"/>
            <w:hideMark/>
          </w:tcPr>
          <w:p w14:paraId="0935778A"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More effective communication and engagement world-wide to raise awareness of and increase knowledge about the potential of IP to improve the lives of everyone, everywhere</w:t>
            </w:r>
          </w:p>
        </w:tc>
        <w:tc>
          <w:tcPr>
            <w:tcW w:w="680" w:type="dxa"/>
            <w:tcBorders>
              <w:top w:val="nil"/>
              <w:left w:val="nil"/>
              <w:bottom w:val="single" w:sz="4" w:space="0" w:color="C7CFD8"/>
              <w:right w:val="nil"/>
            </w:tcBorders>
            <w:shd w:val="clear" w:color="auto" w:fill="auto"/>
            <w:hideMark/>
          </w:tcPr>
          <w:p w14:paraId="6337A5B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8DE8E9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D10260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10,155</w:t>
            </w:r>
          </w:p>
        </w:tc>
        <w:tc>
          <w:tcPr>
            <w:tcW w:w="620" w:type="dxa"/>
            <w:tcBorders>
              <w:top w:val="nil"/>
              <w:left w:val="nil"/>
              <w:bottom w:val="single" w:sz="4" w:space="0" w:color="C7CFD8"/>
              <w:right w:val="nil"/>
            </w:tcBorders>
            <w:shd w:val="clear" w:color="auto" w:fill="auto"/>
            <w:hideMark/>
          </w:tcPr>
          <w:p w14:paraId="2F8F636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5,466</w:t>
            </w:r>
          </w:p>
        </w:tc>
        <w:tc>
          <w:tcPr>
            <w:tcW w:w="620" w:type="dxa"/>
            <w:tcBorders>
              <w:top w:val="nil"/>
              <w:left w:val="nil"/>
              <w:bottom w:val="single" w:sz="4" w:space="0" w:color="C7CFD8"/>
              <w:right w:val="nil"/>
            </w:tcBorders>
            <w:shd w:val="clear" w:color="auto" w:fill="auto"/>
            <w:hideMark/>
          </w:tcPr>
          <w:p w14:paraId="2AE4911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D9E640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06FA65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hideMark/>
          </w:tcPr>
          <w:p w14:paraId="364C92D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6,024</w:t>
            </w:r>
          </w:p>
        </w:tc>
        <w:tc>
          <w:tcPr>
            <w:tcW w:w="600" w:type="dxa"/>
            <w:tcBorders>
              <w:top w:val="nil"/>
              <w:left w:val="nil"/>
              <w:bottom w:val="single" w:sz="4" w:space="0" w:color="C7CFD8"/>
              <w:right w:val="nil"/>
            </w:tcBorders>
            <w:shd w:val="clear" w:color="auto" w:fill="auto"/>
            <w:noWrap/>
            <w:hideMark/>
          </w:tcPr>
          <w:p w14:paraId="32A965D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27B5DED9"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21,644</w:t>
            </w:r>
          </w:p>
        </w:tc>
      </w:tr>
      <w:tr w:rsidR="005F77FD" w:rsidRPr="005F77FD" w14:paraId="07FAADFD" w14:textId="77777777" w:rsidTr="005F77FD">
        <w:trPr>
          <w:trHeight w:val="390"/>
        </w:trPr>
        <w:tc>
          <w:tcPr>
            <w:tcW w:w="280" w:type="dxa"/>
            <w:tcBorders>
              <w:top w:val="nil"/>
              <w:left w:val="nil"/>
              <w:bottom w:val="single" w:sz="4" w:space="0" w:color="C7CFD8"/>
              <w:right w:val="nil"/>
            </w:tcBorders>
            <w:shd w:val="clear" w:color="auto" w:fill="auto"/>
            <w:noWrap/>
            <w:hideMark/>
          </w:tcPr>
          <w:p w14:paraId="4B698A9B"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2.1</w:t>
            </w:r>
          </w:p>
        </w:tc>
        <w:tc>
          <w:tcPr>
            <w:tcW w:w="3100" w:type="dxa"/>
            <w:tcBorders>
              <w:top w:val="nil"/>
              <w:left w:val="nil"/>
              <w:bottom w:val="single" w:sz="4" w:space="0" w:color="C7CFD8"/>
              <w:right w:val="nil"/>
            </w:tcBorders>
            <w:shd w:val="clear" w:color="auto" w:fill="auto"/>
            <w:hideMark/>
          </w:tcPr>
          <w:p w14:paraId="2AF72A9C"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Development of balanced and effective international normative frameworks for IP</w:t>
            </w:r>
          </w:p>
        </w:tc>
        <w:tc>
          <w:tcPr>
            <w:tcW w:w="680" w:type="dxa"/>
            <w:tcBorders>
              <w:top w:val="nil"/>
              <w:left w:val="nil"/>
              <w:bottom w:val="single" w:sz="4" w:space="0" w:color="C7CFD8"/>
              <w:right w:val="nil"/>
            </w:tcBorders>
            <w:shd w:val="clear" w:color="auto" w:fill="auto"/>
            <w:hideMark/>
          </w:tcPr>
          <w:p w14:paraId="672A756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2,063</w:t>
            </w:r>
          </w:p>
        </w:tc>
        <w:tc>
          <w:tcPr>
            <w:tcW w:w="620" w:type="dxa"/>
            <w:tcBorders>
              <w:top w:val="nil"/>
              <w:left w:val="nil"/>
              <w:bottom w:val="single" w:sz="4" w:space="0" w:color="C7CFD8"/>
              <w:right w:val="nil"/>
            </w:tcBorders>
            <w:shd w:val="clear" w:color="auto" w:fill="auto"/>
            <w:hideMark/>
          </w:tcPr>
          <w:p w14:paraId="62E66B8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4,161</w:t>
            </w:r>
          </w:p>
        </w:tc>
        <w:tc>
          <w:tcPr>
            <w:tcW w:w="620" w:type="dxa"/>
            <w:tcBorders>
              <w:top w:val="nil"/>
              <w:left w:val="nil"/>
              <w:bottom w:val="single" w:sz="4" w:space="0" w:color="C7CFD8"/>
              <w:right w:val="nil"/>
            </w:tcBorders>
            <w:shd w:val="clear" w:color="auto" w:fill="auto"/>
            <w:hideMark/>
          </w:tcPr>
          <w:p w14:paraId="3CB8BB1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3,727</w:t>
            </w:r>
          </w:p>
        </w:tc>
        <w:tc>
          <w:tcPr>
            <w:tcW w:w="620" w:type="dxa"/>
            <w:tcBorders>
              <w:top w:val="nil"/>
              <w:left w:val="nil"/>
              <w:bottom w:val="single" w:sz="4" w:space="0" w:color="C7CFD8"/>
              <w:right w:val="nil"/>
            </w:tcBorders>
            <w:shd w:val="clear" w:color="auto" w:fill="auto"/>
            <w:hideMark/>
          </w:tcPr>
          <w:p w14:paraId="15EF3EE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64CBE9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7,855</w:t>
            </w:r>
          </w:p>
        </w:tc>
        <w:tc>
          <w:tcPr>
            <w:tcW w:w="620" w:type="dxa"/>
            <w:tcBorders>
              <w:top w:val="nil"/>
              <w:left w:val="nil"/>
              <w:bottom w:val="single" w:sz="4" w:space="0" w:color="C7CFD8"/>
              <w:right w:val="nil"/>
            </w:tcBorders>
            <w:shd w:val="clear" w:color="auto" w:fill="auto"/>
            <w:noWrap/>
            <w:hideMark/>
          </w:tcPr>
          <w:p w14:paraId="19389A2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5,225</w:t>
            </w:r>
          </w:p>
        </w:tc>
        <w:tc>
          <w:tcPr>
            <w:tcW w:w="620" w:type="dxa"/>
            <w:tcBorders>
              <w:top w:val="nil"/>
              <w:left w:val="nil"/>
              <w:bottom w:val="single" w:sz="4" w:space="0" w:color="C7CFD8"/>
              <w:right w:val="nil"/>
            </w:tcBorders>
            <w:shd w:val="clear" w:color="auto" w:fill="auto"/>
            <w:noWrap/>
            <w:hideMark/>
          </w:tcPr>
          <w:p w14:paraId="2B7F525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E87A57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1,981</w:t>
            </w:r>
          </w:p>
        </w:tc>
        <w:tc>
          <w:tcPr>
            <w:tcW w:w="600" w:type="dxa"/>
            <w:tcBorders>
              <w:top w:val="nil"/>
              <w:left w:val="nil"/>
              <w:bottom w:val="single" w:sz="4" w:space="0" w:color="C7CFD8"/>
              <w:right w:val="nil"/>
            </w:tcBorders>
            <w:shd w:val="clear" w:color="auto" w:fill="auto"/>
            <w:noWrap/>
            <w:hideMark/>
          </w:tcPr>
          <w:p w14:paraId="44E35404"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601B077A"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25,011</w:t>
            </w:r>
          </w:p>
        </w:tc>
      </w:tr>
      <w:tr w:rsidR="005F77FD" w:rsidRPr="005F77FD" w14:paraId="76E1AA58" w14:textId="77777777" w:rsidTr="005F77FD">
        <w:trPr>
          <w:trHeight w:val="690"/>
        </w:trPr>
        <w:tc>
          <w:tcPr>
            <w:tcW w:w="280" w:type="dxa"/>
            <w:tcBorders>
              <w:top w:val="nil"/>
              <w:left w:val="nil"/>
              <w:bottom w:val="single" w:sz="4" w:space="0" w:color="C7CFD8"/>
              <w:right w:val="nil"/>
            </w:tcBorders>
            <w:shd w:val="clear" w:color="auto" w:fill="auto"/>
            <w:noWrap/>
            <w:hideMark/>
          </w:tcPr>
          <w:p w14:paraId="36F16E25"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2.2</w:t>
            </w:r>
          </w:p>
        </w:tc>
        <w:tc>
          <w:tcPr>
            <w:tcW w:w="3100" w:type="dxa"/>
            <w:tcBorders>
              <w:top w:val="nil"/>
              <w:left w:val="nil"/>
              <w:bottom w:val="single" w:sz="4" w:space="0" w:color="C7CFD8"/>
              <w:right w:val="nil"/>
            </w:tcBorders>
            <w:shd w:val="clear" w:color="auto" w:fill="auto"/>
            <w:hideMark/>
          </w:tcPr>
          <w:p w14:paraId="671B53DC"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WIPO brings the international community together to proactively address emerging issues and policy challenges at the global level relating to IP, innovation and creativity </w:t>
            </w:r>
          </w:p>
        </w:tc>
        <w:tc>
          <w:tcPr>
            <w:tcW w:w="680" w:type="dxa"/>
            <w:tcBorders>
              <w:top w:val="nil"/>
              <w:left w:val="nil"/>
              <w:bottom w:val="single" w:sz="4" w:space="0" w:color="C7CFD8"/>
              <w:right w:val="nil"/>
            </w:tcBorders>
            <w:shd w:val="clear" w:color="auto" w:fill="auto"/>
            <w:hideMark/>
          </w:tcPr>
          <w:p w14:paraId="1E6D17A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4,298</w:t>
            </w:r>
          </w:p>
        </w:tc>
        <w:tc>
          <w:tcPr>
            <w:tcW w:w="620" w:type="dxa"/>
            <w:tcBorders>
              <w:top w:val="nil"/>
              <w:left w:val="nil"/>
              <w:bottom w:val="single" w:sz="4" w:space="0" w:color="C7CFD8"/>
              <w:right w:val="nil"/>
            </w:tcBorders>
            <w:shd w:val="clear" w:color="auto" w:fill="auto"/>
            <w:hideMark/>
          </w:tcPr>
          <w:p w14:paraId="5A306D3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0EDB3FF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1,258</w:t>
            </w:r>
          </w:p>
        </w:tc>
        <w:tc>
          <w:tcPr>
            <w:tcW w:w="620" w:type="dxa"/>
            <w:tcBorders>
              <w:top w:val="nil"/>
              <w:left w:val="nil"/>
              <w:bottom w:val="single" w:sz="4" w:space="0" w:color="C7CFD8"/>
              <w:right w:val="nil"/>
            </w:tcBorders>
            <w:shd w:val="clear" w:color="auto" w:fill="auto"/>
            <w:hideMark/>
          </w:tcPr>
          <w:p w14:paraId="0C3082F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C1C76E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1,854</w:t>
            </w:r>
          </w:p>
        </w:tc>
        <w:tc>
          <w:tcPr>
            <w:tcW w:w="620" w:type="dxa"/>
            <w:tcBorders>
              <w:top w:val="nil"/>
              <w:left w:val="nil"/>
              <w:bottom w:val="single" w:sz="4" w:space="0" w:color="C7CFD8"/>
              <w:right w:val="nil"/>
            </w:tcBorders>
            <w:shd w:val="clear" w:color="auto" w:fill="auto"/>
            <w:noWrap/>
            <w:hideMark/>
          </w:tcPr>
          <w:p w14:paraId="2B0B22F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6,768</w:t>
            </w:r>
          </w:p>
        </w:tc>
        <w:tc>
          <w:tcPr>
            <w:tcW w:w="620" w:type="dxa"/>
            <w:tcBorders>
              <w:top w:val="nil"/>
              <w:left w:val="nil"/>
              <w:bottom w:val="single" w:sz="4" w:space="0" w:color="C7CFD8"/>
              <w:right w:val="nil"/>
            </w:tcBorders>
            <w:shd w:val="clear" w:color="auto" w:fill="auto"/>
            <w:noWrap/>
            <w:hideMark/>
          </w:tcPr>
          <w:p w14:paraId="654A02E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635F0EB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7,080</w:t>
            </w:r>
          </w:p>
        </w:tc>
        <w:tc>
          <w:tcPr>
            <w:tcW w:w="600" w:type="dxa"/>
            <w:tcBorders>
              <w:top w:val="nil"/>
              <w:left w:val="nil"/>
              <w:bottom w:val="single" w:sz="4" w:space="0" w:color="C7CFD8"/>
              <w:right w:val="nil"/>
            </w:tcBorders>
            <w:shd w:val="clear" w:color="auto" w:fill="auto"/>
            <w:noWrap/>
            <w:hideMark/>
          </w:tcPr>
          <w:p w14:paraId="50C493C4"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2065A7C3"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21,257</w:t>
            </w:r>
          </w:p>
        </w:tc>
      </w:tr>
      <w:tr w:rsidR="005F77FD" w:rsidRPr="005F77FD" w14:paraId="1873A787" w14:textId="77777777" w:rsidTr="005F77FD">
        <w:trPr>
          <w:trHeight w:val="375"/>
        </w:trPr>
        <w:tc>
          <w:tcPr>
            <w:tcW w:w="280" w:type="dxa"/>
            <w:tcBorders>
              <w:top w:val="nil"/>
              <w:left w:val="nil"/>
              <w:bottom w:val="single" w:sz="4" w:space="0" w:color="C7CFD8"/>
              <w:right w:val="nil"/>
            </w:tcBorders>
            <w:shd w:val="clear" w:color="auto" w:fill="auto"/>
            <w:noWrap/>
            <w:hideMark/>
          </w:tcPr>
          <w:p w14:paraId="4A50EF40"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2.3</w:t>
            </w:r>
          </w:p>
        </w:tc>
        <w:tc>
          <w:tcPr>
            <w:tcW w:w="3100" w:type="dxa"/>
            <w:tcBorders>
              <w:top w:val="nil"/>
              <w:left w:val="nil"/>
              <w:bottom w:val="single" w:sz="4" w:space="0" w:color="C7CFD8"/>
              <w:right w:val="nil"/>
            </w:tcBorders>
            <w:shd w:val="clear" w:color="auto" w:fill="auto"/>
            <w:hideMark/>
          </w:tcPr>
          <w:p w14:paraId="1DF738B4"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International dialogue and cooperation on Building Respect for IP </w:t>
            </w:r>
          </w:p>
        </w:tc>
        <w:tc>
          <w:tcPr>
            <w:tcW w:w="680" w:type="dxa"/>
            <w:tcBorders>
              <w:top w:val="nil"/>
              <w:left w:val="nil"/>
              <w:bottom w:val="single" w:sz="4" w:space="0" w:color="C7CFD8"/>
              <w:right w:val="nil"/>
            </w:tcBorders>
            <w:shd w:val="clear" w:color="auto" w:fill="auto"/>
            <w:hideMark/>
          </w:tcPr>
          <w:p w14:paraId="30470BB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0981E8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6D8E93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A78466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331288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FEC470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3,444</w:t>
            </w:r>
          </w:p>
        </w:tc>
        <w:tc>
          <w:tcPr>
            <w:tcW w:w="620" w:type="dxa"/>
            <w:tcBorders>
              <w:top w:val="nil"/>
              <w:left w:val="nil"/>
              <w:bottom w:val="single" w:sz="4" w:space="0" w:color="C7CFD8"/>
              <w:right w:val="nil"/>
            </w:tcBorders>
            <w:shd w:val="clear" w:color="auto" w:fill="auto"/>
            <w:noWrap/>
            <w:hideMark/>
          </w:tcPr>
          <w:p w14:paraId="466D2FF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65D68D9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7303D3A4"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74DB3455"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3,444</w:t>
            </w:r>
          </w:p>
        </w:tc>
      </w:tr>
      <w:tr w:rsidR="005F77FD" w:rsidRPr="005F77FD" w14:paraId="0F92358F" w14:textId="77777777" w:rsidTr="005F77FD">
        <w:trPr>
          <w:trHeight w:val="525"/>
        </w:trPr>
        <w:tc>
          <w:tcPr>
            <w:tcW w:w="280" w:type="dxa"/>
            <w:tcBorders>
              <w:top w:val="nil"/>
              <w:left w:val="nil"/>
              <w:bottom w:val="single" w:sz="4" w:space="0" w:color="C7CFD8"/>
              <w:right w:val="nil"/>
            </w:tcBorders>
            <w:shd w:val="clear" w:color="auto" w:fill="auto"/>
            <w:noWrap/>
            <w:hideMark/>
          </w:tcPr>
          <w:p w14:paraId="27EEA941"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2.4</w:t>
            </w:r>
          </w:p>
        </w:tc>
        <w:tc>
          <w:tcPr>
            <w:tcW w:w="3100" w:type="dxa"/>
            <w:tcBorders>
              <w:top w:val="nil"/>
              <w:left w:val="nil"/>
              <w:bottom w:val="single" w:sz="4" w:space="0" w:color="C7CFD8"/>
              <w:right w:val="nil"/>
            </w:tcBorders>
            <w:shd w:val="clear" w:color="auto" w:fill="auto"/>
            <w:hideMark/>
          </w:tcPr>
          <w:p w14:paraId="09DFF9D5"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Effective interaction and partnerships with the UN, IGOs and NGOs in support of global goals to which IP can contribute </w:t>
            </w:r>
          </w:p>
        </w:tc>
        <w:tc>
          <w:tcPr>
            <w:tcW w:w="680" w:type="dxa"/>
            <w:tcBorders>
              <w:top w:val="nil"/>
              <w:left w:val="nil"/>
              <w:bottom w:val="single" w:sz="4" w:space="0" w:color="C7CFD8"/>
              <w:right w:val="nil"/>
            </w:tcBorders>
            <w:shd w:val="clear" w:color="auto" w:fill="auto"/>
            <w:hideMark/>
          </w:tcPr>
          <w:p w14:paraId="7080245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EFEEDC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4F4D2E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0F4C634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1,194</w:t>
            </w:r>
          </w:p>
        </w:tc>
        <w:tc>
          <w:tcPr>
            <w:tcW w:w="620" w:type="dxa"/>
            <w:tcBorders>
              <w:top w:val="nil"/>
              <w:left w:val="nil"/>
              <w:bottom w:val="single" w:sz="4" w:space="0" w:color="C7CFD8"/>
              <w:right w:val="nil"/>
            </w:tcBorders>
            <w:shd w:val="clear" w:color="auto" w:fill="auto"/>
            <w:noWrap/>
            <w:hideMark/>
          </w:tcPr>
          <w:p w14:paraId="008A6A5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91DB47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5,864</w:t>
            </w:r>
          </w:p>
        </w:tc>
        <w:tc>
          <w:tcPr>
            <w:tcW w:w="620" w:type="dxa"/>
            <w:tcBorders>
              <w:top w:val="nil"/>
              <w:left w:val="nil"/>
              <w:bottom w:val="single" w:sz="4" w:space="0" w:color="C7CFD8"/>
              <w:right w:val="nil"/>
            </w:tcBorders>
            <w:shd w:val="clear" w:color="auto" w:fill="auto"/>
            <w:noWrap/>
            <w:hideMark/>
          </w:tcPr>
          <w:p w14:paraId="63A1098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3F8671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153</w:t>
            </w:r>
          </w:p>
        </w:tc>
        <w:tc>
          <w:tcPr>
            <w:tcW w:w="600" w:type="dxa"/>
            <w:tcBorders>
              <w:top w:val="nil"/>
              <w:left w:val="nil"/>
              <w:bottom w:val="single" w:sz="4" w:space="0" w:color="C7CFD8"/>
              <w:right w:val="nil"/>
            </w:tcBorders>
            <w:shd w:val="clear" w:color="auto" w:fill="auto"/>
            <w:noWrap/>
            <w:hideMark/>
          </w:tcPr>
          <w:p w14:paraId="5B98141B"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74482A78"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7,211</w:t>
            </w:r>
          </w:p>
        </w:tc>
      </w:tr>
      <w:tr w:rsidR="005F77FD" w:rsidRPr="005F77FD" w14:paraId="3DB559A0" w14:textId="77777777" w:rsidTr="005F77FD">
        <w:trPr>
          <w:trHeight w:val="390"/>
        </w:trPr>
        <w:tc>
          <w:tcPr>
            <w:tcW w:w="280" w:type="dxa"/>
            <w:tcBorders>
              <w:top w:val="nil"/>
              <w:left w:val="nil"/>
              <w:bottom w:val="single" w:sz="4" w:space="0" w:color="C7CFD8"/>
              <w:right w:val="nil"/>
            </w:tcBorders>
            <w:shd w:val="clear" w:color="auto" w:fill="auto"/>
            <w:noWrap/>
            <w:hideMark/>
          </w:tcPr>
          <w:p w14:paraId="771D5B14"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3.1</w:t>
            </w:r>
          </w:p>
        </w:tc>
        <w:tc>
          <w:tcPr>
            <w:tcW w:w="3100" w:type="dxa"/>
            <w:tcBorders>
              <w:top w:val="nil"/>
              <w:left w:val="nil"/>
              <w:bottom w:val="single" w:sz="4" w:space="0" w:color="C7CFD8"/>
              <w:right w:val="nil"/>
            </w:tcBorders>
            <w:shd w:val="clear" w:color="auto" w:fill="auto"/>
            <w:hideMark/>
          </w:tcPr>
          <w:p w14:paraId="3C3C0DF2"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Wider and more effective use of WIPO’s global IP systems, services, knowledge and data </w:t>
            </w:r>
          </w:p>
        </w:tc>
        <w:tc>
          <w:tcPr>
            <w:tcW w:w="680" w:type="dxa"/>
            <w:tcBorders>
              <w:top w:val="nil"/>
              <w:left w:val="nil"/>
              <w:bottom w:val="single" w:sz="4" w:space="0" w:color="C7CFD8"/>
              <w:right w:val="nil"/>
            </w:tcBorders>
            <w:shd w:val="clear" w:color="auto" w:fill="auto"/>
            <w:hideMark/>
          </w:tcPr>
          <w:p w14:paraId="66EFC42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3,034</w:t>
            </w:r>
          </w:p>
        </w:tc>
        <w:tc>
          <w:tcPr>
            <w:tcW w:w="620" w:type="dxa"/>
            <w:tcBorders>
              <w:top w:val="nil"/>
              <w:left w:val="nil"/>
              <w:bottom w:val="single" w:sz="4" w:space="0" w:color="C7CFD8"/>
              <w:right w:val="nil"/>
            </w:tcBorders>
            <w:shd w:val="clear" w:color="auto" w:fill="auto"/>
            <w:hideMark/>
          </w:tcPr>
          <w:p w14:paraId="17459BD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14,350</w:t>
            </w:r>
          </w:p>
        </w:tc>
        <w:tc>
          <w:tcPr>
            <w:tcW w:w="620" w:type="dxa"/>
            <w:tcBorders>
              <w:top w:val="nil"/>
              <w:left w:val="nil"/>
              <w:bottom w:val="single" w:sz="4" w:space="0" w:color="C7CFD8"/>
              <w:right w:val="nil"/>
            </w:tcBorders>
            <w:shd w:val="clear" w:color="auto" w:fill="auto"/>
            <w:hideMark/>
          </w:tcPr>
          <w:p w14:paraId="6479128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586</w:t>
            </w:r>
          </w:p>
        </w:tc>
        <w:tc>
          <w:tcPr>
            <w:tcW w:w="620" w:type="dxa"/>
            <w:tcBorders>
              <w:top w:val="nil"/>
              <w:left w:val="nil"/>
              <w:bottom w:val="single" w:sz="4" w:space="0" w:color="C7CFD8"/>
              <w:right w:val="nil"/>
            </w:tcBorders>
            <w:shd w:val="clear" w:color="auto" w:fill="auto"/>
            <w:hideMark/>
          </w:tcPr>
          <w:p w14:paraId="13C8831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3,972</w:t>
            </w:r>
          </w:p>
        </w:tc>
        <w:tc>
          <w:tcPr>
            <w:tcW w:w="620" w:type="dxa"/>
            <w:tcBorders>
              <w:top w:val="nil"/>
              <w:left w:val="nil"/>
              <w:bottom w:val="single" w:sz="4" w:space="0" w:color="C7CFD8"/>
              <w:right w:val="nil"/>
            </w:tcBorders>
            <w:shd w:val="clear" w:color="auto" w:fill="auto"/>
            <w:noWrap/>
            <w:hideMark/>
          </w:tcPr>
          <w:p w14:paraId="0E59A5C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10,029</w:t>
            </w:r>
          </w:p>
        </w:tc>
        <w:tc>
          <w:tcPr>
            <w:tcW w:w="620" w:type="dxa"/>
            <w:tcBorders>
              <w:top w:val="nil"/>
              <w:left w:val="nil"/>
              <w:bottom w:val="single" w:sz="4" w:space="0" w:color="C7CFD8"/>
              <w:right w:val="nil"/>
            </w:tcBorders>
            <w:shd w:val="clear" w:color="auto" w:fill="auto"/>
            <w:noWrap/>
            <w:hideMark/>
          </w:tcPr>
          <w:p w14:paraId="2038B0E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9E6AAC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19,507</w:t>
            </w:r>
          </w:p>
        </w:tc>
        <w:tc>
          <w:tcPr>
            <w:tcW w:w="680" w:type="dxa"/>
            <w:tcBorders>
              <w:top w:val="nil"/>
              <w:left w:val="nil"/>
              <w:bottom w:val="single" w:sz="4" w:space="0" w:color="C7CFD8"/>
              <w:right w:val="nil"/>
            </w:tcBorders>
            <w:shd w:val="clear" w:color="auto" w:fill="auto"/>
            <w:noWrap/>
            <w:hideMark/>
          </w:tcPr>
          <w:p w14:paraId="6132D54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762E0DF0"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5FD9B303"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51,477</w:t>
            </w:r>
          </w:p>
        </w:tc>
      </w:tr>
      <w:tr w:rsidR="005F77FD" w:rsidRPr="005F77FD" w14:paraId="0B969E4F" w14:textId="77777777" w:rsidTr="005F77FD">
        <w:trPr>
          <w:trHeight w:val="390"/>
        </w:trPr>
        <w:tc>
          <w:tcPr>
            <w:tcW w:w="280" w:type="dxa"/>
            <w:tcBorders>
              <w:top w:val="nil"/>
              <w:left w:val="nil"/>
              <w:bottom w:val="single" w:sz="4" w:space="0" w:color="C7CFD8"/>
              <w:right w:val="nil"/>
            </w:tcBorders>
            <w:shd w:val="clear" w:color="auto" w:fill="auto"/>
            <w:noWrap/>
            <w:hideMark/>
          </w:tcPr>
          <w:p w14:paraId="713C194D"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3.2</w:t>
            </w:r>
          </w:p>
        </w:tc>
        <w:tc>
          <w:tcPr>
            <w:tcW w:w="3100" w:type="dxa"/>
            <w:tcBorders>
              <w:top w:val="nil"/>
              <w:left w:val="nil"/>
              <w:bottom w:val="single" w:sz="4" w:space="0" w:color="C7CFD8"/>
              <w:right w:val="nil"/>
            </w:tcBorders>
            <w:shd w:val="clear" w:color="auto" w:fill="auto"/>
            <w:hideMark/>
          </w:tcPr>
          <w:p w14:paraId="29A3986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Improved productivity and service quality of WIPO’s global IP systems, services, knowledge and data</w:t>
            </w:r>
          </w:p>
        </w:tc>
        <w:tc>
          <w:tcPr>
            <w:tcW w:w="680" w:type="dxa"/>
            <w:tcBorders>
              <w:top w:val="nil"/>
              <w:left w:val="nil"/>
              <w:bottom w:val="single" w:sz="4" w:space="0" w:color="C7CFD8"/>
              <w:right w:val="nil"/>
            </w:tcBorders>
            <w:shd w:val="clear" w:color="auto" w:fill="auto"/>
            <w:hideMark/>
          </w:tcPr>
          <w:p w14:paraId="041B9EB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193,975</w:t>
            </w:r>
          </w:p>
        </w:tc>
        <w:tc>
          <w:tcPr>
            <w:tcW w:w="620" w:type="dxa"/>
            <w:tcBorders>
              <w:top w:val="nil"/>
              <w:left w:val="nil"/>
              <w:bottom w:val="single" w:sz="4" w:space="0" w:color="C7CFD8"/>
              <w:right w:val="nil"/>
            </w:tcBorders>
            <w:shd w:val="clear" w:color="auto" w:fill="auto"/>
            <w:hideMark/>
          </w:tcPr>
          <w:p w14:paraId="32A565E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58,074</w:t>
            </w:r>
          </w:p>
        </w:tc>
        <w:tc>
          <w:tcPr>
            <w:tcW w:w="620" w:type="dxa"/>
            <w:tcBorders>
              <w:top w:val="nil"/>
              <w:left w:val="nil"/>
              <w:bottom w:val="single" w:sz="4" w:space="0" w:color="C7CFD8"/>
              <w:right w:val="nil"/>
            </w:tcBorders>
            <w:shd w:val="clear" w:color="auto" w:fill="auto"/>
            <w:hideMark/>
          </w:tcPr>
          <w:p w14:paraId="0E43B72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292</w:t>
            </w:r>
          </w:p>
        </w:tc>
        <w:tc>
          <w:tcPr>
            <w:tcW w:w="620" w:type="dxa"/>
            <w:tcBorders>
              <w:top w:val="nil"/>
              <w:left w:val="nil"/>
              <w:bottom w:val="single" w:sz="4" w:space="0" w:color="C7CFD8"/>
              <w:right w:val="nil"/>
            </w:tcBorders>
            <w:shd w:val="clear" w:color="auto" w:fill="auto"/>
            <w:hideMark/>
          </w:tcPr>
          <w:p w14:paraId="56D4F66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2FEAF7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6,591</w:t>
            </w:r>
          </w:p>
        </w:tc>
        <w:tc>
          <w:tcPr>
            <w:tcW w:w="620" w:type="dxa"/>
            <w:tcBorders>
              <w:top w:val="nil"/>
              <w:left w:val="nil"/>
              <w:bottom w:val="single" w:sz="4" w:space="0" w:color="C7CFD8"/>
              <w:right w:val="nil"/>
            </w:tcBorders>
            <w:shd w:val="clear" w:color="auto" w:fill="auto"/>
            <w:noWrap/>
            <w:hideMark/>
          </w:tcPr>
          <w:p w14:paraId="3F9DD8A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58D142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685</w:t>
            </w:r>
          </w:p>
        </w:tc>
        <w:tc>
          <w:tcPr>
            <w:tcW w:w="680" w:type="dxa"/>
            <w:tcBorders>
              <w:top w:val="nil"/>
              <w:left w:val="nil"/>
              <w:bottom w:val="single" w:sz="4" w:space="0" w:color="C7CFD8"/>
              <w:right w:val="nil"/>
            </w:tcBorders>
            <w:shd w:val="clear" w:color="auto" w:fill="auto"/>
            <w:noWrap/>
            <w:hideMark/>
          </w:tcPr>
          <w:p w14:paraId="304BBAD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35,135</w:t>
            </w:r>
          </w:p>
        </w:tc>
        <w:tc>
          <w:tcPr>
            <w:tcW w:w="600" w:type="dxa"/>
            <w:tcBorders>
              <w:top w:val="nil"/>
              <w:left w:val="nil"/>
              <w:bottom w:val="single" w:sz="4" w:space="0" w:color="C7CFD8"/>
              <w:right w:val="nil"/>
            </w:tcBorders>
            <w:shd w:val="clear" w:color="auto" w:fill="auto"/>
            <w:noWrap/>
            <w:hideMark/>
          </w:tcPr>
          <w:p w14:paraId="644BC8A8"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4A5DCD37"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294,752</w:t>
            </w:r>
          </w:p>
        </w:tc>
      </w:tr>
      <w:tr w:rsidR="005F77FD" w:rsidRPr="005F77FD" w14:paraId="6248B732" w14:textId="77777777" w:rsidTr="005F77FD">
        <w:trPr>
          <w:trHeight w:val="540"/>
        </w:trPr>
        <w:tc>
          <w:tcPr>
            <w:tcW w:w="280" w:type="dxa"/>
            <w:tcBorders>
              <w:top w:val="nil"/>
              <w:left w:val="nil"/>
              <w:bottom w:val="single" w:sz="4" w:space="0" w:color="C7CFD8"/>
              <w:right w:val="nil"/>
            </w:tcBorders>
            <w:shd w:val="clear" w:color="auto" w:fill="auto"/>
            <w:noWrap/>
            <w:hideMark/>
          </w:tcPr>
          <w:p w14:paraId="2C4402AF"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3.3</w:t>
            </w:r>
          </w:p>
        </w:tc>
        <w:tc>
          <w:tcPr>
            <w:tcW w:w="3100" w:type="dxa"/>
            <w:tcBorders>
              <w:top w:val="nil"/>
              <w:left w:val="nil"/>
              <w:bottom w:val="single" w:sz="4" w:space="0" w:color="C7CFD8"/>
              <w:right w:val="nil"/>
            </w:tcBorders>
            <w:shd w:val="clear" w:color="auto" w:fill="auto"/>
            <w:hideMark/>
          </w:tcPr>
          <w:p w14:paraId="4827C013"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Knowledge transfer and technology adaptation is facilitated through WIPO’s IP-based platforms and tools to address global challenges</w:t>
            </w:r>
          </w:p>
        </w:tc>
        <w:tc>
          <w:tcPr>
            <w:tcW w:w="680" w:type="dxa"/>
            <w:tcBorders>
              <w:top w:val="nil"/>
              <w:left w:val="nil"/>
              <w:bottom w:val="single" w:sz="4" w:space="0" w:color="C7CFD8"/>
              <w:right w:val="nil"/>
            </w:tcBorders>
            <w:shd w:val="clear" w:color="auto" w:fill="auto"/>
            <w:hideMark/>
          </w:tcPr>
          <w:p w14:paraId="3800843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06DC769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2BD4A9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2E2E88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749</w:t>
            </w:r>
          </w:p>
        </w:tc>
        <w:tc>
          <w:tcPr>
            <w:tcW w:w="620" w:type="dxa"/>
            <w:tcBorders>
              <w:top w:val="nil"/>
              <w:left w:val="nil"/>
              <w:bottom w:val="single" w:sz="4" w:space="0" w:color="C7CFD8"/>
              <w:right w:val="nil"/>
            </w:tcBorders>
            <w:shd w:val="clear" w:color="auto" w:fill="auto"/>
            <w:noWrap/>
            <w:hideMark/>
          </w:tcPr>
          <w:p w14:paraId="160072C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A409C1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1,632</w:t>
            </w:r>
          </w:p>
        </w:tc>
        <w:tc>
          <w:tcPr>
            <w:tcW w:w="620" w:type="dxa"/>
            <w:tcBorders>
              <w:top w:val="nil"/>
              <w:left w:val="nil"/>
              <w:bottom w:val="single" w:sz="4" w:space="0" w:color="C7CFD8"/>
              <w:right w:val="nil"/>
            </w:tcBorders>
            <w:shd w:val="clear" w:color="auto" w:fill="auto"/>
            <w:noWrap/>
            <w:hideMark/>
          </w:tcPr>
          <w:p w14:paraId="0BB180C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1,299</w:t>
            </w:r>
          </w:p>
        </w:tc>
        <w:tc>
          <w:tcPr>
            <w:tcW w:w="680" w:type="dxa"/>
            <w:tcBorders>
              <w:top w:val="nil"/>
              <w:left w:val="nil"/>
              <w:bottom w:val="single" w:sz="4" w:space="0" w:color="C7CFD8"/>
              <w:right w:val="nil"/>
            </w:tcBorders>
            <w:shd w:val="clear" w:color="auto" w:fill="auto"/>
            <w:noWrap/>
            <w:hideMark/>
          </w:tcPr>
          <w:p w14:paraId="33A69C1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19BE64D0"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382E4638"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3,680</w:t>
            </w:r>
          </w:p>
        </w:tc>
      </w:tr>
      <w:tr w:rsidR="005F77FD" w:rsidRPr="005F77FD" w14:paraId="0A08A045" w14:textId="77777777" w:rsidTr="005F77FD">
        <w:trPr>
          <w:trHeight w:val="825"/>
        </w:trPr>
        <w:tc>
          <w:tcPr>
            <w:tcW w:w="280" w:type="dxa"/>
            <w:tcBorders>
              <w:top w:val="nil"/>
              <w:left w:val="nil"/>
              <w:bottom w:val="single" w:sz="4" w:space="0" w:color="C7CFD8"/>
              <w:right w:val="nil"/>
            </w:tcBorders>
            <w:shd w:val="clear" w:color="auto" w:fill="auto"/>
            <w:noWrap/>
            <w:hideMark/>
          </w:tcPr>
          <w:p w14:paraId="1AA8E5BD"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4.1</w:t>
            </w:r>
          </w:p>
        </w:tc>
        <w:tc>
          <w:tcPr>
            <w:tcW w:w="3100" w:type="dxa"/>
            <w:tcBorders>
              <w:top w:val="nil"/>
              <w:left w:val="nil"/>
              <w:bottom w:val="single" w:sz="4" w:space="0" w:color="C7CFD8"/>
              <w:right w:val="nil"/>
            </w:tcBorders>
            <w:shd w:val="clear" w:color="auto" w:fill="auto"/>
            <w:hideMark/>
          </w:tcPr>
          <w:p w14:paraId="5C823EB4" w14:textId="444CAE8B" w:rsidR="005F77FD" w:rsidRPr="005F77FD" w:rsidRDefault="001048EB" w:rsidP="005F77FD">
            <w:pPr>
              <w:spacing w:after="0" w:line="240" w:lineRule="auto"/>
              <w:rPr>
                <w:rFonts w:ascii="Arial Narrow" w:eastAsia="Times New Roman" w:hAnsi="Arial Narrow" w:cs="Times New Roman"/>
                <w:sz w:val="14"/>
                <w:szCs w:val="14"/>
                <w:lang w:val="en-US"/>
              </w:rPr>
            </w:pPr>
            <w:r>
              <w:rPr>
                <w:rFonts w:ascii="Arial Narrow" w:eastAsia="Times New Roman" w:hAnsi="Arial Narrow" w:cs="Times New Roman"/>
                <w:sz w:val="14"/>
                <w:szCs w:val="14"/>
                <w:lang w:val="en-US"/>
              </w:rPr>
              <w:t>More effective use of a balanced IP system to support growth</w:t>
            </w:r>
            <w:r w:rsidR="004773EA">
              <w:rPr>
                <w:rFonts w:ascii="Arial Narrow" w:eastAsia="Times New Roman" w:hAnsi="Arial Narrow" w:cs="Times New Roman"/>
                <w:sz w:val="14"/>
                <w:szCs w:val="14"/>
                <w:lang w:val="en-US"/>
              </w:rPr>
              <w:t xml:space="preserve"> </w:t>
            </w:r>
            <w:r w:rsidR="005F77FD" w:rsidRPr="005F77FD">
              <w:rPr>
                <w:rFonts w:ascii="Arial Narrow" w:eastAsia="Times New Roman" w:hAnsi="Arial Narrow" w:cs="Times New Roman"/>
                <w:sz w:val="14"/>
                <w:szCs w:val="14"/>
                <w:lang w:val="en-US"/>
              </w:rPr>
              <w:t>and development of all Member States and their relevant regions and sub-regions, including through the mainstreaming of the Development Agenda recommendations</w:t>
            </w:r>
          </w:p>
        </w:tc>
        <w:tc>
          <w:tcPr>
            <w:tcW w:w="680" w:type="dxa"/>
            <w:tcBorders>
              <w:top w:val="nil"/>
              <w:left w:val="nil"/>
              <w:bottom w:val="single" w:sz="4" w:space="0" w:color="C7CFD8"/>
              <w:right w:val="nil"/>
            </w:tcBorders>
            <w:shd w:val="clear" w:color="auto" w:fill="auto"/>
            <w:hideMark/>
          </w:tcPr>
          <w:p w14:paraId="0BAC5E5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4,052</w:t>
            </w:r>
          </w:p>
        </w:tc>
        <w:tc>
          <w:tcPr>
            <w:tcW w:w="620" w:type="dxa"/>
            <w:tcBorders>
              <w:top w:val="nil"/>
              <w:left w:val="nil"/>
              <w:bottom w:val="single" w:sz="4" w:space="0" w:color="C7CFD8"/>
              <w:right w:val="nil"/>
            </w:tcBorders>
            <w:shd w:val="clear" w:color="auto" w:fill="auto"/>
            <w:hideMark/>
          </w:tcPr>
          <w:p w14:paraId="6EAB754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675</w:t>
            </w:r>
          </w:p>
        </w:tc>
        <w:tc>
          <w:tcPr>
            <w:tcW w:w="620" w:type="dxa"/>
            <w:tcBorders>
              <w:top w:val="nil"/>
              <w:left w:val="nil"/>
              <w:bottom w:val="single" w:sz="4" w:space="0" w:color="C7CFD8"/>
              <w:right w:val="nil"/>
            </w:tcBorders>
            <w:shd w:val="clear" w:color="auto" w:fill="auto"/>
            <w:hideMark/>
          </w:tcPr>
          <w:p w14:paraId="42C04BC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1,415</w:t>
            </w:r>
          </w:p>
        </w:tc>
        <w:tc>
          <w:tcPr>
            <w:tcW w:w="620" w:type="dxa"/>
            <w:tcBorders>
              <w:top w:val="nil"/>
              <w:left w:val="nil"/>
              <w:bottom w:val="single" w:sz="4" w:space="0" w:color="C7CFD8"/>
              <w:right w:val="nil"/>
            </w:tcBorders>
            <w:shd w:val="clear" w:color="auto" w:fill="auto"/>
            <w:hideMark/>
          </w:tcPr>
          <w:p w14:paraId="66275F9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16,519</w:t>
            </w:r>
          </w:p>
        </w:tc>
        <w:tc>
          <w:tcPr>
            <w:tcW w:w="620" w:type="dxa"/>
            <w:tcBorders>
              <w:top w:val="nil"/>
              <w:left w:val="nil"/>
              <w:bottom w:val="single" w:sz="4" w:space="0" w:color="C7CFD8"/>
              <w:right w:val="nil"/>
            </w:tcBorders>
            <w:shd w:val="clear" w:color="auto" w:fill="auto"/>
            <w:noWrap/>
            <w:hideMark/>
          </w:tcPr>
          <w:p w14:paraId="0F8BF9D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07FC142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6C9E09B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2,857</w:t>
            </w:r>
          </w:p>
        </w:tc>
        <w:tc>
          <w:tcPr>
            <w:tcW w:w="680" w:type="dxa"/>
            <w:tcBorders>
              <w:top w:val="nil"/>
              <w:left w:val="nil"/>
              <w:bottom w:val="single" w:sz="4" w:space="0" w:color="C7CFD8"/>
              <w:right w:val="nil"/>
            </w:tcBorders>
            <w:shd w:val="clear" w:color="auto" w:fill="auto"/>
            <w:noWrap/>
            <w:hideMark/>
          </w:tcPr>
          <w:p w14:paraId="05E77A6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1C4EF7C4"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1C83DED7"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25,518</w:t>
            </w:r>
          </w:p>
        </w:tc>
      </w:tr>
      <w:tr w:rsidR="005F77FD" w:rsidRPr="005F77FD" w14:paraId="7A5B2335" w14:textId="77777777" w:rsidTr="005F77FD">
        <w:trPr>
          <w:trHeight w:val="390"/>
        </w:trPr>
        <w:tc>
          <w:tcPr>
            <w:tcW w:w="280" w:type="dxa"/>
            <w:tcBorders>
              <w:top w:val="nil"/>
              <w:left w:val="nil"/>
              <w:bottom w:val="single" w:sz="4" w:space="0" w:color="C7CFD8"/>
              <w:right w:val="nil"/>
            </w:tcBorders>
            <w:shd w:val="clear" w:color="auto" w:fill="auto"/>
            <w:noWrap/>
            <w:hideMark/>
          </w:tcPr>
          <w:p w14:paraId="07F93975"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4.2</w:t>
            </w:r>
          </w:p>
        </w:tc>
        <w:tc>
          <w:tcPr>
            <w:tcW w:w="3100" w:type="dxa"/>
            <w:tcBorders>
              <w:top w:val="nil"/>
              <w:left w:val="nil"/>
              <w:bottom w:val="single" w:sz="4" w:space="0" w:color="C7CFD8"/>
              <w:right w:val="nil"/>
            </w:tcBorders>
            <w:shd w:val="clear" w:color="auto" w:fill="auto"/>
            <w:hideMark/>
          </w:tcPr>
          <w:p w14:paraId="7F1DEE6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Development of balanced and effective IP, innovation and creative ecosystems in Member States</w:t>
            </w:r>
          </w:p>
        </w:tc>
        <w:tc>
          <w:tcPr>
            <w:tcW w:w="680" w:type="dxa"/>
            <w:tcBorders>
              <w:top w:val="nil"/>
              <w:left w:val="nil"/>
              <w:bottom w:val="single" w:sz="4" w:space="0" w:color="C7CFD8"/>
              <w:right w:val="nil"/>
            </w:tcBorders>
            <w:shd w:val="clear" w:color="auto" w:fill="auto"/>
            <w:hideMark/>
          </w:tcPr>
          <w:p w14:paraId="3A50E34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2,785</w:t>
            </w:r>
          </w:p>
        </w:tc>
        <w:tc>
          <w:tcPr>
            <w:tcW w:w="620" w:type="dxa"/>
            <w:tcBorders>
              <w:top w:val="nil"/>
              <w:left w:val="nil"/>
              <w:bottom w:val="single" w:sz="4" w:space="0" w:color="C7CFD8"/>
              <w:right w:val="nil"/>
            </w:tcBorders>
            <w:shd w:val="clear" w:color="auto" w:fill="auto"/>
            <w:hideMark/>
          </w:tcPr>
          <w:p w14:paraId="4C2B00A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730</w:t>
            </w:r>
          </w:p>
        </w:tc>
        <w:tc>
          <w:tcPr>
            <w:tcW w:w="620" w:type="dxa"/>
            <w:tcBorders>
              <w:top w:val="nil"/>
              <w:left w:val="nil"/>
              <w:bottom w:val="single" w:sz="4" w:space="0" w:color="C7CFD8"/>
              <w:right w:val="nil"/>
            </w:tcBorders>
            <w:shd w:val="clear" w:color="auto" w:fill="auto"/>
            <w:hideMark/>
          </w:tcPr>
          <w:p w14:paraId="28C5619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4,627</w:t>
            </w:r>
          </w:p>
        </w:tc>
        <w:tc>
          <w:tcPr>
            <w:tcW w:w="620" w:type="dxa"/>
            <w:tcBorders>
              <w:top w:val="nil"/>
              <w:left w:val="nil"/>
              <w:bottom w:val="single" w:sz="4" w:space="0" w:color="C7CFD8"/>
              <w:right w:val="nil"/>
            </w:tcBorders>
            <w:shd w:val="clear" w:color="auto" w:fill="auto"/>
            <w:hideMark/>
          </w:tcPr>
          <w:p w14:paraId="373E6E1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8,351</w:t>
            </w:r>
          </w:p>
        </w:tc>
        <w:tc>
          <w:tcPr>
            <w:tcW w:w="620" w:type="dxa"/>
            <w:tcBorders>
              <w:top w:val="nil"/>
              <w:left w:val="nil"/>
              <w:bottom w:val="single" w:sz="4" w:space="0" w:color="C7CFD8"/>
              <w:right w:val="nil"/>
            </w:tcBorders>
            <w:shd w:val="clear" w:color="auto" w:fill="auto"/>
            <w:noWrap/>
            <w:hideMark/>
          </w:tcPr>
          <w:p w14:paraId="71117E8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730FB8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1,312</w:t>
            </w:r>
          </w:p>
        </w:tc>
        <w:tc>
          <w:tcPr>
            <w:tcW w:w="620" w:type="dxa"/>
            <w:tcBorders>
              <w:top w:val="nil"/>
              <w:left w:val="nil"/>
              <w:bottom w:val="single" w:sz="4" w:space="0" w:color="C7CFD8"/>
              <w:right w:val="nil"/>
            </w:tcBorders>
            <w:shd w:val="clear" w:color="auto" w:fill="auto"/>
            <w:noWrap/>
            <w:hideMark/>
          </w:tcPr>
          <w:p w14:paraId="3D2D6FB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11,950</w:t>
            </w:r>
          </w:p>
        </w:tc>
        <w:tc>
          <w:tcPr>
            <w:tcW w:w="680" w:type="dxa"/>
            <w:tcBorders>
              <w:top w:val="nil"/>
              <w:left w:val="nil"/>
              <w:bottom w:val="single" w:sz="4" w:space="0" w:color="C7CFD8"/>
              <w:right w:val="nil"/>
            </w:tcBorders>
            <w:shd w:val="clear" w:color="auto" w:fill="auto"/>
            <w:noWrap/>
            <w:hideMark/>
          </w:tcPr>
          <w:p w14:paraId="1322750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2BF048F6"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3C2BE0C8"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29,757</w:t>
            </w:r>
          </w:p>
        </w:tc>
      </w:tr>
      <w:tr w:rsidR="005F77FD" w:rsidRPr="005F77FD" w14:paraId="4640F6CA" w14:textId="77777777" w:rsidTr="005F77FD">
        <w:trPr>
          <w:trHeight w:val="240"/>
        </w:trPr>
        <w:tc>
          <w:tcPr>
            <w:tcW w:w="280" w:type="dxa"/>
            <w:tcBorders>
              <w:top w:val="nil"/>
              <w:left w:val="nil"/>
              <w:bottom w:val="single" w:sz="4" w:space="0" w:color="C7CFD8"/>
              <w:right w:val="nil"/>
            </w:tcBorders>
            <w:shd w:val="clear" w:color="auto" w:fill="auto"/>
            <w:noWrap/>
            <w:hideMark/>
          </w:tcPr>
          <w:p w14:paraId="15629E32"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4.3</w:t>
            </w:r>
          </w:p>
        </w:tc>
        <w:tc>
          <w:tcPr>
            <w:tcW w:w="3100" w:type="dxa"/>
            <w:tcBorders>
              <w:top w:val="nil"/>
              <w:left w:val="nil"/>
              <w:bottom w:val="single" w:sz="4" w:space="0" w:color="C7CFD8"/>
              <w:right w:val="nil"/>
            </w:tcBorders>
            <w:shd w:val="clear" w:color="auto" w:fill="auto"/>
            <w:hideMark/>
          </w:tcPr>
          <w:p w14:paraId="035B940C"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Increased IP knowledge and skills in all Member States </w:t>
            </w:r>
          </w:p>
        </w:tc>
        <w:tc>
          <w:tcPr>
            <w:tcW w:w="680" w:type="dxa"/>
            <w:tcBorders>
              <w:top w:val="nil"/>
              <w:left w:val="nil"/>
              <w:bottom w:val="single" w:sz="4" w:space="0" w:color="C7CFD8"/>
              <w:right w:val="nil"/>
            </w:tcBorders>
            <w:shd w:val="clear" w:color="auto" w:fill="auto"/>
            <w:hideMark/>
          </w:tcPr>
          <w:p w14:paraId="6B4B467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3,830</w:t>
            </w:r>
          </w:p>
        </w:tc>
        <w:tc>
          <w:tcPr>
            <w:tcW w:w="620" w:type="dxa"/>
            <w:tcBorders>
              <w:top w:val="nil"/>
              <w:left w:val="nil"/>
              <w:bottom w:val="single" w:sz="4" w:space="0" w:color="C7CFD8"/>
              <w:right w:val="nil"/>
            </w:tcBorders>
            <w:shd w:val="clear" w:color="auto" w:fill="auto"/>
            <w:hideMark/>
          </w:tcPr>
          <w:p w14:paraId="41DAD5E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1,240</w:t>
            </w:r>
          </w:p>
        </w:tc>
        <w:tc>
          <w:tcPr>
            <w:tcW w:w="620" w:type="dxa"/>
            <w:tcBorders>
              <w:top w:val="nil"/>
              <w:left w:val="nil"/>
              <w:bottom w:val="single" w:sz="4" w:space="0" w:color="C7CFD8"/>
              <w:right w:val="nil"/>
            </w:tcBorders>
            <w:shd w:val="clear" w:color="auto" w:fill="auto"/>
            <w:hideMark/>
          </w:tcPr>
          <w:p w14:paraId="034C482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1,970</w:t>
            </w:r>
          </w:p>
        </w:tc>
        <w:tc>
          <w:tcPr>
            <w:tcW w:w="620" w:type="dxa"/>
            <w:tcBorders>
              <w:top w:val="nil"/>
              <w:left w:val="nil"/>
              <w:bottom w:val="single" w:sz="4" w:space="0" w:color="C7CFD8"/>
              <w:right w:val="nil"/>
            </w:tcBorders>
            <w:shd w:val="clear" w:color="auto" w:fill="auto"/>
            <w:hideMark/>
          </w:tcPr>
          <w:p w14:paraId="207895C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33,424</w:t>
            </w:r>
          </w:p>
        </w:tc>
        <w:tc>
          <w:tcPr>
            <w:tcW w:w="620" w:type="dxa"/>
            <w:tcBorders>
              <w:top w:val="nil"/>
              <w:left w:val="nil"/>
              <w:bottom w:val="single" w:sz="4" w:space="0" w:color="C7CFD8"/>
              <w:right w:val="nil"/>
            </w:tcBorders>
            <w:shd w:val="clear" w:color="auto" w:fill="auto"/>
            <w:noWrap/>
            <w:hideMark/>
          </w:tcPr>
          <w:p w14:paraId="4D15A63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296770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2,221</w:t>
            </w:r>
          </w:p>
        </w:tc>
        <w:tc>
          <w:tcPr>
            <w:tcW w:w="620" w:type="dxa"/>
            <w:tcBorders>
              <w:top w:val="nil"/>
              <w:left w:val="nil"/>
              <w:bottom w:val="single" w:sz="4" w:space="0" w:color="C7CFD8"/>
              <w:right w:val="nil"/>
            </w:tcBorders>
            <w:shd w:val="clear" w:color="auto" w:fill="auto"/>
            <w:noWrap/>
            <w:hideMark/>
          </w:tcPr>
          <w:p w14:paraId="71621D3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703</w:t>
            </w:r>
          </w:p>
        </w:tc>
        <w:tc>
          <w:tcPr>
            <w:tcW w:w="680" w:type="dxa"/>
            <w:tcBorders>
              <w:top w:val="nil"/>
              <w:left w:val="nil"/>
              <w:bottom w:val="single" w:sz="4" w:space="0" w:color="C7CFD8"/>
              <w:right w:val="nil"/>
            </w:tcBorders>
            <w:shd w:val="clear" w:color="auto" w:fill="auto"/>
            <w:noWrap/>
            <w:hideMark/>
          </w:tcPr>
          <w:p w14:paraId="5C07AB9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2D4F576A"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57D94BE2"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43,387</w:t>
            </w:r>
          </w:p>
        </w:tc>
      </w:tr>
      <w:tr w:rsidR="005F77FD" w:rsidRPr="005F77FD" w14:paraId="59B56223" w14:textId="77777777" w:rsidTr="005F77FD">
        <w:trPr>
          <w:trHeight w:val="390"/>
        </w:trPr>
        <w:tc>
          <w:tcPr>
            <w:tcW w:w="280" w:type="dxa"/>
            <w:tcBorders>
              <w:top w:val="nil"/>
              <w:left w:val="nil"/>
              <w:bottom w:val="single" w:sz="4" w:space="0" w:color="C7CFD8"/>
              <w:right w:val="nil"/>
            </w:tcBorders>
            <w:shd w:val="clear" w:color="auto" w:fill="auto"/>
            <w:noWrap/>
            <w:hideMark/>
          </w:tcPr>
          <w:p w14:paraId="45488D7B"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4.4</w:t>
            </w:r>
          </w:p>
        </w:tc>
        <w:tc>
          <w:tcPr>
            <w:tcW w:w="3100" w:type="dxa"/>
            <w:tcBorders>
              <w:top w:val="nil"/>
              <w:left w:val="nil"/>
              <w:bottom w:val="single" w:sz="4" w:space="0" w:color="C7CFD8"/>
              <w:right w:val="nil"/>
            </w:tcBorders>
            <w:shd w:val="clear" w:color="auto" w:fill="auto"/>
            <w:hideMark/>
          </w:tcPr>
          <w:p w14:paraId="0B688952"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More innovators, creators, SMEs, universities, research institutions and communities leverage IP successfully  </w:t>
            </w:r>
          </w:p>
        </w:tc>
        <w:tc>
          <w:tcPr>
            <w:tcW w:w="680" w:type="dxa"/>
            <w:tcBorders>
              <w:top w:val="nil"/>
              <w:left w:val="nil"/>
              <w:bottom w:val="single" w:sz="4" w:space="0" w:color="C7CFD8"/>
              <w:right w:val="nil"/>
            </w:tcBorders>
            <w:shd w:val="clear" w:color="auto" w:fill="auto"/>
            <w:hideMark/>
          </w:tcPr>
          <w:p w14:paraId="4468B5E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001731B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4DB084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13,735</w:t>
            </w:r>
          </w:p>
        </w:tc>
        <w:tc>
          <w:tcPr>
            <w:tcW w:w="620" w:type="dxa"/>
            <w:tcBorders>
              <w:top w:val="nil"/>
              <w:left w:val="nil"/>
              <w:bottom w:val="single" w:sz="4" w:space="0" w:color="C7CFD8"/>
              <w:right w:val="nil"/>
            </w:tcBorders>
            <w:shd w:val="clear" w:color="auto" w:fill="auto"/>
            <w:hideMark/>
          </w:tcPr>
          <w:p w14:paraId="31DA7579"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9,658</w:t>
            </w:r>
          </w:p>
        </w:tc>
        <w:tc>
          <w:tcPr>
            <w:tcW w:w="620" w:type="dxa"/>
            <w:tcBorders>
              <w:top w:val="nil"/>
              <w:left w:val="nil"/>
              <w:bottom w:val="single" w:sz="4" w:space="0" w:color="C7CFD8"/>
              <w:right w:val="nil"/>
            </w:tcBorders>
            <w:shd w:val="clear" w:color="auto" w:fill="auto"/>
            <w:noWrap/>
            <w:hideMark/>
          </w:tcPr>
          <w:p w14:paraId="24D981F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75C7EC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2,815</w:t>
            </w:r>
          </w:p>
        </w:tc>
        <w:tc>
          <w:tcPr>
            <w:tcW w:w="620" w:type="dxa"/>
            <w:tcBorders>
              <w:top w:val="nil"/>
              <w:left w:val="nil"/>
              <w:bottom w:val="single" w:sz="4" w:space="0" w:color="C7CFD8"/>
              <w:right w:val="nil"/>
            </w:tcBorders>
            <w:shd w:val="clear" w:color="auto" w:fill="auto"/>
            <w:noWrap/>
            <w:hideMark/>
          </w:tcPr>
          <w:p w14:paraId="4279920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13,769</w:t>
            </w:r>
          </w:p>
        </w:tc>
        <w:tc>
          <w:tcPr>
            <w:tcW w:w="680" w:type="dxa"/>
            <w:tcBorders>
              <w:top w:val="nil"/>
              <w:left w:val="nil"/>
              <w:bottom w:val="single" w:sz="4" w:space="0" w:color="C7CFD8"/>
              <w:right w:val="nil"/>
            </w:tcBorders>
            <w:shd w:val="clear" w:color="auto" w:fill="auto"/>
            <w:noWrap/>
            <w:hideMark/>
          </w:tcPr>
          <w:p w14:paraId="4CE3232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40C8737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6503B14A"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39,977</w:t>
            </w:r>
          </w:p>
        </w:tc>
      </w:tr>
      <w:tr w:rsidR="005F77FD" w:rsidRPr="005F77FD" w14:paraId="7DFD7CED" w14:textId="77777777" w:rsidTr="005F77FD">
        <w:trPr>
          <w:trHeight w:val="240"/>
        </w:trPr>
        <w:tc>
          <w:tcPr>
            <w:tcW w:w="280" w:type="dxa"/>
            <w:tcBorders>
              <w:top w:val="nil"/>
              <w:left w:val="nil"/>
              <w:bottom w:val="single" w:sz="4" w:space="0" w:color="C7CFD8"/>
              <w:right w:val="nil"/>
            </w:tcBorders>
            <w:shd w:val="clear" w:color="auto" w:fill="auto"/>
            <w:noWrap/>
            <w:hideMark/>
          </w:tcPr>
          <w:p w14:paraId="1E82B507"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4.5</w:t>
            </w:r>
          </w:p>
        </w:tc>
        <w:tc>
          <w:tcPr>
            <w:tcW w:w="3100" w:type="dxa"/>
            <w:tcBorders>
              <w:top w:val="nil"/>
              <w:left w:val="nil"/>
              <w:bottom w:val="single" w:sz="4" w:space="0" w:color="C7CFD8"/>
              <w:right w:val="nil"/>
            </w:tcBorders>
            <w:shd w:val="clear" w:color="auto" w:fill="auto"/>
            <w:hideMark/>
          </w:tcPr>
          <w:p w14:paraId="17679EF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Enhanced IP infrastructure for IP Offices  </w:t>
            </w:r>
          </w:p>
        </w:tc>
        <w:tc>
          <w:tcPr>
            <w:tcW w:w="680" w:type="dxa"/>
            <w:tcBorders>
              <w:top w:val="nil"/>
              <w:left w:val="nil"/>
              <w:bottom w:val="single" w:sz="4" w:space="0" w:color="C7CFD8"/>
              <w:right w:val="nil"/>
            </w:tcBorders>
            <w:shd w:val="clear" w:color="auto" w:fill="auto"/>
            <w:hideMark/>
          </w:tcPr>
          <w:p w14:paraId="7D4B3AC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A19FF1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25AF9E1"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7310A3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1,041</w:t>
            </w:r>
          </w:p>
        </w:tc>
        <w:tc>
          <w:tcPr>
            <w:tcW w:w="620" w:type="dxa"/>
            <w:tcBorders>
              <w:top w:val="nil"/>
              <w:left w:val="nil"/>
              <w:bottom w:val="single" w:sz="4" w:space="0" w:color="C7CFD8"/>
              <w:right w:val="nil"/>
            </w:tcBorders>
            <w:shd w:val="clear" w:color="auto" w:fill="auto"/>
            <w:noWrap/>
            <w:hideMark/>
          </w:tcPr>
          <w:p w14:paraId="0F63071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15,481</w:t>
            </w:r>
          </w:p>
        </w:tc>
        <w:tc>
          <w:tcPr>
            <w:tcW w:w="620" w:type="dxa"/>
            <w:tcBorders>
              <w:top w:val="nil"/>
              <w:left w:val="nil"/>
              <w:bottom w:val="single" w:sz="4" w:space="0" w:color="C7CFD8"/>
              <w:right w:val="nil"/>
            </w:tcBorders>
            <w:shd w:val="clear" w:color="auto" w:fill="auto"/>
            <w:noWrap/>
            <w:hideMark/>
          </w:tcPr>
          <w:p w14:paraId="65143FB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4DD566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A49729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00" w:type="dxa"/>
            <w:tcBorders>
              <w:top w:val="nil"/>
              <w:left w:val="nil"/>
              <w:bottom w:val="single" w:sz="4" w:space="0" w:color="C7CFD8"/>
              <w:right w:val="nil"/>
            </w:tcBorders>
            <w:shd w:val="clear" w:color="auto" w:fill="auto"/>
            <w:noWrap/>
            <w:hideMark/>
          </w:tcPr>
          <w:p w14:paraId="7EBE8A6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6ED1B444"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16,521</w:t>
            </w:r>
          </w:p>
        </w:tc>
      </w:tr>
      <w:tr w:rsidR="005F77FD" w:rsidRPr="005F77FD" w14:paraId="65E8F1A3" w14:textId="77777777" w:rsidTr="005F77FD">
        <w:trPr>
          <w:trHeight w:val="690"/>
        </w:trPr>
        <w:tc>
          <w:tcPr>
            <w:tcW w:w="280" w:type="dxa"/>
            <w:tcBorders>
              <w:top w:val="nil"/>
              <w:left w:val="nil"/>
              <w:bottom w:val="single" w:sz="4" w:space="0" w:color="C7CFD8"/>
              <w:right w:val="nil"/>
            </w:tcBorders>
            <w:shd w:val="clear" w:color="auto" w:fill="auto"/>
            <w:noWrap/>
            <w:hideMark/>
          </w:tcPr>
          <w:p w14:paraId="00AE836B"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5.1</w:t>
            </w:r>
          </w:p>
        </w:tc>
        <w:tc>
          <w:tcPr>
            <w:tcW w:w="3100" w:type="dxa"/>
            <w:tcBorders>
              <w:top w:val="nil"/>
              <w:left w:val="nil"/>
              <w:bottom w:val="single" w:sz="4" w:space="0" w:color="C7CFD8"/>
              <w:right w:val="nil"/>
            </w:tcBorders>
            <w:shd w:val="clear" w:color="auto" w:fill="auto"/>
            <w:hideMark/>
          </w:tcPr>
          <w:p w14:paraId="41F441F7"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A Secretariat that is empowered through a dynamic corporate culture and is provided with the right resources and training to work effectively, collaboratively and innovatively</w:t>
            </w:r>
          </w:p>
        </w:tc>
        <w:tc>
          <w:tcPr>
            <w:tcW w:w="680" w:type="dxa"/>
            <w:tcBorders>
              <w:top w:val="nil"/>
              <w:left w:val="nil"/>
              <w:bottom w:val="single" w:sz="4" w:space="0" w:color="C7CFD8"/>
              <w:right w:val="nil"/>
            </w:tcBorders>
            <w:shd w:val="clear" w:color="auto" w:fill="auto"/>
            <w:hideMark/>
          </w:tcPr>
          <w:p w14:paraId="52936D0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CC9C79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3FA818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C47451A"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7532A6F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33D797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869118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1D1952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56,249</w:t>
            </w:r>
          </w:p>
        </w:tc>
        <w:tc>
          <w:tcPr>
            <w:tcW w:w="600" w:type="dxa"/>
            <w:tcBorders>
              <w:top w:val="nil"/>
              <w:left w:val="nil"/>
              <w:bottom w:val="single" w:sz="4" w:space="0" w:color="C7CFD8"/>
              <w:right w:val="nil"/>
            </w:tcBorders>
            <w:shd w:val="clear" w:color="auto" w:fill="auto"/>
            <w:noWrap/>
            <w:hideMark/>
          </w:tcPr>
          <w:p w14:paraId="705496D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782CB356"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56,249</w:t>
            </w:r>
          </w:p>
        </w:tc>
      </w:tr>
      <w:tr w:rsidR="005F77FD" w:rsidRPr="005F77FD" w14:paraId="64F3F57A" w14:textId="77777777" w:rsidTr="005F77FD">
        <w:trPr>
          <w:trHeight w:val="390"/>
        </w:trPr>
        <w:tc>
          <w:tcPr>
            <w:tcW w:w="280" w:type="dxa"/>
            <w:tcBorders>
              <w:top w:val="nil"/>
              <w:left w:val="nil"/>
              <w:bottom w:val="single" w:sz="4" w:space="0" w:color="C7CFD8"/>
              <w:right w:val="nil"/>
            </w:tcBorders>
            <w:shd w:val="clear" w:color="auto" w:fill="auto"/>
            <w:noWrap/>
            <w:hideMark/>
          </w:tcPr>
          <w:p w14:paraId="348ADCBF"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5.2</w:t>
            </w:r>
          </w:p>
        </w:tc>
        <w:tc>
          <w:tcPr>
            <w:tcW w:w="3100" w:type="dxa"/>
            <w:tcBorders>
              <w:top w:val="nil"/>
              <w:left w:val="nil"/>
              <w:bottom w:val="single" w:sz="4" w:space="0" w:color="C7CFD8"/>
              <w:right w:val="nil"/>
            </w:tcBorders>
            <w:shd w:val="clear" w:color="auto" w:fill="auto"/>
            <w:hideMark/>
          </w:tcPr>
          <w:p w14:paraId="4E435FC1"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Digitally enabled, secure and sustainable operating environment and services</w:t>
            </w:r>
          </w:p>
        </w:tc>
        <w:tc>
          <w:tcPr>
            <w:tcW w:w="680" w:type="dxa"/>
            <w:tcBorders>
              <w:top w:val="nil"/>
              <w:left w:val="nil"/>
              <w:bottom w:val="single" w:sz="4" w:space="0" w:color="C7CFD8"/>
              <w:right w:val="nil"/>
            </w:tcBorders>
            <w:shd w:val="clear" w:color="auto" w:fill="auto"/>
            <w:hideMark/>
          </w:tcPr>
          <w:p w14:paraId="09BD5D3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0ACA76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A9EA6EF"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376DF1C"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25A2F8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8DE3FB5"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13EF1A7"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6C9408D"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161,514</w:t>
            </w:r>
          </w:p>
        </w:tc>
        <w:tc>
          <w:tcPr>
            <w:tcW w:w="600" w:type="dxa"/>
            <w:tcBorders>
              <w:top w:val="nil"/>
              <w:left w:val="nil"/>
              <w:bottom w:val="single" w:sz="4" w:space="0" w:color="C7CFD8"/>
              <w:right w:val="nil"/>
            </w:tcBorders>
            <w:shd w:val="clear" w:color="auto" w:fill="auto"/>
            <w:noWrap/>
            <w:hideMark/>
          </w:tcPr>
          <w:p w14:paraId="61BE337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58CA538C"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161,514</w:t>
            </w:r>
          </w:p>
        </w:tc>
      </w:tr>
      <w:tr w:rsidR="005F77FD" w:rsidRPr="005F77FD" w14:paraId="448882E3" w14:textId="77777777" w:rsidTr="005F77FD">
        <w:trPr>
          <w:trHeight w:val="390"/>
        </w:trPr>
        <w:tc>
          <w:tcPr>
            <w:tcW w:w="280" w:type="dxa"/>
            <w:tcBorders>
              <w:top w:val="nil"/>
              <w:left w:val="nil"/>
              <w:bottom w:val="single" w:sz="4" w:space="0" w:color="C7CFD8"/>
              <w:right w:val="nil"/>
            </w:tcBorders>
            <w:shd w:val="clear" w:color="auto" w:fill="auto"/>
            <w:noWrap/>
            <w:hideMark/>
          </w:tcPr>
          <w:p w14:paraId="7E1D3E6E" w14:textId="77777777" w:rsidR="005F77FD" w:rsidRPr="005F77FD" w:rsidRDefault="005F77FD" w:rsidP="005F77FD">
            <w:pPr>
              <w:spacing w:after="0" w:line="240" w:lineRule="auto"/>
              <w:jc w:val="center"/>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5.3</w:t>
            </w:r>
          </w:p>
        </w:tc>
        <w:tc>
          <w:tcPr>
            <w:tcW w:w="3100" w:type="dxa"/>
            <w:tcBorders>
              <w:top w:val="nil"/>
              <w:left w:val="nil"/>
              <w:bottom w:val="single" w:sz="4" w:space="0" w:color="C7CFD8"/>
              <w:right w:val="nil"/>
            </w:tcBorders>
            <w:shd w:val="clear" w:color="auto" w:fill="auto"/>
            <w:hideMark/>
          </w:tcPr>
          <w:p w14:paraId="42F0FE7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xml:space="preserve">Sound and prudent financial management and effective corporate governance and oversight </w:t>
            </w:r>
          </w:p>
        </w:tc>
        <w:tc>
          <w:tcPr>
            <w:tcW w:w="680" w:type="dxa"/>
            <w:tcBorders>
              <w:top w:val="nil"/>
              <w:left w:val="nil"/>
              <w:bottom w:val="single" w:sz="4" w:space="0" w:color="C7CFD8"/>
              <w:right w:val="nil"/>
            </w:tcBorders>
            <w:shd w:val="clear" w:color="auto" w:fill="auto"/>
            <w:hideMark/>
          </w:tcPr>
          <w:p w14:paraId="325FFD6B"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2789BCF3"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A229044"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B056050"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84CAE36"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0C41C9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E89B7EE"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2461EE98"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47,728</w:t>
            </w:r>
          </w:p>
        </w:tc>
        <w:tc>
          <w:tcPr>
            <w:tcW w:w="600" w:type="dxa"/>
            <w:tcBorders>
              <w:top w:val="nil"/>
              <w:left w:val="nil"/>
              <w:bottom w:val="single" w:sz="4" w:space="0" w:color="C7CFD8"/>
              <w:right w:val="nil"/>
            </w:tcBorders>
            <w:shd w:val="clear" w:color="auto" w:fill="auto"/>
            <w:noWrap/>
            <w:hideMark/>
          </w:tcPr>
          <w:p w14:paraId="5C0AFB7C"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2C5E9BB7"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47,728</w:t>
            </w:r>
          </w:p>
        </w:tc>
      </w:tr>
      <w:tr w:rsidR="005F77FD" w:rsidRPr="005F77FD" w14:paraId="7C1FE249" w14:textId="77777777" w:rsidTr="005F77FD">
        <w:trPr>
          <w:trHeight w:val="240"/>
        </w:trPr>
        <w:tc>
          <w:tcPr>
            <w:tcW w:w="280" w:type="dxa"/>
            <w:tcBorders>
              <w:top w:val="nil"/>
              <w:left w:val="nil"/>
              <w:bottom w:val="single" w:sz="4" w:space="0" w:color="C7CFD8"/>
              <w:right w:val="nil"/>
            </w:tcBorders>
            <w:shd w:val="clear" w:color="auto" w:fill="auto"/>
            <w:noWrap/>
            <w:vAlign w:val="center"/>
            <w:hideMark/>
          </w:tcPr>
          <w:p w14:paraId="44121C46" w14:textId="77777777" w:rsidR="005F77FD" w:rsidRPr="005F77FD" w:rsidRDefault="005F77FD" w:rsidP="005F77FD">
            <w:pPr>
              <w:spacing w:after="0" w:line="240" w:lineRule="auto"/>
              <w:rPr>
                <w:rFonts w:ascii="Arial Narrow" w:eastAsia="Times New Roman" w:hAnsi="Arial Narrow" w:cs="Times New Roman"/>
                <w:color w:val="FFFFFF"/>
                <w:sz w:val="14"/>
                <w:szCs w:val="14"/>
                <w:lang w:val="en-US"/>
              </w:rPr>
            </w:pPr>
            <w:r w:rsidRPr="005F77FD">
              <w:rPr>
                <w:rFonts w:ascii="Arial Narrow" w:eastAsia="Times New Roman" w:hAnsi="Arial Narrow" w:cs="Times New Roman"/>
                <w:color w:val="FFFFFF"/>
                <w:sz w:val="14"/>
                <w:szCs w:val="14"/>
                <w:lang w:val="en-US"/>
              </w:rPr>
              <w:t>UN</w:t>
            </w:r>
          </w:p>
        </w:tc>
        <w:tc>
          <w:tcPr>
            <w:tcW w:w="3100" w:type="dxa"/>
            <w:tcBorders>
              <w:top w:val="nil"/>
              <w:left w:val="nil"/>
              <w:bottom w:val="single" w:sz="4" w:space="0" w:color="C7CFD8"/>
              <w:right w:val="nil"/>
            </w:tcBorders>
            <w:shd w:val="clear" w:color="auto" w:fill="auto"/>
            <w:hideMark/>
          </w:tcPr>
          <w:p w14:paraId="05D39328"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Unallocated</w:t>
            </w:r>
          </w:p>
        </w:tc>
        <w:tc>
          <w:tcPr>
            <w:tcW w:w="680" w:type="dxa"/>
            <w:tcBorders>
              <w:top w:val="nil"/>
              <w:left w:val="nil"/>
              <w:bottom w:val="single" w:sz="4" w:space="0" w:color="C7CFD8"/>
              <w:right w:val="nil"/>
            </w:tcBorders>
            <w:shd w:val="clear" w:color="auto" w:fill="auto"/>
            <w:hideMark/>
          </w:tcPr>
          <w:p w14:paraId="20C12453"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hideMark/>
          </w:tcPr>
          <w:p w14:paraId="2C9B3FD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hideMark/>
          </w:tcPr>
          <w:p w14:paraId="5AEE1EEF"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hideMark/>
          </w:tcPr>
          <w:p w14:paraId="7C259741"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noWrap/>
            <w:hideMark/>
          </w:tcPr>
          <w:p w14:paraId="4928900C"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noWrap/>
            <w:hideMark/>
          </w:tcPr>
          <w:p w14:paraId="342B0AE1"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20" w:type="dxa"/>
            <w:tcBorders>
              <w:top w:val="nil"/>
              <w:left w:val="nil"/>
              <w:bottom w:val="single" w:sz="4" w:space="0" w:color="C7CFD8"/>
              <w:right w:val="nil"/>
            </w:tcBorders>
            <w:shd w:val="clear" w:color="auto" w:fill="auto"/>
            <w:noWrap/>
            <w:hideMark/>
          </w:tcPr>
          <w:p w14:paraId="724D3081"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80" w:type="dxa"/>
            <w:tcBorders>
              <w:top w:val="nil"/>
              <w:left w:val="nil"/>
              <w:bottom w:val="single" w:sz="4" w:space="0" w:color="C7CFD8"/>
              <w:right w:val="nil"/>
            </w:tcBorders>
            <w:shd w:val="clear" w:color="auto" w:fill="auto"/>
            <w:noWrap/>
            <w:hideMark/>
          </w:tcPr>
          <w:p w14:paraId="164AABBE" w14:textId="77777777" w:rsidR="005F77FD" w:rsidRPr="005F77FD" w:rsidRDefault="005F77FD" w:rsidP="005F77FD">
            <w:pPr>
              <w:spacing w:after="0" w:line="240" w:lineRule="auto"/>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 </w:t>
            </w:r>
          </w:p>
        </w:tc>
        <w:tc>
          <w:tcPr>
            <w:tcW w:w="600" w:type="dxa"/>
            <w:tcBorders>
              <w:top w:val="nil"/>
              <w:left w:val="nil"/>
              <w:bottom w:val="single" w:sz="4" w:space="0" w:color="C7CFD8"/>
              <w:right w:val="nil"/>
            </w:tcBorders>
            <w:shd w:val="clear" w:color="auto" w:fill="auto"/>
            <w:noWrap/>
            <w:hideMark/>
          </w:tcPr>
          <w:p w14:paraId="49AB5AA2" w14:textId="77777777" w:rsidR="005F77FD" w:rsidRPr="005F77FD" w:rsidRDefault="005F77FD" w:rsidP="005F77FD">
            <w:pPr>
              <w:spacing w:after="0" w:line="240" w:lineRule="auto"/>
              <w:jc w:val="right"/>
              <w:rPr>
                <w:rFonts w:ascii="Arial Narrow" w:eastAsia="Times New Roman" w:hAnsi="Arial Narrow" w:cs="Times New Roman"/>
                <w:sz w:val="14"/>
                <w:szCs w:val="14"/>
                <w:lang w:val="en-US"/>
              </w:rPr>
            </w:pPr>
            <w:r w:rsidRPr="005F77FD">
              <w:rPr>
                <w:rFonts w:ascii="Arial Narrow" w:eastAsia="Times New Roman" w:hAnsi="Arial Narrow" w:cs="Times New Roman"/>
                <w:sz w:val="14"/>
                <w:szCs w:val="14"/>
                <w:lang w:val="en-US"/>
              </w:rPr>
              <w:t>8,171</w:t>
            </w:r>
          </w:p>
        </w:tc>
        <w:tc>
          <w:tcPr>
            <w:tcW w:w="680" w:type="dxa"/>
            <w:tcBorders>
              <w:top w:val="nil"/>
              <w:left w:val="nil"/>
              <w:bottom w:val="single" w:sz="4" w:space="0" w:color="C7CFD8"/>
              <w:right w:val="nil"/>
            </w:tcBorders>
            <w:shd w:val="clear" w:color="auto" w:fill="auto"/>
            <w:noWrap/>
            <w:hideMark/>
          </w:tcPr>
          <w:p w14:paraId="4DC0E50C"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8,171</w:t>
            </w:r>
          </w:p>
        </w:tc>
      </w:tr>
      <w:tr w:rsidR="005F77FD" w:rsidRPr="005F77FD" w14:paraId="2C0C0F48" w14:textId="77777777" w:rsidTr="005F77FD">
        <w:trPr>
          <w:trHeight w:val="270"/>
        </w:trPr>
        <w:tc>
          <w:tcPr>
            <w:tcW w:w="280" w:type="dxa"/>
            <w:tcBorders>
              <w:top w:val="nil"/>
              <w:left w:val="nil"/>
              <w:bottom w:val="single" w:sz="8" w:space="0" w:color="C7CFD8"/>
              <w:right w:val="nil"/>
            </w:tcBorders>
            <w:shd w:val="clear" w:color="auto" w:fill="auto"/>
            <w:noWrap/>
            <w:vAlign w:val="center"/>
            <w:hideMark/>
          </w:tcPr>
          <w:p w14:paraId="6E38FE0E" w14:textId="77777777" w:rsidR="005F77FD" w:rsidRPr="005F77FD" w:rsidRDefault="005F77FD" w:rsidP="005F77FD">
            <w:pPr>
              <w:spacing w:after="0" w:line="240" w:lineRule="auto"/>
              <w:rPr>
                <w:rFonts w:ascii="Arial Narrow" w:eastAsia="Times New Roman" w:hAnsi="Arial Narrow" w:cs="Times New Roman"/>
                <w:color w:val="005694"/>
                <w:sz w:val="14"/>
                <w:szCs w:val="14"/>
                <w:lang w:val="en-US"/>
              </w:rPr>
            </w:pPr>
            <w:r w:rsidRPr="005F77FD">
              <w:rPr>
                <w:rFonts w:ascii="Arial Narrow" w:eastAsia="Times New Roman" w:hAnsi="Arial Narrow" w:cs="Times New Roman"/>
                <w:color w:val="005694"/>
                <w:sz w:val="14"/>
                <w:szCs w:val="14"/>
                <w:lang w:val="en-US"/>
              </w:rPr>
              <w:t> </w:t>
            </w:r>
          </w:p>
        </w:tc>
        <w:tc>
          <w:tcPr>
            <w:tcW w:w="3100" w:type="dxa"/>
            <w:tcBorders>
              <w:top w:val="nil"/>
              <w:left w:val="nil"/>
              <w:bottom w:val="single" w:sz="8" w:space="0" w:color="C7CFD8"/>
              <w:right w:val="nil"/>
            </w:tcBorders>
            <w:shd w:val="clear" w:color="auto" w:fill="auto"/>
            <w:noWrap/>
            <w:vAlign w:val="center"/>
            <w:hideMark/>
          </w:tcPr>
          <w:p w14:paraId="1B7762E3" w14:textId="77777777" w:rsidR="005F77FD" w:rsidRPr="005F77FD" w:rsidRDefault="005F77FD" w:rsidP="005F77FD">
            <w:pPr>
              <w:spacing w:after="0" w:line="240" w:lineRule="auto"/>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TOTAL</w:t>
            </w:r>
          </w:p>
        </w:tc>
        <w:tc>
          <w:tcPr>
            <w:tcW w:w="680" w:type="dxa"/>
            <w:tcBorders>
              <w:top w:val="nil"/>
              <w:left w:val="nil"/>
              <w:bottom w:val="single" w:sz="8" w:space="0" w:color="C7CFD8"/>
              <w:right w:val="nil"/>
            </w:tcBorders>
            <w:shd w:val="clear" w:color="auto" w:fill="auto"/>
            <w:noWrap/>
            <w:vAlign w:val="center"/>
            <w:hideMark/>
          </w:tcPr>
          <w:p w14:paraId="4E19656C"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214,036</w:t>
            </w:r>
          </w:p>
        </w:tc>
        <w:tc>
          <w:tcPr>
            <w:tcW w:w="620" w:type="dxa"/>
            <w:tcBorders>
              <w:top w:val="nil"/>
              <w:left w:val="nil"/>
              <w:bottom w:val="single" w:sz="8" w:space="0" w:color="C7CFD8"/>
              <w:right w:val="nil"/>
            </w:tcBorders>
            <w:shd w:val="clear" w:color="auto" w:fill="auto"/>
            <w:noWrap/>
            <w:vAlign w:val="center"/>
            <w:hideMark/>
          </w:tcPr>
          <w:p w14:paraId="3F54BA99"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79,230</w:t>
            </w:r>
          </w:p>
        </w:tc>
        <w:tc>
          <w:tcPr>
            <w:tcW w:w="620" w:type="dxa"/>
            <w:tcBorders>
              <w:top w:val="nil"/>
              <w:left w:val="nil"/>
              <w:bottom w:val="single" w:sz="8" w:space="0" w:color="C7CFD8"/>
              <w:right w:val="nil"/>
            </w:tcBorders>
            <w:shd w:val="clear" w:color="auto" w:fill="auto"/>
            <w:noWrap/>
            <w:vAlign w:val="center"/>
            <w:hideMark/>
          </w:tcPr>
          <w:p w14:paraId="30875BAC"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37,764</w:t>
            </w:r>
          </w:p>
        </w:tc>
        <w:tc>
          <w:tcPr>
            <w:tcW w:w="620" w:type="dxa"/>
            <w:tcBorders>
              <w:top w:val="nil"/>
              <w:left w:val="nil"/>
              <w:bottom w:val="single" w:sz="8" w:space="0" w:color="C7CFD8"/>
              <w:right w:val="nil"/>
            </w:tcBorders>
            <w:shd w:val="clear" w:color="auto" w:fill="auto"/>
            <w:noWrap/>
            <w:vAlign w:val="center"/>
            <w:hideMark/>
          </w:tcPr>
          <w:p w14:paraId="53D49207"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80,374</w:t>
            </w:r>
          </w:p>
        </w:tc>
        <w:tc>
          <w:tcPr>
            <w:tcW w:w="620" w:type="dxa"/>
            <w:tcBorders>
              <w:top w:val="nil"/>
              <w:left w:val="nil"/>
              <w:bottom w:val="single" w:sz="8" w:space="0" w:color="C7CFD8"/>
              <w:right w:val="nil"/>
            </w:tcBorders>
            <w:shd w:val="clear" w:color="auto" w:fill="auto"/>
            <w:noWrap/>
            <w:vAlign w:val="center"/>
            <w:hideMark/>
          </w:tcPr>
          <w:p w14:paraId="1CF2E765"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41,810</w:t>
            </w:r>
          </w:p>
        </w:tc>
        <w:tc>
          <w:tcPr>
            <w:tcW w:w="620" w:type="dxa"/>
            <w:tcBorders>
              <w:top w:val="nil"/>
              <w:left w:val="nil"/>
              <w:bottom w:val="single" w:sz="8" w:space="0" w:color="C7CFD8"/>
              <w:right w:val="nil"/>
            </w:tcBorders>
            <w:shd w:val="clear" w:color="auto" w:fill="auto"/>
            <w:noWrap/>
            <w:vAlign w:val="center"/>
            <w:hideMark/>
          </w:tcPr>
          <w:p w14:paraId="2DA3C0CB"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29,281</w:t>
            </w:r>
          </w:p>
        </w:tc>
        <w:tc>
          <w:tcPr>
            <w:tcW w:w="620" w:type="dxa"/>
            <w:tcBorders>
              <w:top w:val="nil"/>
              <w:left w:val="nil"/>
              <w:bottom w:val="single" w:sz="8" w:space="0" w:color="C7CFD8"/>
              <w:right w:val="nil"/>
            </w:tcBorders>
            <w:shd w:val="clear" w:color="auto" w:fill="auto"/>
            <w:noWrap/>
            <w:vAlign w:val="center"/>
            <w:hideMark/>
          </w:tcPr>
          <w:p w14:paraId="7E2800F0"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50,771</w:t>
            </w:r>
          </w:p>
        </w:tc>
        <w:tc>
          <w:tcPr>
            <w:tcW w:w="680" w:type="dxa"/>
            <w:tcBorders>
              <w:top w:val="nil"/>
              <w:left w:val="nil"/>
              <w:bottom w:val="single" w:sz="8" w:space="0" w:color="C7CFD8"/>
              <w:right w:val="nil"/>
            </w:tcBorders>
            <w:shd w:val="clear" w:color="auto" w:fill="auto"/>
            <w:noWrap/>
            <w:vAlign w:val="center"/>
            <w:hideMark/>
          </w:tcPr>
          <w:p w14:paraId="5FB8E52E"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315,863</w:t>
            </w:r>
          </w:p>
        </w:tc>
        <w:tc>
          <w:tcPr>
            <w:tcW w:w="600" w:type="dxa"/>
            <w:tcBorders>
              <w:top w:val="nil"/>
              <w:left w:val="nil"/>
              <w:bottom w:val="single" w:sz="8" w:space="0" w:color="C7CFD8"/>
              <w:right w:val="nil"/>
            </w:tcBorders>
            <w:shd w:val="clear" w:color="auto" w:fill="auto"/>
            <w:noWrap/>
            <w:vAlign w:val="center"/>
            <w:hideMark/>
          </w:tcPr>
          <w:p w14:paraId="533D086D"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8,171</w:t>
            </w:r>
          </w:p>
        </w:tc>
        <w:tc>
          <w:tcPr>
            <w:tcW w:w="680" w:type="dxa"/>
            <w:tcBorders>
              <w:top w:val="nil"/>
              <w:left w:val="nil"/>
              <w:bottom w:val="single" w:sz="8" w:space="0" w:color="C7CFD8"/>
              <w:right w:val="nil"/>
            </w:tcBorders>
            <w:shd w:val="clear" w:color="auto" w:fill="auto"/>
            <w:noWrap/>
            <w:vAlign w:val="center"/>
            <w:hideMark/>
          </w:tcPr>
          <w:p w14:paraId="67791AF5" w14:textId="77777777" w:rsidR="005F77FD" w:rsidRPr="005F77FD" w:rsidRDefault="005F77FD" w:rsidP="005F77FD">
            <w:pPr>
              <w:spacing w:after="0" w:line="240" w:lineRule="auto"/>
              <w:jc w:val="right"/>
              <w:rPr>
                <w:rFonts w:ascii="Arial Narrow" w:eastAsia="Times New Roman" w:hAnsi="Arial Narrow" w:cs="Times New Roman"/>
                <w:b/>
                <w:bCs/>
                <w:sz w:val="14"/>
                <w:szCs w:val="14"/>
                <w:lang w:val="en-US"/>
              </w:rPr>
            </w:pPr>
            <w:r w:rsidRPr="005F77FD">
              <w:rPr>
                <w:rFonts w:ascii="Arial Narrow" w:eastAsia="Times New Roman" w:hAnsi="Arial Narrow" w:cs="Times New Roman"/>
                <w:b/>
                <w:bCs/>
                <w:sz w:val="14"/>
                <w:szCs w:val="14"/>
                <w:lang w:val="en-US"/>
              </w:rPr>
              <w:t>857,300</w:t>
            </w:r>
          </w:p>
        </w:tc>
      </w:tr>
    </w:tbl>
    <w:p w14:paraId="303F115F" w14:textId="2323663C" w:rsidR="005F77FD" w:rsidRDefault="005F77FD" w:rsidP="00816075">
      <w:pPr>
        <w:spacing w:after="0" w:line="240" w:lineRule="auto"/>
        <w:jc w:val="center"/>
        <w:rPr>
          <w:i/>
          <w:sz w:val="16"/>
          <w:szCs w:val="16"/>
        </w:rPr>
      </w:pPr>
    </w:p>
    <w:p w14:paraId="6983ADD9" w14:textId="77777777" w:rsidR="005F77FD" w:rsidRDefault="005F77FD" w:rsidP="00816075">
      <w:pPr>
        <w:spacing w:after="0" w:line="240" w:lineRule="auto"/>
        <w:jc w:val="center"/>
        <w:rPr>
          <w:i/>
          <w:sz w:val="16"/>
          <w:szCs w:val="16"/>
        </w:rPr>
      </w:pPr>
    </w:p>
    <w:p w14:paraId="399318F8" w14:textId="77777777" w:rsidR="00816075" w:rsidRPr="00816075" w:rsidRDefault="00816075" w:rsidP="00816075">
      <w:pPr>
        <w:spacing w:after="0" w:line="240" w:lineRule="auto"/>
        <w:jc w:val="center"/>
        <w:rPr>
          <w:i/>
          <w:sz w:val="16"/>
          <w:szCs w:val="16"/>
        </w:rPr>
      </w:pPr>
    </w:p>
    <w:p w14:paraId="429C3AEF" w14:textId="0B5F805B" w:rsidR="00DF073F" w:rsidRDefault="00DF073F" w:rsidP="00434007">
      <w:pPr>
        <w:spacing w:before="89"/>
        <w:ind w:left="132"/>
        <w:rPr>
          <w:rFonts w:asciiTheme="minorHAnsi" w:hAnsiTheme="minorHAnsi"/>
          <w:sz w:val="22"/>
        </w:rPr>
      </w:pPr>
    </w:p>
    <w:p w14:paraId="7D04709A" w14:textId="4D5A1DD5" w:rsidR="00434007" w:rsidRDefault="00434007" w:rsidP="00434007">
      <w:pPr>
        <w:spacing w:before="89"/>
        <w:ind w:left="132"/>
        <w:rPr>
          <w:color w:val="005171"/>
          <w:sz w:val="32"/>
        </w:rPr>
      </w:pPr>
    </w:p>
    <w:p w14:paraId="2E60CE1D" w14:textId="77777777" w:rsidR="00434007" w:rsidRDefault="00434007" w:rsidP="00434007">
      <w:pPr>
        <w:spacing w:after="200" w:line="276" w:lineRule="auto"/>
        <w:rPr>
          <w:color w:val="005171"/>
          <w:sz w:val="32"/>
        </w:rPr>
      </w:pPr>
      <w:r>
        <w:rPr>
          <w:color w:val="005171"/>
          <w:sz w:val="32"/>
        </w:rPr>
        <w:br w:type="page"/>
      </w:r>
    </w:p>
    <w:p w14:paraId="52D00646" w14:textId="1038950B" w:rsidR="00434007" w:rsidRDefault="00434007" w:rsidP="00434007">
      <w:pPr>
        <w:autoSpaceDE w:val="0"/>
        <w:autoSpaceDN w:val="0"/>
        <w:adjustRightInd w:val="0"/>
        <w:spacing w:after="0" w:line="240" w:lineRule="auto"/>
        <w:rPr>
          <w:rFonts w:ascii="Arial-BoldMT" w:hAnsi="Arial-BoldMT" w:cs="Arial-BoldMT"/>
          <w:b/>
          <w:bCs/>
          <w:color w:val="005172"/>
          <w:sz w:val="22"/>
          <w:lang w:val="en-US"/>
        </w:rPr>
      </w:pPr>
      <w:r w:rsidRPr="00AD1DDC">
        <w:rPr>
          <w:rFonts w:ascii="Arial-BoldMT" w:hAnsi="Arial-BoldMT" w:cs="Arial-BoldMT"/>
          <w:b/>
          <w:bCs/>
          <w:color w:val="005172"/>
          <w:sz w:val="22"/>
          <w:lang w:val="en-US"/>
        </w:rPr>
        <w:lastRenderedPageBreak/>
        <w:t xml:space="preserve">Key </w:t>
      </w:r>
      <w:r w:rsidR="0026419C" w:rsidRPr="00AD1DDC">
        <w:rPr>
          <w:rFonts w:ascii="Arial-BoldMT" w:hAnsi="Arial-BoldMT" w:cs="Arial-BoldMT"/>
          <w:b/>
          <w:bCs/>
          <w:color w:val="005172"/>
          <w:sz w:val="22"/>
          <w:lang w:val="en-US"/>
        </w:rPr>
        <w:t>Priorities</w:t>
      </w:r>
      <w:r w:rsidRPr="00AD1DDC">
        <w:rPr>
          <w:rFonts w:ascii="Arial-BoldMT" w:hAnsi="Arial-BoldMT" w:cs="Arial-BoldMT"/>
          <w:b/>
          <w:bCs/>
          <w:color w:val="005172"/>
          <w:sz w:val="22"/>
          <w:lang w:val="en-US"/>
        </w:rPr>
        <w:t xml:space="preserve"> in the Biennium 2024/25,</w:t>
      </w:r>
      <w:r>
        <w:rPr>
          <w:rFonts w:eastAsia="Times New Roman" w:cs="Arial"/>
          <w:b/>
          <w:color w:val="005172" w:themeColor="text2"/>
          <w:szCs w:val="32"/>
          <w:lang w:val="en-US"/>
        </w:rPr>
        <w:t xml:space="preserve"> </w:t>
      </w:r>
      <w:r>
        <w:rPr>
          <w:rFonts w:ascii="Arial-BoldMT" w:hAnsi="Arial-BoldMT" w:cs="Arial-BoldMT"/>
          <w:b/>
          <w:bCs/>
          <w:color w:val="005172"/>
          <w:sz w:val="22"/>
          <w:lang w:val="en-US"/>
        </w:rPr>
        <w:t>Associated Budget, and Key Performance</w:t>
      </w:r>
    </w:p>
    <w:p w14:paraId="118DA02C" w14:textId="77777777" w:rsidR="00434007" w:rsidRDefault="00434007" w:rsidP="00434007">
      <w:pPr>
        <w:autoSpaceDE w:val="0"/>
        <w:autoSpaceDN w:val="0"/>
        <w:adjustRightInd w:val="0"/>
        <w:spacing w:after="0" w:line="240" w:lineRule="auto"/>
        <w:rPr>
          <w:rFonts w:ascii="Arial-BoldMT" w:hAnsi="Arial-BoldMT" w:cs="Arial-BoldMT"/>
          <w:b/>
          <w:bCs/>
          <w:color w:val="005172"/>
          <w:sz w:val="22"/>
          <w:lang w:val="en-US"/>
        </w:rPr>
      </w:pPr>
      <w:r>
        <w:rPr>
          <w:rFonts w:ascii="Arial-BoldMT" w:hAnsi="Arial-BoldMT" w:cs="Arial-BoldMT"/>
          <w:b/>
          <w:bCs/>
          <w:color w:val="005172"/>
          <w:sz w:val="22"/>
          <w:lang w:val="en-US"/>
        </w:rPr>
        <w:t>Indicators by Strategic Pillar</w:t>
      </w:r>
    </w:p>
    <w:p w14:paraId="01466B50" w14:textId="77777777" w:rsidR="00434007" w:rsidRDefault="00434007" w:rsidP="00434007">
      <w:pPr>
        <w:autoSpaceDE w:val="0"/>
        <w:autoSpaceDN w:val="0"/>
        <w:adjustRightInd w:val="0"/>
        <w:spacing w:after="0" w:line="240" w:lineRule="auto"/>
        <w:rPr>
          <w:rFonts w:ascii="Arial-BoldMT" w:hAnsi="Arial-BoldMT" w:cs="Arial-BoldMT"/>
          <w:b/>
          <w:bCs/>
          <w:color w:val="005172"/>
          <w:sz w:val="22"/>
          <w:lang w:val="en-US"/>
        </w:rPr>
      </w:pPr>
    </w:p>
    <w:p w14:paraId="2E45E37A" w14:textId="69FA53F8" w:rsidR="00434007" w:rsidRPr="00B76804" w:rsidRDefault="00434007" w:rsidP="00982BE3">
      <w:pPr>
        <w:pStyle w:val="NormalNumb"/>
        <w:keepNext/>
        <w:spacing w:after="120"/>
        <w:ind w:left="0"/>
        <w:rPr>
          <w:lang w:val="en-US"/>
        </w:rPr>
      </w:pPr>
      <w:r w:rsidRPr="00B76804">
        <w:rPr>
          <w:lang w:val="en-US"/>
        </w:rPr>
        <w:t>Outlined below is the summary of the main priorities for the biennium 2024/25 by Strategic Pillar with associated</w:t>
      </w:r>
      <w:r w:rsidR="00B76804">
        <w:rPr>
          <w:lang w:val="en-US"/>
        </w:rPr>
        <w:t xml:space="preserve"> </w:t>
      </w:r>
      <w:r w:rsidRPr="00B76804">
        <w:rPr>
          <w:lang w:val="en-US"/>
        </w:rPr>
        <w:t>budget</w:t>
      </w:r>
      <w:r w:rsidRPr="00B76804">
        <w:rPr>
          <w:vertAlign w:val="superscript"/>
        </w:rPr>
        <w:footnoteReference w:id="9"/>
      </w:r>
      <w:r w:rsidRPr="00B76804">
        <w:rPr>
          <w:vertAlign w:val="superscript"/>
          <w:lang w:val="en-US"/>
        </w:rPr>
        <w:t xml:space="preserve"> </w:t>
      </w:r>
      <w:r w:rsidRPr="00B76804">
        <w:rPr>
          <w:lang w:val="en-US"/>
        </w:rPr>
        <w:t>and an overview of the Key Performance Indicators (KPIs) that will enable the monitoring of achievement of</w:t>
      </w:r>
      <w:r w:rsidR="00B76804">
        <w:rPr>
          <w:lang w:val="en-US"/>
        </w:rPr>
        <w:t xml:space="preserve"> </w:t>
      </w:r>
      <w:r w:rsidRPr="00B76804">
        <w:rPr>
          <w:lang w:val="en-US"/>
        </w:rPr>
        <w:t>results.  Gender equality considerations will be included, wherever relevant, for reporting in the WIPO Performance Report.</w:t>
      </w:r>
    </w:p>
    <w:p w14:paraId="4A349111" w14:textId="77777777" w:rsidR="00434007" w:rsidRPr="00982BE3" w:rsidRDefault="00434007" w:rsidP="00434007">
      <w:pPr>
        <w:pStyle w:val="NormalNumb"/>
        <w:numPr>
          <w:ilvl w:val="0"/>
          <w:numId w:val="0"/>
        </w:numPr>
        <w:spacing w:after="0"/>
        <w:rPr>
          <w:rFonts w:eastAsia="Times New Roman" w:cs="Arial"/>
          <w:b/>
          <w:color w:val="005172" w:themeColor="text2"/>
          <w:sz w:val="12"/>
          <w:szCs w:val="12"/>
          <w:lang w:val="en-US"/>
        </w:rPr>
      </w:pPr>
    </w:p>
    <w:p w14:paraId="5DAE1988" w14:textId="77777777" w:rsidR="00434007" w:rsidRDefault="00434007" w:rsidP="00434007">
      <w:pPr>
        <w:pStyle w:val="NormalNumb"/>
        <w:numPr>
          <w:ilvl w:val="0"/>
          <w:numId w:val="0"/>
        </w:numPr>
        <w:shd w:val="clear" w:color="auto" w:fill="E6F2FB" w:themeFill="accent2" w:themeFillTint="33"/>
        <w:spacing w:after="0"/>
        <w:rPr>
          <w:rFonts w:eastAsia="Times New Roman" w:cs="Arial"/>
          <w:b/>
          <w:color w:val="005172" w:themeColor="text2"/>
          <w:szCs w:val="32"/>
          <w:lang w:val="en-US"/>
        </w:rPr>
      </w:pPr>
      <w:r w:rsidRPr="00CE45CA">
        <w:rPr>
          <w:rFonts w:eastAsia="Times New Roman" w:cs="Arial"/>
          <w:b/>
          <w:color w:val="005172" w:themeColor="text2"/>
          <w:szCs w:val="32"/>
          <w:lang w:val="en-US"/>
        </w:rPr>
        <w:t>Strategic Pillar 1:  Reach out worldwide to explain the potential for intellectual property to improve the lives of everyone, everywhere</w:t>
      </w: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7348"/>
        <w:gridCol w:w="1562"/>
        <w:gridCol w:w="810"/>
      </w:tblGrid>
      <w:tr w:rsidR="00434007" w:rsidRPr="00D350B5" w14:paraId="26677113" w14:textId="77777777" w:rsidTr="00434007">
        <w:trPr>
          <w:cantSplit/>
          <w:trHeight w:val="284"/>
          <w:tblHeader/>
        </w:trPr>
        <w:tc>
          <w:tcPr>
            <w:tcW w:w="7348" w:type="dxa"/>
            <w:tcBorders>
              <w:top w:val="single" w:sz="18" w:space="0" w:color="FFFFFF" w:themeColor="background1"/>
            </w:tcBorders>
            <w:shd w:val="clear" w:color="auto" w:fill="C6CFD7" w:themeFill="accent3" w:themeFillTint="66"/>
          </w:tcPr>
          <w:p w14:paraId="25756B81" w14:textId="77777777" w:rsidR="00434007" w:rsidRPr="00D350B5" w:rsidRDefault="00434007" w:rsidP="00434007">
            <w:pPr>
              <w:pStyle w:val="TableHeading"/>
              <w:keepLines/>
              <w:spacing w:before="0"/>
            </w:pPr>
            <w:r>
              <w:t>Priorities</w:t>
            </w:r>
          </w:p>
        </w:tc>
        <w:tc>
          <w:tcPr>
            <w:tcW w:w="1562" w:type="dxa"/>
            <w:tcBorders>
              <w:top w:val="single" w:sz="18" w:space="0" w:color="FFFFFF" w:themeColor="background1"/>
            </w:tcBorders>
            <w:shd w:val="clear" w:color="auto" w:fill="C6CFD7" w:themeFill="accent3" w:themeFillTint="66"/>
          </w:tcPr>
          <w:p w14:paraId="24A9FC52" w14:textId="77777777" w:rsidR="00434007" w:rsidRDefault="00434007" w:rsidP="00434007">
            <w:pPr>
              <w:pStyle w:val="TableHeading"/>
              <w:spacing w:before="0" w:line="240" w:lineRule="auto"/>
              <w:jc w:val="center"/>
            </w:pPr>
            <w:r>
              <w:t>Budget</w:t>
            </w:r>
          </w:p>
          <w:p w14:paraId="2841A211" w14:textId="77777777" w:rsidR="00434007" w:rsidRDefault="00434007" w:rsidP="00434007">
            <w:pPr>
              <w:pStyle w:val="TableHeading"/>
              <w:spacing w:before="0" w:line="240" w:lineRule="auto"/>
              <w:ind w:left="0"/>
              <w:jc w:val="center"/>
            </w:pPr>
            <w:r w:rsidRPr="00654708">
              <w:rPr>
                <w:b w:val="0"/>
                <w:i/>
                <w:sz w:val="14"/>
                <w:szCs w:val="14"/>
              </w:rPr>
              <w:t>(in thousands of Swiss francs)</w:t>
            </w:r>
          </w:p>
        </w:tc>
        <w:tc>
          <w:tcPr>
            <w:tcW w:w="810" w:type="dxa"/>
            <w:tcBorders>
              <w:top w:val="single" w:sz="18" w:space="0" w:color="FFFFFF" w:themeColor="background1"/>
            </w:tcBorders>
            <w:shd w:val="clear" w:color="auto" w:fill="C6CFD7" w:themeFill="accent3" w:themeFillTint="66"/>
          </w:tcPr>
          <w:p w14:paraId="78F33C91" w14:textId="77777777" w:rsidR="00434007" w:rsidRDefault="00434007" w:rsidP="00434007">
            <w:pPr>
              <w:pStyle w:val="TableHeading"/>
              <w:spacing w:before="0" w:line="240" w:lineRule="auto"/>
              <w:ind w:left="0"/>
              <w:jc w:val="center"/>
            </w:pPr>
            <w:r>
              <w:t>Sector</w:t>
            </w:r>
          </w:p>
        </w:tc>
      </w:tr>
      <w:tr w:rsidR="00434007" w:rsidRPr="00D350B5" w14:paraId="22E7F429" w14:textId="77777777" w:rsidTr="00434007">
        <w:trPr>
          <w:cantSplit/>
          <w:trHeight w:val="1554"/>
        </w:trPr>
        <w:tc>
          <w:tcPr>
            <w:tcW w:w="7348" w:type="dxa"/>
            <w:tcBorders>
              <w:bottom w:val="single" w:sz="4" w:space="0" w:color="EDF0F3" w:themeColor="accent4" w:themeTint="33"/>
            </w:tcBorders>
            <w:shd w:val="clear" w:color="auto" w:fill="auto"/>
          </w:tcPr>
          <w:p w14:paraId="6969BD0B" w14:textId="77777777" w:rsidR="00434007" w:rsidRDefault="00434007" w:rsidP="008407D7">
            <w:pPr>
              <w:pStyle w:val="TableText"/>
              <w:numPr>
                <w:ilvl w:val="0"/>
                <w:numId w:val="19"/>
              </w:numPr>
              <w:spacing w:after="60"/>
              <w:ind w:left="648"/>
            </w:pPr>
            <w:r w:rsidRPr="002A3CAD">
              <w:t>Deliver</w:t>
            </w:r>
            <w:r>
              <w:t xml:space="preserve"> </w:t>
            </w:r>
            <w:r w:rsidRPr="002A3CAD">
              <w:t>a clear, consistent, positive and enduring narrative about WIPO through the global media</w:t>
            </w:r>
            <w:r>
              <w:t xml:space="preserve"> using a range of media tools</w:t>
            </w:r>
          </w:p>
          <w:p w14:paraId="1886325B" w14:textId="77777777" w:rsidR="00434007" w:rsidRDefault="00434007" w:rsidP="008407D7">
            <w:pPr>
              <w:pStyle w:val="TableText"/>
              <w:numPr>
                <w:ilvl w:val="0"/>
                <w:numId w:val="19"/>
              </w:numPr>
              <w:spacing w:after="60"/>
              <w:ind w:left="648"/>
            </w:pPr>
            <w:r w:rsidRPr="00CF0511">
              <w:t>Create suitable content, leveraging the storytelling-led communication approach, for use across WIPO's various platforms and targeted at specific audiences to build awareness about IP, including for SMEs, youth</w:t>
            </w:r>
            <w:r>
              <w:t xml:space="preserve"> and </w:t>
            </w:r>
            <w:r w:rsidRPr="00CF0511">
              <w:t xml:space="preserve">women </w:t>
            </w:r>
          </w:p>
          <w:p w14:paraId="6F467AFD" w14:textId="77777777" w:rsidR="00434007" w:rsidRDefault="00434007" w:rsidP="008407D7">
            <w:pPr>
              <w:pStyle w:val="TableText"/>
              <w:numPr>
                <w:ilvl w:val="0"/>
                <w:numId w:val="19"/>
              </w:numPr>
              <w:spacing w:after="60"/>
              <w:ind w:left="648"/>
            </w:pPr>
            <w:r w:rsidRPr="00157A4E">
              <w:t>Organiz</w:t>
            </w:r>
            <w:r>
              <w:t>e</w:t>
            </w:r>
            <w:r w:rsidRPr="00157A4E">
              <w:t xml:space="preserve"> events in collaboration with Member States and </w:t>
            </w:r>
            <w:r>
              <w:t xml:space="preserve">other </w:t>
            </w:r>
            <w:r w:rsidRPr="00157A4E">
              <w:t>stakeholders</w:t>
            </w:r>
          </w:p>
          <w:p w14:paraId="7DE92302" w14:textId="77777777" w:rsidR="00434007" w:rsidRDefault="00434007" w:rsidP="008407D7">
            <w:pPr>
              <w:pStyle w:val="TableText"/>
              <w:numPr>
                <w:ilvl w:val="0"/>
                <w:numId w:val="19"/>
              </w:numPr>
              <w:ind w:left="648"/>
            </w:pPr>
            <w:r>
              <w:t>Continue work to promote multilingualism through the implementation</w:t>
            </w:r>
            <w:r w:rsidRPr="003156FB">
              <w:t xml:space="preserve"> of the</w:t>
            </w:r>
            <w:r>
              <w:t xml:space="preserve"> R</w:t>
            </w:r>
            <w:r w:rsidRPr="003156FB">
              <w:t xml:space="preserve">evised </w:t>
            </w:r>
            <w:r>
              <w:t>P</w:t>
            </w:r>
            <w:r w:rsidRPr="003156FB">
              <w:t xml:space="preserve">olicy on </w:t>
            </w:r>
            <w:r>
              <w:t>L</w:t>
            </w:r>
            <w:r w:rsidRPr="003156FB">
              <w:t>anguages at WIPO</w:t>
            </w:r>
          </w:p>
        </w:tc>
        <w:tc>
          <w:tcPr>
            <w:tcW w:w="1562" w:type="dxa"/>
            <w:tcBorders>
              <w:bottom w:val="single" w:sz="4" w:space="0" w:color="EDF0F3" w:themeColor="accent4" w:themeTint="33"/>
            </w:tcBorders>
          </w:tcPr>
          <w:p w14:paraId="73F10187" w14:textId="77777777" w:rsidR="00434007" w:rsidDel="00863480" w:rsidRDefault="00434007" w:rsidP="00434007">
            <w:pPr>
              <w:pStyle w:val="TableText"/>
              <w:ind w:left="0" w:right="432"/>
              <w:jc w:val="right"/>
            </w:pPr>
            <w:r>
              <w:t>6,024</w:t>
            </w:r>
          </w:p>
        </w:tc>
        <w:tc>
          <w:tcPr>
            <w:tcW w:w="810" w:type="dxa"/>
            <w:tcBorders>
              <w:bottom w:val="single" w:sz="4" w:space="0" w:color="EDF0F3" w:themeColor="accent4" w:themeTint="33"/>
            </w:tcBorders>
          </w:tcPr>
          <w:p w14:paraId="7FD49758" w14:textId="77777777" w:rsidR="00434007" w:rsidRDefault="00434007" w:rsidP="00434007">
            <w:pPr>
              <w:pStyle w:val="TableText"/>
              <w:ind w:left="0"/>
              <w:jc w:val="center"/>
            </w:pPr>
            <w:r>
              <w:t>AFM</w:t>
            </w:r>
          </w:p>
          <w:p w14:paraId="19BEFC30" w14:textId="77777777" w:rsidR="00434007" w:rsidRDefault="00434007" w:rsidP="00434007">
            <w:pPr>
              <w:pStyle w:val="TableText"/>
              <w:ind w:left="0"/>
              <w:jc w:val="center"/>
            </w:pPr>
            <w:r>
              <w:t>(ODG)</w:t>
            </w:r>
          </w:p>
          <w:p w14:paraId="4EDD8299" w14:textId="77777777" w:rsidR="00434007" w:rsidRDefault="00434007" w:rsidP="00434007">
            <w:pPr>
              <w:pStyle w:val="TableText"/>
              <w:ind w:left="0"/>
              <w:jc w:val="center"/>
            </w:pPr>
          </w:p>
        </w:tc>
      </w:tr>
      <w:tr w:rsidR="00434007" w:rsidRPr="00D350B5" w14:paraId="63E7336B" w14:textId="77777777" w:rsidTr="00434007">
        <w:trPr>
          <w:cantSplit/>
          <w:trHeight w:val="762"/>
        </w:trPr>
        <w:tc>
          <w:tcPr>
            <w:tcW w:w="7348" w:type="dxa"/>
            <w:tcBorders>
              <w:bottom w:val="single" w:sz="4" w:space="0" w:color="EDF0F3" w:themeColor="accent4" w:themeTint="33"/>
            </w:tcBorders>
            <w:shd w:val="clear" w:color="auto" w:fill="auto"/>
          </w:tcPr>
          <w:p w14:paraId="378E94CC" w14:textId="77777777" w:rsidR="00434007" w:rsidRDefault="00434007" w:rsidP="008407D7">
            <w:pPr>
              <w:pStyle w:val="TableText"/>
              <w:numPr>
                <w:ilvl w:val="0"/>
                <w:numId w:val="19"/>
              </w:numPr>
              <w:spacing w:after="60"/>
              <w:ind w:left="648"/>
            </w:pPr>
            <w:r w:rsidRPr="00CF0511">
              <w:t>Develop thought leadership content and maximize the discov</w:t>
            </w:r>
            <w:r>
              <w:t xml:space="preserve">erability, reach and impact of </w:t>
            </w:r>
            <w:r w:rsidRPr="00CF0511">
              <w:t>both WIPO digital content and events</w:t>
            </w:r>
          </w:p>
          <w:p w14:paraId="73EF3005" w14:textId="537658FB" w:rsidR="00434007" w:rsidRPr="00D350B5" w:rsidRDefault="001E7A58" w:rsidP="008407D7">
            <w:pPr>
              <w:pStyle w:val="TableText"/>
              <w:numPr>
                <w:ilvl w:val="0"/>
                <w:numId w:val="19"/>
              </w:numPr>
              <w:spacing w:after="60"/>
              <w:ind w:left="648"/>
            </w:pPr>
            <w:r>
              <w:t>D</w:t>
            </w:r>
            <w:r w:rsidR="00607486">
              <w:t>eliver</w:t>
            </w:r>
            <w:r w:rsidR="00434007">
              <w:t xml:space="preserve"> a harmonized brand experience yet a personalized WIPO </w:t>
            </w:r>
            <w:r w:rsidR="00607486">
              <w:t xml:space="preserve">customer </w:t>
            </w:r>
            <w:r w:rsidR="00434007">
              <w:t>journey</w:t>
            </w:r>
          </w:p>
        </w:tc>
        <w:tc>
          <w:tcPr>
            <w:tcW w:w="1562" w:type="dxa"/>
            <w:tcBorders>
              <w:bottom w:val="single" w:sz="4" w:space="0" w:color="EDF0F3" w:themeColor="accent4" w:themeTint="33"/>
            </w:tcBorders>
          </w:tcPr>
          <w:p w14:paraId="3A122ED2" w14:textId="77777777" w:rsidR="00434007" w:rsidRDefault="00434007" w:rsidP="00434007">
            <w:pPr>
              <w:pStyle w:val="TableText"/>
              <w:ind w:left="0" w:right="432"/>
              <w:jc w:val="right"/>
            </w:pPr>
            <w:r>
              <w:t>7,925</w:t>
            </w:r>
          </w:p>
        </w:tc>
        <w:tc>
          <w:tcPr>
            <w:tcW w:w="810" w:type="dxa"/>
            <w:tcBorders>
              <w:bottom w:val="single" w:sz="4" w:space="0" w:color="EDF0F3" w:themeColor="accent4" w:themeTint="33"/>
            </w:tcBorders>
          </w:tcPr>
          <w:p w14:paraId="669B03A1" w14:textId="77777777" w:rsidR="00434007" w:rsidRDefault="00434007" w:rsidP="00434007">
            <w:pPr>
              <w:pStyle w:val="TableText"/>
              <w:ind w:left="0"/>
              <w:jc w:val="center"/>
            </w:pPr>
            <w:r>
              <w:t>CCI</w:t>
            </w:r>
          </w:p>
        </w:tc>
      </w:tr>
      <w:tr w:rsidR="00434007" w:rsidRPr="00D350B5" w14:paraId="4C43E99E" w14:textId="77777777" w:rsidTr="00434007">
        <w:trPr>
          <w:cantSplit/>
          <w:trHeight w:val="743"/>
        </w:trPr>
        <w:tc>
          <w:tcPr>
            <w:tcW w:w="7348" w:type="dxa"/>
            <w:tcBorders>
              <w:top w:val="single" w:sz="4" w:space="0" w:color="EDF0F3" w:themeColor="accent4" w:themeTint="33"/>
              <w:bottom w:val="single" w:sz="4" w:space="0" w:color="EDF0F3" w:themeColor="accent4" w:themeTint="33"/>
            </w:tcBorders>
            <w:shd w:val="clear" w:color="auto" w:fill="auto"/>
          </w:tcPr>
          <w:p w14:paraId="37AC7A58" w14:textId="77777777" w:rsidR="00434007" w:rsidRDefault="00434007" w:rsidP="008407D7">
            <w:pPr>
              <w:pStyle w:val="TableText"/>
              <w:numPr>
                <w:ilvl w:val="0"/>
                <w:numId w:val="19"/>
              </w:numPr>
              <w:ind w:left="648"/>
            </w:pPr>
            <w:r>
              <w:t>E</w:t>
            </w:r>
            <w:r w:rsidRPr="008C39EA">
              <w:t>fficient and effective interface with stakeholders</w:t>
            </w:r>
            <w:r>
              <w:t xml:space="preserve"> globally</w:t>
            </w:r>
            <w:r w:rsidRPr="008C39EA">
              <w:t xml:space="preserve">, </w:t>
            </w:r>
            <w:r>
              <w:t>and</w:t>
            </w:r>
            <w:r w:rsidRPr="008C39EA">
              <w:t xml:space="preserve"> proactive engagement and represent</w:t>
            </w:r>
            <w:r>
              <w:t>ation</w:t>
            </w:r>
            <w:r w:rsidRPr="008C39EA">
              <w:t xml:space="preserve"> </w:t>
            </w:r>
            <w:r>
              <w:t xml:space="preserve">of </w:t>
            </w:r>
            <w:r w:rsidRPr="008C39EA">
              <w:t>HQ at various fora and events</w:t>
            </w:r>
          </w:p>
          <w:p w14:paraId="6EDE6013" w14:textId="77777777" w:rsidR="00434007" w:rsidRPr="00D350B5" w:rsidRDefault="00434007" w:rsidP="008407D7">
            <w:pPr>
              <w:pStyle w:val="TableText"/>
              <w:numPr>
                <w:ilvl w:val="0"/>
                <w:numId w:val="19"/>
              </w:numPr>
              <w:ind w:left="648"/>
            </w:pPr>
            <w:r>
              <w:t>Develop and disseminate</w:t>
            </w:r>
            <w:r w:rsidRPr="00BA6927">
              <w:t xml:space="preserve"> </w:t>
            </w:r>
            <w:r>
              <w:t>region or</w:t>
            </w:r>
            <w:r w:rsidRPr="00BA6927">
              <w:t xml:space="preserve"> country specific content</w:t>
            </w:r>
            <w:r>
              <w:t xml:space="preserve"> as relevant</w:t>
            </w:r>
          </w:p>
        </w:tc>
        <w:tc>
          <w:tcPr>
            <w:tcW w:w="1562" w:type="dxa"/>
            <w:tcBorders>
              <w:top w:val="single" w:sz="4" w:space="0" w:color="EDF0F3" w:themeColor="accent4" w:themeTint="33"/>
              <w:bottom w:val="single" w:sz="4" w:space="0" w:color="EDF0F3" w:themeColor="accent4" w:themeTint="33"/>
            </w:tcBorders>
          </w:tcPr>
          <w:p w14:paraId="6418BE7F" w14:textId="77777777" w:rsidR="00434007" w:rsidRDefault="00434007" w:rsidP="00434007">
            <w:pPr>
              <w:pStyle w:val="TableText"/>
              <w:ind w:left="0" w:right="432"/>
              <w:jc w:val="right"/>
            </w:pPr>
            <w:r>
              <w:t>5,466</w:t>
            </w:r>
          </w:p>
        </w:tc>
        <w:tc>
          <w:tcPr>
            <w:tcW w:w="810" w:type="dxa"/>
            <w:tcBorders>
              <w:top w:val="single" w:sz="4" w:space="0" w:color="EDF0F3" w:themeColor="accent4" w:themeTint="33"/>
              <w:bottom w:val="single" w:sz="4" w:space="0" w:color="EDF0F3" w:themeColor="accent4" w:themeTint="33"/>
            </w:tcBorders>
          </w:tcPr>
          <w:p w14:paraId="2451093F" w14:textId="77777777" w:rsidR="00434007" w:rsidRDefault="00434007" w:rsidP="00434007">
            <w:pPr>
              <w:pStyle w:val="TableText"/>
              <w:ind w:left="0"/>
              <w:jc w:val="center"/>
            </w:pPr>
            <w:r>
              <w:t>RND</w:t>
            </w:r>
          </w:p>
          <w:p w14:paraId="53DC7A12" w14:textId="77777777" w:rsidR="00434007" w:rsidRPr="00D350B5" w:rsidRDefault="00434007" w:rsidP="00434007">
            <w:pPr>
              <w:pStyle w:val="TableText"/>
              <w:ind w:left="0"/>
              <w:jc w:val="center"/>
            </w:pPr>
          </w:p>
        </w:tc>
      </w:tr>
    </w:tbl>
    <w:p w14:paraId="64662D82" w14:textId="77777777" w:rsidR="00434007" w:rsidRDefault="00434007" w:rsidP="00434007">
      <w:pPr>
        <w:spacing w:after="0"/>
      </w:pP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29" w:type="dxa"/>
          <w:bottom w:w="28" w:type="dxa"/>
          <w:right w:w="72" w:type="dxa"/>
        </w:tblCellMar>
        <w:tblLook w:val="04A0" w:firstRow="1" w:lastRow="0" w:firstColumn="1" w:lastColumn="0" w:noHBand="0" w:noVBand="1"/>
      </w:tblPr>
      <w:tblGrid>
        <w:gridCol w:w="3515"/>
        <w:gridCol w:w="4765"/>
        <w:gridCol w:w="1440"/>
      </w:tblGrid>
      <w:tr w:rsidR="00434007" w:rsidRPr="00D350B5" w14:paraId="35B026E3" w14:textId="77777777" w:rsidTr="00434007">
        <w:trPr>
          <w:cantSplit/>
          <w:trHeight w:val="19"/>
          <w:tblHeader/>
        </w:trPr>
        <w:tc>
          <w:tcPr>
            <w:tcW w:w="3515" w:type="dxa"/>
            <w:shd w:val="clear" w:color="auto" w:fill="C6CFD7" w:themeFill="accent3" w:themeFillTint="66"/>
          </w:tcPr>
          <w:p w14:paraId="1DE659E9" w14:textId="77777777" w:rsidR="00434007" w:rsidRPr="00D350B5" w:rsidRDefault="00434007" w:rsidP="00434007">
            <w:pPr>
              <w:pStyle w:val="TableHeading"/>
              <w:rPr>
                <w:lang w:val="en-US"/>
              </w:rPr>
            </w:pPr>
            <w:r w:rsidRPr="00D350B5">
              <w:rPr>
                <w:lang w:val="en-US"/>
              </w:rPr>
              <w:t>Expected Result</w:t>
            </w:r>
          </w:p>
        </w:tc>
        <w:tc>
          <w:tcPr>
            <w:tcW w:w="4765" w:type="dxa"/>
            <w:shd w:val="clear" w:color="auto" w:fill="C6CFD7" w:themeFill="accent3" w:themeFillTint="66"/>
          </w:tcPr>
          <w:p w14:paraId="2914143E" w14:textId="77777777" w:rsidR="00434007" w:rsidRPr="00D350B5" w:rsidRDefault="00434007" w:rsidP="00434007">
            <w:pPr>
              <w:pStyle w:val="TableHeading"/>
              <w:rPr>
                <w:lang w:val="en-US"/>
              </w:rPr>
            </w:pPr>
            <w:r w:rsidRPr="00D350B5">
              <w:rPr>
                <w:lang w:val="en-US"/>
              </w:rPr>
              <w:t>Performance Indicators</w:t>
            </w:r>
          </w:p>
        </w:tc>
        <w:tc>
          <w:tcPr>
            <w:tcW w:w="1440" w:type="dxa"/>
            <w:shd w:val="clear" w:color="auto" w:fill="C6CFD7" w:themeFill="accent3" w:themeFillTint="66"/>
          </w:tcPr>
          <w:p w14:paraId="025944C7" w14:textId="77777777" w:rsidR="00434007" w:rsidRPr="00D350B5" w:rsidRDefault="00434007" w:rsidP="00434007">
            <w:pPr>
              <w:pStyle w:val="TableHeading"/>
              <w:jc w:val="center"/>
              <w:rPr>
                <w:lang w:val="en-US"/>
              </w:rPr>
            </w:pPr>
            <w:r>
              <w:rPr>
                <w:lang w:val="en-US"/>
              </w:rPr>
              <w:t>Sector</w:t>
            </w:r>
          </w:p>
        </w:tc>
      </w:tr>
      <w:tr w:rsidR="00434007" w:rsidRPr="00D350B5" w14:paraId="27AEB70E" w14:textId="77777777" w:rsidTr="00434007">
        <w:trPr>
          <w:cantSplit/>
          <w:trHeight w:val="19"/>
        </w:trPr>
        <w:tc>
          <w:tcPr>
            <w:tcW w:w="3515" w:type="dxa"/>
            <w:vMerge w:val="restart"/>
            <w:shd w:val="clear" w:color="auto" w:fill="auto"/>
          </w:tcPr>
          <w:p w14:paraId="41D0ACD5" w14:textId="77777777" w:rsidR="00434007" w:rsidRPr="00D350B5" w:rsidRDefault="00434007" w:rsidP="00434007">
            <w:pPr>
              <w:pStyle w:val="TableTextBold"/>
              <w:rPr>
                <w:lang w:val="en-US"/>
              </w:rPr>
            </w:pPr>
            <w:r>
              <w:rPr>
                <w:rStyle w:val="charColoured"/>
                <w:lang w:val="en-US"/>
              </w:rPr>
              <w:t>1</w:t>
            </w:r>
            <w:r w:rsidRPr="00D350B5">
              <w:rPr>
                <w:rStyle w:val="charColoured"/>
                <w:lang w:val="en-US"/>
              </w:rPr>
              <w:t>.1</w:t>
            </w:r>
            <w:r w:rsidRPr="00D350B5">
              <w:rPr>
                <w:color w:val="005694"/>
                <w:lang w:val="en-US"/>
              </w:rPr>
              <w:t xml:space="preserve"> </w:t>
            </w:r>
            <w:r w:rsidRPr="009E1453">
              <w:rPr>
                <w:lang w:val="en-US"/>
              </w:rPr>
              <w:t>More effective communication and engagement world-wide to raise awareness of and increase knowledge about the potential of IP to improve the lives of everyone, everywhere</w:t>
            </w:r>
          </w:p>
        </w:tc>
        <w:tc>
          <w:tcPr>
            <w:tcW w:w="4765" w:type="dxa"/>
            <w:shd w:val="clear" w:color="auto" w:fill="auto"/>
          </w:tcPr>
          <w:p w14:paraId="7D83341A" w14:textId="77777777" w:rsidR="00434007" w:rsidRPr="00D350B5" w:rsidRDefault="00434007" w:rsidP="00434007">
            <w:pPr>
              <w:pStyle w:val="TableText"/>
              <w:rPr>
                <w:lang w:val="en-US"/>
              </w:rPr>
            </w:pPr>
            <w:r w:rsidRPr="009E1453">
              <w:rPr>
                <w:lang w:val="en-US"/>
              </w:rPr>
              <w:t>No. of unique visitors to the WIPO website and the websites of the External Offices</w:t>
            </w:r>
          </w:p>
        </w:tc>
        <w:tc>
          <w:tcPr>
            <w:tcW w:w="1440" w:type="dxa"/>
            <w:shd w:val="clear" w:color="auto" w:fill="auto"/>
          </w:tcPr>
          <w:p w14:paraId="2D72C9A6" w14:textId="77777777" w:rsidR="00434007" w:rsidRPr="00D350B5" w:rsidRDefault="00434007" w:rsidP="00434007">
            <w:pPr>
              <w:pStyle w:val="TableText"/>
              <w:jc w:val="center"/>
              <w:rPr>
                <w:lang w:val="en-US"/>
              </w:rPr>
            </w:pPr>
            <w:r>
              <w:rPr>
                <w:lang w:val="en-US"/>
              </w:rPr>
              <w:t xml:space="preserve">CCI, </w:t>
            </w:r>
            <w:r w:rsidRPr="004A4423">
              <w:rPr>
                <w:lang w:val="en-US"/>
              </w:rPr>
              <w:t>RND</w:t>
            </w:r>
          </w:p>
        </w:tc>
      </w:tr>
      <w:tr w:rsidR="00434007" w:rsidRPr="00D350B5" w14:paraId="782E42EC" w14:textId="77777777" w:rsidTr="00434007">
        <w:trPr>
          <w:cantSplit/>
          <w:trHeight w:val="19"/>
        </w:trPr>
        <w:tc>
          <w:tcPr>
            <w:tcW w:w="3515" w:type="dxa"/>
            <w:vMerge/>
            <w:shd w:val="clear" w:color="auto" w:fill="auto"/>
          </w:tcPr>
          <w:p w14:paraId="74B14E14" w14:textId="77777777" w:rsidR="00434007" w:rsidRDefault="00434007" w:rsidP="00434007">
            <w:pPr>
              <w:pStyle w:val="TableTextBold"/>
              <w:rPr>
                <w:rStyle w:val="charColoured"/>
                <w:lang w:val="en-US"/>
              </w:rPr>
            </w:pPr>
          </w:p>
        </w:tc>
        <w:tc>
          <w:tcPr>
            <w:tcW w:w="4765" w:type="dxa"/>
            <w:shd w:val="clear" w:color="auto" w:fill="auto"/>
          </w:tcPr>
          <w:p w14:paraId="510D45BB" w14:textId="77777777" w:rsidR="00434007" w:rsidRPr="00050408" w:rsidRDefault="00434007" w:rsidP="00434007">
            <w:pPr>
              <w:pStyle w:val="TableText"/>
            </w:pPr>
            <w:r w:rsidRPr="00D756DB">
              <w:rPr>
                <w:lang w:val="en-US"/>
              </w:rPr>
              <w:t>No. of unique visitors who accessed WIPO publications</w:t>
            </w:r>
          </w:p>
        </w:tc>
        <w:tc>
          <w:tcPr>
            <w:tcW w:w="1440" w:type="dxa"/>
            <w:shd w:val="clear" w:color="auto" w:fill="auto"/>
          </w:tcPr>
          <w:p w14:paraId="05390981" w14:textId="77777777" w:rsidR="00434007" w:rsidRPr="00D350B5" w:rsidRDefault="00434007" w:rsidP="00434007">
            <w:pPr>
              <w:pStyle w:val="TableText"/>
              <w:jc w:val="center"/>
              <w:rPr>
                <w:lang w:val="en-US"/>
              </w:rPr>
            </w:pPr>
            <w:r>
              <w:rPr>
                <w:lang w:val="en-US"/>
              </w:rPr>
              <w:t>CCI</w:t>
            </w:r>
          </w:p>
        </w:tc>
      </w:tr>
      <w:tr w:rsidR="00434007" w:rsidRPr="00D350B5" w14:paraId="3290ED54" w14:textId="77777777" w:rsidTr="00434007">
        <w:trPr>
          <w:cantSplit/>
          <w:trHeight w:val="19"/>
        </w:trPr>
        <w:tc>
          <w:tcPr>
            <w:tcW w:w="3515" w:type="dxa"/>
            <w:vMerge/>
            <w:shd w:val="clear" w:color="auto" w:fill="auto"/>
          </w:tcPr>
          <w:p w14:paraId="21CA4641" w14:textId="77777777" w:rsidR="00434007" w:rsidRDefault="00434007" w:rsidP="00434007">
            <w:pPr>
              <w:pStyle w:val="TableTextBold"/>
              <w:rPr>
                <w:rStyle w:val="charColoured"/>
                <w:lang w:val="en-US"/>
              </w:rPr>
            </w:pPr>
          </w:p>
        </w:tc>
        <w:tc>
          <w:tcPr>
            <w:tcW w:w="4765" w:type="dxa"/>
            <w:shd w:val="clear" w:color="auto" w:fill="auto"/>
          </w:tcPr>
          <w:p w14:paraId="67F60274" w14:textId="77777777" w:rsidR="00434007" w:rsidRPr="007A26C7" w:rsidRDefault="00434007" w:rsidP="00434007">
            <w:pPr>
              <w:pStyle w:val="TableText"/>
              <w:rPr>
                <w:lang w:val="en-US"/>
              </w:rPr>
            </w:pPr>
            <w:r w:rsidRPr="004A4423">
              <w:rPr>
                <w:lang w:val="en-US"/>
              </w:rPr>
              <w:t>Media mentions of WIPO</w:t>
            </w:r>
          </w:p>
        </w:tc>
        <w:tc>
          <w:tcPr>
            <w:tcW w:w="1440" w:type="dxa"/>
            <w:shd w:val="clear" w:color="auto" w:fill="auto"/>
          </w:tcPr>
          <w:p w14:paraId="63C909FC" w14:textId="77777777" w:rsidR="00434007" w:rsidRPr="00D350B5" w:rsidRDefault="00434007" w:rsidP="00434007">
            <w:pPr>
              <w:pStyle w:val="TableText"/>
              <w:jc w:val="center"/>
              <w:rPr>
                <w:lang w:val="en-US"/>
              </w:rPr>
            </w:pPr>
            <w:r>
              <w:rPr>
                <w:lang w:val="en-US"/>
              </w:rPr>
              <w:t>ODG</w:t>
            </w:r>
          </w:p>
        </w:tc>
      </w:tr>
      <w:tr w:rsidR="00434007" w:rsidRPr="00D350B5" w14:paraId="4150AA44" w14:textId="77777777" w:rsidTr="00434007">
        <w:trPr>
          <w:cantSplit/>
          <w:trHeight w:val="19"/>
        </w:trPr>
        <w:tc>
          <w:tcPr>
            <w:tcW w:w="3515" w:type="dxa"/>
            <w:vMerge/>
            <w:shd w:val="clear" w:color="auto" w:fill="auto"/>
          </w:tcPr>
          <w:p w14:paraId="7CED6EC0" w14:textId="77777777" w:rsidR="00434007" w:rsidRDefault="00434007" w:rsidP="00434007">
            <w:pPr>
              <w:pStyle w:val="TableTextBold"/>
              <w:rPr>
                <w:rStyle w:val="charColoured"/>
                <w:lang w:val="en-US"/>
              </w:rPr>
            </w:pPr>
          </w:p>
        </w:tc>
        <w:tc>
          <w:tcPr>
            <w:tcW w:w="4765" w:type="dxa"/>
            <w:shd w:val="clear" w:color="auto" w:fill="auto"/>
          </w:tcPr>
          <w:p w14:paraId="3BBEC7A4" w14:textId="77777777" w:rsidR="00434007" w:rsidRPr="009E1453" w:rsidRDefault="00434007" w:rsidP="00434007">
            <w:pPr>
              <w:pStyle w:val="TableText"/>
              <w:rPr>
                <w:lang w:val="en-US"/>
              </w:rPr>
            </w:pPr>
            <w:r w:rsidRPr="004A4423">
              <w:rPr>
                <w:lang w:val="en-US"/>
              </w:rPr>
              <w:t>Reach of WIPO’s main social media presences</w:t>
            </w:r>
          </w:p>
        </w:tc>
        <w:tc>
          <w:tcPr>
            <w:tcW w:w="1440" w:type="dxa"/>
            <w:shd w:val="clear" w:color="auto" w:fill="auto"/>
          </w:tcPr>
          <w:p w14:paraId="20FDBD37" w14:textId="77777777" w:rsidR="00434007" w:rsidRPr="00D350B5" w:rsidRDefault="00434007" w:rsidP="00434007">
            <w:pPr>
              <w:pStyle w:val="TableText"/>
              <w:jc w:val="center"/>
              <w:rPr>
                <w:lang w:val="en-US"/>
              </w:rPr>
            </w:pPr>
            <w:r>
              <w:rPr>
                <w:lang w:val="en-US"/>
              </w:rPr>
              <w:t>ODG</w:t>
            </w:r>
          </w:p>
        </w:tc>
      </w:tr>
      <w:tr w:rsidR="00434007" w:rsidRPr="00D350B5" w14:paraId="58F8FE13" w14:textId="77777777" w:rsidTr="00434007">
        <w:trPr>
          <w:cantSplit/>
          <w:trHeight w:val="19"/>
        </w:trPr>
        <w:tc>
          <w:tcPr>
            <w:tcW w:w="3515" w:type="dxa"/>
            <w:vMerge/>
            <w:shd w:val="clear" w:color="auto" w:fill="auto"/>
          </w:tcPr>
          <w:p w14:paraId="4EA0D0E3" w14:textId="77777777" w:rsidR="00434007" w:rsidRDefault="00434007" w:rsidP="00434007">
            <w:pPr>
              <w:pStyle w:val="TableTextBold"/>
              <w:rPr>
                <w:rStyle w:val="charColoured"/>
                <w:lang w:val="en-US"/>
              </w:rPr>
            </w:pPr>
          </w:p>
        </w:tc>
        <w:tc>
          <w:tcPr>
            <w:tcW w:w="4765" w:type="dxa"/>
            <w:shd w:val="clear" w:color="auto" w:fill="auto"/>
          </w:tcPr>
          <w:p w14:paraId="0A7A7AAC" w14:textId="77777777" w:rsidR="00434007" w:rsidRPr="009E1453" w:rsidRDefault="00434007" w:rsidP="00434007">
            <w:pPr>
              <w:pStyle w:val="TableText"/>
              <w:rPr>
                <w:lang w:val="en-US"/>
              </w:rPr>
            </w:pPr>
            <w:r w:rsidRPr="004A4423">
              <w:rPr>
                <w:lang w:val="en-US"/>
              </w:rPr>
              <w:t>Level of satisfaction of Member States and other stakeholders with the organization of events</w:t>
            </w:r>
          </w:p>
        </w:tc>
        <w:tc>
          <w:tcPr>
            <w:tcW w:w="1440" w:type="dxa"/>
            <w:shd w:val="clear" w:color="auto" w:fill="auto"/>
          </w:tcPr>
          <w:p w14:paraId="17C0C2AC" w14:textId="77777777" w:rsidR="00434007" w:rsidRPr="00D350B5" w:rsidRDefault="00434007" w:rsidP="00434007">
            <w:pPr>
              <w:pStyle w:val="TableText"/>
              <w:jc w:val="center"/>
              <w:rPr>
                <w:lang w:val="en-US"/>
              </w:rPr>
            </w:pPr>
            <w:r>
              <w:rPr>
                <w:lang w:val="en-US"/>
              </w:rPr>
              <w:t>ODG</w:t>
            </w:r>
          </w:p>
        </w:tc>
      </w:tr>
      <w:tr w:rsidR="00434007" w:rsidRPr="00D350B5" w14:paraId="764D076C" w14:textId="77777777" w:rsidTr="00434007">
        <w:trPr>
          <w:cantSplit/>
          <w:trHeight w:val="19"/>
        </w:trPr>
        <w:tc>
          <w:tcPr>
            <w:tcW w:w="3515" w:type="dxa"/>
            <w:shd w:val="clear" w:color="auto" w:fill="auto"/>
          </w:tcPr>
          <w:p w14:paraId="63380494" w14:textId="77777777" w:rsidR="00434007" w:rsidRDefault="00434007" w:rsidP="00434007">
            <w:pPr>
              <w:pStyle w:val="TableTextBold"/>
              <w:rPr>
                <w:rStyle w:val="charColoured"/>
                <w:lang w:val="en-US"/>
              </w:rPr>
            </w:pPr>
          </w:p>
        </w:tc>
        <w:tc>
          <w:tcPr>
            <w:tcW w:w="4765" w:type="dxa"/>
            <w:shd w:val="clear" w:color="auto" w:fill="auto"/>
          </w:tcPr>
          <w:p w14:paraId="77148E42" w14:textId="77777777" w:rsidR="00434007" w:rsidRPr="004A4423" w:rsidRDefault="00434007" w:rsidP="00434007">
            <w:pPr>
              <w:pStyle w:val="TableText"/>
              <w:rPr>
                <w:lang w:val="en-US"/>
              </w:rPr>
            </w:pPr>
            <w:r w:rsidRPr="007D4F2D">
              <w:t>% of WIPO Flagship Publications for which the Executive Summary is translated into all official UN languages</w:t>
            </w:r>
          </w:p>
        </w:tc>
        <w:tc>
          <w:tcPr>
            <w:tcW w:w="1440" w:type="dxa"/>
            <w:shd w:val="clear" w:color="auto" w:fill="auto"/>
          </w:tcPr>
          <w:p w14:paraId="6AA27AC7" w14:textId="77777777" w:rsidR="00434007" w:rsidRDefault="00434007" w:rsidP="00434007">
            <w:pPr>
              <w:pStyle w:val="TableText"/>
              <w:jc w:val="center"/>
              <w:rPr>
                <w:lang w:val="en-US"/>
              </w:rPr>
            </w:pPr>
            <w:r w:rsidRPr="001D5216">
              <w:rPr>
                <w:lang w:val="en-US"/>
              </w:rPr>
              <w:t>ODG</w:t>
            </w:r>
          </w:p>
        </w:tc>
      </w:tr>
      <w:tr w:rsidR="00434007" w:rsidRPr="00D350B5" w14:paraId="47249BFE" w14:textId="77777777" w:rsidTr="00434007">
        <w:trPr>
          <w:cantSplit/>
          <w:trHeight w:val="19"/>
        </w:trPr>
        <w:tc>
          <w:tcPr>
            <w:tcW w:w="3515" w:type="dxa"/>
            <w:shd w:val="clear" w:color="auto" w:fill="auto"/>
          </w:tcPr>
          <w:p w14:paraId="04229FFE" w14:textId="77777777" w:rsidR="00434007" w:rsidRDefault="00434007" w:rsidP="00434007">
            <w:pPr>
              <w:pStyle w:val="TableTextBold"/>
              <w:rPr>
                <w:rStyle w:val="charColoured"/>
                <w:lang w:val="en-US"/>
              </w:rPr>
            </w:pPr>
          </w:p>
        </w:tc>
        <w:tc>
          <w:tcPr>
            <w:tcW w:w="4765" w:type="dxa"/>
            <w:shd w:val="clear" w:color="auto" w:fill="auto"/>
          </w:tcPr>
          <w:p w14:paraId="3F607A29" w14:textId="77777777" w:rsidR="00434007" w:rsidRPr="004A4423" w:rsidRDefault="00434007" w:rsidP="00434007">
            <w:pPr>
              <w:pStyle w:val="TableText"/>
              <w:rPr>
                <w:lang w:val="en-US"/>
              </w:rPr>
            </w:pPr>
            <w:r w:rsidRPr="007D4F2D">
              <w:t>% of WIPO global publications on substantive IP topics published in 202</w:t>
            </w:r>
            <w:r>
              <w:t>4/2025</w:t>
            </w:r>
            <w:r w:rsidRPr="007D4F2D">
              <w:t xml:space="preserve"> and translated into all official UN languages</w:t>
            </w:r>
          </w:p>
        </w:tc>
        <w:tc>
          <w:tcPr>
            <w:tcW w:w="1440" w:type="dxa"/>
            <w:shd w:val="clear" w:color="auto" w:fill="auto"/>
          </w:tcPr>
          <w:p w14:paraId="733B5B25" w14:textId="77777777" w:rsidR="00434007" w:rsidRDefault="00434007" w:rsidP="00434007">
            <w:pPr>
              <w:pStyle w:val="TableText"/>
              <w:jc w:val="center"/>
              <w:rPr>
                <w:lang w:val="en-US"/>
              </w:rPr>
            </w:pPr>
            <w:r w:rsidRPr="001D5216">
              <w:rPr>
                <w:lang w:val="en-US"/>
              </w:rPr>
              <w:t>ODG</w:t>
            </w:r>
          </w:p>
        </w:tc>
      </w:tr>
      <w:tr w:rsidR="00434007" w:rsidRPr="00D350B5" w14:paraId="092A6741" w14:textId="77777777" w:rsidTr="00434007">
        <w:trPr>
          <w:cantSplit/>
          <w:trHeight w:val="303"/>
        </w:trPr>
        <w:tc>
          <w:tcPr>
            <w:tcW w:w="3515" w:type="dxa"/>
            <w:tcBorders>
              <w:bottom w:val="single" w:sz="4" w:space="0" w:color="C6CFD7" w:themeColor="accent3" w:themeTint="66"/>
            </w:tcBorders>
            <w:shd w:val="clear" w:color="auto" w:fill="auto"/>
          </w:tcPr>
          <w:p w14:paraId="62813B5C" w14:textId="77777777" w:rsidR="00434007" w:rsidRDefault="00434007" w:rsidP="00434007">
            <w:pPr>
              <w:pStyle w:val="TableTextBold"/>
              <w:rPr>
                <w:rStyle w:val="charColoured"/>
                <w:lang w:val="en-US"/>
              </w:rPr>
            </w:pPr>
          </w:p>
        </w:tc>
        <w:tc>
          <w:tcPr>
            <w:tcW w:w="4765" w:type="dxa"/>
            <w:tcBorders>
              <w:bottom w:val="single" w:sz="4" w:space="0" w:color="C6CFD7" w:themeColor="accent3" w:themeTint="66"/>
            </w:tcBorders>
            <w:shd w:val="clear" w:color="auto" w:fill="auto"/>
          </w:tcPr>
          <w:p w14:paraId="12CF1B55" w14:textId="77777777" w:rsidR="00434007" w:rsidRPr="00AD1DDC" w:rsidRDefault="00434007" w:rsidP="00434007">
            <w:pPr>
              <w:pStyle w:val="TableText"/>
              <w:rPr>
                <w:color w:val="00B0F0"/>
              </w:rPr>
            </w:pPr>
            <w:r w:rsidRPr="00762FC1">
              <w:t>% of web-based content available in all official UN languages</w:t>
            </w:r>
          </w:p>
        </w:tc>
        <w:tc>
          <w:tcPr>
            <w:tcW w:w="1440" w:type="dxa"/>
            <w:tcBorders>
              <w:bottom w:val="single" w:sz="4" w:space="0" w:color="C6CFD7" w:themeColor="accent3" w:themeTint="66"/>
            </w:tcBorders>
            <w:shd w:val="clear" w:color="auto" w:fill="auto"/>
          </w:tcPr>
          <w:p w14:paraId="2E58365D" w14:textId="77777777" w:rsidR="00434007" w:rsidRDefault="00434007" w:rsidP="00434007">
            <w:pPr>
              <w:pStyle w:val="TableText"/>
              <w:jc w:val="center"/>
              <w:rPr>
                <w:lang w:val="en-US"/>
              </w:rPr>
            </w:pPr>
            <w:r>
              <w:rPr>
                <w:lang w:val="en-US"/>
              </w:rPr>
              <w:t>ODG</w:t>
            </w:r>
          </w:p>
        </w:tc>
      </w:tr>
    </w:tbl>
    <w:p w14:paraId="3AC7D772" w14:textId="77777777" w:rsidR="00434007" w:rsidRDefault="00434007" w:rsidP="00434007">
      <w:pPr>
        <w:pStyle w:val="NormalNoSpace"/>
      </w:pPr>
    </w:p>
    <w:p w14:paraId="4E80137A" w14:textId="77777777" w:rsidR="00434007" w:rsidRPr="00CE45CA" w:rsidRDefault="00434007" w:rsidP="00434007">
      <w:pPr>
        <w:pStyle w:val="NormalNoSpace"/>
        <w:shd w:val="clear" w:color="auto" w:fill="E6F2FB" w:themeFill="accent2" w:themeFillTint="33"/>
        <w:rPr>
          <w:lang w:val="en-US"/>
        </w:rPr>
      </w:pPr>
      <w:r w:rsidRPr="0080201A">
        <w:rPr>
          <w:rFonts w:eastAsia="Times New Roman" w:cs="Arial"/>
          <w:b/>
          <w:color w:val="005172" w:themeColor="text2"/>
          <w:szCs w:val="32"/>
          <w:lang w:val="en-US"/>
        </w:rPr>
        <w:t>Strategic Pillar 2:  Bring people together and partner with stakeholders to shape the future of the global intellectual property ecosystem</w:t>
      </w: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7380"/>
        <w:gridCol w:w="1692"/>
        <w:gridCol w:w="648"/>
      </w:tblGrid>
      <w:tr w:rsidR="00434007" w:rsidRPr="00D350B5" w14:paraId="0176DE23" w14:textId="77777777" w:rsidTr="00434007">
        <w:trPr>
          <w:cantSplit/>
          <w:trHeight w:val="340"/>
          <w:tblHeader/>
        </w:trPr>
        <w:tc>
          <w:tcPr>
            <w:tcW w:w="7380" w:type="dxa"/>
            <w:tcBorders>
              <w:top w:val="single" w:sz="18" w:space="0" w:color="FFFFFF" w:themeColor="background1"/>
            </w:tcBorders>
            <w:shd w:val="clear" w:color="auto" w:fill="C6CFD7" w:themeFill="accent3" w:themeFillTint="66"/>
          </w:tcPr>
          <w:p w14:paraId="73E725D6" w14:textId="77777777" w:rsidR="00434007" w:rsidRPr="00D350B5" w:rsidRDefault="00434007" w:rsidP="00434007">
            <w:pPr>
              <w:pStyle w:val="TableHeading"/>
              <w:keepLines/>
              <w:spacing w:before="0" w:line="240" w:lineRule="auto"/>
            </w:pPr>
            <w:r>
              <w:t>Priorities</w:t>
            </w:r>
          </w:p>
        </w:tc>
        <w:tc>
          <w:tcPr>
            <w:tcW w:w="1692" w:type="dxa"/>
            <w:tcBorders>
              <w:top w:val="single" w:sz="18" w:space="0" w:color="FFFFFF" w:themeColor="background1"/>
            </w:tcBorders>
            <w:shd w:val="clear" w:color="auto" w:fill="C6CFD7" w:themeFill="accent3" w:themeFillTint="66"/>
          </w:tcPr>
          <w:p w14:paraId="05A380B3" w14:textId="77777777" w:rsidR="00434007" w:rsidRDefault="00434007" w:rsidP="00434007">
            <w:pPr>
              <w:pStyle w:val="TableHeading"/>
              <w:spacing w:before="0" w:line="240" w:lineRule="auto"/>
              <w:jc w:val="center"/>
            </w:pPr>
            <w:r>
              <w:t>Budget</w:t>
            </w:r>
          </w:p>
          <w:p w14:paraId="6C8D138A" w14:textId="77777777" w:rsidR="00434007" w:rsidRDefault="00434007" w:rsidP="00434007">
            <w:pPr>
              <w:pStyle w:val="TableHeading"/>
              <w:spacing w:before="0" w:line="240" w:lineRule="auto"/>
              <w:ind w:left="0"/>
              <w:jc w:val="center"/>
            </w:pPr>
            <w:r w:rsidRPr="00654708">
              <w:rPr>
                <w:b w:val="0"/>
                <w:i/>
                <w:sz w:val="14"/>
                <w:szCs w:val="14"/>
              </w:rPr>
              <w:t>(in thousands of Swiss francs)</w:t>
            </w:r>
          </w:p>
        </w:tc>
        <w:tc>
          <w:tcPr>
            <w:tcW w:w="648" w:type="dxa"/>
            <w:tcBorders>
              <w:top w:val="single" w:sz="18" w:space="0" w:color="FFFFFF" w:themeColor="background1"/>
            </w:tcBorders>
            <w:shd w:val="clear" w:color="auto" w:fill="C6CFD7" w:themeFill="accent3" w:themeFillTint="66"/>
          </w:tcPr>
          <w:p w14:paraId="7B337E07" w14:textId="77777777" w:rsidR="00434007" w:rsidRDefault="00434007" w:rsidP="00434007">
            <w:pPr>
              <w:pStyle w:val="TableHeading"/>
              <w:spacing w:before="0" w:line="240" w:lineRule="auto"/>
              <w:ind w:left="0"/>
              <w:jc w:val="center"/>
            </w:pPr>
            <w:r>
              <w:t>Sector</w:t>
            </w:r>
          </w:p>
        </w:tc>
      </w:tr>
      <w:tr w:rsidR="00434007" w:rsidRPr="006F6877" w14:paraId="6238164E" w14:textId="77777777" w:rsidTr="00434007">
        <w:trPr>
          <w:cantSplit/>
          <w:trHeight w:val="978"/>
        </w:trPr>
        <w:tc>
          <w:tcPr>
            <w:tcW w:w="7380" w:type="dxa"/>
            <w:tcBorders>
              <w:bottom w:val="single" w:sz="6" w:space="0" w:color="EDF0F3" w:themeColor="accent4" w:themeTint="33"/>
            </w:tcBorders>
            <w:shd w:val="clear" w:color="auto" w:fill="auto"/>
          </w:tcPr>
          <w:p w14:paraId="4834A77A" w14:textId="77777777" w:rsidR="00434007" w:rsidRDefault="00434007" w:rsidP="008407D7">
            <w:pPr>
              <w:pStyle w:val="TableText"/>
              <w:numPr>
                <w:ilvl w:val="0"/>
                <w:numId w:val="19"/>
              </w:numPr>
              <w:spacing w:after="60"/>
              <w:ind w:left="648"/>
            </w:pPr>
            <w:r w:rsidRPr="002E5574">
              <w:t>Foster the development of balanced and effective international normative frameworks through the work of the Standing Committees, IGC, ACE, and International Classifications and Standards</w:t>
            </w:r>
          </w:p>
          <w:p w14:paraId="2709C718" w14:textId="77777777" w:rsidR="00434007" w:rsidRPr="002E5574" w:rsidRDefault="00434007" w:rsidP="008407D7">
            <w:pPr>
              <w:pStyle w:val="TableText"/>
              <w:numPr>
                <w:ilvl w:val="0"/>
                <w:numId w:val="19"/>
              </w:numPr>
              <w:spacing w:after="60"/>
              <w:ind w:left="648"/>
            </w:pPr>
            <w:r>
              <w:t xml:space="preserve">Convene </w:t>
            </w:r>
            <w:r w:rsidRPr="00CF0511">
              <w:t>two Diplomatic Conferences for (1) the adoption of a Design Law Treaty and (2) to conclude an International Legal Instrument relating to Intellectual Property and Genetic Resources</w:t>
            </w:r>
          </w:p>
        </w:tc>
        <w:tc>
          <w:tcPr>
            <w:tcW w:w="1692" w:type="dxa"/>
            <w:tcBorders>
              <w:bottom w:val="single" w:sz="6" w:space="0" w:color="EDF0F3" w:themeColor="accent4" w:themeTint="33"/>
            </w:tcBorders>
          </w:tcPr>
          <w:p w14:paraId="3D27A582" w14:textId="77777777" w:rsidR="00434007" w:rsidRPr="0072176C" w:rsidRDefault="00434007" w:rsidP="00434007">
            <w:pPr>
              <w:pStyle w:val="TableText"/>
              <w:ind w:left="0" w:right="432"/>
              <w:jc w:val="right"/>
            </w:pPr>
            <w:r>
              <w:t>20,581</w:t>
            </w:r>
          </w:p>
        </w:tc>
        <w:tc>
          <w:tcPr>
            <w:tcW w:w="648" w:type="dxa"/>
            <w:tcBorders>
              <w:bottom w:val="single" w:sz="6" w:space="0" w:color="EDF0F3" w:themeColor="accent4" w:themeTint="33"/>
            </w:tcBorders>
          </w:tcPr>
          <w:p w14:paraId="35053223" w14:textId="77777777" w:rsidR="00434007" w:rsidRPr="0072176C" w:rsidRDefault="00434007" w:rsidP="00434007">
            <w:pPr>
              <w:pStyle w:val="TableText"/>
              <w:ind w:left="0"/>
              <w:jc w:val="center"/>
            </w:pPr>
            <w:r w:rsidRPr="0072176C">
              <w:t>BD,</w:t>
            </w:r>
          </w:p>
          <w:p w14:paraId="23612E40" w14:textId="77777777" w:rsidR="00434007" w:rsidRPr="0072176C" w:rsidRDefault="00434007" w:rsidP="00434007">
            <w:pPr>
              <w:pStyle w:val="TableText"/>
              <w:ind w:left="0"/>
              <w:jc w:val="center"/>
            </w:pPr>
            <w:r w:rsidRPr="0072176C">
              <w:t>CCI, GCP, IP</w:t>
            </w:r>
            <w:r>
              <w:t>, PT</w:t>
            </w:r>
          </w:p>
        </w:tc>
      </w:tr>
      <w:tr w:rsidR="00434007" w:rsidRPr="00D350B5" w14:paraId="17347E42" w14:textId="77777777" w:rsidTr="00672FCB">
        <w:trPr>
          <w:cantSplit/>
          <w:trHeight w:val="432"/>
        </w:trPr>
        <w:tc>
          <w:tcPr>
            <w:tcW w:w="7380" w:type="dxa"/>
            <w:tcBorders>
              <w:top w:val="single" w:sz="6" w:space="0" w:color="EDF0F3" w:themeColor="accent4" w:themeTint="33"/>
              <w:bottom w:val="single" w:sz="6" w:space="0" w:color="EDF0F3" w:themeColor="accent4" w:themeTint="33"/>
            </w:tcBorders>
            <w:shd w:val="clear" w:color="auto" w:fill="auto"/>
          </w:tcPr>
          <w:p w14:paraId="0853916D" w14:textId="6E349440" w:rsidR="00434007" w:rsidRPr="002E5574" w:rsidRDefault="00434007" w:rsidP="008407D7">
            <w:pPr>
              <w:pStyle w:val="TableText"/>
              <w:numPr>
                <w:ilvl w:val="0"/>
                <w:numId w:val="20"/>
              </w:numPr>
              <w:ind w:left="630"/>
            </w:pPr>
            <w:r w:rsidRPr="002E5574">
              <w:t xml:space="preserve">Bring </w:t>
            </w:r>
            <w:r w:rsidRPr="00CF0511">
              <w:t>the international community together for the further development of the PCT System and meetings related to patents, utility models, layout design of integrated circuits, and technology</w:t>
            </w:r>
          </w:p>
        </w:tc>
        <w:tc>
          <w:tcPr>
            <w:tcW w:w="1692" w:type="dxa"/>
            <w:tcBorders>
              <w:top w:val="single" w:sz="6" w:space="0" w:color="EDF0F3" w:themeColor="accent4" w:themeTint="33"/>
              <w:bottom w:val="single" w:sz="6" w:space="0" w:color="EDF0F3" w:themeColor="accent4" w:themeTint="33"/>
            </w:tcBorders>
          </w:tcPr>
          <w:p w14:paraId="08FEC9A2" w14:textId="77777777" w:rsidR="00434007" w:rsidRPr="0022203D" w:rsidRDefault="00434007" w:rsidP="00434007">
            <w:pPr>
              <w:pStyle w:val="TableText"/>
              <w:ind w:left="0" w:right="432"/>
              <w:jc w:val="right"/>
            </w:pPr>
            <w:r>
              <w:t>2,279</w:t>
            </w:r>
          </w:p>
        </w:tc>
        <w:tc>
          <w:tcPr>
            <w:tcW w:w="648" w:type="dxa"/>
            <w:tcBorders>
              <w:top w:val="single" w:sz="6" w:space="0" w:color="EDF0F3" w:themeColor="accent4" w:themeTint="33"/>
              <w:bottom w:val="single" w:sz="6" w:space="0" w:color="EDF0F3" w:themeColor="accent4" w:themeTint="33"/>
            </w:tcBorders>
          </w:tcPr>
          <w:p w14:paraId="318A06D2" w14:textId="77777777" w:rsidR="00434007" w:rsidRPr="0022203D" w:rsidRDefault="00434007" w:rsidP="00434007">
            <w:pPr>
              <w:pStyle w:val="TableText"/>
              <w:ind w:left="0"/>
              <w:jc w:val="center"/>
            </w:pPr>
            <w:r w:rsidRPr="0022203D">
              <w:t>PT</w:t>
            </w:r>
          </w:p>
        </w:tc>
      </w:tr>
      <w:tr w:rsidR="00434007" w:rsidRPr="00D350B5" w14:paraId="4C8046E5" w14:textId="77777777" w:rsidTr="0051053B">
        <w:trPr>
          <w:cantSplit/>
          <w:trHeight w:val="414"/>
        </w:trPr>
        <w:tc>
          <w:tcPr>
            <w:tcW w:w="7380" w:type="dxa"/>
            <w:tcBorders>
              <w:top w:val="single" w:sz="6" w:space="0" w:color="EDF0F3" w:themeColor="accent4" w:themeTint="33"/>
              <w:bottom w:val="single" w:sz="6" w:space="0" w:color="EDF0F3" w:themeColor="accent4" w:themeTint="33"/>
            </w:tcBorders>
            <w:shd w:val="clear" w:color="auto" w:fill="auto"/>
          </w:tcPr>
          <w:p w14:paraId="49642C84" w14:textId="4054C1F1" w:rsidR="00434007" w:rsidRPr="002E5574" w:rsidRDefault="00434007" w:rsidP="008407D7">
            <w:pPr>
              <w:pStyle w:val="TableText"/>
              <w:numPr>
                <w:ilvl w:val="0"/>
                <w:numId w:val="20"/>
              </w:numPr>
              <w:ind w:left="630"/>
            </w:pPr>
            <w:r w:rsidRPr="002E5574">
              <w:t xml:space="preserve">Collaborate with </w:t>
            </w:r>
            <w:r>
              <w:t xml:space="preserve">Member States and other </w:t>
            </w:r>
            <w:r w:rsidRPr="002E5574">
              <w:t>stakeholders to enable impactful policy results and prepare studies on SCCR agenda topics</w:t>
            </w:r>
          </w:p>
        </w:tc>
        <w:tc>
          <w:tcPr>
            <w:tcW w:w="1692" w:type="dxa"/>
            <w:tcBorders>
              <w:top w:val="single" w:sz="6" w:space="0" w:color="EDF0F3" w:themeColor="accent4" w:themeTint="33"/>
              <w:bottom w:val="single" w:sz="6" w:space="0" w:color="EDF0F3" w:themeColor="accent4" w:themeTint="33"/>
            </w:tcBorders>
          </w:tcPr>
          <w:p w14:paraId="230CAF2D" w14:textId="77777777" w:rsidR="00434007" w:rsidRPr="0022203D" w:rsidRDefault="00434007" w:rsidP="00434007">
            <w:pPr>
              <w:pStyle w:val="TableText"/>
              <w:ind w:left="0" w:right="432"/>
              <w:jc w:val="right"/>
            </w:pPr>
            <w:r>
              <w:t>1,258</w:t>
            </w:r>
          </w:p>
        </w:tc>
        <w:tc>
          <w:tcPr>
            <w:tcW w:w="648" w:type="dxa"/>
            <w:tcBorders>
              <w:top w:val="single" w:sz="6" w:space="0" w:color="EDF0F3" w:themeColor="accent4" w:themeTint="33"/>
              <w:bottom w:val="single" w:sz="6" w:space="0" w:color="EDF0F3" w:themeColor="accent4" w:themeTint="33"/>
            </w:tcBorders>
          </w:tcPr>
          <w:p w14:paraId="38A9286A" w14:textId="77777777" w:rsidR="00434007" w:rsidRPr="0022203D" w:rsidRDefault="00434007" w:rsidP="00434007">
            <w:pPr>
              <w:pStyle w:val="TableText"/>
              <w:ind w:left="0"/>
              <w:jc w:val="center"/>
            </w:pPr>
            <w:r w:rsidRPr="0022203D">
              <w:t>CCI</w:t>
            </w:r>
          </w:p>
        </w:tc>
      </w:tr>
      <w:tr w:rsidR="00434007" w:rsidRPr="00D350B5" w14:paraId="7BA8C40D" w14:textId="77777777" w:rsidTr="00434007">
        <w:trPr>
          <w:cantSplit/>
          <w:trHeight w:val="537"/>
        </w:trPr>
        <w:tc>
          <w:tcPr>
            <w:tcW w:w="7380" w:type="dxa"/>
            <w:tcBorders>
              <w:top w:val="single" w:sz="6" w:space="0" w:color="EDF0F3" w:themeColor="accent4" w:themeTint="33"/>
              <w:bottom w:val="single" w:sz="6" w:space="0" w:color="EDF0F3" w:themeColor="accent4" w:themeTint="33"/>
            </w:tcBorders>
            <w:shd w:val="clear" w:color="auto" w:fill="auto"/>
          </w:tcPr>
          <w:p w14:paraId="702C979B" w14:textId="77777777" w:rsidR="00434007" w:rsidRDefault="00434007" w:rsidP="008407D7">
            <w:pPr>
              <w:pStyle w:val="TableText"/>
              <w:numPr>
                <w:ilvl w:val="0"/>
                <w:numId w:val="19"/>
              </w:numPr>
              <w:spacing w:after="60"/>
              <w:ind w:left="630"/>
            </w:pPr>
            <w:r w:rsidRPr="0022203D">
              <w:lastRenderedPageBreak/>
              <w:t xml:space="preserve">Engage with and </w:t>
            </w:r>
            <w:r w:rsidRPr="00CF0511">
              <w:t xml:space="preserve">facilitate discussion and knowledge building among Member States and other stakeholders on the impact on IP of frontier technologies, including AI, in order to: </w:t>
            </w:r>
            <w:r>
              <w:t xml:space="preserve">(i) </w:t>
            </w:r>
            <w:r w:rsidRPr="00CF0511">
              <w:t xml:space="preserve">support well-informed policy choices and </w:t>
            </w:r>
            <w:r>
              <w:t>(ii</w:t>
            </w:r>
            <w:r w:rsidRPr="00CF0511">
              <w:t>) assist stakeholders on the ground via grass root projects and clinics</w:t>
            </w:r>
          </w:p>
          <w:p w14:paraId="79C0FC08" w14:textId="77777777" w:rsidR="00434007" w:rsidRPr="0022203D" w:rsidRDefault="00434007" w:rsidP="008407D7">
            <w:pPr>
              <w:pStyle w:val="TableText"/>
              <w:numPr>
                <w:ilvl w:val="0"/>
                <w:numId w:val="19"/>
              </w:numPr>
              <w:spacing w:after="60"/>
              <w:ind w:left="630"/>
            </w:pPr>
            <w:r>
              <w:t>Experiment</w:t>
            </w:r>
            <w:r w:rsidRPr="00596C60">
              <w:t xml:space="preserve"> </w:t>
            </w:r>
            <w:r>
              <w:t>the use of</w:t>
            </w:r>
            <w:r w:rsidRPr="00596C60">
              <w:t xml:space="preserve"> Blockchain technologies in</w:t>
            </w:r>
            <w:r>
              <w:t xml:space="preserve"> the</w:t>
            </w:r>
            <w:r w:rsidRPr="00596C60">
              <w:t xml:space="preserve"> IP ecosystem with IPOs and other </w:t>
            </w:r>
            <w:r>
              <w:t>s</w:t>
            </w:r>
            <w:r w:rsidRPr="00596C60">
              <w:t>takeholders</w:t>
            </w:r>
          </w:p>
        </w:tc>
        <w:tc>
          <w:tcPr>
            <w:tcW w:w="1692" w:type="dxa"/>
            <w:tcBorders>
              <w:top w:val="single" w:sz="6" w:space="0" w:color="EDF0F3" w:themeColor="accent4" w:themeTint="33"/>
              <w:bottom w:val="single" w:sz="6" w:space="0" w:color="EDF0F3" w:themeColor="accent4" w:themeTint="33"/>
            </w:tcBorders>
          </w:tcPr>
          <w:p w14:paraId="7B91C04E" w14:textId="77777777" w:rsidR="00434007" w:rsidRPr="0022203D" w:rsidRDefault="00434007" w:rsidP="00434007">
            <w:pPr>
              <w:pStyle w:val="TableText"/>
              <w:ind w:left="0" w:right="432"/>
              <w:jc w:val="right"/>
            </w:pPr>
            <w:r>
              <w:t>1,965</w:t>
            </w:r>
          </w:p>
        </w:tc>
        <w:tc>
          <w:tcPr>
            <w:tcW w:w="648" w:type="dxa"/>
            <w:tcBorders>
              <w:top w:val="single" w:sz="6" w:space="0" w:color="EDF0F3" w:themeColor="accent4" w:themeTint="33"/>
              <w:bottom w:val="single" w:sz="6" w:space="0" w:color="EDF0F3" w:themeColor="accent4" w:themeTint="33"/>
            </w:tcBorders>
          </w:tcPr>
          <w:p w14:paraId="218B64DA" w14:textId="77777777" w:rsidR="00434007" w:rsidRPr="0022203D" w:rsidRDefault="00434007" w:rsidP="00434007">
            <w:pPr>
              <w:pStyle w:val="TableText"/>
              <w:ind w:left="0"/>
              <w:jc w:val="center"/>
            </w:pPr>
            <w:r w:rsidRPr="0022203D">
              <w:t>IP</w:t>
            </w:r>
          </w:p>
        </w:tc>
      </w:tr>
      <w:tr w:rsidR="00434007" w:rsidRPr="00D350B5" w14:paraId="7B1C9C9A" w14:textId="77777777" w:rsidTr="00434007">
        <w:trPr>
          <w:cantSplit/>
          <w:trHeight w:val="2655"/>
        </w:trPr>
        <w:tc>
          <w:tcPr>
            <w:tcW w:w="7380" w:type="dxa"/>
            <w:tcBorders>
              <w:top w:val="single" w:sz="6" w:space="0" w:color="EDF0F3" w:themeColor="accent4" w:themeTint="33"/>
              <w:bottom w:val="single" w:sz="6" w:space="0" w:color="EDF0F3" w:themeColor="accent4" w:themeTint="33"/>
            </w:tcBorders>
            <w:shd w:val="clear" w:color="auto" w:fill="auto"/>
          </w:tcPr>
          <w:p w14:paraId="14762428" w14:textId="77777777" w:rsidR="00434007" w:rsidRDefault="00434007" w:rsidP="008407D7">
            <w:pPr>
              <w:pStyle w:val="TableText"/>
              <w:numPr>
                <w:ilvl w:val="0"/>
                <w:numId w:val="19"/>
              </w:numPr>
              <w:spacing w:after="60"/>
              <w:ind w:left="630"/>
            </w:pPr>
            <w:r w:rsidRPr="00255F06">
              <w:t>Address cutting-edge issues around the future of IP</w:t>
            </w:r>
          </w:p>
          <w:p w14:paraId="1355C8B5" w14:textId="77777777" w:rsidR="00434007" w:rsidRDefault="00434007" w:rsidP="008407D7">
            <w:pPr>
              <w:pStyle w:val="TableText"/>
              <w:numPr>
                <w:ilvl w:val="0"/>
                <w:numId w:val="19"/>
              </w:numPr>
              <w:spacing w:after="60"/>
              <w:ind w:left="630"/>
            </w:pPr>
            <w:r w:rsidRPr="00CF0511">
              <w:t xml:space="preserve">Engage stakeholders in IP and competition policy matters through international fora and conducting research on topical issues on the IP and competition interplay </w:t>
            </w:r>
          </w:p>
          <w:p w14:paraId="5D0187BE" w14:textId="7A2E0639" w:rsidR="00434007" w:rsidRDefault="00434007" w:rsidP="008407D7">
            <w:pPr>
              <w:pStyle w:val="TableText"/>
              <w:numPr>
                <w:ilvl w:val="0"/>
                <w:numId w:val="19"/>
              </w:numPr>
              <w:spacing w:after="60"/>
              <w:ind w:left="630"/>
            </w:pPr>
            <w:r w:rsidRPr="00255F06">
              <w:t xml:space="preserve">Facilitate discussions </w:t>
            </w:r>
            <w:r>
              <w:t xml:space="preserve">on </w:t>
            </w:r>
            <w:r w:rsidRPr="00CF0511">
              <w:t>issues</w:t>
            </w:r>
            <w:r>
              <w:t xml:space="preserve"> at the intersection of IP and </w:t>
            </w:r>
            <w:r w:rsidRPr="00CF0511">
              <w:t>climate change/green</w:t>
            </w:r>
            <w:r>
              <w:t xml:space="preserve"> technology</w:t>
            </w:r>
            <w:r w:rsidR="00607486">
              <w:t>,</w:t>
            </w:r>
            <w:r>
              <w:t xml:space="preserve"> </w:t>
            </w:r>
            <w:r w:rsidR="00607486">
              <w:t>IP and</w:t>
            </w:r>
            <w:r>
              <w:t xml:space="preserve"> food security, and IP and </w:t>
            </w:r>
            <w:r w:rsidRPr="00CF0511">
              <w:t xml:space="preserve">global health </w:t>
            </w:r>
          </w:p>
          <w:p w14:paraId="1EC16283" w14:textId="77777777" w:rsidR="00434007" w:rsidRPr="00255F06" w:rsidRDefault="00434007" w:rsidP="008407D7">
            <w:pPr>
              <w:pStyle w:val="TableText"/>
              <w:numPr>
                <w:ilvl w:val="0"/>
                <w:numId w:val="19"/>
              </w:numPr>
              <w:spacing w:after="60"/>
              <w:ind w:left="630"/>
            </w:pPr>
            <w:r w:rsidRPr="00255F06">
              <w:t>Enhance indigenous and local community participation in the global IP ecosystem</w:t>
            </w:r>
          </w:p>
          <w:p w14:paraId="7BECF0EF" w14:textId="77777777" w:rsidR="00434007" w:rsidRPr="00255F06" w:rsidRDefault="00434007" w:rsidP="008407D7">
            <w:pPr>
              <w:pStyle w:val="TableText"/>
              <w:numPr>
                <w:ilvl w:val="0"/>
                <w:numId w:val="19"/>
              </w:numPr>
              <w:spacing w:after="60"/>
              <w:ind w:left="630"/>
            </w:pPr>
            <w:r w:rsidRPr="00255F06">
              <w:t>Continue the international dialogue and cooperation on building respect for IP</w:t>
            </w:r>
          </w:p>
          <w:p w14:paraId="4BE40D9D" w14:textId="77777777" w:rsidR="00434007" w:rsidRPr="00255F06" w:rsidRDefault="00434007" w:rsidP="008407D7">
            <w:pPr>
              <w:pStyle w:val="TableText"/>
              <w:numPr>
                <w:ilvl w:val="0"/>
                <w:numId w:val="19"/>
              </w:numPr>
              <w:spacing w:after="60"/>
              <w:ind w:left="630"/>
            </w:pPr>
            <w:r w:rsidRPr="00255F06">
              <w:t>Actively engage with UN Organizations, IGOs, NGOs and Industry on the role of IP, innovation and creativity in improving peoples’ lives, including through engagement by the WIPO New York Office</w:t>
            </w:r>
          </w:p>
          <w:p w14:paraId="06EB2591" w14:textId="77777777" w:rsidR="00434007" w:rsidRPr="00255F06" w:rsidRDefault="00434007" w:rsidP="008407D7">
            <w:pPr>
              <w:pStyle w:val="TableText"/>
              <w:numPr>
                <w:ilvl w:val="0"/>
                <w:numId w:val="19"/>
              </w:numPr>
              <w:spacing w:after="60"/>
              <w:ind w:left="630"/>
            </w:pPr>
            <w:r w:rsidRPr="00255F06">
              <w:t>Secure the coherent and integrated contribution of WIPO to the implementation of the 2030 Agenda for Sustainable Development, in particular towards the achievement of SDG 9</w:t>
            </w:r>
          </w:p>
        </w:tc>
        <w:tc>
          <w:tcPr>
            <w:tcW w:w="1692" w:type="dxa"/>
            <w:tcBorders>
              <w:top w:val="single" w:sz="6" w:space="0" w:color="EDF0F3" w:themeColor="accent4" w:themeTint="33"/>
              <w:bottom w:val="single" w:sz="6" w:space="0" w:color="EDF0F3" w:themeColor="accent4" w:themeTint="33"/>
            </w:tcBorders>
          </w:tcPr>
          <w:p w14:paraId="060CE3E0" w14:textId="77777777" w:rsidR="00434007" w:rsidRPr="0022203D" w:rsidRDefault="00434007" w:rsidP="00434007">
            <w:pPr>
              <w:pStyle w:val="TableText"/>
              <w:ind w:left="0" w:right="432"/>
              <w:jc w:val="right"/>
            </w:pPr>
            <w:r>
              <w:t>14,972</w:t>
            </w:r>
          </w:p>
        </w:tc>
        <w:tc>
          <w:tcPr>
            <w:tcW w:w="648" w:type="dxa"/>
            <w:tcBorders>
              <w:top w:val="single" w:sz="6" w:space="0" w:color="EDF0F3" w:themeColor="accent4" w:themeTint="33"/>
              <w:bottom w:val="single" w:sz="6" w:space="0" w:color="EDF0F3" w:themeColor="accent4" w:themeTint="33"/>
            </w:tcBorders>
          </w:tcPr>
          <w:p w14:paraId="378EC4B1" w14:textId="77777777" w:rsidR="00434007" w:rsidRPr="0022203D" w:rsidRDefault="00434007" w:rsidP="00434007">
            <w:pPr>
              <w:pStyle w:val="TableText"/>
              <w:ind w:left="0"/>
              <w:jc w:val="center"/>
            </w:pPr>
            <w:r w:rsidRPr="0022203D">
              <w:t>GCP</w:t>
            </w:r>
          </w:p>
        </w:tc>
      </w:tr>
      <w:tr w:rsidR="00434007" w:rsidRPr="00D350B5" w14:paraId="740936AD" w14:textId="77777777" w:rsidTr="00434007">
        <w:trPr>
          <w:cantSplit/>
          <w:trHeight w:val="369"/>
        </w:trPr>
        <w:tc>
          <w:tcPr>
            <w:tcW w:w="7380" w:type="dxa"/>
            <w:tcBorders>
              <w:top w:val="single" w:sz="6" w:space="0" w:color="EDF0F3" w:themeColor="accent4" w:themeTint="33"/>
              <w:bottom w:val="single" w:sz="4" w:space="0" w:color="EDF0F3" w:themeColor="accent4" w:themeTint="33"/>
            </w:tcBorders>
            <w:shd w:val="clear" w:color="auto" w:fill="auto"/>
          </w:tcPr>
          <w:p w14:paraId="13B0CC24" w14:textId="77777777" w:rsidR="00434007" w:rsidRPr="0022203D" w:rsidRDefault="00434007" w:rsidP="008407D7">
            <w:pPr>
              <w:pStyle w:val="TableText"/>
              <w:numPr>
                <w:ilvl w:val="0"/>
                <w:numId w:val="21"/>
              </w:numPr>
              <w:spacing w:after="60"/>
              <w:ind w:left="648"/>
            </w:pPr>
            <w:r>
              <w:t>A</w:t>
            </w:r>
            <w:r w:rsidRPr="00023213">
              <w:t>ctive</w:t>
            </w:r>
            <w:r>
              <w:t>ly contribute</w:t>
            </w:r>
            <w:r w:rsidRPr="00023213">
              <w:t xml:space="preserve"> to the UN system support for Least Developed Countries (LDCs), Landlocked Developing Countries (LLDCs) and Small Island Developing States (SIDS)</w:t>
            </w:r>
          </w:p>
        </w:tc>
        <w:tc>
          <w:tcPr>
            <w:tcW w:w="1692" w:type="dxa"/>
            <w:tcBorders>
              <w:top w:val="single" w:sz="6" w:space="0" w:color="EDF0F3" w:themeColor="accent4" w:themeTint="33"/>
              <w:bottom w:val="single" w:sz="4" w:space="0" w:color="EDF0F3" w:themeColor="accent4" w:themeTint="33"/>
            </w:tcBorders>
          </w:tcPr>
          <w:p w14:paraId="00942EDD" w14:textId="77777777" w:rsidR="00434007" w:rsidRDefault="00434007" w:rsidP="00434007">
            <w:pPr>
              <w:pStyle w:val="TableText"/>
              <w:ind w:left="0" w:right="432"/>
              <w:jc w:val="right"/>
            </w:pPr>
            <w:r>
              <w:t>1,194</w:t>
            </w:r>
          </w:p>
        </w:tc>
        <w:tc>
          <w:tcPr>
            <w:tcW w:w="648" w:type="dxa"/>
            <w:tcBorders>
              <w:top w:val="single" w:sz="6" w:space="0" w:color="EDF0F3" w:themeColor="accent4" w:themeTint="33"/>
              <w:bottom w:val="single" w:sz="4" w:space="0" w:color="EDF0F3" w:themeColor="accent4" w:themeTint="33"/>
            </w:tcBorders>
          </w:tcPr>
          <w:p w14:paraId="4FD68716" w14:textId="77777777" w:rsidR="00434007" w:rsidRPr="0022203D" w:rsidRDefault="00434007" w:rsidP="00434007">
            <w:pPr>
              <w:pStyle w:val="TableText"/>
              <w:ind w:left="0"/>
              <w:jc w:val="center"/>
            </w:pPr>
            <w:r>
              <w:t>RND</w:t>
            </w:r>
          </w:p>
        </w:tc>
      </w:tr>
    </w:tbl>
    <w:p w14:paraId="20836E6E" w14:textId="77777777" w:rsidR="00434007" w:rsidRDefault="00434007" w:rsidP="00434007">
      <w:pPr>
        <w:pStyle w:val="NormalNoSpace"/>
      </w:pP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72" w:type="dxa"/>
        </w:tblCellMar>
        <w:tblLook w:val="04A0" w:firstRow="1" w:lastRow="0" w:firstColumn="1" w:lastColumn="0" w:noHBand="0" w:noVBand="1"/>
      </w:tblPr>
      <w:tblGrid>
        <w:gridCol w:w="3481"/>
        <w:gridCol w:w="4799"/>
        <w:gridCol w:w="1440"/>
      </w:tblGrid>
      <w:tr w:rsidR="00434007" w:rsidRPr="00D350B5" w14:paraId="5F231D18" w14:textId="77777777" w:rsidTr="00434007">
        <w:trPr>
          <w:cantSplit/>
          <w:trHeight w:val="21"/>
        </w:trPr>
        <w:tc>
          <w:tcPr>
            <w:tcW w:w="3481" w:type="dxa"/>
            <w:shd w:val="clear" w:color="auto" w:fill="C6CFD7" w:themeFill="accent3" w:themeFillTint="66"/>
          </w:tcPr>
          <w:p w14:paraId="6D6930B7" w14:textId="77777777" w:rsidR="00434007" w:rsidRPr="004A4423" w:rsidRDefault="00434007" w:rsidP="00434007">
            <w:pPr>
              <w:pStyle w:val="TableTextBold"/>
              <w:rPr>
                <w:rStyle w:val="charColoured"/>
                <w:lang w:val="en-US"/>
              </w:rPr>
            </w:pPr>
            <w:r w:rsidRPr="004A4423">
              <w:rPr>
                <w:lang w:val="en-US"/>
              </w:rPr>
              <w:t>Expected Result</w:t>
            </w:r>
          </w:p>
        </w:tc>
        <w:tc>
          <w:tcPr>
            <w:tcW w:w="4799" w:type="dxa"/>
            <w:shd w:val="clear" w:color="auto" w:fill="C6CFD7" w:themeFill="accent3" w:themeFillTint="66"/>
          </w:tcPr>
          <w:p w14:paraId="777ED749" w14:textId="77777777" w:rsidR="00434007" w:rsidRPr="004A4423" w:rsidRDefault="00434007" w:rsidP="00434007">
            <w:pPr>
              <w:pStyle w:val="TableText"/>
              <w:rPr>
                <w:b/>
                <w:lang w:val="en-US"/>
              </w:rPr>
            </w:pPr>
            <w:r w:rsidRPr="004A4423">
              <w:rPr>
                <w:b/>
                <w:lang w:val="en-US"/>
              </w:rPr>
              <w:t>Performance Indicators</w:t>
            </w:r>
          </w:p>
        </w:tc>
        <w:tc>
          <w:tcPr>
            <w:tcW w:w="1440" w:type="dxa"/>
            <w:shd w:val="clear" w:color="auto" w:fill="C6CFD7" w:themeFill="accent3" w:themeFillTint="66"/>
          </w:tcPr>
          <w:p w14:paraId="581600A2" w14:textId="77777777" w:rsidR="00434007" w:rsidRPr="004A4423" w:rsidRDefault="00434007" w:rsidP="00434007">
            <w:pPr>
              <w:pStyle w:val="TableText"/>
              <w:jc w:val="center"/>
              <w:rPr>
                <w:b/>
                <w:lang w:val="en-US"/>
              </w:rPr>
            </w:pPr>
            <w:r>
              <w:rPr>
                <w:b/>
                <w:lang w:val="en-US"/>
              </w:rPr>
              <w:t>Sector</w:t>
            </w:r>
          </w:p>
        </w:tc>
      </w:tr>
      <w:tr w:rsidR="00434007" w:rsidRPr="00D350B5" w14:paraId="36A0D47E" w14:textId="77777777" w:rsidTr="00434007">
        <w:trPr>
          <w:cantSplit/>
          <w:trHeight w:val="21"/>
        </w:trPr>
        <w:tc>
          <w:tcPr>
            <w:tcW w:w="3481" w:type="dxa"/>
            <w:vMerge w:val="restart"/>
            <w:shd w:val="clear" w:color="auto" w:fill="auto"/>
          </w:tcPr>
          <w:p w14:paraId="611FFE2E" w14:textId="68F350AE" w:rsidR="00434007" w:rsidRDefault="00434007" w:rsidP="00434007">
            <w:pPr>
              <w:pStyle w:val="TableTextBold"/>
              <w:rPr>
                <w:rStyle w:val="charColoured"/>
                <w:lang w:val="en-US"/>
              </w:rPr>
            </w:pPr>
            <w:r>
              <w:rPr>
                <w:rStyle w:val="charColoured"/>
                <w:lang w:val="en-US"/>
              </w:rPr>
              <w:t>2</w:t>
            </w:r>
            <w:r w:rsidRPr="00D350B5">
              <w:rPr>
                <w:rStyle w:val="charColoured"/>
                <w:lang w:val="en-US"/>
              </w:rPr>
              <w:t>.1</w:t>
            </w:r>
            <w:r w:rsidRPr="00D350B5">
              <w:rPr>
                <w:color w:val="005694"/>
                <w:lang w:val="en-US"/>
              </w:rPr>
              <w:t xml:space="preserve"> </w:t>
            </w:r>
            <w:r>
              <w:rPr>
                <w:color w:val="005694"/>
                <w:lang w:val="en-US"/>
              </w:rPr>
              <w:t xml:space="preserve"> </w:t>
            </w:r>
            <w:r w:rsidRPr="008E4FDE">
              <w:rPr>
                <w:lang w:val="en-US"/>
              </w:rPr>
              <w:t xml:space="preserve">Development of </w:t>
            </w:r>
            <w:r w:rsidRPr="00036B60">
              <w:rPr>
                <w:lang w:val="en-US"/>
              </w:rPr>
              <w:t>balanced</w:t>
            </w:r>
            <w:r w:rsidRPr="008E4FDE">
              <w:rPr>
                <w:lang w:val="en-US"/>
              </w:rPr>
              <w:t xml:space="preserve"> and effective international normative frameworks for IP</w:t>
            </w:r>
          </w:p>
        </w:tc>
        <w:tc>
          <w:tcPr>
            <w:tcW w:w="4799" w:type="dxa"/>
            <w:shd w:val="clear" w:color="auto" w:fill="auto"/>
          </w:tcPr>
          <w:p w14:paraId="23670A19" w14:textId="77777777" w:rsidR="00434007" w:rsidRDefault="00434007" w:rsidP="00434007">
            <w:pPr>
              <w:pStyle w:val="TableText"/>
              <w:rPr>
                <w:lang w:val="en-US"/>
              </w:rPr>
            </w:pPr>
            <w:r w:rsidRPr="004A4423">
              <w:rPr>
                <w:lang w:val="en-US"/>
              </w:rPr>
              <w:t>Progress on the implementation of agreed work in accordance with the agenda of the Committee</w:t>
            </w:r>
          </w:p>
        </w:tc>
        <w:tc>
          <w:tcPr>
            <w:tcW w:w="1440" w:type="dxa"/>
            <w:shd w:val="clear" w:color="auto" w:fill="auto"/>
          </w:tcPr>
          <w:p w14:paraId="42FB1D53" w14:textId="77777777" w:rsidR="00434007" w:rsidRDefault="00434007" w:rsidP="00434007">
            <w:pPr>
              <w:pStyle w:val="TableText"/>
              <w:jc w:val="center"/>
              <w:rPr>
                <w:lang w:val="en-US"/>
              </w:rPr>
            </w:pPr>
            <w:r>
              <w:rPr>
                <w:lang w:val="en-US"/>
              </w:rPr>
              <w:t xml:space="preserve">PT, BD, </w:t>
            </w:r>
            <w:r w:rsidRPr="00876B27">
              <w:rPr>
                <w:lang w:val="en-US"/>
              </w:rPr>
              <w:t>CCI, GCP</w:t>
            </w:r>
          </w:p>
        </w:tc>
      </w:tr>
      <w:tr w:rsidR="00434007" w:rsidRPr="00D350B5" w14:paraId="21D59572" w14:textId="77777777" w:rsidTr="00434007">
        <w:trPr>
          <w:cantSplit/>
          <w:trHeight w:val="21"/>
        </w:trPr>
        <w:tc>
          <w:tcPr>
            <w:tcW w:w="3481" w:type="dxa"/>
            <w:vMerge/>
            <w:shd w:val="clear" w:color="auto" w:fill="auto"/>
          </w:tcPr>
          <w:p w14:paraId="5304A95C" w14:textId="77777777" w:rsidR="00434007" w:rsidRDefault="00434007" w:rsidP="00434007">
            <w:pPr>
              <w:pStyle w:val="TableTextBold"/>
              <w:rPr>
                <w:rStyle w:val="charColoured"/>
                <w:lang w:val="en-US"/>
              </w:rPr>
            </w:pPr>
          </w:p>
        </w:tc>
        <w:tc>
          <w:tcPr>
            <w:tcW w:w="4799" w:type="dxa"/>
            <w:shd w:val="clear" w:color="auto" w:fill="auto"/>
          </w:tcPr>
          <w:p w14:paraId="74E2021D" w14:textId="77777777" w:rsidR="00434007" w:rsidRPr="00AC514B" w:rsidRDefault="00434007" w:rsidP="00434007">
            <w:pPr>
              <w:pStyle w:val="TableText"/>
              <w:rPr>
                <w:lang w:val="en-US"/>
              </w:rPr>
            </w:pPr>
            <w:r w:rsidRPr="00AC514B">
              <w:rPr>
                <w:lang w:val="en-US"/>
              </w:rPr>
              <w:t>No. of new/revised WIPO Standards</w:t>
            </w:r>
          </w:p>
        </w:tc>
        <w:tc>
          <w:tcPr>
            <w:tcW w:w="1440" w:type="dxa"/>
            <w:shd w:val="clear" w:color="auto" w:fill="auto"/>
          </w:tcPr>
          <w:p w14:paraId="1D780E9E" w14:textId="77777777" w:rsidR="00434007" w:rsidRPr="00AC514B" w:rsidRDefault="00434007" w:rsidP="00434007">
            <w:pPr>
              <w:pStyle w:val="TableText"/>
              <w:jc w:val="center"/>
              <w:rPr>
                <w:lang w:val="en-US"/>
              </w:rPr>
            </w:pPr>
            <w:r w:rsidRPr="00AC514B">
              <w:rPr>
                <w:lang w:val="en-US"/>
              </w:rPr>
              <w:t>IP</w:t>
            </w:r>
          </w:p>
        </w:tc>
      </w:tr>
      <w:tr w:rsidR="00434007" w:rsidRPr="00D350B5" w14:paraId="7EC5BA1F" w14:textId="77777777" w:rsidTr="00434007">
        <w:trPr>
          <w:cantSplit/>
          <w:trHeight w:val="21"/>
        </w:trPr>
        <w:tc>
          <w:tcPr>
            <w:tcW w:w="3481" w:type="dxa"/>
            <w:vMerge/>
            <w:shd w:val="clear" w:color="auto" w:fill="auto"/>
          </w:tcPr>
          <w:p w14:paraId="19D30C49" w14:textId="77777777" w:rsidR="00434007" w:rsidRDefault="00434007" w:rsidP="00434007">
            <w:pPr>
              <w:pStyle w:val="TableTextBold"/>
              <w:rPr>
                <w:rStyle w:val="charColoured"/>
                <w:lang w:val="en-US"/>
              </w:rPr>
            </w:pPr>
          </w:p>
        </w:tc>
        <w:tc>
          <w:tcPr>
            <w:tcW w:w="4799" w:type="dxa"/>
            <w:shd w:val="clear" w:color="auto" w:fill="auto"/>
          </w:tcPr>
          <w:p w14:paraId="508B0624" w14:textId="77777777" w:rsidR="00434007" w:rsidRPr="00AC514B" w:rsidRDefault="00434007" w:rsidP="00434007">
            <w:pPr>
              <w:pStyle w:val="TableText"/>
              <w:rPr>
                <w:lang w:val="en-US"/>
              </w:rPr>
            </w:pPr>
            <w:r w:rsidRPr="00C578EF">
              <w:rPr>
                <w:lang w:val="en-US"/>
              </w:rPr>
              <w:t>No. of revisions/modifications to the International Classifications</w:t>
            </w:r>
          </w:p>
        </w:tc>
        <w:tc>
          <w:tcPr>
            <w:tcW w:w="1440" w:type="dxa"/>
            <w:shd w:val="clear" w:color="auto" w:fill="auto"/>
          </w:tcPr>
          <w:p w14:paraId="007760B5" w14:textId="77777777" w:rsidR="00434007" w:rsidRPr="00AC514B" w:rsidRDefault="00434007" w:rsidP="00434007">
            <w:pPr>
              <w:pStyle w:val="TableText"/>
              <w:jc w:val="center"/>
              <w:rPr>
                <w:lang w:val="en-US"/>
              </w:rPr>
            </w:pPr>
            <w:r>
              <w:rPr>
                <w:lang w:val="en-US"/>
              </w:rPr>
              <w:t>IP</w:t>
            </w:r>
          </w:p>
        </w:tc>
      </w:tr>
      <w:tr w:rsidR="00434007" w:rsidRPr="00D350B5" w14:paraId="6FE18EFA" w14:textId="77777777" w:rsidTr="00434007">
        <w:trPr>
          <w:cantSplit/>
          <w:trHeight w:val="21"/>
        </w:trPr>
        <w:tc>
          <w:tcPr>
            <w:tcW w:w="3481" w:type="dxa"/>
            <w:vMerge/>
            <w:tcBorders>
              <w:bottom w:val="single" w:sz="4" w:space="0" w:color="BFBFBF" w:themeColor="background1" w:themeShade="BF"/>
            </w:tcBorders>
            <w:shd w:val="clear" w:color="auto" w:fill="auto"/>
          </w:tcPr>
          <w:p w14:paraId="02822436" w14:textId="77777777" w:rsidR="00434007" w:rsidRDefault="00434007" w:rsidP="00434007">
            <w:pPr>
              <w:pStyle w:val="TableTextBold"/>
              <w:rPr>
                <w:rStyle w:val="charColoured"/>
                <w:lang w:val="en-US"/>
              </w:rPr>
            </w:pPr>
          </w:p>
        </w:tc>
        <w:tc>
          <w:tcPr>
            <w:tcW w:w="4799" w:type="dxa"/>
            <w:tcBorders>
              <w:bottom w:val="single" w:sz="4" w:space="0" w:color="BFBFBF" w:themeColor="background1" w:themeShade="BF"/>
            </w:tcBorders>
            <w:shd w:val="clear" w:color="auto" w:fill="auto"/>
          </w:tcPr>
          <w:p w14:paraId="55B3EEAD" w14:textId="77777777" w:rsidR="00434007" w:rsidRPr="007F1A58" w:rsidRDefault="00434007" w:rsidP="00434007">
            <w:pPr>
              <w:pStyle w:val="TableText"/>
              <w:rPr>
                <w:lang w:val="en-US"/>
              </w:rPr>
            </w:pPr>
            <w:r w:rsidRPr="004A4423">
              <w:rPr>
                <w:lang w:val="en-US"/>
              </w:rPr>
              <w:t>% of treaty notifications that are promptly processed by OLC</w:t>
            </w:r>
          </w:p>
        </w:tc>
        <w:tc>
          <w:tcPr>
            <w:tcW w:w="1440" w:type="dxa"/>
            <w:tcBorders>
              <w:bottom w:val="single" w:sz="4" w:space="0" w:color="BFBFBF" w:themeColor="background1" w:themeShade="BF"/>
            </w:tcBorders>
            <w:shd w:val="clear" w:color="auto" w:fill="auto"/>
          </w:tcPr>
          <w:p w14:paraId="72D8527E" w14:textId="77777777" w:rsidR="00434007" w:rsidRPr="00F17212" w:rsidRDefault="00434007" w:rsidP="00434007">
            <w:pPr>
              <w:pStyle w:val="TableText"/>
              <w:jc w:val="center"/>
              <w:rPr>
                <w:lang w:val="en-US"/>
              </w:rPr>
            </w:pPr>
            <w:r>
              <w:rPr>
                <w:lang w:val="en-US"/>
              </w:rPr>
              <w:t>AFM</w:t>
            </w:r>
          </w:p>
        </w:tc>
      </w:tr>
      <w:tr w:rsidR="00434007" w:rsidRPr="00D350B5" w14:paraId="192421E4" w14:textId="77777777" w:rsidTr="00434007">
        <w:trPr>
          <w:cantSplit/>
          <w:trHeight w:val="20"/>
        </w:trPr>
        <w:tc>
          <w:tcPr>
            <w:tcW w:w="3481" w:type="dxa"/>
            <w:vMerge w:val="restart"/>
            <w:tcBorders>
              <w:top w:val="single" w:sz="4" w:space="0" w:color="BFBFBF" w:themeColor="background1" w:themeShade="BF"/>
            </w:tcBorders>
            <w:shd w:val="clear" w:color="auto" w:fill="auto"/>
          </w:tcPr>
          <w:p w14:paraId="3B36F98B" w14:textId="77777777" w:rsidR="00434007" w:rsidRDefault="00434007" w:rsidP="00434007">
            <w:pPr>
              <w:pStyle w:val="TableTextBold"/>
              <w:rPr>
                <w:rStyle w:val="charColoured"/>
                <w:lang w:val="en-US"/>
              </w:rPr>
            </w:pPr>
            <w:r>
              <w:rPr>
                <w:rStyle w:val="charColoured"/>
                <w:lang w:val="en-US"/>
              </w:rPr>
              <w:t xml:space="preserve">2.2  </w:t>
            </w:r>
            <w:r w:rsidRPr="0022203D">
              <w:rPr>
                <w:rStyle w:val="charColoured"/>
                <w:color w:val="auto"/>
                <w:lang w:val="en-US"/>
              </w:rPr>
              <w:t>WIPO brings the international community together to proactively address emerging issues and policy challenges  at the global level relating to IP, innovation and creativity</w:t>
            </w:r>
          </w:p>
        </w:tc>
        <w:tc>
          <w:tcPr>
            <w:tcW w:w="4799" w:type="dxa"/>
            <w:tcBorders>
              <w:top w:val="single" w:sz="4" w:space="0" w:color="BFBFBF" w:themeColor="background1" w:themeShade="BF"/>
            </w:tcBorders>
            <w:shd w:val="clear" w:color="auto" w:fill="auto"/>
          </w:tcPr>
          <w:p w14:paraId="4710128D" w14:textId="77777777" w:rsidR="00434007" w:rsidRPr="00137C56" w:rsidRDefault="00434007" w:rsidP="00434007">
            <w:pPr>
              <w:pStyle w:val="TableText"/>
              <w:rPr>
                <w:lang w:val="en-US"/>
              </w:rPr>
            </w:pPr>
            <w:r w:rsidRPr="002D7D4D">
              <w:rPr>
                <w:lang w:val="en-US"/>
              </w:rPr>
              <w:t>Engagement in the WIPO Conversations on IP and Frontier Technology</w:t>
            </w:r>
          </w:p>
        </w:tc>
        <w:tc>
          <w:tcPr>
            <w:tcW w:w="1440" w:type="dxa"/>
            <w:tcBorders>
              <w:top w:val="single" w:sz="4" w:space="0" w:color="BFBFBF" w:themeColor="background1" w:themeShade="BF"/>
            </w:tcBorders>
            <w:shd w:val="clear" w:color="auto" w:fill="auto"/>
          </w:tcPr>
          <w:p w14:paraId="4EA488E2" w14:textId="77777777" w:rsidR="00434007" w:rsidRDefault="00434007" w:rsidP="00434007">
            <w:pPr>
              <w:pStyle w:val="TableText"/>
              <w:jc w:val="center"/>
              <w:rPr>
                <w:lang w:val="en-US"/>
              </w:rPr>
            </w:pPr>
            <w:r>
              <w:rPr>
                <w:lang w:val="en-US"/>
              </w:rPr>
              <w:t>IP</w:t>
            </w:r>
          </w:p>
        </w:tc>
      </w:tr>
      <w:tr w:rsidR="00434007" w:rsidRPr="00D350B5" w14:paraId="6AA23931" w14:textId="77777777" w:rsidTr="00434007">
        <w:trPr>
          <w:cantSplit/>
          <w:trHeight w:val="21"/>
        </w:trPr>
        <w:tc>
          <w:tcPr>
            <w:tcW w:w="3481" w:type="dxa"/>
            <w:vMerge/>
            <w:tcBorders>
              <w:top w:val="single" w:sz="4" w:space="0" w:color="BFBFBF" w:themeColor="background1" w:themeShade="BF"/>
            </w:tcBorders>
            <w:shd w:val="clear" w:color="auto" w:fill="auto"/>
          </w:tcPr>
          <w:p w14:paraId="1A34EEDD" w14:textId="77777777" w:rsidR="00434007" w:rsidRDefault="00434007" w:rsidP="00434007">
            <w:pPr>
              <w:pStyle w:val="TableTextBold"/>
              <w:rPr>
                <w:rStyle w:val="charColoured"/>
                <w:lang w:val="en-US"/>
              </w:rPr>
            </w:pPr>
          </w:p>
        </w:tc>
        <w:tc>
          <w:tcPr>
            <w:tcW w:w="4799" w:type="dxa"/>
            <w:shd w:val="clear" w:color="auto" w:fill="auto"/>
          </w:tcPr>
          <w:p w14:paraId="7BBC4F40" w14:textId="77777777" w:rsidR="00434007" w:rsidRPr="002D7D4D" w:rsidRDefault="00434007" w:rsidP="00434007">
            <w:pPr>
              <w:pStyle w:val="TableText"/>
              <w:rPr>
                <w:lang w:val="en-US"/>
              </w:rPr>
            </w:pPr>
            <w:r w:rsidRPr="00E05708">
              <w:rPr>
                <w:lang w:val="en-US"/>
              </w:rPr>
              <w:t>Level of satisfaction of participants in activities organized to improve the understanding of the IP and Competition Policy interface</w:t>
            </w:r>
          </w:p>
        </w:tc>
        <w:tc>
          <w:tcPr>
            <w:tcW w:w="1440" w:type="dxa"/>
            <w:shd w:val="clear" w:color="auto" w:fill="auto"/>
          </w:tcPr>
          <w:p w14:paraId="02394895" w14:textId="77777777" w:rsidR="00434007" w:rsidRDefault="00434007" w:rsidP="00434007">
            <w:pPr>
              <w:pStyle w:val="TableText"/>
              <w:jc w:val="center"/>
              <w:rPr>
                <w:lang w:val="en-US"/>
              </w:rPr>
            </w:pPr>
            <w:r>
              <w:rPr>
                <w:lang w:val="en-US"/>
              </w:rPr>
              <w:t>GCP</w:t>
            </w:r>
          </w:p>
        </w:tc>
      </w:tr>
      <w:tr w:rsidR="00434007" w:rsidRPr="00D350B5" w14:paraId="47A134FB" w14:textId="77777777" w:rsidTr="00434007">
        <w:trPr>
          <w:cantSplit/>
          <w:trHeight w:val="249"/>
        </w:trPr>
        <w:tc>
          <w:tcPr>
            <w:tcW w:w="3481" w:type="dxa"/>
            <w:vMerge/>
            <w:tcBorders>
              <w:bottom w:val="single" w:sz="4" w:space="0" w:color="BFBFBF" w:themeColor="background1" w:themeShade="BF"/>
            </w:tcBorders>
            <w:shd w:val="clear" w:color="auto" w:fill="auto"/>
          </w:tcPr>
          <w:p w14:paraId="6C790E6D" w14:textId="77777777" w:rsidR="00434007" w:rsidRDefault="00434007" w:rsidP="00434007">
            <w:pPr>
              <w:pStyle w:val="TableTextBold"/>
              <w:rPr>
                <w:rStyle w:val="charColoured"/>
                <w:lang w:val="en-US"/>
              </w:rPr>
            </w:pPr>
          </w:p>
        </w:tc>
        <w:tc>
          <w:tcPr>
            <w:tcW w:w="4799" w:type="dxa"/>
            <w:tcBorders>
              <w:bottom w:val="single" w:sz="4" w:space="0" w:color="BFBFBF" w:themeColor="background1" w:themeShade="BF"/>
            </w:tcBorders>
            <w:shd w:val="clear" w:color="auto" w:fill="auto"/>
          </w:tcPr>
          <w:p w14:paraId="7B2B6594" w14:textId="77777777" w:rsidR="00434007" w:rsidRPr="00137C56" w:rsidRDefault="00434007" w:rsidP="00434007">
            <w:pPr>
              <w:pStyle w:val="TableText"/>
              <w:rPr>
                <w:lang w:val="en-US"/>
              </w:rPr>
            </w:pPr>
            <w:r w:rsidRPr="002D7D4D">
              <w:rPr>
                <w:lang w:val="en-US"/>
              </w:rPr>
              <w:t>Level of satisfaction of delegates attending the GAs and other Meetings</w:t>
            </w:r>
          </w:p>
        </w:tc>
        <w:tc>
          <w:tcPr>
            <w:tcW w:w="1440" w:type="dxa"/>
            <w:tcBorders>
              <w:bottom w:val="single" w:sz="4" w:space="0" w:color="BFBFBF" w:themeColor="background1" w:themeShade="BF"/>
            </w:tcBorders>
            <w:shd w:val="clear" w:color="auto" w:fill="auto"/>
          </w:tcPr>
          <w:p w14:paraId="4AE4D3E1" w14:textId="77777777" w:rsidR="00434007" w:rsidRDefault="00434007" w:rsidP="00434007">
            <w:pPr>
              <w:pStyle w:val="TableText"/>
              <w:jc w:val="center"/>
              <w:rPr>
                <w:lang w:val="en-US"/>
              </w:rPr>
            </w:pPr>
            <w:r>
              <w:rPr>
                <w:lang w:val="en-US"/>
              </w:rPr>
              <w:t>ODG</w:t>
            </w:r>
          </w:p>
        </w:tc>
      </w:tr>
      <w:tr w:rsidR="00434007" w:rsidRPr="00D350B5" w14:paraId="770EA9D0" w14:textId="77777777" w:rsidTr="00434007">
        <w:trPr>
          <w:cantSplit/>
          <w:trHeight w:val="660"/>
        </w:trPr>
        <w:tc>
          <w:tcPr>
            <w:tcW w:w="3481" w:type="dxa"/>
            <w:tcBorders>
              <w:top w:val="single" w:sz="4" w:space="0" w:color="BFBFBF" w:themeColor="background1" w:themeShade="BF"/>
              <w:bottom w:val="single" w:sz="4" w:space="0" w:color="BFBFBF" w:themeColor="background1" w:themeShade="BF"/>
            </w:tcBorders>
            <w:shd w:val="clear" w:color="auto" w:fill="auto"/>
          </w:tcPr>
          <w:p w14:paraId="0E7A5DA6" w14:textId="77777777" w:rsidR="00434007" w:rsidRDefault="00434007" w:rsidP="00434007">
            <w:pPr>
              <w:pStyle w:val="TableTextBold"/>
              <w:rPr>
                <w:rStyle w:val="charColoured"/>
                <w:lang w:val="en-US"/>
              </w:rPr>
            </w:pPr>
            <w:r>
              <w:rPr>
                <w:rStyle w:val="charColoured"/>
                <w:lang w:val="en-US"/>
              </w:rPr>
              <w:t>2</w:t>
            </w:r>
            <w:r w:rsidRPr="00D350B5">
              <w:rPr>
                <w:rStyle w:val="charColoured"/>
                <w:lang w:val="en-US"/>
              </w:rPr>
              <w:t>.</w:t>
            </w:r>
            <w:r>
              <w:rPr>
                <w:rStyle w:val="charColoured"/>
                <w:lang w:val="en-US"/>
              </w:rPr>
              <w:t xml:space="preserve">3  </w:t>
            </w:r>
            <w:r w:rsidRPr="00F17212">
              <w:rPr>
                <w:lang w:val="en-US"/>
              </w:rPr>
              <w:t>International dialogue and cooperation on Building Respect for IP</w:t>
            </w:r>
          </w:p>
        </w:tc>
        <w:tc>
          <w:tcPr>
            <w:tcW w:w="4799" w:type="dxa"/>
            <w:tcBorders>
              <w:top w:val="single" w:sz="4" w:space="0" w:color="BFBFBF" w:themeColor="background1" w:themeShade="BF"/>
              <w:bottom w:val="single" w:sz="4" w:space="0" w:color="BFBFBF" w:themeColor="background1" w:themeShade="BF"/>
            </w:tcBorders>
            <w:shd w:val="clear" w:color="auto" w:fill="auto"/>
          </w:tcPr>
          <w:p w14:paraId="07676254" w14:textId="77777777" w:rsidR="00434007" w:rsidRPr="007F1A58" w:rsidRDefault="00434007" w:rsidP="00434007">
            <w:pPr>
              <w:pStyle w:val="TableText"/>
              <w:rPr>
                <w:lang w:val="en-US"/>
              </w:rPr>
            </w:pPr>
            <w:r w:rsidRPr="00E05708">
              <w:rPr>
                <w:lang w:val="en-US"/>
              </w:rPr>
              <w:t>Progress on the implementation of agreed work in accordance with the agenda of the Committee</w:t>
            </w:r>
          </w:p>
        </w:tc>
        <w:tc>
          <w:tcPr>
            <w:tcW w:w="1440" w:type="dxa"/>
            <w:tcBorders>
              <w:top w:val="single" w:sz="4" w:space="0" w:color="BFBFBF" w:themeColor="background1" w:themeShade="BF"/>
              <w:bottom w:val="single" w:sz="4" w:space="0" w:color="BFBFBF" w:themeColor="background1" w:themeShade="BF"/>
            </w:tcBorders>
            <w:shd w:val="clear" w:color="auto" w:fill="auto"/>
          </w:tcPr>
          <w:p w14:paraId="2433ECC3" w14:textId="77777777" w:rsidR="00434007" w:rsidRPr="00F17212" w:rsidRDefault="00434007" w:rsidP="00434007">
            <w:pPr>
              <w:pStyle w:val="TableText"/>
              <w:jc w:val="center"/>
              <w:rPr>
                <w:lang w:val="en-US"/>
              </w:rPr>
            </w:pPr>
            <w:r>
              <w:rPr>
                <w:lang w:val="en-US"/>
              </w:rPr>
              <w:t>GCP</w:t>
            </w:r>
          </w:p>
        </w:tc>
      </w:tr>
      <w:tr w:rsidR="00434007" w:rsidRPr="00D350B5" w14:paraId="64C1F6FC" w14:textId="77777777" w:rsidTr="00434007">
        <w:trPr>
          <w:cantSplit/>
          <w:trHeight w:val="21"/>
        </w:trPr>
        <w:tc>
          <w:tcPr>
            <w:tcW w:w="3481" w:type="dxa"/>
            <w:vMerge w:val="restart"/>
            <w:tcBorders>
              <w:top w:val="single" w:sz="4" w:space="0" w:color="BFBFBF" w:themeColor="background1" w:themeShade="BF"/>
            </w:tcBorders>
            <w:shd w:val="clear" w:color="auto" w:fill="auto"/>
          </w:tcPr>
          <w:p w14:paraId="08957A84" w14:textId="77777777" w:rsidR="00434007" w:rsidRDefault="00434007" w:rsidP="00434007">
            <w:pPr>
              <w:pStyle w:val="TableTextBold"/>
              <w:rPr>
                <w:rStyle w:val="charColoured"/>
                <w:lang w:val="en-US"/>
              </w:rPr>
            </w:pPr>
            <w:r>
              <w:rPr>
                <w:rStyle w:val="charColoured"/>
                <w:lang w:val="en-US"/>
              </w:rPr>
              <w:t xml:space="preserve">2.4  </w:t>
            </w:r>
            <w:r w:rsidRPr="0022203D">
              <w:rPr>
                <w:rStyle w:val="charColoured"/>
                <w:color w:val="auto"/>
                <w:lang w:val="en-US"/>
              </w:rPr>
              <w:t>Effective interaction and partnerships with the UN, IGOs and NGOs in support of global goals to which IP can contribute</w:t>
            </w:r>
          </w:p>
        </w:tc>
        <w:tc>
          <w:tcPr>
            <w:tcW w:w="4799" w:type="dxa"/>
            <w:tcBorders>
              <w:top w:val="single" w:sz="4" w:space="0" w:color="BFBFBF" w:themeColor="background1" w:themeShade="BF"/>
            </w:tcBorders>
            <w:shd w:val="clear" w:color="auto" w:fill="auto"/>
          </w:tcPr>
          <w:p w14:paraId="6989C76F" w14:textId="77777777" w:rsidR="00434007" w:rsidRPr="004A4423" w:rsidRDefault="00434007" w:rsidP="00434007">
            <w:pPr>
              <w:pStyle w:val="TableText"/>
              <w:rPr>
                <w:lang w:val="en-US"/>
              </w:rPr>
            </w:pPr>
            <w:r w:rsidRPr="000F3CD5">
              <w:rPr>
                <w:lang w:val="en-US"/>
              </w:rPr>
              <w:t>Progress on WIPO deliverables for the implementation of the new UN Programme of Action (PoA) 2021-2030 for LDCs</w:t>
            </w:r>
          </w:p>
        </w:tc>
        <w:tc>
          <w:tcPr>
            <w:tcW w:w="1440" w:type="dxa"/>
            <w:tcBorders>
              <w:top w:val="single" w:sz="4" w:space="0" w:color="BFBFBF" w:themeColor="background1" w:themeShade="BF"/>
            </w:tcBorders>
            <w:shd w:val="clear" w:color="auto" w:fill="auto"/>
          </w:tcPr>
          <w:p w14:paraId="65B4D0FA" w14:textId="77777777" w:rsidR="00434007" w:rsidRDefault="00434007" w:rsidP="00434007">
            <w:pPr>
              <w:pStyle w:val="TableText"/>
              <w:jc w:val="center"/>
              <w:rPr>
                <w:lang w:val="en-US"/>
              </w:rPr>
            </w:pPr>
            <w:r>
              <w:rPr>
                <w:lang w:val="en-US"/>
              </w:rPr>
              <w:t>RND</w:t>
            </w:r>
          </w:p>
        </w:tc>
      </w:tr>
      <w:tr w:rsidR="00434007" w:rsidRPr="00D350B5" w14:paraId="5CDB7A04" w14:textId="77777777" w:rsidTr="00434007">
        <w:trPr>
          <w:cantSplit/>
          <w:trHeight w:val="21"/>
        </w:trPr>
        <w:tc>
          <w:tcPr>
            <w:tcW w:w="3481" w:type="dxa"/>
            <w:vMerge/>
            <w:shd w:val="clear" w:color="auto" w:fill="auto"/>
          </w:tcPr>
          <w:p w14:paraId="002D1E88" w14:textId="77777777" w:rsidR="00434007" w:rsidRDefault="00434007" w:rsidP="00434007">
            <w:pPr>
              <w:pStyle w:val="TableTextBold"/>
              <w:rPr>
                <w:rStyle w:val="charColoured"/>
                <w:lang w:val="en-US"/>
              </w:rPr>
            </w:pPr>
          </w:p>
        </w:tc>
        <w:tc>
          <w:tcPr>
            <w:tcW w:w="4799" w:type="dxa"/>
            <w:shd w:val="clear" w:color="auto" w:fill="auto"/>
          </w:tcPr>
          <w:p w14:paraId="5DF8F9FB" w14:textId="77777777" w:rsidR="00434007" w:rsidRPr="004A4423" w:rsidRDefault="00434007" w:rsidP="00434007">
            <w:pPr>
              <w:pStyle w:val="TableText"/>
              <w:rPr>
                <w:lang w:val="en-US"/>
              </w:rPr>
            </w:pPr>
            <w:r w:rsidRPr="000F3CD5">
              <w:rPr>
                <w:lang w:val="en-US"/>
              </w:rPr>
              <w:t>No. of WIPO initiatives in partnership with the UN and other IGOs</w:t>
            </w:r>
          </w:p>
        </w:tc>
        <w:tc>
          <w:tcPr>
            <w:tcW w:w="1440" w:type="dxa"/>
            <w:shd w:val="clear" w:color="auto" w:fill="auto"/>
          </w:tcPr>
          <w:p w14:paraId="339B0354" w14:textId="77777777" w:rsidR="00434007" w:rsidRDefault="00434007" w:rsidP="00434007">
            <w:pPr>
              <w:pStyle w:val="TableText"/>
              <w:jc w:val="center"/>
              <w:rPr>
                <w:lang w:val="en-US"/>
              </w:rPr>
            </w:pPr>
            <w:r>
              <w:rPr>
                <w:lang w:val="en-US"/>
              </w:rPr>
              <w:t>GCP</w:t>
            </w:r>
          </w:p>
        </w:tc>
      </w:tr>
      <w:tr w:rsidR="00434007" w:rsidRPr="00D350B5" w14:paraId="48108D2E" w14:textId="77777777" w:rsidTr="00434007">
        <w:trPr>
          <w:cantSplit/>
          <w:trHeight w:val="21"/>
        </w:trPr>
        <w:tc>
          <w:tcPr>
            <w:tcW w:w="3481" w:type="dxa"/>
            <w:vMerge/>
            <w:tcBorders>
              <w:bottom w:val="single" w:sz="4" w:space="0" w:color="BFBFBF" w:themeColor="background1" w:themeShade="BF"/>
            </w:tcBorders>
            <w:shd w:val="clear" w:color="auto" w:fill="auto"/>
          </w:tcPr>
          <w:p w14:paraId="6AE4D6C0" w14:textId="77777777" w:rsidR="00434007" w:rsidRDefault="00434007" w:rsidP="00434007">
            <w:pPr>
              <w:pStyle w:val="TableTextBold"/>
              <w:rPr>
                <w:rStyle w:val="charColoured"/>
                <w:lang w:val="en-US"/>
              </w:rPr>
            </w:pPr>
          </w:p>
        </w:tc>
        <w:tc>
          <w:tcPr>
            <w:tcW w:w="4799" w:type="dxa"/>
            <w:tcBorders>
              <w:bottom w:val="single" w:sz="4" w:space="0" w:color="BFBFBF" w:themeColor="background1" w:themeShade="BF"/>
            </w:tcBorders>
            <w:shd w:val="clear" w:color="auto" w:fill="auto"/>
          </w:tcPr>
          <w:p w14:paraId="680F61C8" w14:textId="77777777" w:rsidR="00434007" w:rsidRPr="000F3CD5" w:rsidRDefault="00434007" w:rsidP="00434007">
            <w:pPr>
              <w:pStyle w:val="TableText"/>
              <w:rPr>
                <w:lang w:val="en-US"/>
              </w:rPr>
            </w:pPr>
            <w:r w:rsidRPr="000F3CD5">
              <w:rPr>
                <w:lang w:val="en-US"/>
              </w:rPr>
              <w:t>No. of permanent observer NGOs engaging in WIPO's work and vice versa</w:t>
            </w:r>
          </w:p>
        </w:tc>
        <w:tc>
          <w:tcPr>
            <w:tcW w:w="1440" w:type="dxa"/>
            <w:tcBorders>
              <w:bottom w:val="single" w:sz="4" w:space="0" w:color="BFBFBF" w:themeColor="background1" w:themeShade="BF"/>
            </w:tcBorders>
            <w:shd w:val="clear" w:color="auto" w:fill="auto"/>
          </w:tcPr>
          <w:p w14:paraId="3127345C" w14:textId="77777777" w:rsidR="00434007" w:rsidRDefault="00434007" w:rsidP="00434007">
            <w:pPr>
              <w:pStyle w:val="TableText"/>
              <w:jc w:val="center"/>
              <w:rPr>
                <w:lang w:val="en-US"/>
              </w:rPr>
            </w:pPr>
            <w:r>
              <w:rPr>
                <w:lang w:val="en-US"/>
              </w:rPr>
              <w:t>GCP</w:t>
            </w:r>
          </w:p>
        </w:tc>
      </w:tr>
    </w:tbl>
    <w:p w14:paraId="4CF1F7ED" w14:textId="62CE1754" w:rsidR="00434007" w:rsidRDefault="00434007" w:rsidP="00434007">
      <w:pPr>
        <w:pStyle w:val="NormalNoSpace"/>
        <w:rPr>
          <w:rFonts w:eastAsia="Times New Roman" w:cs="Arial"/>
          <w:b/>
          <w:color w:val="005172" w:themeColor="text2"/>
          <w:szCs w:val="32"/>
          <w:lang w:val="en-US"/>
        </w:rPr>
      </w:pPr>
    </w:p>
    <w:p w14:paraId="79C1278B" w14:textId="77777777" w:rsidR="00434007" w:rsidRPr="002B2D92" w:rsidRDefault="00434007" w:rsidP="006D0CD0">
      <w:pPr>
        <w:pStyle w:val="NormalNoSpace"/>
        <w:shd w:val="clear" w:color="auto" w:fill="E6F2FB" w:themeFill="accent2" w:themeFillTint="33"/>
        <w:ind w:right="-172"/>
        <w:rPr>
          <w:lang w:val="en-US"/>
        </w:rPr>
      </w:pPr>
      <w:r w:rsidRPr="0080201A">
        <w:rPr>
          <w:rFonts w:eastAsia="Times New Roman" w:cs="Arial"/>
          <w:b/>
          <w:color w:val="005172" w:themeColor="text2"/>
          <w:szCs w:val="32"/>
          <w:lang w:val="en-US"/>
        </w:rPr>
        <w:t xml:space="preserve">Strategic Pillar </w:t>
      </w:r>
      <w:r>
        <w:rPr>
          <w:rFonts w:eastAsia="Times New Roman" w:cs="Arial"/>
          <w:b/>
          <w:color w:val="005172" w:themeColor="text2"/>
          <w:szCs w:val="32"/>
          <w:lang w:val="en-US"/>
        </w:rPr>
        <w:t>3</w:t>
      </w:r>
      <w:r w:rsidRPr="0080201A">
        <w:rPr>
          <w:rFonts w:eastAsia="Times New Roman" w:cs="Arial"/>
          <w:b/>
          <w:color w:val="005172" w:themeColor="text2"/>
          <w:szCs w:val="32"/>
          <w:lang w:val="en-US"/>
        </w:rPr>
        <w:t xml:space="preserve">:  </w:t>
      </w:r>
      <w:r w:rsidRPr="00C85E64">
        <w:rPr>
          <w:rFonts w:eastAsia="Times New Roman" w:cs="Arial"/>
          <w:b/>
          <w:color w:val="005172" w:themeColor="text2"/>
          <w:szCs w:val="32"/>
          <w:lang w:val="en-US"/>
        </w:rPr>
        <w:t>Provide high quality intellectual property services, knowledge and data that deliver value to users around the world</w:t>
      </w:r>
    </w:p>
    <w:tbl>
      <w:tblPr>
        <w:tblStyle w:val="TableGrid"/>
        <w:tblW w:w="9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7470"/>
        <w:gridCol w:w="1744"/>
        <w:gridCol w:w="623"/>
      </w:tblGrid>
      <w:tr w:rsidR="00434007" w:rsidRPr="00D350B5" w14:paraId="2E81A99B" w14:textId="77777777" w:rsidTr="00434007">
        <w:trPr>
          <w:cantSplit/>
          <w:trHeight w:val="340"/>
          <w:tblHeader/>
        </w:trPr>
        <w:tc>
          <w:tcPr>
            <w:tcW w:w="7470" w:type="dxa"/>
            <w:tcBorders>
              <w:top w:val="single" w:sz="18" w:space="0" w:color="FFFFFF" w:themeColor="background1"/>
            </w:tcBorders>
            <w:shd w:val="clear" w:color="auto" w:fill="C6CFD7" w:themeFill="accent3" w:themeFillTint="66"/>
          </w:tcPr>
          <w:p w14:paraId="488CFA11" w14:textId="77777777" w:rsidR="00434007" w:rsidRPr="00D350B5" w:rsidRDefault="00434007" w:rsidP="00434007">
            <w:pPr>
              <w:pStyle w:val="TableHeading"/>
              <w:keepLines/>
              <w:spacing w:before="0" w:line="240" w:lineRule="auto"/>
            </w:pPr>
            <w:r>
              <w:t>Priorities</w:t>
            </w:r>
          </w:p>
        </w:tc>
        <w:tc>
          <w:tcPr>
            <w:tcW w:w="1744" w:type="dxa"/>
            <w:tcBorders>
              <w:top w:val="single" w:sz="18" w:space="0" w:color="FFFFFF" w:themeColor="background1"/>
            </w:tcBorders>
            <w:shd w:val="clear" w:color="auto" w:fill="C6CFD7" w:themeFill="accent3" w:themeFillTint="66"/>
          </w:tcPr>
          <w:p w14:paraId="63622FB3" w14:textId="77777777" w:rsidR="00434007" w:rsidRDefault="00434007" w:rsidP="00434007">
            <w:pPr>
              <w:pStyle w:val="TableHeading"/>
              <w:spacing w:before="0" w:line="240" w:lineRule="auto"/>
              <w:jc w:val="center"/>
            </w:pPr>
            <w:r>
              <w:t>Budget</w:t>
            </w:r>
          </w:p>
          <w:p w14:paraId="48CCC87C" w14:textId="77777777" w:rsidR="00434007" w:rsidRDefault="00434007" w:rsidP="00434007">
            <w:pPr>
              <w:pStyle w:val="TableHeading"/>
              <w:spacing w:before="0" w:line="240" w:lineRule="auto"/>
              <w:ind w:left="0"/>
              <w:jc w:val="center"/>
            </w:pPr>
            <w:r w:rsidRPr="00654708">
              <w:rPr>
                <w:b w:val="0"/>
                <w:i/>
                <w:sz w:val="14"/>
                <w:szCs w:val="14"/>
              </w:rPr>
              <w:t>(in thousands of Swiss francs)</w:t>
            </w:r>
          </w:p>
        </w:tc>
        <w:tc>
          <w:tcPr>
            <w:tcW w:w="623" w:type="dxa"/>
            <w:tcBorders>
              <w:top w:val="single" w:sz="18" w:space="0" w:color="FFFFFF" w:themeColor="background1"/>
            </w:tcBorders>
            <w:shd w:val="clear" w:color="auto" w:fill="C6CFD7" w:themeFill="accent3" w:themeFillTint="66"/>
          </w:tcPr>
          <w:p w14:paraId="73340A72" w14:textId="77777777" w:rsidR="00434007" w:rsidRDefault="00434007" w:rsidP="00434007">
            <w:pPr>
              <w:pStyle w:val="TableHeading"/>
              <w:spacing w:before="0" w:line="240" w:lineRule="auto"/>
              <w:ind w:left="0"/>
              <w:jc w:val="center"/>
            </w:pPr>
            <w:r>
              <w:t>Sector</w:t>
            </w:r>
          </w:p>
        </w:tc>
      </w:tr>
      <w:tr w:rsidR="00434007" w:rsidRPr="00D350B5" w14:paraId="7ACAAEBE" w14:textId="77777777" w:rsidTr="0051053B">
        <w:trPr>
          <w:cantSplit/>
          <w:trHeight w:val="720"/>
        </w:trPr>
        <w:tc>
          <w:tcPr>
            <w:tcW w:w="7470" w:type="dxa"/>
            <w:tcBorders>
              <w:bottom w:val="single" w:sz="6" w:space="0" w:color="EDF0F3" w:themeColor="accent4" w:themeTint="33"/>
            </w:tcBorders>
            <w:shd w:val="clear" w:color="auto" w:fill="auto"/>
          </w:tcPr>
          <w:p w14:paraId="3F547241" w14:textId="77777777" w:rsidR="00434007" w:rsidRDefault="00434007" w:rsidP="008407D7">
            <w:pPr>
              <w:pStyle w:val="TableText"/>
              <w:numPr>
                <w:ilvl w:val="0"/>
                <w:numId w:val="22"/>
              </w:numPr>
              <w:spacing w:after="60"/>
              <w:ind w:left="648"/>
            </w:pPr>
            <w:r>
              <w:t xml:space="preserve">Promote and support the implementation of </w:t>
            </w:r>
            <w:r w:rsidRPr="00637A9D">
              <w:t>WIPO-administered treaties</w:t>
            </w:r>
          </w:p>
          <w:p w14:paraId="25B00460" w14:textId="77777777" w:rsidR="00434007" w:rsidRPr="00645B0F" w:rsidRDefault="00434007" w:rsidP="008407D7">
            <w:pPr>
              <w:pStyle w:val="TableText"/>
              <w:numPr>
                <w:ilvl w:val="0"/>
                <w:numId w:val="22"/>
              </w:numPr>
              <w:spacing w:after="60"/>
              <w:ind w:left="648"/>
            </w:pPr>
            <w:r w:rsidRPr="00645B0F">
              <w:t>Promot</w:t>
            </w:r>
            <w:r>
              <w:t>e</w:t>
            </w:r>
            <w:r w:rsidRPr="00645B0F">
              <w:t xml:space="preserve"> the use of </w:t>
            </w:r>
            <w:r>
              <w:t>WIPO’s Global IP S</w:t>
            </w:r>
            <w:r w:rsidRPr="00EC45AE">
              <w:t>ervices</w:t>
            </w:r>
            <w:r>
              <w:t>, AMC</w:t>
            </w:r>
            <w:r w:rsidRPr="00EC45AE">
              <w:t xml:space="preserve"> </w:t>
            </w:r>
            <w:r w:rsidRPr="00645B0F">
              <w:t>and Global Databases</w:t>
            </w:r>
          </w:p>
          <w:p w14:paraId="6CA4ABC4" w14:textId="30BC18B7" w:rsidR="0051053B" w:rsidRPr="0022203D" w:rsidRDefault="00434007" w:rsidP="008407D7">
            <w:pPr>
              <w:pStyle w:val="TableText"/>
              <w:numPr>
                <w:ilvl w:val="0"/>
                <w:numId w:val="22"/>
              </w:numPr>
              <w:spacing w:after="60"/>
              <w:ind w:left="648"/>
            </w:pPr>
            <w:r>
              <w:t xml:space="preserve">Business development and marketing efforts to expand the use of </w:t>
            </w:r>
            <w:r w:rsidRPr="00637A9D">
              <w:t>WIPO Services</w:t>
            </w:r>
          </w:p>
        </w:tc>
        <w:tc>
          <w:tcPr>
            <w:tcW w:w="1744" w:type="dxa"/>
            <w:tcBorders>
              <w:bottom w:val="single" w:sz="6" w:space="0" w:color="EDF0F3" w:themeColor="accent4" w:themeTint="33"/>
            </w:tcBorders>
          </w:tcPr>
          <w:p w14:paraId="045E76B1" w14:textId="03C64CCC" w:rsidR="00434007" w:rsidRDefault="00434007" w:rsidP="00A01F11">
            <w:pPr>
              <w:pStyle w:val="TableText"/>
              <w:ind w:left="0" w:right="432"/>
              <w:jc w:val="right"/>
            </w:pPr>
            <w:r>
              <w:t>32,</w:t>
            </w:r>
            <w:r w:rsidR="00A01F11">
              <w:t>675</w:t>
            </w:r>
            <w:r>
              <w:t xml:space="preserve"> </w:t>
            </w:r>
          </w:p>
        </w:tc>
        <w:tc>
          <w:tcPr>
            <w:tcW w:w="623" w:type="dxa"/>
            <w:tcBorders>
              <w:bottom w:val="single" w:sz="6" w:space="0" w:color="EDF0F3" w:themeColor="accent4" w:themeTint="33"/>
            </w:tcBorders>
          </w:tcPr>
          <w:p w14:paraId="36FC1AC6" w14:textId="77777777" w:rsidR="00434007" w:rsidRDefault="00434007" w:rsidP="00434007">
            <w:pPr>
              <w:pStyle w:val="TableText"/>
              <w:ind w:left="0"/>
              <w:jc w:val="center"/>
            </w:pPr>
            <w:r>
              <w:t xml:space="preserve">BD, IE, </w:t>
            </w:r>
          </w:p>
          <w:p w14:paraId="009BF9CC" w14:textId="4744C67E" w:rsidR="0051053B" w:rsidRPr="0022203D" w:rsidRDefault="00434007" w:rsidP="0051053B">
            <w:pPr>
              <w:pStyle w:val="TableText"/>
              <w:ind w:left="0"/>
              <w:jc w:val="center"/>
            </w:pPr>
            <w:r>
              <w:t>IP, PT, RND</w:t>
            </w:r>
          </w:p>
        </w:tc>
      </w:tr>
      <w:tr w:rsidR="00434007" w:rsidRPr="00D350B5" w14:paraId="06FD4B75" w14:textId="77777777" w:rsidTr="00672FCB">
        <w:trPr>
          <w:cantSplit/>
          <w:trHeight w:val="432"/>
        </w:trPr>
        <w:tc>
          <w:tcPr>
            <w:tcW w:w="7470" w:type="dxa"/>
            <w:tcBorders>
              <w:top w:val="single" w:sz="6" w:space="0" w:color="EDF0F3" w:themeColor="accent4" w:themeTint="33"/>
              <w:bottom w:val="single" w:sz="6" w:space="0" w:color="EDF0F3" w:themeColor="accent4" w:themeTint="33"/>
            </w:tcBorders>
            <w:shd w:val="clear" w:color="auto" w:fill="auto"/>
          </w:tcPr>
          <w:p w14:paraId="7F367B75" w14:textId="54F6442A" w:rsidR="00434007" w:rsidRPr="0022203D" w:rsidRDefault="00434007" w:rsidP="008407D7">
            <w:pPr>
              <w:pStyle w:val="TableText"/>
              <w:numPr>
                <w:ilvl w:val="0"/>
                <w:numId w:val="22"/>
              </w:numPr>
              <w:spacing w:after="60"/>
              <w:ind w:left="648"/>
            </w:pPr>
            <w:r>
              <w:t xml:space="preserve">Enhance the efficiency and service quality of WIPO’s </w:t>
            </w:r>
            <w:r w:rsidRPr="00EC45AE">
              <w:t xml:space="preserve">Global IP </w:t>
            </w:r>
            <w:r>
              <w:t>Systems and A</w:t>
            </w:r>
            <w:r w:rsidR="00B02668">
              <w:t>MC, with specific emphasis on cu</w:t>
            </w:r>
            <w:r>
              <w:t>st</w:t>
            </w:r>
            <w:r w:rsidR="00B02668">
              <w:t>o</w:t>
            </w:r>
            <w:r>
              <w:t>mer-centric approaches in operations</w:t>
            </w:r>
          </w:p>
        </w:tc>
        <w:tc>
          <w:tcPr>
            <w:tcW w:w="1744" w:type="dxa"/>
            <w:tcBorders>
              <w:top w:val="single" w:sz="6" w:space="0" w:color="EDF0F3" w:themeColor="accent4" w:themeTint="33"/>
              <w:bottom w:val="single" w:sz="6" w:space="0" w:color="EDF0F3" w:themeColor="accent4" w:themeTint="33"/>
            </w:tcBorders>
          </w:tcPr>
          <w:p w14:paraId="682B3C93" w14:textId="4FA458FF" w:rsidR="00434007" w:rsidRDefault="00434007" w:rsidP="00A01F11">
            <w:pPr>
              <w:pStyle w:val="TableText"/>
              <w:ind w:right="432"/>
              <w:jc w:val="right"/>
            </w:pPr>
            <w:r>
              <w:t>271,</w:t>
            </w:r>
            <w:r w:rsidR="00A01F11">
              <w:t>466</w:t>
            </w:r>
          </w:p>
        </w:tc>
        <w:tc>
          <w:tcPr>
            <w:tcW w:w="623" w:type="dxa"/>
            <w:tcBorders>
              <w:top w:val="single" w:sz="6" w:space="0" w:color="EDF0F3" w:themeColor="accent4" w:themeTint="33"/>
              <w:bottom w:val="single" w:sz="6" w:space="0" w:color="EDF0F3" w:themeColor="accent4" w:themeTint="33"/>
            </w:tcBorders>
          </w:tcPr>
          <w:p w14:paraId="5DBFC405" w14:textId="77777777" w:rsidR="00434007" w:rsidRDefault="00434007" w:rsidP="00434007">
            <w:pPr>
              <w:pStyle w:val="TableText"/>
              <w:ind w:left="0"/>
              <w:jc w:val="center"/>
            </w:pPr>
            <w:r>
              <w:t xml:space="preserve">AFM, BD, </w:t>
            </w:r>
          </w:p>
          <w:p w14:paraId="5F1A1750" w14:textId="32991DFD" w:rsidR="00434007" w:rsidRPr="0022203D" w:rsidRDefault="00672FCB" w:rsidP="00672FCB">
            <w:pPr>
              <w:pStyle w:val="TableText"/>
              <w:ind w:left="0"/>
              <w:jc w:val="center"/>
            </w:pPr>
            <w:r>
              <w:t>IE, PT</w:t>
            </w:r>
          </w:p>
        </w:tc>
      </w:tr>
      <w:tr w:rsidR="00434007" w:rsidRPr="00D350B5" w14:paraId="3B6F27C3" w14:textId="77777777" w:rsidTr="00434007">
        <w:trPr>
          <w:cantSplit/>
          <w:trHeight w:val="833"/>
        </w:trPr>
        <w:tc>
          <w:tcPr>
            <w:tcW w:w="7470" w:type="dxa"/>
            <w:tcBorders>
              <w:top w:val="single" w:sz="6" w:space="0" w:color="EDF0F3" w:themeColor="accent4" w:themeTint="33"/>
              <w:bottom w:val="single" w:sz="6" w:space="0" w:color="EDF0F3" w:themeColor="accent4" w:themeTint="33"/>
            </w:tcBorders>
            <w:shd w:val="clear" w:color="auto" w:fill="auto"/>
          </w:tcPr>
          <w:p w14:paraId="3E44707D" w14:textId="77777777" w:rsidR="00434007" w:rsidRDefault="00434007" w:rsidP="008407D7">
            <w:pPr>
              <w:pStyle w:val="TableText"/>
              <w:numPr>
                <w:ilvl w:val="0"/>
                <w:numId w:val="22"/>
              </w:numPr>
              <w:ind w:left="648"/>
            </w:pPr>
            <w:r>
              <w:t>Further enhance and contribute to expand the capabilities of:</w:t>
            </w:r>
          </w:p>
          <w:p w14:paraId="629C52F6" w14:textId="44080CF4" w:rsidR="00434007" w:rsidRDefault="00607486" w:rsidP="008407D7">
            <w:pPr>
              <w:pStyle w:val="TableText"/>
              <w:numPr>
                <w:ilvl w:val="1"/>
                <w:numId w:val="24"/>
              </w:numPr>
              <w:ind w:left="900" w:hanging="270"/>
            </w:pPr>
            <w:r>
              <w:t xml:space="preserve">IP Statistics </w:t>
            </w:r>
            <w:r w:rsidR="00434007" w:rsidRPr="00061066">
              <w:t xml:space="preserve">Data Center, statistics reports, forecasting </w:t>
            </w:r>
            <w:r w:rsidR="00434007">
              <w:t>and</w:t>
            </w:r>
            <w:r w:rsidR="00434007" w:rsidRPr="00061066">
              <w:t xml:space="preserve"> performance reporting</w:t>
            </w:r>
          </w:p>
          <w:p w14:paraId="22278242" w14:textId="77777777" w:rsidR="00434007" w:rsidRDefault="00434007" w:rsidP="008407D7">
            <w:pPr>
              <w:pStyle w:val="TableText"/>
              <w:numPr>
                <w:ilvl w:val="1"/>
                <w:numId w:val="24"/>
              </w:numPr>
              <w:ind w:left="900" w:hanging="270"/>
            </w:pPr>
            <w:r>
              <w:t>IP Legal Text data management and WIPO Lex</w:t>
            </w:r>
          </w:p>
          <w:p w14:paraId="60BCDE1D" w14:textId="77777777" w:rsidR="00434007" w:rsidRDefault="00434007" w:rsidP="008407D7">
            <w:pPr>
              <w:pStyle w:val="TableText"/>
              <w:numPr>
                <w:ilvl w:val="1"/>
                <w:numId w:val="24"/>
              </w:numPr>
              <w:ind w:left="900" w:hanging="270"/>
            </w:pPr>
            <w:r>
              <w:t>WIPO's Global Databases</w:t>
            </w:r>
          </w:p>
          <w:p w14:paraId="48A1EAF5" w14:textId="77777777" w:rsidR="00434007" w:rsidRPr="0022203D" w:rsidRDefault="00434007" w:rsidP="008407D7">
            <w:pPr>
              <w:pStyle w:val="TableText"/>
              <w:numPr>
                <w:ilvl w:val="1"/>
                <w:numId w:val="24"/>
              </w:numPr>
              <w:ind w:left="900" w:hanging="270"/>
            </w:pPr>
            <w:r>
              <w:t>Expertise on using AI to support IP administration and operations</w:t>
            </w:r>
          </w:p>
        </w:tc>
        <w:tc>
          <w:tcPr>
            <w:tcW w:w="1744" w:type="dxa"/>
            <w:tcBorders>
              <w:top w:val="single" w:sz="6" w:space="0" w:color="EDF0F3" w:themeColor="accent4" w:themeTint="33"/>
              <w:bottom w:val="single" w:sz="6" w:space="0" w:color="EDF0F3" w:themeColor="accent4" w:themeTint="33"/>
            </w:tcBorders>
          </w:tcPr>
          <w:p w14:paraId="06BF8C7A" w14:textId="77777777" w:rsidR="00434007" w:rsidRDefault="00434007" w:rsidP="00434007">
            <w:pPr>
              <w:pStyle w:val="TableText"/>
              <w:ind w:right="432"/>
              <w:jc w:val="right"/>
            </w:pPr>
            <w:r>
              <w:t>15,287</w:t>
            </w:r>
          </w:p>
        </w:tc>
        <w:tc>
          <w:tcPr>
            <w:tcW w:w="623" w:type="dxa"/>
            <w:tcBorders>
              <w:top w:val="single" w:sz="6" w:space="0" w:color="EDF0F3" w:themeColor="accent4" w:themeTint="33"/>
              <w:bottom w:val="single" w:sz="6" w:space="0" w:color="EDF0F3" w:themeColor="accent4" w:themeTint="33"/>
            </w:tcBorders>
          </w:tcPr>
          <w:p w14:paraId="7D7CE521" w14:textId="77777777" w:rsidR="00434007" w:rsidRPr="0022203D" w:rsidRDefault="00434007" w:rsidP="00434007">
            <w:pPr>
              <w:pStyle w:val="TableText"/>
              <w:ind w:left="0"/>
              <w:jc w:val="center"/>
            </w:pPr>
            <w:r>
              <w:t>IE, IP</w:t>
            </w:r>
          </w:p>
        </w:tc>
      </w:tr>
      <w:tr w:rsidR="00434007" w:rsidRPr="00D350B5" w14:paraId="1DC376AA" w14:textId="77777777" w:rsidTr="00434007">
        <w:trPr>
          <w:cantSplit/>
          <w:trHeight w:val="672"/>
        </w:trPr>
        <w:tc>
          <w:tcPr>
            <w:tcW w:w="7470" w:type="dxa"/>
            <w:tcBorders>
              <w:top w:val="single" w:sz="6" w:space="0" w:color="EDF0F3" w:themeColor="accent4" w:themeTint="33"/>
              <w:bottom w:val="single" w:sz="6" w:space="0" w:color="EDF0F3" w:themeColor="accent4" w:themeTint="33"/>
            </w:tcBorders>
            <w:shd w:val="clear" w:color="auto" w:fill="auto"/>
          </w:tcPr>
          <w:p w14:paraId="32553896" w14:textId="434EE40C" w:rsidR="00434007" w:rsidRPr="0022203D" w:rsidRDefault="00434007" w:rsidP="008407D7">
            <w:pPr>
              <w:pStyle w:val="TableText"/>
              <w:numPr>
                <w:ilvl w:val="0"/>
                <w:numId w:val="22"/>
              </w:numPr>
              <w:spacing w:after="60"/>
              <w:ind w:left="648"/>
            </w:pPr>
            <w:r>
              <w:t xml:space="preserve">Enhance the WIPO customer </w:t>
            </w:r>
            <w:r w:rsidR="0026419C">
              <w:t>experience</w:t>
            </w:r>
            <w:r>
              <w:t xml:space="preserve"> and provision of </w:t>
            </w:r>
            <w:r w:rsidRPr="00CF0511">
              <w:t>customer service thro</w:t>
            </w:r>
            <w:r>
              <w:t>ugh, inter alia: executing the o</w:t>
            </w:r>
            <w:r w:rsidRPr="00CF0511">
              <w:t>rganization-wide customer experience strategy, leveraging new technologies</w:t>
            </w:r>
            <w:r>
              <w:t>,</w:t>
            </w:r>
            <w:r w:rsidRPr="00CF0511">
              <w:t xml:space="preserve"> and gathering the voice of the customer</w:t>
            </w:r>
          </w:p>
        </w:tc>
        <w:tc>
          <w:tcPr>
            <w:tcW w:w="1744" w:type="dxa"/>
            <w:tcBorders>
              <w:top w:val="single" w:sz="6" w:space="0" w:color="EDF0F3" w:themeColor="accent4" w:themeTint="33"/>
              <w:bottom w:val="single" w:sz="6" w:space="0" w:color="EDF0F3" w:themeColor="accent4" w:themeTint="33"/>
            </w:tcBorders>
          </w:tcPr>
          <w:p w14:paraId="0A6896AE" w14:textId="77777777" w:rsidR="00434007" w:rsidRDefault="00434007" w:rsidP="00434007">
            <w:pPr>
              <w:pStyle w:val="TableText"/>
              <w:ind w:left="0" w:right="432"/>
              <w:jc w:val="right"/>
            </w:pPr>
            <w:r>
              <w:t>22,260</w:t>
            </w:r>
          </w:p>
        </w:tc>
        <w:tc>
          <w:tcPr>
            <w:tcW w:w="623" w:type="dxa"/>
            <w:tcBorders>
              <w:top w:val="single" w:sz="6" w:space="0" w:color="EDF0F3" w:themeColor="accent4" w:themeTint="33"/>
              <w:bottom w:val="single" w:sz="6" w:space="0" w:color="EDF0F3" w:themeColor="accent4" w:themeTint="33"/>
            </w:tcBorders>
          </w:tcPr>
          <w:p w14:paraId="69694FEC" w14:textId="77777777" w:rsidR="00434007" w:rsidRDefault="00434007" w:rsidP="00434007">
            <w:pPr>
              <w:pStyle w:val="TableText"/>
              <w:ind w:left="0"/>
              <w:jc w:val="center"/>
            </w:pPr>
            <w:r>
              <w:t xml:space="preserve">BD, IP, </w:t>
            </w:r>
          </w:p>
          <w:p w14:paraId="082C1237" w14:textId="77777777" w:rsidR="00434007" w:rsidRPr="0022203D" w:rsidRDefault="00434007" w:rsidP="00434007">
            <w:pPr>
              <w:pStyle w:val="TableText"/>
              <w:ind w:left="0"/>
              <w:jc w:val="center"/>
            </w:pPr>
            <w:r>
              <w:t>PT</w:t>
            </w:r>
          </w:p>
        </w:tc>
      </w:tr>
      <w:tr w:rsidR="00434007" w:rsidRPr="00D350B5" w14:paraId="061E6CFE" w14:textId="77777777" w:rsidTr="00672FCB">
        <w:trPr>
          <w:cantSplit/>
          <w:trHeight w:val="720"/>
        </w:trPr>
        <w:tc>
          <w:tcPr>
            <w:tcW w:w="7470" w:type="dxa"/>
            <w:tcBorders>
              <w:top w:val="single" w:sz="6" w:space="0" w:color="EDF0F3" w:themeColor="accent4" w:themeTint="33"/>
              <w:bottom w:val="single" w:sz="4" w:space="0" w:color="EDF0F3" w:themeColor="accent4" w:themeTint="33"/>
            </w:tcBorders>
            <w:shd w:val="clear" w:color="auto" w:fill="auto"/>
          </w:tcPr>
          <w:p w14:paraId="4489437E" w14:textId="3372A653" w:rsidR="00C7657B" w:rsidRDefault="00434007" w:rsidP="008407D7">
            <w:pPr>
              <w:pStyle w:val="TableText"/>
              <w:numPr>
                <w:ilvl w:val="0"/>
                <w:numId w:val="22"/>
              </w:numPr>
              <w:spacing w:after="60"/>
              <w:ind w:left="648"/>
            </w:pPr>
            <w:r w:rsidRPr="006F1F81">
              <w:lastRenderedPageBreak/>
              <w:t>Shepherd the evolution of strategic in</w:t>
            </w:r>
            <w:r w:rsidR="0026419C" w:rsidRPr="006F1F81">
              <w:t>it</w:t>
            </w:r>
            <w:r w:rsidRPr="006F1F81">
              <w:t xml:space="preserve">iatives in the climate change and health space (e.g. WIPO GREEN, Pat-INFORMED, technology transfer and licensing) </w:t>
            </w:r>
          </w:p>
          <w:p w14:paraId="691BCCC6" w14:textId="654EAD0E" w:rsidR="00F56702" w:rsidRPr="00F56702" w:rsidRDefault="00F56702" w:rsidP="008407D7">
            <w:pPr>
              <w:pStyle w:val="TableText"/>
              <w:numPr>
                <w:ilvl w:val="0"/>
                <w:numId w:val="22"/>
              </w:numPr>
              <w:spacing w:after="60"/>
              <w:ind w:left="648"/>
            </w:pPr>
            <w:r w:rsidRPr="00F56702">
              <w:t xml:space="preserve">Expand the WIPO Green database to help determine the patent status of green technologies, including those also recently available, in the public domain </w:t>
            </w:r>
          </w:p>
          <w:p w14:paraId="5A2663BC" w14:textId="77777777" w:rsidR="00434007" w:rsidRPr="0022203D" w:rsidRDefault="00434007" w:rsidP="008407D7">
            <w:pPr>
              <w:pStyle w:val="TableText"/>
              <w:numPr>
                <w:ilvl w:val="0"/>
                <w:numId w:val="22"/>
              </w:numPr>
              <w:spacing w:after="60"/>
              <w:ind w:left="648"/>
            </w:pPr>
            <w:r>
              <w:t>Develop</w:t>
            </w:r>
            <w:r w:rsidRPr="00B9150C">
              <w:t xml:space="preserve"> and disseminat</w:t>
            </w:r>
            <w:r>
              <w:t>e</w:t>
            </w:r>
            <w:r w:rsidRPr="00B9150C">
              <w:t xml:space="preserve"> resources for technology and innovation support, including for access to knowledge and expert networking </w:t>
            </w:r>
            <w:r>
              <w:t>through</w:t>
            </w:r>
            <w:r w:rsidRPr="00B9150C">
              <w:t xml:space="preserve"> ARDI/ASPI/R4Life</w:t>
            </w:r>
          </w:p>
        </w:tc>
        <w:tc>
          <w:tcPr>
            <w:tcW w:w="1744" w:type="dxa"/>
            <w:tcBorders>
              <w:top w:val="single" w:sz="6" w:space="0" w:color="EDF0F3" w:themeColor="accent4" w:themeTint="33"/>
              <w:bottom w:val="single" w:sz="4" w:space="0" w:color="EDF0F3" w:themeColor="accent4" w:themeTint="33"/>
            </w:tcBorders>
          </w:tcPr>
          <w:p w14:paraId="0DCCFFFD" w14:textId="77777777" w:rsidR="00434007" w:rsidRDefault="00434007" w:rsidP="00434007">
            <w:pPr>
              <w:pStyle w:val="TableText"/>
              <w:ind w:left="0" w:right="432"/>
              <w:jc w:val="right"/>
            </w:pPr>
            <w:r>
              <w:t>3,680</w:t>
            </w:r>
          </w:p>
        </w:tc>
        <w:tc>
          <w:tcPr>
            <w:tcW w:w="623" w:type="dxa"/>
            <w:tcBorders>
              <w:top w:val="single" w:sz="6" w:space="0" w:color="EDF0F3" w:themeColor="accent4" w:themeTint="33"/>
              <w:bottom w:val="single" w:sz="4" w:space="0" w:color="EDF0F3" w:themeColor="accent4" w:themeTint="33"/>
            </w:tcBorders>
          </w:tcPr>
          <w:p w14:paraId="0C85347A" w14:textId="77777777" w:rsidR="00434007" w:rsidRDefault="00434007" w:rsidP="00434007">
            <w:pPr>
              <w:pStyle w:val="TableText"/>
              <w:ind w:left="0"/>
              <w:jc w:val="center"/>
            </w:pPr>
            <w:r>
              <w:t xml:space="preserve">GCP, </w:t>
            </w:r>
            <w:r w:rsidRPr="008A5403">
              <w:t>IE</w:t>
            </w:r>
            <w:r>
              <w:t>,</w:t>
            </w:r>
          </w:p>
          <w:p w14:paraId="6D3ADC32" w14:textId="77777777" w:rsidR="00434007" w:rsidRPr="0022203D" w:rsidRDefault="00434007" w:rsidP="00434007">
            <w:pPr>
              <w:pStyle w:val="TableText"/>
              <w:ind w:left="0"/>
              <w:jc w:val="center"/>
            </w:pPr>
            <w:r>
              <w:t>RND</w:t>
            </w:r>
          </w:p>
        </w:tc>
      </w:tr>
    </w:tbl>
    <w:p w14:paraId="58480571" w14:textId="77777777" w:rsidR="00434007" w:rsidRDefault="00434007" w:rsidP="00434007">
      <w:pPr>
        <w:pStyle w:val="NormalNoSpace"/>
      </w:pP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72" w:type="dxa"/>
        </w:tblCellMar>
        <w:tblLook w:val="04A0" w:firstRow="1" w:lastRow="0" w:firstColumn="1" w:lastColumn="0" w:noHBand="0" w:noVBand="1"/>
      </w:tblPr>
      <w:tblGrid>
        <w:gridCol w:w="3478"/>
        <w:gridCol w:w="4802"/>
        <w:gridCol w:w="1440"/>
      </w:tblGrid>
      <w:tr w:rsidR="00434007" w:rsidRPr="00D350B5" w14:paraId="0AB096A6" w14:textId="77777777" w:rsidTr="00434007">
        <w:trPr>
          <w:cantSplit/>
          <w:trHeight w:val="19"/>
        </w:trPr>
        <w:tc>
          <w:tcPr>
            <w:tcW w:w="3478" w:type="dxa"/>
            <w:shd w:val="clear" w:color="auto" w:fill="C6CFD7" w:themeFill="accent3" w:themeFillTint="66"/>
          </w:tcPr>
          <w:p w14:paraId="1B548A51" w14:textId="77777777" w:rsidR="00434007" w:rsidRPr="004A4423" w:rsidRDefault="00434007" w:rsidP="00434007">
            <w:pPr>
              <w:pStyle w:val="TableTextBold"/>
              <w:rPr>
                <w:rStyle w:val="charColoured"/>
                <w:lang w:val="en-US"/>
              </w:rPr>
            </w:pPr>
            <w:r w:rsidRPr="004A4423">
              <w:rPr>
                <w:lang w:val="en-US"/>
              </w:rPr>
              <w:t>Expected Result</w:t>
            </w:r>
          </w:p>
        </w:tc>
        <w:tc>
          <w:tcPr>
            <w:tcW w:w="4802" w:type="dxa"/>
            <w:shd w:val="clear" w:color="auto" w:fill="C6CFD7" w:themeFill="accent3" w:themeFillTint="66"/>
          </w:tcPr>
          <w:p w14:paraId="154B09C3" w14:textId="77777777" w:rsidR="00434007" w:rsidRPr="004A4423" w:rsidRDefault="00434007" w:rsidP="00434007">
            <w:pPr>
              <w:pStyle w:val="TableText"/>
              <w:rPr>
                <w:b/>
                <w:lang w:val="en-US"/>
              </w:rPr>
            </w:pPr>
            <w:r w:rsidRPr="004A4423">
              <w:rPr>
                <w:b/>
                <w:lang w:val="en-US"/>
              </w:rPr>
              <w:t>Performance Indicators</w:t>
            </w:r>
          </w:p>
        </w:tc>
        <w:tc>
          <w:tcPr>
            <w:tcW w:w="1440" w:type="dxa"/>
            <w:shd w:val="clear" w:color="auto" w:fill="C6CFD7" w:themeFill="accent3" w:themeFillTint="66"/>
          </w:tcPr>
          <w:p w14:paraId="7AC24A7D" w14:textId="77777777" w:rsidR="00434007" w:rsidRPr="004A4423" w:rsidRDefault="00434007" w:rsidP="00434007">
            <w:pPr>
              <w:pStyle w:val="TableText"/>
              <w:jc w:val="center"/>
              <w:rPr>
                <w:b/>
                <w:lang w:val="en-US"/>
              </w:rPr>
            </w:pPr>
            <w:r>
              <w:rPr>
                <w:b/>
                <w:lang w:val="en-US"/>
              </w:rPr>
              <w:t>Sector</w:t>
            </w:r>
          </w:p>
        </w:tc>
      </w:tr>
      <w:tr w:rsidR="00434007" w:rsidRPr="00D350B5" w14:paraId="423989F6" w14:textId="77777777" w:rsidTr="00434007">
        <w:trPr>
          <w:cantSplit/>
          <w:trHeight w:val="19"/>
        </w:trPr>
        <w:tc>
          <w:tcPr>
            <w:tcW w:w="3478" w:type="dxa"/>
            <w:vMerge w:val="restart"/>
            <w:shd w:val="clear" w:color="auto" w:fill="auto"/>
          </w:tcPr>
          <w:p w14:paraId="33900DE3" w14:textId="77777777" w:rsidR="00434007" w:rsidRDefault="00434007" w:rsidP="00434007">
            <w:pPr>
              <w:pStyle w:val="TableTextBold"/>
              <w:rPr>
                <w:rStyle w:val="charColoured"/>
                <w:lang w:val="en-US"/>
              </w:rPr>
            </w:pPr>
            <w:r>
              <w:rPr>
                <w:rStyle w:val="charColoured"/>
                <w:lang w:val="en-US"/>
              </w:rPr>
              <w:t>3</w:t>
            </w:r>
            <w:r w:rsidRPr="00D350B5">
              <w:rPr>
                <w:rStyle w:val="charColoured"/>
                <w:lang w:val="en-US"/>
              </w:rPr>
              <w:t>.1</w:t>
            </w:r>
            <w:r w:rsidRPr="00D350B5">
              <w:rPr>
                <w:color w:val="005694"/>
                <w:lang w:val="en-US"/>
              </w:rPr>
              <w:t xml:space="preserve"> </w:t>
            </w:r>
            <w:r>
              <w:rPr>
                <w:color w:val="005694"/>
                <w:lang w:val="en-US"/>
              </w:rPr>
              <w:t xml:space="preserve"> </w:t>
            </w:r>
            <w:r w:rsidRPr="00C578EF">
              <w:rPr>
                <w:lang w:val="en-US"/>
              </w:rPr>
              <w:t>Wider and more effective use of WIPO’s global IP systems, services, knowledge and data</w:t>
            </w:r>
          </w:p>
        </w:tc>
        <w:tc>
          <w:tcPr>
            <w:tcW w:w="4802" w:type="dxa"/>
            <w:shd w:val="clear" w:color="auto" w:fill="auto"/>
          </w:tcPr>
          <w:p w14:paraId="38717E0E" w14:textId="77777777" w:rsidR="00434007" w:rsidRDefault="00434007" w:rsidP="00434007">
            <w:pPr>
              <w:pStyle w:val="TableText"/>
              <w:rPr>
                <w:lang w:val="en-US"/>
              </w:rPr>
            </w:pPr>
            <w:r>
              <w:rPr>
                <w:lang w:val="en-US"/>
              </w:rPr>
              <w:t>Total Membership</w:t>
            </w:r>
          </w:p>
        </w:tc>
        <w:tc>
          <w:tcPr>
            <w:tcW w:w="1440" w:type="dxa"/>
            <w:shd w:val="clear" w:color="auto" w:fill="auto"/>
          </w:tcPr>
          <w:p w14:paraId="74FDA896" w14:textId="77777777" w:rsidR="00434007" w:rsidRDefault="00434007" w:rsidP="00434007">
            <w:pPr>
              <w:pStyle w:val="TableText"/>
              <w:jc w:val="center"/>
              <w:rPr>
                <w:lang w:val="en-US"/>
              </w:rPr>
            </w:pPr>
            <w:r>
              <w:rPr>
                <w:lang w:val="en-US"/>
              </w:rPr>
              <w:t>BD, RND</w:t>
            </w:r>
          </w:p>
        </w:tc>
      </w:tr>
      <w:tr w:rsidR="00434007" w:rsidRPr="00D350B5" w14:paraId="370F3AD0" w14:textId="77777777" w:rsidTr="00434007">
        <w:trPr>
          <w:cantSplit/>
          <w:trHeight w:val="19"/>
        </w:trPr>
        <w:tc>
          <w:tcPr>
            <w:tcW w:w="3478" w:type="dxa"/>
            <w:vMerge/>
            <w:shd w:val="clear" w:color="auto" w:fill="auto"/>
          </w:tcPr>
          <w:p w14:paraId="346E8BCB" w14:textId="77777777" w:rsidR="00434007" w:rsidRDefault="00434007" w:rsidP="00434007">
            <w:pPr>
              <w:pStyle w:val="TableTextBold"/>
              <w:rPr>
                <w:rStyle w:val="charColoured"/>
                <w:lang w:val="en-US"/>
              </w:rPr>
            </w:pPr>
          </w:p>
        </w:tc>
        <w:tc>
          <w:tcPr>
            <w:tcW w:w="4802" w:type="dxa"/>
            <w:shd w:val="clear" w:color="auto" w:fill="auto"/>
          </w:tcPr>
          <w:p w14:paraId="0FF5B407" w14:textId="77777777" w:rsidR="00434007" w:rsidRPr="007F1A58" w:rsidRDefault="00434007" w:rsidP="00434007">
            <w:pPr>
              <w:pStyle w:val="TableText"/>
              <w:rPr>
                <w:lang w:val="en-US"/>
              </w:rPr>
            </w:pPr>
            <w:r>
              <w:rPr>
                <w:lang w:val="en-US"/>
              </w:rPr>
              <w:t>Filing Rate</w:t>
            </w:r>
            <w:r w:rsidRPr="004A4423">
              <w:rPr>
                <w:lang w:val="en-US"/>
              </w:rPr>
              <w:t xml:space="preserve">  </w:t>
            </w:r>
          </w:p>
        </w:tc>
        <w:tc>
          <w:tcPr>
            <w:tcW w:w="1440" w:type="dxa"/>
            <w:shd w:val="clear" w:color="auto" w:fill="auto"/>
          </w:tcPr>
          <w:p w14:paraId="60083CBE" w14:textId="77777777" w:rsidR="00434007" w:rsidRPr="00F17212" w:rsidRDefault="00434007" w:rsidP="00434007">
            <w:pPr>
              <w:pStyle w:val="TableText"/>
              <w:jc w:val="center"/>
              <w:rPr>
                <w:lang w:val="en-US"/>
              </w:rPr>
            </w:pPr>
            <w:r>
              <w:rPr>
                <w:lang w:val="en-US"/>
              </w:rPr>
              <w:t>BD, RND</w:t>
            </w:r>
          </w:p>
        </w:tc>
      </w:tr>
      <w:tr w:rsidR="00434007" w:rsidRPr="00D350B5" w14:paraId="539138C2" w14:textId="77777777" w:rsidTr="00434007">
        <w:trPr>
          <w:cantSplit/>
          <w:trHeight w:val="208"/>
        </w:trPr>
        <w:tc>
          <w:tcPr>
            <w:tcW w:w="3478" w:type="dxa"/>
            <w:vMerge/>
            <w:shd w:val="clear" w:color="auto" w:fill="auto"/>
          </w:tcPr>
          <w:p w14:paraId="5E5005B8" w14:textId="77777777" w:rsidR="00434007" w:rsidRDefault="00434007" w:rsidP="00434007">
            <w:pPr>
              <w:pStyle w:val="TableTextBold"/>
              <w:rPr>
                <w:rStyle w:val="charColoured"/>
                <w:lang w:val="en-US"/>
              </w:rPr>
            </w:pPr>
          </w:p>
        </w:tc>
        <w:tc>
          <w:tcPr>
            <w:tcW w:w="4802" w:type="dxa"/>
            <w:shd w:val="clear" w:color="auto" w:fill="auto"/>
          </w:tcPr>
          <w:p w14:paraId="3EF83A9C" w14:textId="77777777" w:rsidR="00434007" w:rsidRPr="007F1A58" w:rsidRDefault="00434007" w:rsidP="00434007">
            <w:pPr>
              <w:pStyle w:val="TableText"/>
              <w:rPr>
                <w:lang w:val="en-US"/>
              </w:rPr>
            </w:pPr>
            <w:r w:rsidRPr="00C578EF">
              <w:rPr>
                <w:lang w:val="en-US"/>
              </w:rPr>
              <w:t>Renewals</w:t>
            </w:r>
          </w:p>
        </w:tc>
        <w:tc>
          <w:tcPr>
            <w:tcW w:w="1440" w:type="dxa"/>
            <w:shd w:val="clear" w:color="auto" w:fill="auto"/>
          </w:tcPr>
          <w:p w14:paraId="53ED598C" w14:textId="77777777" w:rsidR="00434007" w:rsidRPr="00F17212" w:rsidRDefault="00434007" w:rsidP="00434007">
            <w:pPr>
              <w:pStyle w:val="TableText"/>
              <w:jc w:val="center"/>
              <w:rPr>
                <w:lang w:val="en-US"/>
              </w:rPr>
            </w:pPr>
            <w:r>
              <w:rPr>
                <w:lang w:val="en-US"/>
              </w:rPr>
              <w:t>BD</w:t>
            </w:r>
          </w:p>
        </w:tc>
      </w:tr>
      <w:tr w:rsidR="00434007" w:rsidRPr="00D350B5" w14:paraId="4DC77801" w14:textId="77777777" w:rsidTr="00434007">
        <w:trPr>
          <w:cantSplit/>
          <w:trHeight w:val="393"/>
        </w:trPr>
        <w:tc>
          <w:tcPr>
            <w:tcW w:w="3478" w:type="dxa"/>
            <w:shd w:val="clear" w:color="auto" w:fill="auto"/>
          </w:tcPr>
          <w:p w14:paraId="053B4FB5" w14:textId="77777777" w:rsidR="00434007" w:rsidRDefault="00434007" w:rsidP="00434007">
            <w:pPr>
              <w:pStyle w:val="TableTextBold"/>
              <w:rPr>
                <w:rStyle w:val="charColoured"/>
                <w:lang w:val="en-US"/>
              </w:rPr>
            </w:pPr>
          </w:p>
        </w:tc>
        <w:tc>
          <w:tcPr>
            <w:tcW w:w="4802" w:type="dxa"/>
            <w:shd w:val="clear" w:color="auto" w:fill="auto"/>
          </w:tcPr>
          <w:p w14:paraId="4F6D9571" w14:textId="77777777" w:rsidR="00434007" w:rsidRPr="00C578EF" w:rsidRDefault="00434007" w:rsidP="00434007">
            <w:pPr>
              <w:pStyle w:val="TableText"/>
              <w:rPr>
                <w:lang w:val="en-US"/>
              </w:rPr>
            </w:pPr>
            <w:r w:rsidRPr="00C578EF">
              <w:rPr>
                <w:lang w:val="en-US"/>
              </w:rPr>
              <w:t>Level of satisfaction of Offices with WIPO global cooperative and assistance activities delivered by the International Bureau</w:t>
            </w:r>
          </w:p>
        </w:tc>
        <w:tc>
          <w:tcPr>
            <w:tcW w:w="1440" w:type="dxa"/>
            <w:shd w:val="clear" w:color="auto" w:fill="auto"/>
          </w:tcPr>
          <w:p w14:paraId="3A0ADCDA" w14:textId="77777777" w:rsidR="00434007" w:rsidRDefault="00434007" w:rsidP="00434007">
            <w:pPr>
              <w:pStyle w:val="TableText"/>
              <w:jc w:val="center"/>
              <w:rPr>
                <w:lang w:val="en-US"/>
              </w:rPr>
            </w:pPr>
            <w:r>
              <w:rPr>
                <w:lang w:val="en-US"/>
              </w:rPr>
              <w:t>PT</w:t>
            </w:r>
          </w:p>
        </w:tc>
      </w:tr>
      <w:tr w:rsidR="00434007" w:rsidRPr="00D350B5" w14:paraId="6B2E8E82" w14:textId="77777777" w:rsidTr="00434007">
        <w:trPr>
          <w:cantSplit/>
          <w:trHeight w:val="19"/>
        </w:trPr>
        <w:tc>
          <w:tcPr>
            <w:tcW w:w="3478" w:type="dxa"/>
            <w:shd w:val="clear" w:color="auto" w:fill="auto"/>
          </w:tcPr>
          <w:p w14:paraId="78538BE9" w14:textId="77777777" w:rsidR="00434007" w:rsidRDefault="00434007" w:rsidP="00434007">
            <w:pPr>
              <w:pStyle w:val="TableTextBold"/>
              <w:rPr>
                <w:rStyle w:val="charColoured"/>
                <w:lang w:val="en-US"/>
              </w:rPr>
            </w:pPr>
          </w:p>
        </w:tc>
        <w:tc>
          <w:tcPr>
            <w:tcW w:w="4802" w:type="dxa"/>
            <w:shd w:val="clear" w:color="auto" w:fill="auto"/>
          </w:tcPr>
          <w:p w14:paraId="382B69C6" w14:textId="77777777" w:rsidR="00434007" w:rsidRPr="00C578EF" w:rsidRDefault="00434007" w:rsidP="00434007">
            <w:pPr>
              <w:pStyle w:val="TableText"/>
              <w:rPr>
                <w:lang w:val="en-US"/>
              </w:rPr>
            </w:pPr>
            <w:r w:rsidRPr="00C578EF">
              <w:rPr>
                <w:lang w:val="en-US"/>
              </w:rPr>
              <w:t>No. of unique visitors to the Global Database Systems</w:t>
            </w:r>
          </w:p>
          <w:p w14:paraId="74859BC8" w14:textId="77777777" w:rsidR="00434007" w:rsidRPr="00C578EF" w:rsidRDefault="00434007" w:rsidP="00434007">
            <w:pPr>
              <w:pStyle w:val="TableText"/>
              <w:rPr>
                <w:lang w:val="en-US"/>
              </w:rPr>
            </w:pPr>
            <w:r w:rsidRPr="00C578EF">
              <w:rPr>
                <w:lang w:val="en-US"/>
              </w:rPr>
              <w:t>- PATENTSCOPE</w:t>
            </w:r>
          </w:p>
          <w:p w14:paraId="44B6331A" w14:textId="77777777" w:rsidR="00434007" w:rsidRPr="00C578EF" w:rsidRDefault="00434007" w:rsidP="00434007">
            <w:pPr>
              <w:pStyle w:val="TableText"/>
              <w:rPr>
                <w:lang w:val="en-US"/>
              </w:rPr>
            </w:pPr>
            <w:r w:rsidRPr="00C578EF">
              <w:rPr>
                <w:lang w:val="en-US"/>
              </w:rPr>
              <w:t>- Global Brand Database (GBD)</w:t>
            </w:r>
          </w:p>
          <w:p w14:paraId="1CD35892" w14:textId="77777777" w:rsidR="00434007" w:rsidRPr="00C578EF" w:rsidRDefault="00434007" w:rsidP="00434007">
            <w:pPr>
              <w:pStyle w:val="TableText"/>
              <w:rPr>
                <w:lang w:val="en-US"/>
              </w:rPr>
            </w:pPr>
            <w:r w:rsidRPr="00C578EF">
              <w:rPr>
                <w:lang w:val="en-US"/>
              </w:rPr>
              <w:t>- Global Design Database (GDD)</w:t>
            </w:r>
          </w:p>
        </w:tc>
        <w:tc>
          <w:tcPr>
            <w:tcW w:w="1440" w:type="dxa"/>
            <w:shd w:val="clear" w:color="auto" w:fill="auto"/>
          </w:tcPr>
          <w:p w14:paraId="72F990A2" w14:textId="77777777" w:rsidR="00434007" w:rsidRDefault="00434007" w:rsidP="00434007">
            <w:pPr>
              <w:pStyle w:val="TableText"/>
              <w:jc w:val="center"/>
              <w:rPr>
                <w:lang w:val="en-US"/>
              </w:rPr>
            </w:pPr>
            <w:r>
              <w:rPr>
                <w:lang w:val="en-US"/>
              </w:rPr>
              <w:t>IP, RND</w:t>
            </w:r>
          </w:p>
        </w:tc>
      </w:tr>
      <w:tr w:rsidR="00434007" w:rsidRPr="00D350B5" w14:paraId="16D9F507" w14:textId="77777777" w:rsidTr="00434007">
        <w:trPr>
          <w:cantSplit/>
          <w:trHeight w:val="19"/>
        </w:trPr>
        <w:tc>
          <w:tcPr>
            <w:tcW w:w="3478" w:type="dxa"/>
            <w:shd w:val="clear" w:color="auto" w:fill="auto"/>
          </w:tcPr>
          <w:p w14:paraId="741E1493" w14:textId="77777777" w:rsidR="00434007" w:rsidRDefault="00434007" w:rsidP="00434007">
            <w:pPr>
              <w:pStyle w:val="TableTextBold"/>
              <w:rPr>
                <w:rStyle w:val="charColoured"/>
                <w:lang w:val="en-US"/>
              </w:rPr>
            </w:pPr>
          </w:p>
        </w:tc>
        <w:tc>
          <w:tcPr>
            <w:tcW w:w="4802" w:type="dxa"/>
            <w:shd w:val="clear" w:color="auto" w:fill="auto"/>
          </w:tcPr>
          <w:p w14:paraId="41083547" w14:textId="77777777" w:rsidR="00434007" w:rsidRPr="00C578EF" w:rsidRDefault="00434007" w:rsidP="00434007">
            <w:pPr>
              <w:pStyle w:val="TableText"/>
              <w:rPr>
                <w:lang w:val="en-US"/>
              </w:rPr>
            </w:pPr>
            <w:r w:rsidRPr="00C578EF">
              <w:rPr>
                <w:lang w:val="en-US"/>
              </w:rPr>
              <w:t>Level of user satisfaction with WIPO Global Databases</w:t>
            </w:r>
          </w:p>
        </w:tc>
        <w:tc>
          <w:tcPr>
            <w:tcW w:w="1440" w:type="dxa"/>
            <w:shd w:val="clear" w:color="auto" w:fill="auto"/>
          </w:tcPr>
          <w:p w14:paraId="72F0B197" w14:textId="77777777" w:rsidR="00434007" w:rsidRDefault="00434007" w:rsidP="00434007">
            <w:pPr>
              <w:pStyle w:val="TableText"/>
              <w:jc w:val="center"/>
              <w:rPr>
                <w:lang w:val="en-US"/>
              </w:rPr>
            </w:pPr>
            <w:r>
              <w:rPr>
                <w:lang w:val="en-US"/>
              </w:rPr>
              <w:t>IP</w:t>
            </w:r>
          </w:p>
        </w:tc>
      </w:tr>
      <w:tr w:rsidR="00434007" w:rsidRPr="00D350B5" w14:paraId="10D5EF44" w14:textId="77777777" w:rsidTr="00434007">
        <w:trPr>
          <w:cantSplit/>
          <w:trHeight w:val="19"/>
        </w:trPr>
        <w:tc>
          <w:tcPr>
            <w:tcW w:w="3478" w:type="dxa"/>
            <w:shd w:val="clear" w:color="auto" w:fill="auto"/>
          </w:tcPr>
          <w:p w14:paraId="4299DB18" w14:textId="77777777" w:rsidR="00434007" w:rsidRDefault="00434007" w:rsidP="00434007">
            <w:pPr>
              <w:pStyle w:val="TableTextBold"/>
              <w:rPr>
                <w:rStyle w:val="charColoured"/>
                <w:lang w:val="en-US"/>
              </w:rPr>
            </w:pPr>
          </w:p>
        </w:tc>
        <w:tc>
          <w:tcPr>
            <w:tcW w:w="4802" w:type="dxa"/>
            <w:shd w:val="clear" w:color="auto" w:fill="auto"/>
          </w:tcPr>
          <w:p w14:paraId="2377017C" w14:textId="77777777" w:rsidR="00434007" w:rsidRPr="00C578EF" w:rsidRDefault="00434007" w:rsidP="00434007">
            <w:pPr>
              <w:pStyle w:val="TableText"/>
              <w:rPr>
                <w:lang w:val="en-US"/>
              </w:rPr>
            </w:pPr>
            <w:r w:rsidRPr="00C578EF">
              <w:rPr>
                <w:lang w:val="en-US"/>
              </w:rPr>
              <w:t>No. of unique visitors to the IP Statistics Data Center</w:t>
            </w:r>
          </w:p>
        </w:tc>
        <w:tc>
          <w:tcPr>
            <w:tcW w:w="1440" w:type="dxa"/>
            <w:shd w:val="clear" w:color="auto" w:fill="auto"/>
          </w:tcPr>
          <w:p w14:paraId="2780BCC1" w14:textId="77777777" w:rsidR="00434007" w:rsidRDefault="00434007" w:rsidP="00434007">
            <w:pPr>
              <w:pStyle w:val="TableText"/>
              <w:jc w:val="center"/>
              <w:rPr>
                <w:lang w:val="en-US"/>
              </w:rPr>
            </w:pPr>
            <w:r>
              <w:rPr>
                <w:lang w:val="en-US"/>
              </w:rPr>
              <w:t>IE</w:t>
            </w:r>
          </w:p>
        </w:tc>
      </w:tr>
      <w:tr w:rsidR="00434007" w:rsidRPr="00D350B5" w14:paraId="1BF25ECD" w14:textId="77777777" w:rsidTr="00434007">
        <w:trPr>
          <w:cantSplit/>
          <w:trHeight w:val="19"/>
        </w:trPr>
        <w:tc>
          <w:tcPr>
            <w:tcW w:w="3478" w:type="dxa"/>
            <w:shd w:val="clear" w:color="auto" w:fill="auto"/>
          </w:tcPr>
          <w:p w14:paraId="7A48AB30" w14:textId="77777777" w:rsidR="00434007" w:rsidRDefault="00434007" w:rsidP="00434007">
            <w:pPr>
              <w:pStyle w:val="TableTextBold"/>
              <w:rPr>
                <w:rStyle w:val="charColoured"/>
                <w:lang w:val="en-US"/>
              </w:rPr>
            </w:pPr>
          </w:p>
        </w:tc>
        <w:tc>
          <w:tcPr>
            <w:tcW w:w="4802" w:type="dxa"/>
            <w:shd w:val="clear" w:color="auto" w:fill="auto"/>
          </w:tcPr>
          <w:p w14:paraId="50DC4613" w14:textId="77777777" w:rsidR="00434007" w:rsidRPr="00C578EF" w:rsidRDefault="00434007" w:rsidP="00434007">
            <w:pPr>
              <w:pStyle w:val="TableText"/>
              <w:rPr>
                <w:lang w:val="en-US"/>
              </w:rPr>
            </w:pPr>
            <w:r w:rsidRPr="00C578EF">
              <w:rPr>
                <w:lang w:val="en-US"/>
              </w:rPr>
              <w:t>No. of unique visitors to WIPO Lex</w:t>
            </w:r>
          </w:p>
        </w:tc>
        <w:tc>
          <w:tcPr>
            <w:tcW w:w="1440" w:type="dxa"/>
            <w:shd w:val="clear" w:color="auto" w:fill="auto"/>
          </w:tcPr>
          <w:p w14:paraId="2D7927A3" w14:textId="77777777" w:rsidR="00434007" w:rsidRDefault="00434007" w:rsidP="00434007">
            <w:pPr>
              <w:pStyle w:val="TableText"/>
              <w:jc w:val="center"/>
              <w:rPr>
                <w:lang w:val="en-US"/>
              </w:rPr>
            </w:pPr>
            <w:r>
              <w:rPr>
                <w:lang w:val="en-US"/>
              </w:rPr>
              <w:t>IE</w:t>
            </w:r>
          </w:p>
        </w:tc>
      </w:tr>
      <w:tr w:rsidR="00434007" w:rsidRPr="00D350B5" w14:paraId="6E6ED85E" w14:textId="77777777" w:rsidTr="00844249">
        <w:trPr>
          <w:cantSplit/>
          <w:trHeight w:val="231"/>
        </w:trPr>
        <w:tc>
          <w:tcPr>
            <w:tcW w:w="3478" w:type="dxa"/>
            <w:tcBorders>
              <w:bottom w:val="single" w:sz="4" w:space="0" w:color="BFBFBF" w:themeColor="background1" w:themeShade="BF"/>
            </w:tcBorders>
            <w:shd w:val="clear" w:color="auto" w:fill="auto"/>
          </w:tcPr>
          <w:p w14:paraId="3C2B95FF" w14:textId="77777777" w:rsidR="00434007" w:rsidRDefault="00434007" w:rsidP="00434007">
            <w:pPr>
              <w:pStyle w:val="TableTextBold"/>
              <w:rPr>
                <w:rStyle w:val="charColoured"/>
                <w:lang w:val="en-US"/>
              </w:rPr>
            </w:pPr>
          </w:p>
        </w:tc>
        <w:tc>
          <w:tcPr>
            <w:tcW w:w="4802" w:type="dxa"/>
            <w:tcBorders>
              <w:bottom w:val="single" w:sz="4" w:space="0" w:color="BFBFBF" w:themeColor="background1" w:themeShade="BF"/>
            </w:tcBorders>
            <w:shd w:val="clear" w:color="auto" w:fill="auto"/>
          </w:tcPr>
          <w:p w14:paraId="6F2621F7" w14:textId="77777777" w:rsidR="00434007" w:rsidRPr="00C578EF" w:rsidRDefault="00434007" w:rsidP="00434007">
            <w:pPr>
              <w:pStyle w:val="TableText"/>
              <w:rPr>
                <w:lang w:val="en-US"/>
              </w:rPr>
            </w:pPr>
            <w:r w:rsidRPr="00C578EF">
              <w:rPr>
                <w:lang w:val="en-US"/>
              </w:rPr>
              <w:t>Level of use of WIPO IP ADR and domain name dispute resolution services</w:t>
            </w:r>
          </w:p>
        </w:tc>
        <w:tc>
          <w:tcPr>
            <w:tcW w:w="1440" w:type="dxa"/>
            <w:tcBorders>
              <w:bottom w:val="single" w:sz="4" w:space="0" w:color="BFBFBF" w:themeColor="background1" w:themeShade="BF"/>
            </w:tcBorders>
            <w:shd w:val="clear" w:color="auto" w:fill="auto"/>
          </w:tcPr>
          <w:p w14:paraId="24F1E1C4" w14:textId="77777777" w:rsidR="00434007" w:rsidRDefault="00434007" w:rsidP="00434007">
            <w:pPr>
              <w:pStyle w:val="TableText"/>
              <w:jc w:val="center"/>
              <w:rPr>
                <w:lang w:val="en-US"/>
              </w:rPr>
            </w:pPr>
            <w:r>
              <w:rPr>
                <w:lang w:val="en-US"/>
              </w:rPr>
              <w:t>IE</w:t>
            </w:r>
          </w:p>
        </w:tc>
      </w:tr>
      <w:tr w:rsidR="00434007" w:rsidRPr="00D350B5" w14:paraId="58894856" w14:textId="77777777" w:rsidTr="00434007">
        <w:trPr>
          <w:cantSplit/>
          <w:trHeight w:val="19"/>
        </w:trPr>
        <w:tc>
          <w:tcPr>
            <w:tcW w:w="3478" w:type="dxa"/>
            <w:vMerge w:val="restart"/>
            <w:tcBorders>
              <w:top w:val="single" w:sz="4" w:space="0" w:color="BFBFBF" w:themeColor="background1" w:themeShade="BF"/>
            </w:tcBorders>
            <w:shd w:val="clear" w:color="auto" w:fill="auto"/>
          </w:tcPr>
          <w:p w14:paraId="2D6F88E2" w14:textId="77777777" w:rsidR="00434007" w:rsidRDefault="00434007" w:rsidP="00434007">
            <w:pPr>
              <w:pStyle w:val="TableTextBold"/>
              <w:rPr>
                <w:rStyle w:val="charColoured"/>
                <w:lang w:val="en-US"/>
              </w:rPr>
            </w:pPr>
            <w:r>
              <w:rPr>
                <w:rStyle w:val="charColoured"/>
                <w:lang w:val="en-US"/>
              </w:rPr>
              <w:t xml:space="preserve">3.2  </w:t>
            </w:r>
            <w:r w:rsidRPr="004F6EA0">
              <w:rPr>
                <w:rStyle w:val="charColoured"/>
                <w:color w:val="auto"/>
                <w:lang w:val="en-US"/>
              </w:rPr>
              <w:t>Improved productivity and service quality of WIPO’s global IP systems, services, knowledge and data</w:t>
            </w:r>
          </w:p>
        </w:tc>
        <w:tc>
          <w:tcPr>
            <w:tcW w:w="4802" w:type="dxa"/>
            <w:tcBorders>
              <w:top w:val="single" w:sz="4" w:space="0" w:color="BFBFBF" w:themeColor="background1" w:themeShade="BF"/>
            </w:tcBorders>
            <w:shd w:val="clear" w:color="auto" w:fill="auto"/>
          </w:tcPr>
          <w:p w14:paraId="2AE30DF6" w14:textId="77777777" w:rsidR="00434007" w:rsidRPr="00137C56" w:rsidRDefault="00434007" w:rsidP="00434007">
            <w:pPr>
              <w:pStyle w:val="TableText"/>
              <w:rPr>
                <w:lang w:val="en-US"/>
              </w:rPr>
            </w:pPr>
            <w:r w:rsidRPr="00C578EF">
              <w:rPr>
                <w:lang w:val="en-US"/>
              </w:rPr>
              <w:t>Customer Satisfaction Index (CSI)</w:t>
            </w:r>
          </w:p>
        </w:tc>
        <w:tc>
          <w:tcPr>
            <w:tcW w:w="1440" w:type="dxa"/>
            <w:tcBorders>
              <w:top w:val="single" w:sz="4" w:space="0" w:color="BFBFBF" w:themeColor="background1" w:themeShade="BF"/>
            </w:tcBorders>
            <w:shd w:val="clear" w:color="auto" w:fill="auto"/>
          </w:tcPr>
          <w:p w14:paraId="639B5142" w14:textId="77777777" w:rsidR="00434007" w:rsidRDefault="00434007" w:rsidP="00434007">
            <w:pPr>
              <w:pStyle w:val="TableText"/>
              <w:jc w:val="center"/>
              <w:rPr>
                <w:lang w:val="en-US"/>
              </w:rPr>
            </w:pPr>
            <w:r>
              <w:rPr>
                <w:lang w:val="en-US"/>
              </w:rPr>
              <w:t>IP</w:t>
            </w:r>
          </w:p>
        </w:tc>
      </w:tr>
      <w:tr w:rsidR="00434007" w:rsidRPr="00D350B5" w14:paraId="26B5D1B6" w14:textId="77777777" w:rsidTr="00434007">
        <w:trPr>
          <w:cantSplit/>
          <w:trHeight w:val="19"/>
        </w:trPr>
        <w:tc>
          <w:tcPr>
            <w:tcW w:w="3478" w:type="dxa"/>
            <w:vMerge/>
            <w:shd w:val="clear" w:color="auto" w:fill="auto"/>
          </w:tcPr>
          <w:p w14:paraId="25A8F2A5" w14:textId="77777777" w:rsidR="00434007" w:rsidRDefault="00434007" w:rsidP="00434007">
            <w:pPr>
              <w:pStyle w:val="TableTextBold"/>
              <w:rPr>
                <w:rStyle w:val="charColoured"/>
                <w:lang w:val="en-US"/>
              </w:rPr>
            </w:pPr>
          </w:p>
        </w:tc>
        <w:tc>
          <w:tcPr>
            <w:tcW w:w="4802" w:type="dxa"/>
            <w:shd w:val="clear" w:color="auto" w:fill="auto"/>
          </w:tcPr>
          <w:p w14:paraId="5D7170E4" w14:textId="77777777" w:rsidR="00434007" w:rsidRDefault="00434007" w:rsidP="00434007">
            <w:pPr>
              <w:pStyle w:val="TableText"/>
              <w:rPr>
                <w:lang w:val="en-US"/>
              </w:rPr>
            </w:pPr>
            <w:r w:rsidRPr="00C578EF">
              <w:rPr>
                <w:lang w:val="en-US"/>
              </w:rPr>
              <w:t>Level of satisfaction of WIPO global IP system users with International Bureau Services</w:t>
            </w:r>
          </w:p>
        </w:tc>
        <w:tc>
          <w:tcPr>
            <w:tcW w:w="1440" w:type="dxa"/>
            <w:shd w:val="clear" w:color="auto" w:fill="auto"/>
          </w:tcPr>
          <w:p w14:paraId="6404C992" w14:textId="77777777" w:rsidR="00434007" w:rsidRDefault="00434007" w:rsidP="00434007">
            <w:pPr>
              <w:pStyle w:val="TableText"/>
              <w:jc w:val="center"/>
              <w:rPr>
                <w:lang w:val="en-US"/>
              </w:rPr>
            </w:pPr>
            <w:r>
              <w:rPr>
                <w:lang w:val="en-US"/>
              </w:rPr>
              <w:t>PT, BD</w:t>
            </w:r>
          </w:p>
        </w:tc>
      </w:tr>
      <w:tr w:rsidR="00434007" w:rsidRPr="00D350B5" w14:paraId="0911B65D" w14:textId="77777777" w:rsidTr="00844249">
        <w:trPr>
          <w:cantSplit/>
          <w:trHeight w:val="141"/>
        </w:trPr>
        <w:tc>
          <w:tcPr>
            <w:tcW w:w="3478" w:type="dxa"/>
            <w:vMerge/>
            <w:tcBorders>
              <w:bottom w:val="single" w:sz="4" w:space="0" w:color="BFBFBF" w:themeColor="background1" w:themeShade="BF"/>
            </w:tcBorders>
            <w:shd w:val="clear" w:color="auto" w:fill="auto"/>
          </w:tcPr>
          <w:p w14:paraId="283B0DA2" w14:textId="77777777" w:rsidR="00434007" w:rsidRDefault="00434007" w:rsidP="00434007">
            <w:pPr>
              <w:pStyle w:val="TableTextBold"/>
              <w:rPr>
                <w:rStyle w:val="charColoured"/>
                <w:lang w:val="en-US"/>
              </w:rPr>
            </w:pPr>
          </w:p>
        </w:tc>
        <w:tc>
          <w:tcPr>
            <w:tcW w:w="4802" w:type="dxa"/>
            <w:tcBorders>
              <w:bottom w:val="single" w:sz="4" w:space="0" w:color="BFBFBF" w:themeColor="background1" w:themeShade="BF"/>
            </w:tcBorders>
            <w:shd w:val="clear" w:color="auto" w:fill="auto"/>
          </w:tcPr>
          <w:p w14:paraId="7C86C382" w14:textId="77777777" w:rsidR="00434007" w:rsidRPr="00137C56" w:rsidRDefault="00434007" w:rsidP="00434007">
            <w:pPr>
              <w:pStyle w:val="TableText"/>
              <w:rPr>
                <w:lang w:val="en-US"/>
              </w:rPr>
            </w:pPr>
            <w:r>
              <w:rPr>
                <w:lang w:val="en-US"/>
              </w:rPr>
              <w:t>Unit Cost</w:t>
            </w:r>
          </w:p>
        </w:tc>
        <w:tc>
          <w:tcPr>
            <w:tcW w:w="1440" w:type="dxa"/>
            <w:tcBorders>
              <w:bottom w:val="single" w:sz="4" w:space="0" w:color="BFBFBF" w:themeColor="background1" w:themeShade="BF"/>
            </w:tcBorders>
            <w:shd w:val="clear" w:color="auto" w:fill="auto"/>
          </w:tcPr>
          <w:p w14:paraId="59075340" w14:textId="77777777" w:rsidR="00434007" w:rsidRDefault="00434007" w:rsidP="00434007">
            <w:pPr>
              <w:pStyle w:val="TableText"/>
              <w:jc w:val="center"/>
              <w:rPr>
                <w:lang w:val="en-US"/>
              </w:rPr>
            </w:pPr>
            <w:r>
              <w:rPr>
                <w:lang w:val="en-US"/>
              </w:rPr>
              <w:t>PT, BD, AFM</w:t>
            </w:r>
          </w:p>
        </w:tc>
      </w:tr>
      <w:tr w:rsidR="00434007" w:rsidRPr="00D350B5" w14:paraId="48169B8D" w14:textId="77777777" w:rsidTr="00434007">
        <w:trPr>
          <w:cantSplit/>
          <w:trHeight w:val="19"/>
        </w:trPr>
        <w:tc>
          <w:tcPr>
            <w:tcW w:w="3478" w:type="dxa"/>
            <w:vMerge w:val="restart"/>
            <w:tcBorders>
              <w:top w:val="single" w:sz="4" w:space="0" w:color="BFBFBF" w:themeColor="background1" w:themeShade="BF"/>
            </w:tcBorders>
            <w:shd w:val="clear" w:color="auto" w:fill="auto"/>
          </w:tcPr>
          <w:p w14:paraId="078DC7C9" w14:textId="77777777" w:rsidR="00434007" w:rsidRDefault="00434007" w:rsidP="00434007">
            <w:pPr>
              <w:pStyle w:val="TableTextBold"/>
              <w:rPr>
                <w:rStyle w:val="charColoured"/>
                <w:lang w:val="en-US"/>
              </w:rPr>
            </w:pPr>
            <w:r>
              <w:rPr>
                <w:rStyle w:val="charColoured"/>
                <w:lang w:val="en-US"/>
              </w:rPr>
              <w:t>3</w:t>
            </w:r>
            <w:r w:rsidRPr="00D350B5">
              <w:rPr>
                <w:rStyle w:val="charColoured"/>
                <w:lang w:val="en-US"/>
              </w:rPr>
              <w:t>.</w:t>
            </w:r>
            <w:r>
              <w:rPr>
                <w:rStyle w:val="charColoured"/>
                <w:lang w:val="en-US"/>
              </w:rPr>
              <w:t xml:space="preserve">3  </w:t>
            </w:r>
            <w:r w:rsidRPr="00C578EF">
              <w:rPr>
                <w:lang w:val="en-US"/>
              </w:rPr>
              <w:t>Knowledge transfer and technology adaptation is facilitated through WIPO’s IP-based platforms and tools to address global challenges</w:t>
            </w:r>
          </w:p>
        </w:tc>
        <w:tc>
          <w:tcPr>
            <w:tcW w:w="4802" w:type="dxa"/>
            <w:tcBorders>
              <w:top w:val="single" w:sz="4" w:space="0" w:color="BFBFBF" w:themeColor="background1" w:themeShade="BF"/>
            </w:tcBorders>
            <w:shd w:val="clear" w:color="auto" w:fill="auto"/>
          </w:tcPr>
          <w:p w14:paraId="65360DC2" w14:textId="77777777" w:rsidR="00434007" w:rsidRPr="007F1A58" w:rsidRDefault="00434007" w:rsidP="00434007">
            <w:pPr>
              <w:pStyle w:val="TableText"/>
              <w:rPr>
                <w:lang w:val="en-US"/>
              </w:rPr>
            </w:pPr>
            <w:r w:rsidRPr="00C578EF">
              <w:rPr>
                <w:lang w:val="en-US"/>
              </w:rPr>
              <w:t>No. of matches between green technology seekers and provid</w:t>
            </w:r>
            <w:r>
              <w:rPr>
                <w:lang w:val="en-US"/>
              </w:rPr>
              <w:t>ers via the WIPO GREEN platform</w:t>
            </w:r>
            <w:r w:rsidRPr="00C578EF">
              <w:rPr>
                <w:lang w:val="en-US"/>
              </w:rPr>
              <w:t xml:space="preserve"> and through Acceleration  Projects</w:t>
            </w:r>
          </w:p>
        </w:tc>
        <w:tc>
          <w:tcPr>
            <w:tcW w:w="1440" w:type="dxa"/>
            <w:tcBorders>
              <w:top w:val="single" w:sz="4" w:space="0" w:color="BFBFBF" w:themeColor="background1" w:themeShade="BF"/>
            </w:tcBorders>
            <w:shd w:val="clear" w:color="auto" w:fill="auto"/>
          </w:tcPr>
          <w:p w14:paraId="65BABDF7" w14:textId="77777777" w:rsidR="00434007" w:rsidRPr="00F17212" w:rsidRDefault="00434007" w:rsidP="00434007">
            <w:pPr>
              <w:pStyle w:val="TableText"/>
              <w:jc w:val="center"/>
              <w:rPr>
                <w:lang w:val="en-US"/>
              </w:rPr>
            </w:pPr>
            <w:r>
              <w:rPr>
                <w:lang w:val="en-US"/>
              </w:rPr>
              <w:t>GCP, RND</w:t>
            </w:r>
          </w:p>
        </w:tc>
      </w:tr>
      <w:tr w:rsidR="00434007" w:rsidRPr="00D350B5" w14:paraId="16087937" w14:textId="77777777" w:rsidTr="00434007">
        <w:trPr>
          <w:cantSplit/>
          <w:trHeight w:val="19"/>
        </w:trPr>
        <w:tc>
          <w:tcPr>
            <w:tcW w:w="3478" w:type="dxa"/>
            <w:vMerge/>
            <w:shd w:val="clear" w:color="auto" w:fill="auto"/>
          </w:tcPr>
          <w:p w14:paraId="265A3C80" w14:textId="77777777" w:rsidR="00434007" w:rsidRDefault="00434007" w:rsidP="00434007">
            <w:pPr>
              <w:pStyle w:val="TableTextBold"/>
              <w:rPr>
                <w:rStyle w:val="charColoured"/>
                <w:lang w:val="en-US"/>
              </w:rPr>
            </w:pPr>
          </w:p>
        </w:tc>
        <w:tc>
          <w:tcPr>
            <w:tcW w:w="4802" w:type="dxa"/>
            <w:shd w:val="clear" w:color="auto" w:fill="auto"/>
          </w:tcPr>
          <w:p w14:paraId="6ECFD0E4" w14:textId="7B166AFA" w:rsidR="00434007" w:rsidRPr="00C578EF" w:rsidRDefault="003525FF" w:rsidP="00434007">
            <w:pPr>
              <w:pStyle w:val="TableText"/>
              <w:rPr>
                <w:lang w:val="en-US"/>
              </w:rPr>
            </w:pPr>
            <w:r w:rsidRPr="003525FF">
              <w:t>No. of tech transfers or access licenses supported by WIPO's global health initiatives, for which the IP component has been facilitated by WIPO</w:t>
            </w:r>
          </w:p>
        </w:tc>
        <w:tc>
          <w:tcPr>
            <w:tcW w:w="1440" w:type="dxa"/>
            <w:shd w:val="clear" w:color="auto" w:fill="auto"/>
          </w:tcPr>
          <w:p w14:paraId="358DA53A" w14:textId="77777777" w:rsidR="00434007" w:rsidRDefault="00434007" w:rsidP="00434007">
            <w:pPr>
              <w:pStyle w:val="TableText"/>
              <w:jc w:val="center"/>
              <w:rPr>
                <w:lang w:val="en-US"/>
              </w:rPr>
            </w:pPr>
            <w:r>
              <w:rPr>
                <w:lang w:val="en-US"/>
              </w:rPr>
              <w:t>GCP</w:t>
            </w:r>
          </w:p>
        </w:tc>
      </w:tr>
      <w:tr w:rsidR="00434007" w:rsidRPr="00D350B5" w14:paraId="621DEDA3" w14:textId="77777777" w:rsidTr="0038593F">
        <w:trPr>
          <w:cantSplit/>
          <w:trHeight w:val="312"/>
        </w:trPr>
        <w:tc>
          <w:tcPr>
            <w:tcW w:w="3478" w:type="dxa"/>
            <w:vMerge/>
            <w:shd w:val="clear" w:color="auto" w:fill="auto"/>
          </w:tcPr>
          <w:p w14:paraId="5E1EEFF8" w14:textId="77777777" w:rsidR="00434007" w:rsidRDefault="00434007" w:rsidP="00434007">
            <w:pPr>
              <w:pStyle w:val="TableTextBold"/>
              <w:rPr>
                <w:rStyle w:val="charColoured"/>
                <w:lang w:val="en-US"/>
              </w:rPr>
            </w:pPr>
          </w:p>
        </w:tc>
        <w:tc>
          <w:tcPr>
            <w:tcW w:w="4802" w:type="dxa"/>
            <w:shd w:val="clear" w:color="auto" w:fill="auto"/>
          </w:tcPr>
          <w:p w14:paraId="63E8F7C0" w14:textId="77777777" w:rsidR="00434007" w:rsidRPr="00C578EF" w:rsidRDefault="00434007" w:rsidP="00434007">
            <w:pPr>
              <w:pStyle w:val="TableText"/>
              <w:rPr>
                <w:lang w:val="en-US"/>
              </w:rPr>
            </w:pPr>
            <w:r w:rsidRPr="00C578EF">
              <w:rPr>
                <w:lang w:val="en-US"/>
              </w:rPr>
              <w:t>No. of unique visitors to the innovation support and technology transfer publications, tools and platforms, including no. of visitors downloading</w:t>
            </w:r>
          </w:p>
        </w:tc>
        <w:tc>
          <w:tcPr>
            <w:tcW w:w="1440" w:type="dxa"/>
            <w:shd w:val="clear" w:color="auto" w:fill="auto"/>
          </w:tcPr>
          <w:p w14:paraId="7B7567D9" w14:textId="77777777" w:rsidR="00434007" w:rsidRDefault="00434007" w:rsidP="00434007">
            <w:pPr>
              <w:pStyle w:val="TableText"/>
              <w:jc w:val="center"/>
              <w:rPr>
                <w:lang w:val="en-US"/>
              </w:rPr>
            </w:pPr>
            <w:r>
              <w:rPr>
                <w:lang w:val="en-US"/>
              </w:rPr>
              <w:t>IE</w:t>
            </w:r>
          </w:p>
        </w:tc>
      </w:tr>
      <w:tr w:rsidR="0044499C" w:rsidRPr="00D350B5" w14:paraId="77AE9CB1" w14:textId="77777777" w:rsidTr="00844249">
        <w:trPr>
          <w:cantSplit/>
          <w:trHeight w:val="294"/>
        </w:trPr>
        <w:tc>
          <w:tcPr>
            <w:tcW w:w="3478" w:type="dxa"/>
            <w:tcBorders>
              <w:bottom w:val="single" w:sz="4" w:space="0" w:color="C6CFD7" w:themeColor="accent3" w:themeTint="66"/>
            </w:tcBorders>
            <w:shd w:val="clear" w:color="auto" w:fill="auto"/>
          </w:tcPr>
          <w:p w14:paraId="4B271211" w14:textId="77777777" w:rsidR="0044499C" w:rsidRDefault="0044499C" w:rsidP="00434007">
            <w:pPr>
              <w:pStyle w:val="TableTextBold"/>
              <w:rPr>
                <w:rStyle w:val="charColoured"/>
                <w:lang w:val="en-US"/>
              </w:rPr>
            </w:pPr>
          </w:p>
        </w:tc>
        <w:tc>
          <w:tcPr>
            <w:tcW w:w="4802" w:type="dxa"/>
            <w:tcBorders>
              <w:bottom w:val="single" w:sz="4" w:space="0" w:color="C6CFD7" w:themeColor="accent3" w:themeTint="66"/>
            </w:tcBorders>
            <w:shd w:val="clear" w:color="auto" w:fill="auto"/>
          </w:tcPr>
          <w:p w14:paraId="34ECFEA0" w14:textId="2BE5F804" w:rsidR="0044499C" w:rsidRPr="00C578EF" w:rsidRDefault="00F56702" w:rsidP="007534E3">
            <w:pPr>
              <w:pStyle w:val="TableText"/>
              <w:rPr>
                <w:lang w:val="en-US"/>
              </w:rPr>
            </w:pPr>
            <w:r w:rsidRPr="00DF72DF">
              <w:rPr>
                <w:lang w:val="en-US"/>
              </w:rPr>
              <w:t>N</w:t>
            </w:r>
            <w:r w:rsidR="007534E3">
              <w:rPr>
                <w:lang w:val="en-US"/>
              </w:rPr>
              <w:t>o.</w:t>
            </w:r>
            <w:r w:rsidRPr="00DF72DF">
              <w:rPr>
                <w:lang w:val="en-US"/>
              </w:rPr>
              <w:t xml:space="preserve"> of countries assisted to access patent information on green technologies available in the public domain with the support of the WIPO Green database</w:t>
            </w:r>
          </w:p>
        </w:tc>
        <w:tc>
          <w:tcPr>
            <w:tcW w:w="1440" w:type="dxa"/>
            <w:tcBorders>
              <w:bottom w:val="single" w:sz="4" w:space="0" w:color="C6CFD7" w:themeColor="accent3" w:themeTint="66"/>
            </w:tcBorders>
            <w:shd w:val="clear" w:color="auto" w:fill="auto"/>
          </w:tcPr>
          <w:p w14:paraId="02F121E9" w14:textId="5DDAB8E9" w:rsidR="0044499C" w:rsidRDefault="00F56702" w:rsidP="00434007">
            <w:pPr>
              <w:pStyle w:val="TableText"/>
              <w:jc w:val="center"/>
              <w:rPr>
                <w:lang w:val="en-US"/>
              </w:rPr>
            </w:pPr>
            <w:r>
              <w:rPr>
                <w:lang w:val="en-US"/>
              </w:rPr>
              <w:t>GCP</w:t>
            </w:r>
          </w:p>
        </w:tc>
      </w:tr>
    </w:tbl>
    <w:p w14:paraId="6C71572D" w14:textId="77777777" w:rsidR="00434007" w:rsidRDefault="00434007" w:rsidP="00434007">
      <w:pPr>
        <w:pStyle w:val="NormalNoSpace"/>
        <w:rPr>
          <w:lang w:val="en-US"/>
        </w:rPr>
      </w:pPr>
    </w:p>
    <w:p w14:paraId="532A4984" w14:textId="77777777" w:rsidR="00434007" w:rsidRPr="002B2D92" w:rsidRDefault="00434007" w:rsidP="00434007">
      <w:pPr>
        <w:pStyle w:val="NormalNoSpace"/>
        <w:shd w:val="clear" w:color="auto" w:fill="E6F2FB" w:themeFill="accent2" w:themeFillTint="33"/>
        <w:rPr>
          <w:lang w:val="en-US"/>
        </w:rPr>
      </w:pPr>
      <w:r w:rsidRPr="0080201A">
        <w:rPr>
          <w:rFonts w:eastAsia="Times New Roman" w:cs="Arial"/>
          <w:b/>
          <w:color w:val="005172" w:themeColor="text2"/>
          <w:szCs w:val="32"/>
          <w:lang w:val="en-US"/>
        </w:rPr>
        <w:t xml:space="preserve">Strategic Pillar </w:t>
      </w:r>
      <w:r>
        <w:rPr>
          <w:rFonts w:eastAsia="Times New Roman" w:cs="Arial"/>
          <w:b/>
          <w:color w:val="005172" w:themeColor="text2"/>
          <w:szCs w:val="32"/>
          <w:lang w:val="en-US"/>
        </w:rPr>
        <w:t>4</w:t>
      </w:r>
      <w:r w:rsidRPr="0080201A">
        <w:rPr>
          <w:rFonts w:eastAsia="Times New Roman" w:cs="Arial"/>
          <w:b/>
          <w:color w:val="005172" w:themeColor="text2"/>
          <w:szCs w:val="32"/>
          <w:lang w:val="en-US"/>
        </w:rPr>
        <w:t xml:space="preserve">:  </w:t>
      </w:r>
      <w:r w:rsidRPr="0018217A">
        <w:rPr>
          <w:rFonts w:eastAsia="Times New Roman" w:cs="Arial"/>
          <w:b/>
          <w:color w:val="005172" w:themeColor="text2"/>
          <w:szCs w:val="32"/>
          <w:lang w:val="en-US"/>
        </w:rPr>
        <w:t>Support governments, enterprises, communities and individuals to use intellectual property as a tool for growth and sustainable development</w:t>
      </w:r>
    </w:p>
    <w:tbl>
      <w:tblPr>
        <w:tblStyle w:val="TableGrid"/>
        <w:tblW w:w="97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7230"/>
        <w:gridCol w:w="1843"/>
        <w:gridCol w:w="666"/>
      </w:tblGrid>
      <w:tr w:rsidR="00434007" w:rsidRPr="00D350B5" w14:paraId="7B06F8DD" w14:textId="77777777" w:rsidTr="00434007">
        <w:trPr>
          <w:cantSplit/>
          <w:trHeight w:val="340"/>
          <w:tblHeader/>
        </w:trPr>
        <w:tc>
          <w:tcPr>
            <w:tcW w:w="7230" w:type="dxa"/>
            <w:tcBorders>
              <w:top w:val="single" w:sz="18" w:space="0" w:color="FFFFFF" w:themeColor="background1"/>
            </w:tcBorders>
            <w:shd w:val="clear" w:color="auto" w:fill="C6CFD7" w:themeFill="accent3" w:themeFillTint="66"/>
          </w:tcPr>
          <w:p w14:paraId="488B50D9" w14:textId="77777777" w:rsidR="00434007" w:rsidRPr="00D350B5" w:rsidRDefault="00434007" w:rsidP="00434007">
            <w:pPr>
              <w:pStyle w:val="TableHeading"/>
              <w:keepLines/>
              <w:spacing w:after="0" w:line="240" w:lineRule="auto"/>
            </w:pPr>
            <w:r>
              <w:t>Priorities</w:t>
            </w:r>
          </w:p>
        </w:tc>
        <w:tc>
          <w:tcPr>
            <w:tcW w:w="1843" w:type="dxa"/>
            <w:tcBorders>
              <w:top w:val="single" w:sz="18" w:space="0" w:color="FFFFFF" w:themeColor="background1"/>
            </w:tcBorders>
            <w:shd w:val="clear" w:color="auto" w:fill="C6CFD7" w:themeFill="accent3" w:themeFillTint="66"/>
          </w:tcPr>
          <w:p w14:paraId="23A981DB" w14:textId="77777777" w:rsidR="00434007" w:rsidRDefault="00434007" w:rsidP="00434007">
            <w:pPr>
              <w:pStyle w:val="TableHeading"/>
              <w:spacing w:after="0" w:line="240" w:lineRule="auto"/>
              <w:jc w:val="center"/>
            </w:pPr>
            <w:r>
              <w:t>Budget</w:t>
            </w:r>
          </w:p>
          <w:p w14:paraId="38E76D0D" w14:textId="77777777" w:rsidR="00434007" w:rsidRDefault="00434007" w:rsidP="00434007">
            <w:pPr>
              <w:pStyle w:val="TableHeading"/>
              <w:spacing w:after="0" w:line="240" w:lineRule="auto"/>
              <w:ind w:left="0"/>
              <w:jc w:val="center"/>
            </w:pPr>
            <w:r w:rsidRPr="00654708">
              <w:rPr>
                <w:b w:val="0"/>
                <w:i/>
                <w:sz w:val="14"/>
                <w:szCs w:val="14"/>
              </w:rPr>
              <w:t>(in thousands of Swiss francs)</w:t>
            </w:r>
          </w:p>
        </w:tc>
        <w:tc>
          <w:tcPr>
            <w:tcW w:w="666" w:type="dxa"/>
            <w:tcBorders>
              <w:top w:val="single" w:sz="18" w:space="0" w:color="FFFFFF" w:themeColor="background1"/>
            </w:tcBorders>
            <w:shd w:val="clear" w:color="auto" w:fill="C6CFD7" w:themeFill="accent3" w:themeFillTint="66"/>
          </w:tcPr>
          <w:p w14:paraId="214F51EF" w14:textId="77777777" w:rsidR="00434007" w:rsidRDefault="00434007" w:rsidP="00434007">
            <w:pPr>
              <w:pStyle w:val="TableHeading"/>
              <w:spacing w:after="0" w:line="240" w:lineRule="auto"/>
              <w:ind w:left="0"/>
              <w:jc w:val="center"/>
            </w:pPr>
            <w:r>
              <w:t>Sector</w:t>
            </w:r>
          </w:p>
        </w:tc>
      </w:tr>
      <w:tr w:rsidR="00434007" w:rsidRPr="00D350B5" w14:paraId="6FF0ABB8" w14:textId="77777777" w:rsidTr="00434007">
        <w:trPr>
          <w:cantSplit/>
          <w:trHeight w:val="339"/>
        </w:trPr>
        <w:tc>
          <w:tcPr>
            <w:tcW w:w="7230" w:type="dxa"/>
            <w:tcBorders>
              <w:bottom w:val="single" w:sz="6" w:space="0" w:color="EDF0F3" w:themeColor="accent4" w:themeTint="33"/>
            </w:tcBorders>
            <w:shd w:val="clear" w:color="auto" w:fill="auto"/>
          </w:tcPr>
          <w:p w14:paraId="55863B95" w14:textId="3368701D" w:rsidR="00434007" w:rsidRPr="00705CFB" w:rsidRDefault="00434007" w:rsidP="008407D7">
            <w:pPr>
              <w:pStyle w:val="TableText"/>
              <w:numPr>
                <w:ilvl w:val="0"/>
                <w:numId w:val="22"/>
              </w:numPr>
              <w:spacing w:after="60"/>
              <w:ind w:left="648"/>
            </w:pPr>
            <w:r w:rsidRPr="00302AF0">
              <w:t>Coordinate the implementation of the</w:t>
            </w:r>
            <w:r w:rsidRPr="00302AF0" w:rsidDel="00FF46AF">
              <w:t xml:space="preserve"> </w:t>
            </w:r>
            <w:r w:rsidRPr="00302AF0">
              <w:t>Development Agenda (DA) across the Organization</w:t>
            </w:r>
            <w:r>
              <w:t>.</w:t>
            </w:r>
            <w:r w:rsidRPr="00302AF0">
              <w:t xml:space="preserve"> </w:t>
            </w:r>
            <w:r>
              <w:t xml:space="preserve"> C</w:t>
            </w:r>
            <w:r w:rsidRPr="00302AF0">
              <w:t>oordinat</w:t>
            </w:r>
            <w:r>
              <w:t>e</w:t>
            </w:r>
            <w:r w:rsidRPr="00302AF0">
              <w:t xml:space="preserve"> and implement South-South and Triangular cooperation</w:t>
            </w:r>
            <w:r>
              <w:t xml:space="preserve"> related activities</w:t>
            </w:r>
            <w:r w:rsidR="00F56702" w:rsidRPr="0068428C">
              <w:rPr>
                <w:rStyle w:val="FootnoteReference"/>
              </w:rPr>
              <w:footnoteReference w:id="10"/>
            </w:r>
          </w:p>
        </w:tc>
        <w:tc>
          <w:tcPr>
            <w:tcW w:w="1843" w:type="dxa"/>
            <w:tcBorders>
              <w:bottom w:val="single" w:sz="6" w:space="0" w:color="EDF0F3" w:themeColor="accent4" w:themeTint="33"/>
            </w:tcBorders>
          </w:tcPr>
          <w:p w14:paraId="19A8A25E" w14:textId="5D88E19E" w:rsidR="00216910" w:rsidRPr="00E84A9B" w:rsidRDefault="0044499C" w:rsidP="0044499C">
            <w:pPr>
              <w:pStyle w:val="TableText"/>
              <w:ind w:left="0" w:right="432"/>
              <w:jc w:val="right"/>
            </w:pPr>
            <w:r w:rsidRPr="00E84A9B">
              <w:t>4,405</w:t>
            </w:r>
          </w:p>
        </w:tc>
        <w:tc>
          <w:tcPr>
            <w:tcW w:w="666" w:type="dxa"/>
            <w:tcBorders>
              <w:bottom w:val="single" w:sz="6" w:space="0" w:color="EDF0F3" w:themeColor="accent4" w:themeTint="33"/>
            </w:tcBorders>
          </w:tcPr>
          <w:p w14:paraId="75699E74" w14:textId="77777777" w:rsidR="00434007" w:rsidRPr="0022203D" w:rsidRDefault="00434007" w:rsidP="00434007">
            <w:pPr>
              <w:pStyle w:val="TableText"/>
              <w:ind w:left="0"/>
              <w:jc w:val="center"/>
            </w:pPr>
            <w:r>
              <w:t>RND</w:t>
            </w:r>
          </w:p>
        </w:tc>
      </w:tr>
      <w:tr w:rsidR="00434007" w:rsidRPr="00302AF0" w14:paraId="1C32C851" w14:textId="77777777" w:rsidTr="004773EA">
        <w:trPr>
          <w:cantSplit/>
          <w:trHeight w:val="585"/>
        </w:trPr>
        <w:tc>
          <w:tcPr>
            <w:tcW w:w="7230" w:type="dxa"/>
            <w:tcBorders>
              <w:top w:val="single" w:sz="6" w:space="0" w:color="EDF0F3" w:themeColor="accent4" w:themeTint="33"/>
              <w:bottom w:val="single" w:sz="6" w:space="0" w:color="EDF0F3" w:themeColor="accent4" w:themeTint="33"/>
            </w:tcBorders>
            <w:shd w:val="clear" w:color="auto" w:fill="auto"/>
          </w:tcPr>
          <w:p w14:paraId="7EF89B1D" w14:textId="77777777" w:rsidR="00434007" w:rsidRPr="00705CFB" w:rsidRDefault="00434007" w:rsidP="008407D7">
            <w:pPr>
              <w:pStyle w:val="TableText"/>
              <w:numPr>
                <w:ilvl w:val="0"/>
                <w:numId w:val="22"/>
              </w:numPr>
              <w:ind w:left="648"/>
            </w:pPr>
            <w:r w:rsidRPr="005B11B5">
              <w:rPr>
                <w:lang w:val="en-US"/>
              </w:rPr>
              <w:t>Deliver special programs and projects at the national, regional and sub-regional level, including in LDCs, in support of IP for development</w:t>
            </w:r>
            <w:r>
              <w:rPr>
                <w:lang w:val="en-US"/>
              </w:rPr>
              <w:t>,</w:t>
            </w:r>
            <w:r w:rsidRPr="005B11B5">
              <w:rPr>
                <w:lang w:val="en-US"/>
              </w:rPr>
              <w:t xml:space="preserve"> including for underserved stakeholders such as youth, women, communities and SMEs</w:t>
            </w:r>
          </w:p>
        </w:tc>
        <w:tc>
          <w:tcPr>
            <w:tcW w:w="1843" w:type="dxa"/>
            <w:tcBorders>
              <w:top w:val="single" w:sz="6" w:space="0" w:color="EDF0F3" w:themeColor="accent4" w:themeTint="33"/>
              <w:bottom w:val="single" w:sz="6" w:space="0" w:color="EDF0F3" w:themeColor="accent4" w:themeTint="33"/>
            </w:tcBorders>
          </w:tcPr>
          <w:p w14:paraId="2263AFAF" w14:textId="77777777" w:rsidR="00434007" w:rsidRPr="00E84A9B" w:rsidRDefault="00434007" w:rsidP="00434007">
            <w:pPr>
              <w:pStyle w:val="TableText"/>
              <w:ind w:left="0" w:right="432"/>
              <w:jc w:val="right"/>
            </w:pPr>
            <w:r w:rsidRPr="00E84A9B">
              <w:t>27,412</w:t>
            </w:r>
          </w:p>
        </w:tc>
        <w:tc>
          <w:tcPr>
            <w:tcW w:w="666" w:type="dxa"/>
            <w:tcBorders>
              <w:top w:val="single" w:sz="6" w:space="0" w:color="EDF0F3" w:themeColor="accent4" w:themeTint="33"/>
              <w:bottom w:val="single" w:sz="6" w:space="0" w:color="EDF0F3" w:themeColor="accent4" w:themeTint="33"/>
            </w:tcBorders>
          </w:tcPr>
          <w:p w14:paraId="655781B2" w14:textId="77777777" w:rsidR="00434007" w:rsidRPr="00D24244" w:rsidRDefault="00434007" w:rsidP="00434007">
            <w:pPr>
              <w:pStyle w:val="TableText"/>
              <w:ind w:left="0"/>
              <w:jc w:val="center"/>
            </w:pPr>
            <w:r w:rsidRPr="00D24244">
              <w:t>BD, CCI,</w:t>
            </w:r>
          </w:p>
          <w:p w14:paraId="45D1C9AD" w14:textId="346CC5E8" w:rsidR="00434007" w:rsidRPr="00D24244" w:rsidRDefault="00672FCB" w:rsidP="00672FCB">
            <w:pPr>
              <w:pStyle w:val="TableText"/>
              <w:ind w:left="0"/>
              <w:jc w:val="center"/>
            </w:pPr>
            <w:r>
              <w:t>GCP, IE, PT, RND</w:t>
            </w:r>
          </w:p>
        </w:tc>
      </w:tr>
      <w:tr w:rsidR="00434007" w:rsidRPr="00D350B5" w14:paraId="397A8DC8" w14:textId="77777777" w:rsidTr="00434007">
        <w:trPr>
          <w:cantSplit/>
          <w:trHeight w:val="216"/>
        </w:trPr>
        <w:tc>
          <w:tcPr>
            <w:tcW w:w="7230" w:type="dxa"/>
            <w:tcBorders>
              <w:top w:val="single" w:sz="6" w:space="0" w:color="EDF0F3" w:themeColor="accent4" w:themeTint="33"/>
              <w:bottom w:val="single" w:sz="6" w:space="0" w:color="EDF0F3" w:themeColor="accent4" w:themeTint="33"/>
            </w:tcBorders>
            <w:shd w:val="clear" w:color="auto" w:fill="auto"/>
          </w:tcPr>
          <w:p w14:paraId="633B966D" w14:textId="27F62999" w:rsidR="00434007" w:rsidRPr="006350A1" w:rsidRDefault="00434007" w:rsidP="008407D7">
            <w:pPr>
              <w:pStyle w:val="TableText"/>
              <w:numPr>
                <w:ilvl w:val="0"/>
                <w:numId w:val="22"/>
              </w:numPr>
              <w:ind w:left="648"/>
              <w:jc w:val="both"/>
              <w:rPr>
                <w:lang w:val="en-US"/>
              </w:rPr>
            </w:pPr>
            <w:r w:rsidRPr="00255F06">
              <w:rPr>
                <w:lang w:val="en-US"/>
              </w:rPr>
              <w:t>Lead the implementation of the IP and Gender Action plan</w:t>
            </w:r>
            <w:r w:rsidR="0044499C">
              <w:rPr>
                <w:lang w:val="en-US"/>
              </w:rPr>
              <w:t xml:space="preserve"> </w:t>
            </w:r>
            <w:r w:rsidR="0044499C" w:rsidRPr="006772B2">
              <w:rPr>
                <w:lang w:val="en-US"/>
              </w:rPr>
              <w:t>a</w:t>
            </w:r>
            <w:r w:rsidR="006772B2" w:rsidRPr="006772B2">
              <w:rPr>
                <w:lang w:val="en-US"/>
              </w:rPr>
              <w:t>nd work with other UN agencies</w:t>
            </w:r>
            <w:r w:rsidR="009A3139" w:rsidRPr="00615FFD">
              <w:rPr>
                <w:rStyle w:val="FootnoteReference"/>
                <w:lang w:val="en-US"/>
              </w:rPr>
              <w:footnoteReference w:id="11"/>
            </w:r>
          </w:p>
        </w:tc>
        <w:tc>
          <w:tcPr>
            <w:tcW w:w="1843" w:type="dxa"/>
            <w:tcBorders>
              <w:top w:val="single" w:sz="6" w:space="0" w:color="EDF0F3" w:themeColor="accent4" w:themeTint="33"/>
              <w:bottom w:val="single" w:sz="6" w:space="0" w:color="EDF0F3" w:themeColor="accent4" w:themeTint="33"/>
            </w:tcBorders>
            <w:shd w:val="clear" w:color="auto" w:fill="auto"/>
          </w:tcPr>
          <w:p w14:paraId="0006CCFC" w14:textId="31B36B9F" w:rsidR="00434007" w:rsidRPr="00E84A9B" w:rsidDel="0018217A" w:rsidRDefault="0044499C" w:rsidP="00434007">
            <w:pPr>
              <w:pStyle w:val="TableText"/>
              <w:ind w:left="0" w:right="432"/>
              <w:jc w:val="right"/>
            </w:pPr>
            <w:r w:rsidRPr="00E84A9B">
              <w:t>963</w:t>
            </w:r>
          </w:p>
        </w:tc>
        <w:tc>
          <w:tcPr>
            <w:tcW w:w="666" w:type="dxa"/>
            <w:tcBorders>
              <w:top w:val="single" w:sz="6" w:space="0" w:color="EDF0F3" w:themeColor="accent4" w:themeTint="33"/>
              <w:bottom w:val="single" w:sz="6" w:space="0" w:color="EDF0F3" w:themeColor="accent4" w:themeTint="33"/>
            </w:tcBorders>
            <w:shd w:val="clear" w:color="auto" w:fill="auto"/>
          </w:tcPr>
          <w:p w14:paraId="1FF29CEA" w14:textId="77777777" w:rsidR="00434007" w:rsidRPr="006350A1" w:rsidRDefault="00434007" w:rsidP="00434007">
            <w:pPr>
              <w:pStyle w:val="TableText"/>
              <w:ind w:left="0"/>
              <w:jc w:val="center"/>
            </w:pPr>
            <w:r w:rsidRPr="00255F06">
              <w:t>PT</w:t>
            </w:r>
          </w:p>
        </w:tc>
      </w:tr>
      <w:tr w:rsidR="00434007" w:rsidRPr="00D350B5" w14:paraId="79FDD1B7" w14:textId="77777777" w:rsidTr="00711B1B">
        <w:trPr>
          <w:cantSplit/>
          <w:trHeight w:val="567"/>
        </w:trPr>
        <w:tc>
          <w:tcPr>
            <w:tcW w:w="7230" w:type="dxa"/>
            <w:tcBorders>
              <w:top w:val="single" w:sz="6" w:space="0" w:color="EDF0F3" w:themeColor="accent4" w:themeTint="33"/>
              <w:bottom w:val="single" w:sz="6" w:space="0" w:color="EDF0F3" w:themeColor="accent4" w:themeTint="33"/>
            </w:tcBorders>
            <w:shd w:val="clear" w:color="auto" w:fill="auto"/>
          </w:tcPr>
          <w:p w14:paraId="2D9E11CA" w14:textId="11A7DF7B" w:rsidR="00434007" w:rsidRDefault="00434007" w:rsidP="008407D7">
            <w:pPr>
              <w:pStyle w:val="TableText"/>
              <w:numPr>
                <w:ilvl w:val="0"/>
                <w:numId w:val="22"/>
              </w:numPr>
              <w:ind w:left="648"/>
              <w:rPr>
                <w:lang w:val="en-US"/>
              </w:rPr>
            </w:pPr>
            <w:r>
              <w:rPr>
                <w:lang w:val="en-US"/>
              </w:rPr>
              <w:t>Provide t</w:t>
            </w:r>
            <w:r w:rsidRPr="0072724F">
              <w:rPr>
                <w:lang w:val="en-US"/>
              </w:rPr>
              <w:t>ools and legislative advice to suppo</w:t>
            </w:r>
            <w:r w:rsidR="00E647AE">
              <w:rPr>
                <w:lang w:val="en-US"/>
              </w:rPr>
              <w:t>r</w:t>
            </w:r>
            <w:r w:rsidRPr="0072724F">
              <w:rPr>
                <w:lang w:val="en-US"/>
              </w:rPr>
              <w:t xml:space="preserve">t Member States in deploying </w:t>
            </w:r>
            <w:r>
              <w:rPr>
                <w:lang w:val="en-US"/>
              </w:rPr>
              <w:t xml:space="preserve">and using </w:t>
            </w:r>
            <w:r w:rsidRPr="0072724F">
              <w:rPr>
                <w:lang w:val="en-US"/>
              </w:rPr>
              <w:t>legislation</w:t>
            </w:r>
            <w:r>
              <w:rPr>
                <w:lang w:val="en-US"/>
              </w:rPr>
              <w:t xml:space="preserve"> and</w:t>
            </w:r>
            <w:r w:rsidRPr="0072724F">
              <w:rPr>
                <w:lang w:val="en-US"/>
              </w:rPr>
              <w:t xml:space="preserve"> polic</w:t>
            </w:r>
            <w:r>
              <w:rPr>
                <w:lang w:val="en-US"/>
              </w:rPr>
              <w:t>ies</w:t>
            </w:r>
            <w:r w:rsidRPr="0072724F">
              <w:rPr>
                <w:lang w:val="en-US"/>
              </w:rPr>
              <w:t>,</w:t>
            </w:r>
            <w:r w:rsidR="00607486">
              <w:rPr>
                <w:lang w:val="en-US"/>
              </w:rPr>
              <w:t xml:space="preserve"> </w:t>
            </w:r>
            <w:r w:rsidRPr="0072724F">
              <w:rPr>
                <w:lang w:val="en-US"/>
              </w:rPr>
              <w:t>in the various ar</w:t>
            </w:r>
            <w:r>
              <w:rPr>
                <w:lang w:val="en-US"/>
              </w:rPr>
              <w:t>eas related to IP</w:t>
            </w:r>
            <w:r w:rsidRPr="0072724F">
              <w:rPr>
                <w:lang w:val="en-US"/>
              </w:rPr>
              <w:t xml:space="preserve"> </w:t>
            </w:r>
          </w:p>
          <w:p w14:paraId="241D4DF2" w14:textId="77777777" w:rsidR="00434007" w:rsidRDefault="00434007" w:rsidP="00434007">
            <w:pPr>
              <w:pStyle w:val="TableText"/>
              <w:ind w:left="0"/>
              <w:rPr>
                <w:lang w:val="en-US"/>
              </w:rPr>
            </w:pPr>
          </w:p>
        </w:tc>
        <w:tc>
          <w:tcPr>
            <w:tcW w:w="1843" w:type="dxa"/>
            <w:tcBorders>
              <w:top w:val="single" w:sz="6" w:space="0" w:color="EDF0F3" w:themeColor="accent4" w:themeTint="33"/>
              <w:bottom w:val="single" w:sz="6" w:space="0" w:color="EDF0F3" w:themeColor="accent4" w:themeTint="33"/>
            </w:tcBorders>
            <w:shd w:val="clear" w:color="auto" w:fill="auto"/>
          </w:tcPr>
          <w:p w14:paraId="3A1E1423" w14:textId="17EB8AF9" w:rsidR="0044499C" w:rsidRPr="00E84A9B" w:rsidRDefault="0044499C" w:rsidP="0044499C">
            <w:pPr>
              <w:pStyle w:val="TableText"/>
              <w:ind w:left="0" w:right="432"/>
              <w:jc w:val="right"/>
            </w:pPr>
            <w:r w:rsidRPr="00E84A9B">
              <w:t>12,903</w:t>
            </w:r>
          </w:p>
          <w:p w14:paraId="35F5FE1D" w14:textId="77777777" w:rsidR="00434007" w:rsidRPr="00E84A9B" w:rsidDel="0018217A" w:rsidRDefault="00434007" w:rsidP="00434007">
            <w:pPr>
              <w:pStyle w:val="TableText"/>
              <w:ind w:left="0" w:right="432"/>
              <w:jc w:val="center"/>
            </w:pPr>
          </w:p>
        </w:tc>
        <w:tc>
          <w:tcPr>
            <w:tcW w:w="666" w:type="dxa"/>
            <w:tcBorders>
              <w:top w:val="single" w:sz="6" w:space="0" w:color="EDF0F3" w:themeColor="accent4" w:themeTint="33"/>
              <w:bottom w:val="single" w:sz="6" w:space="0" w:color="EDF0F3" w:themeColor="accent4" w:themeTint="33"/>
            </w:tcBorders>
            <w:shd w:val="clear" w:color="auto" w:fill="auto"/>
          </w:tcPr>
          <w:p w14:paraId="39227561" w14:textId="77777777" w:rsidR="00434007" w:rsidRDefault="00434007" w:rsidP="00434007">
            <w:pPr>
              <w:pStyle w:val="TableText"/>
              <w:ind w:left="0"/>
              <w:jc w:val="center"/>
            </w:pPr>
            <w:r>
              <w:t>BD, CCI, GCP, IE, PT</w:t>
            </w:r>
          </w:p>
        </w:tc>
      </w:tr>
      <w:tr w:rsidR="00434007" w:rsidRPr="00D350B5" w14:paraId="6237DB83" w14:textId="77777777" w:rsidTr="00BB606C">
        <w:trPr>
          <w:cantSplit/>
          <w:trHeight w:val="288"/>
        </w:trPr>
        <w:tc>
          <w:tcPr>
            <w:tcW w:w="7230" w:type="dxa"/>
            <w:tcBorders>
              <w:top w:val="single" w:sz="6" w:space="0" w:color="EDF0F3" w:themeColor="accent4" w:themeTint="33"/>
              <w:bottom w:val="single" w:sz="6" w:space="0" w:color="EDF0F3" w:themeColor="accent4" w:themeTint="33"/>
            </w:tcBorders>
            <w:shd w:val="clear" w:color="auto" w:fill="auto"/>
          </w:tcPr>
          <w:p w14:paraId="196364A0" w14:textId="436AAC46" w:rsidR="00434007" w:rsidRPr="00260D62" w:rsidRDefault="00434007" w:rsidP="008407D7">
            <w:pPr>
              <w:pStyle w:val="TableText"/>
              <w:numPr>
                <w:ilvl w:val="0"/>
                <w:numId w:val="22"/>
              </w:numPr>
              <w:ind w:left="648"/>
              <w:rPr>
                <w:lang w:val="en-US"/>
              </w:rPr>
            </w:pPr>
            <w:r>
              <w:rPr>
                <w:lang w:val="en-US"/>
              </w:rPr>
              <w:t xml:space="preserve">Issue flagship publications such as the </w:t>
            </w:r>
            <w:r w:rsidRPr="0072724F">
              <w:rPr>
                <w:lang w:val="en-US"/>
              </w:rPr>
              <w:t>G</w:t>
            </w:r>
            <w:r>
              <w:rPr>
                <w:lang w:val="en-US"/>
              </w:rPr>
              <w:t>lobal Innovation Index</w:t>
            </w:r>
            <w:r w:rsidRPr="0072724F">
              <w:rPr>
                <w:lang w:val="en-US"/>
              </w:rPr>
              <w:t>, W</w:t>
            </w:r>
            <w:r>
              <w:rPr>
                <w:lang w:val="en-US"/>
              </w:rPr>
              <w:t xml:space="preserve">orld </w:t>
            </w:r>
            <w:r w:rsidRPr="0072724F">
              <w:rPr>
                <w:lang w:val="en-US"/>
              </w:rPr>
              <w:t>IP</w:t>
            </w:r>
            <w:r>
              <w:rPr>
                <w:lang w:val="en-US"/>
              </w:rPr>
              <w:t xml:space="preserve"> </w:t>
            </w:r>
            <w:r w:rsidRPr="0072724F">
              <w:rPr>
                <w:lang w:val="en-US"/>
              </w:rPr>
              <w:t>R</w:t>
            </w:r>
            <w:r>
              <w:rPr>
                <w:lang w:val="en-US"/>
              </w:rPr>
              <w:t>eport</w:t>
            </w:r>
            <w:r w:rsidR="00607486">
              <w:rPr>
                <w:lang w:val="en-US"/>
              </w:rPr>
              <w:t xml:space="preserve"> and</w:t>
            </w:r>
            <w:r>
              <w:rPr>
                <w:lang w:val="en-US"/>
              </w:rPr>
              <w:t xml:space="preserve"> </w:t>
            </w:r>
            <w:r w:rsidRPr="0072724F">
              <w:rPr>
                <w:lang w:val="en-US"/>
              </w:rPr>
              <w:t>creative economy studies</w:t>
            </w:r>
            <w:r>
              <w:rPr>
                <w:lang w:val="en-US"/>
              </w:rPr>
              <w:t xml:space="preserve"> </w:t>
            </w:r>
          </w:p>
        </w:tc>
        <w:tc>
          <w:tcPr>
            <w:tcW w:w="1843" w:type="dxa"/>
            <w:tcBorders>
              <w:top w:val="single" w:sz="6" w:space="0" w:color="EDF0F3" w:themeColor="accent4" w:themeTint="33"/>
              <w:bottom w:val="single" w:sz="6" w:space="0" w:color="EDF0F3" w:themeColor="accent4" w:themeTint="33"/>
            </w:tcBorders>
            <w:shd w:val="clear" w:color="auto" w:fill="auto"/>
          </w:tcPr>
          <w:p w14:paraId="15180D71" w14:textId="77777777" w:rsidR="00434007" w:rsidRPr="00392951" w:rsidDel="0018217A" w:rsidRDefault="00434007" w:rsidP="00434007">
            <w:pPr>
              <w:pStyle w:val="TableText"/>
              <w:ind w:left="0" w:right="432"/>
              <w:jc w:val="right"/>
            </w:pPr>
            <w:r>
              <w:t>4,790</w:t>
            </w:r>
          </w:p>
        </w:tc>
        <w:tc>
          <w:tcPr>
            <w:tcW w:w="666" w:type="dxa"/>
            <w:tcBorders>
              <w:top w:val="single" w:sz="6" w:space="0" w:color="EDF0F3" w:themeColor="accent4" w:themeTint="33"/>
              <w:bottom w:val="single" w:sz="6" w:space="0" w:color="EDF0F3" w:themeColor="accent4" w:themeTint="33"/>
            </w:tcBorders>
            <w:shd w:val="clear" w:color="auto" w:fill="auto"/>
          </w:tcPr>
          <w:p w14:paraId="56C86E2F" w14:textId="77777777" w:rsidR="00434007" w:rsidRDefault="00434007" w:rsidP="00434007">
            <w:pPr>
              <w:pStyle w:val="TableText"/>
              <w:ind w:left="0"/>
              <w:jc w:val="center"/>
            </w:pPr>
            <w:r>
              <w:t>IE</w:t>
            </w:r>
          </w:p>
        </w:tc>
      </w:tr>
      <w:tr w:rsidR="00434007" w:rsidRPr="00D350B5" w14:paraId="48138EE4" w14:textId="77777777" w:rsidTr="00434007">
        <w:trPr>
          <w:cantSplit/>
          <w:trHeight w:val="828"/>
        </w:trPr>
        <w:tc>
          <w:tcPr>
            <w:tcW w:w="7230" w:type="dxa"/>
            <w:tcBorders>
              <w:top w:val="single" w:sz="6" w:space="0" w:color="EDF0F3" w:themeColor="accent4" w:themeTint="33"/>
              <w:bottom w:val="single" w:sz="6" w:space="0" w:color="EDF0F3" w:themeColor="accent4" w:themeTint="33"/>
            </w:tcBorders>
            <w:shd w:val="clear" w:color="auto" w:fill="auto"/>
          </w:tcPr>
          <w:p w14:paraId="13ED13A6" w14:textId="1DD203A6" w:rsidR="00434007" w:rsidRDefault="00434007" w:rsidP="008407D7">
            <w:pPr>
              <w:pStyle w:val="TableText"/>
              <w:numPr>
                <w:ilvl w:val="0"/>
                <w:numId w:val="22"/>
              </w:numPr>
              <w:ind w:left="648"/>
              <w:rPr>
                <w:lang w:val="en-US"/>
              </w:rPr>
            </w:pPr>
            <w:r>
              <w:rPr>
                <w:lang w:val="en-US"/>
              </w:rPr>
              <w:t>Strengthen emphasis on</w:t>
            </w:r>
            <w:r w:rsidRPr="00134A43">
              <w:rPr>
                <w:lang w:val="en-US"/>
              </w:rPr>
              <w:t xml:space="preserve"> skills and knowledge building </w:t>
            </w:r>
            <w:r>
              <w:rPr>
                <w:szCs w:val="18"/>
              </w:rPr>
              <w:t xml:space="preserve">on </w:t>
            </w:r>
            <w:r w:rsidRPr="005B11B5">
              <w:rPr>
                <w:szCs w:val="18"/>
              </w:rPr>
              <w:t>IP related matters</w:t>
            </w:r>
            <w:r w:rsidRPr="00134A43">
              <w:rPr>
                <w:lang w:val="en-US"/>
              </w:rPr>
              <w:t xml:space="preserve"> through</w:t>
            </w:r>
            <w:r>
              <w:rPr>
                <w:lang w:val="en-US"/>
              </w:rPr>
              <w:t>: (i)</w:t>
            </w:r>
            <w:r w:rsidRPr="00134A43">
              <w:rPr>
                <w:lang w:val="en-US"/>
              </w:rPr>
              <w:t xml:space="preserve"> </w:t>
            </w:r>
            <w:r w:rsidR="00607486">
              <w:rPr>
                <w:lang w:val="en-US"/>
              </w:rPr>
              <w:t>the courses of the WIPO Academy;</w:t>
            </w:r>
            <w:r w:rsidRPr="00134A43">
              <w:rPr>
                <w:lang w:val="en-US"/>
              </w:rPr>
              <w:t xml:space="preserve"> </w:t>
            </w:r>
            <w:r>
              <w:rPr>
                <w:lang w:val="en-US"/>
              </w:rPr>
              <w:t xml:space="preserve">(ii) </w:t>
            </w:r>
            <w:r w:rsidRPr="00134A43">
              <w:rPr>
                <w:lang w:val="en-US"/>
              </w:rPr>
              <w:t>partnerships with educational institutions for the exp</w:t>
            </w:r>
            <w:r w:rsidR="00607486">
              <w:rPr>
                <w:lang w:val="en-US"/>
              </w:rPr>
              <w:t>ansion of joint Master Programs;</w:t>
            </w:r>
            <w:r w:rsidRPr="00134A43">
              <w:rPr>
                <w:lang w:val="en-US"/>
              </w:rPr>
              <w:t xml:space="preserve"> </w:t>
            </w:r>
            <w:r>
              <w:rPr>
                <w:lang w:val="en-US"/>
              </w:rPr>
              <w:t xml:space="preserve">(iii) </w:t>
            </w:r>
            <w:r w:rsidRPr="00134A43">
              <w:rPr>
                <w:lang w:val="en-US"/>
              </w:rPr>
              <w:t>the scaling up of support for national IP Training Institutions (IPTIs)</w:t>
            </w:r>
            <w:r w:rsidR="00607486">
              <w:rPr>
                <w:lang w:val="en-US"/>
              </w:rPr>
              <w:t>;</w:t>
            </w:r>
            <w:r>
              <w:rPr>
                <w:lang w:val="en-US"/>
              </w:rPr>
              <w:t xml:space="preserve"> (iv) the </w:t>
            </w:r>
            <w:r w:rsidRPr="00134A43">
              <w:rPr>
                <w:lang w:val="en-US"/>
              </w:rPr>
              <w:t>launch of new skills-based professional development programs</w:t>
            </w:r>
            <w:r w:rsidR="00607486">
              <w:rPr>
                <w:lang w:val="en-US"/>
              </w:rPr>
              <w:t>;</w:t>
            </w:r>
            <w:r w:rsidDel="00716C4D">
              <w:rPr>
                <w:lang w:val="en-US"/>
              </w:rPr>
              <w:t xml:space="preserve"> </w:t>
            </w:r>
            <w:r>
              <w:rPr>
                <w:lang w:val="en-US"/>
              </w:rPr>
              <w:t>and (v)</w:t>
            </w:r>
            <w:r>
              <w:rPr>
                <w:szCs w:val="18"/>
              </w:rPr>
              <w:t xml:space="preserve"> the d</w:t>
            </w:r>
            <w:r w:rsidRPr="005B11B5">
              <w:rPr>
                <w:szCs w:val="18"/>
              </w:rPr>
              <w:t>evelopment and dissemination of training materials, publications and tools</w:t>
            </w:r>
          </w:p>
        </w:tc>
        <w:tc>
          <w:tcPr>
            <w:tcW w:w="1843" w:type="dxa"/>
            <w:tcBorders>
              <w:top w:val="single" w:sz="6" w:space="0" w:color="EDF0F3" w:themeColor="accent4" w:themeTint="33"/>
              <w:bottom w:val="single" w:sz="6" w:space="0" w:color="EDF0F3" w:themeColor="accent4" w:themeTint="33"/>
            </w:tcBorders>
            <w:shd w:val="clear" w:color="auto" w:fill="auto"/>
          </w:tcPr>
          <w:p w14:paraId="09177FBB" w14:textId="60834509" w:rsidR="00434007" w:rsidRPr="00392951" w:rsidDel="0018217A" w:rsidRDefault="0066234F" w:rsidP="00434007">
            <w:pPr>
              <w:pStyle w:val="TableText"/>
              <w:ind w:left="0" w:right="432"/>
              <w:jc w:val="right"/>
            </w:pPr>
            <w:r>
              <w:t>37,155</w:t>
            </w:r>
          </w:p>
        </w:tc>
        <w:tc>
          <w:tcPr>
            <w:tcW w:w="666" w:type="dxa"/>
            <w:tcBorders>
              <w:top w:val="single" w:sz="6" w:space="0" w:color="EDF0F3" w:themeColor="accent4" w:themeTint="33"/>
              <w:bottom w:val="single" w:sz="6" w:space="0" w:color="EDF0F3" w:themeColor="accent4" w:themeTint="33"/>
            </w:tcBorders>
            <w:shd w:val="clear" w:color="auto" w:fill="auto"/>
          </w:tcPr>
          <w:p w14:paraId="658BD3CA" w14:textId="77777777" w:rsidR="00434007" w:rsidRDefault="00434007" w:rsidP="00434007">
            <w:pPr>
              <w:pStyle w:val="TableText"/>
              <w:ind w:left="0"/>
              <w:jc w:val="center"/>
            </w:pPr>
            <w:r>
              <w:t>BD, CCI, GCP, IE,</w:t>
            </w:r>
          </w:p>
          <w:p w14:paraId="4048E8B0" w14:textId="77777777" w:rsidR="00434007" w:rsidRDefault="00434007" w:rsidP="00434007">
            <w:pPr>
              <w:pStyle w:val="TableText"/>
              <w:ind w:left="0"/>
              <w:jc w:val="center"/>
            </w:pPr>
            <w:r>
              <w:t>PT, RND</w:t>
            </w:r>
          </w:p>
        </w:tc>
      </w:tr>
      <w:tr w:rsidR="0066234F" w:rsidRPr="00D350B5" w14:paraId="65BD5817" w14:textId="77777777" w:rsidTr="00434007">
        <w:trPr>
          <w:cantSplit/>
          <w:trHeight w:val="295"/>
        </w:trPr>
        <w:tc>
          <w:tcPr>
            <w:tcW w:w="7230" w:type="dxa"/>
            <w:tcBorders>
              <w:top w:val="single" w:sz="6" w:space="0" w:color="EDF0F3" w:themeColor="accent4" w:themeTint="33"/>
              <w:bottom w:val="single" w:sz="6" w:space="0" w:color="EDF0F3" w:themeColor="accent4" w:themeTint="33"/>
            </w:tcBorders>
            <w:shd w:val="clear" w:color="auto" w:fill="auto"/>
          </w:tcPr>
          <w:p w14:paraId="19F6EE9F" w14:textId="0D058C37" w:rsidR="0066234F" w:rsidRPr="00E859C4" w:rsidRDefault="0066234F" w:rsidP="008407D7">
            <w:pPr>
              <w:pStyle w:val="TableText"/>
              <w:numPr>
                <w:ilvl w:val="0"/>
                <w:numId w:val="22"/>
              </w:numPr>
              <w:ind w:left="648"/>
              <w:rPr>
                <w:lang w:val="en-US"/>
              </w:rPr>
            </w:pPr>
            <w:r w:rsidRPr="00E859C4">
              <w:rPr>
                <w:lang w:val="en-US"/>
              </w:rPr>
              <w:lastRenderedPageBreak/>
              <w:t>Capacity building, technical assistance and training on IP and TK, TCEs and GRs, including creation of accessible materials for such activities</w:t>
            </w:r>
          </w:p>
        </w:tc>
        <w:tc>
          <w:tcPr>
            <w:tcW w:w="1843" w:type="dxa"/>
            <w:tcBorders>
              <w:top w:val="single" w:sz="6" w:space="0" w:color="EDF0F3" w:themeColor="accent4" w:themeTint="33"/>
              <w:bottom w:val="single" w:sz="6" w:space="0" w:color="EDF0F3" w:themeColor="accent4" w:themeTint="33"/>
            </w:tcBorders>
          </w:tcPr>
          <w:p w14:paraId="312D0F85" w14:textId="0E79CC05" w:rsidR="0066234F" w:rsidRPr="00E859C4" w:rsidRDefault="0066234F" w:rsidP="00434007">
            <w:pPr>
              <w:pStyle w:val="TableText"/>
              <w:ind w:left="0" w:right="432"/>
              <w:jc w:val="right"/>
            </w:pPr>
            <w:r w:rsidRPr="00E859C4">
              <w:t>2,112</w:t>
            </w:r>
          </w:p>
        </w:tc>
        <w:tc>
          <w:tcPr>
            <w:tcW w:w="666" w:type="dxa"/>
            <w:tcBorders>
              <w:top w:val="single" w:sz="6" w:space="0" w:color="EDF0F3" w:themeColor="accent4" w:themeTint="33"/>
              <w:bottom w:val="single" w:sz="6" w:space="0" w:color="EDF0F3" w:themeColor="accent4" w:themeTint="33"/>
            </w:tcBorders>
          </w:tcPr>
          <w:p w14:paraId="28B93F47" w14:textId="38508D1A" w:rsidR="0066234F" w:rsidRPr="00E859C4" w:rsidRDefault="0066234F" w:rsidP="00434007">
            <w:pPr>
              <w:pStyle w:val="TableText"/>
              <w:ind w:left="0"/>
              <w:jc w:val="center"/>
            </w:pPr>
            <w:r w:rsidRPr="00E859C4">
              <w:t>GCP</w:t>
            </w:r>
          </w:p>
        </w:tc>
      </w:tr>
      <w:tr w:rsidR="00434007" w:rsidRPr="00D350B5" w14:paraId="1DCB8CD0" w14:textId="77777777" w:rsidTr="005D48D7">
        <w:trPr>
          <w:cantSplit/>
          <w:trHeight w:val="216"/>
        </w:trPr>
        <w:tc>
          <w:tcPr>
            <w:tcW w:w="7230" w:type="dxa"/>
            <w:tcBorders>
              <w:top w:val="single" w:sz="6" w:space="0" w:color="EDF0F3" w:themeColor="accent4" w:themeTint="33"/>
              <w:bottom w:val="single" w:sz="6" w:space="0" w:color="EDF0F3" w:themeColor="accent4" w:themeTint="33"/>
            </w:tcBorders>
            <w:shd w:val="clear" w:color="auto" w:fill="auto"/>
          </w:tcPr>
          <w:p w14:paraId="315D8A56" w14:textId="3F1341F9" w:rsidR="00434007" w:rsidRPr="0072724F" w:rsidRDefault="00434007" w:rsidP="008407D7">
            <w:pPr>
              <w:pStyle w:val="TableText"/>
              <w:numPr>
                <w:ilvl w:val="0"/>
                <w:numId w:val="22"/>
              </w:numPr>
              <w:ind w:left="648"/>
              <w:rPr>
                <w:lang w:val="en-US"/>
              </w:rPr>
            </w:pPr>
            <w:r>
              <w:rPr>
                <w:lang w:val="en-US"/>
              </w:rPr>
              <w:t xml:space="preserve">Actively contribute to efforts </w:t>
            </w:r>
            <w:r w:rsidR="00A55F0A">
              <w:rPr>
                <w:lang w:val="en-US"/>
              </w:rPr>
              <w:t xml:space="preserve">as economies build back </w:t>
            </w:r>
            <w:r>
              <w:rPr>
                <w:lang w:val="en-US"/>
              </w:rPr>
              <w:t>in the post-COVID era</w:t>
            </w:r>
          </w:p>
        </w:tc>
        <w:tc>
          <w:tcPr>
            <w:tcW w:w="1843" w:type="dxa"/>
            <w:tcBorders>
              <w:top w:val="single" w:sz="6" w:space="0" w:color="EDF0F3" w:themeColor="accent4" w:themeTint="33"/>
              <w:bottom w:val="single" w:sz="6" w:space="0" w:color="EDF0F3" w:themeColor="accent4" w:themeTint="33"/>
            </w:tcBorders>
          </w:tcPr>
          <w:p w14:paraId="6C90BFFC" w14:textId="77777777" w:rsidR="00434007" w:rsidRDefault="00434007" w:rsidP="00434007">
            <w:pPr>
              <w:pStyle w:val="TableText"/>
              <w:ind w:left="0" w:right="432"/>
              <w:jc w:val="right"/>
            </w:pPr>
            <w:r>
              <w:t>3,313</w:t>
            </w:r>
          </w:p>
        </w:tc>
        <w:tc>
          <w:tcPr>
            <w:tcW w:w="666" w:type="dxa"/>
            <w:tcBorders>
              <w:top w:val="single" w:sz="6" w:space="0" w:color="EDF0F3" w:themeColor="accent4" w:themeTint="33"/>
              <w:bottom w:val="single" w:sz="6" w:space="0" w:color="EDF0F3" w:themeColor="accent4" w:themeTint="33"/>
            </w:tcBorders>
          </w:tcPr>
          <w:p w14:paraId="08220FFA" w14:textId="77777777" w:rsidR="00434007" w:rsidRDefault="00434007" w:rsidP="00434007">
            <w:pPr>
              <w:pStyle w:val="TableText"/>
              <w:ind w:left="0"/>
              <w:jc w:val="center"/>
            </w:pPr>
            <w:r>
              <w:t>RND</w:t>
            </w:r>
          </w:p>
        </w:tc>
      </w:tr>
      <w:tr w:rsidR="00434007" w:rsidRPr="00D350B5" w14:paraId="1D203891" w14:textId="77777777" w:rsidTr="00434007">
        <w:trPr>
          <w:cantSplit/>
          <w:trHeight w:val="295"/>
        </w:trPr>
        <w:tc>
          <w:tcPr>
            <w:tcW w:w="7230" w:type="dxa"/>
            <w:tcBorders>
              <w:top w:val="single" w:sz="6" w:space="0" w:color="EDF0F3" w:themeColor="accent4" w:themeTint="33"/>
              <w:bottom w:val="single" w:sz="6" w:space="0" w:color="EDF0F3" w:themeColor="accent4" w:themeTint="33"/>
            </w:tcBorders>
            <w:shd w:val="clear" w:color="auto" w:fill="auto"/>
          </w:tcPr>
          <w:p w14:paraId="24E5DABC" w14:textId="77777777" w:rsidR="00434007" w:rsidRPr="00134A43" w:rsidRDefault="00434007" w:rsidP="008407D7">
            <w:pPr>
              <w:pStyle w:val="TableText"/>
              <w:numPr>
                <w:ilvl w:val="0"/>
                <w:numId w:val="22"/>
              </w:numPr>
              <w:ind w:left="648"/>
              <w:rPr>
                <w:lang w:val="en-US"/>
              </w:rPr>
            </w:pPr>
            <w:r>
              <w:rPr>
                <w:lang w:val="en-US"/>
              </w:rPr>
              <w:t>En</w:t>
            </w:r>
            <w:r w:rsidRPr="0072724F">
              <w:rPr>
                <w:lang w:val="en-US"/>
              </w:rPr>
              <w:t xml:space="preserve">courage creators, </w:t>
            </w:r>
            <w:r>
              <w:rPr>
                <w:lang w:val="en-US"/>
              </w:rPr>
              <w:t>creative enterprises, cultural institutions</w:t>
            </w:r>
            <w:r w:rsidRPr="0072724F">
              <w:rPr>
                <w:lang w:val="en-US"/>
              </w:rPr>
              <w:t>, and communities to leverage copyright and related rights, including through</w:t>
            </w:r>
            <w:r>
              <w:rPr>
                <w:lang w:val="en-US"/>
              </w:rPr>
              <w:t xml:space="preserve">: </w:t>
            </w:r>
            <w:r w:rsidRPr="009B6AD1">
              <w:rPr>
                <w:lang w:val="en-US"/>
              </w:rPr>
              <w:t>(</w:t>
            </w:r>
            <w:r>
              <w:rPr>
                <w:lang w:val="en-US"/>
              </w:rPr>
              <w:t>i</w:t>
            </w:r>
            <w:r w:rsidRPr="009B6AD1">
              <w:rPr>
                <w:lang w:val="en-US"/>
              </w:rPr>
              <w:t>)</w:t>
            </w:r>
            <w:r>
              <w:rPr>
                <w:lang w:val="en-US"/>
              </w:rPr>
              <w:t xml:space="preserve"> the</w:t>
            </w:r>
            <w:r w:rsidRPr="009B6AD1">
              <w:rPr>
                <w:lang w:val="en-US"/>
              </w:rPr>
              <w:t xml:space="preserve"> support of col</w:t>
            </w:r>
            <w:r>
              <w:rPr>
                <w:lang w:val="en-US"/>
              </w:rPr>
              <w:t xml:space="preserve">lective management organizations; </w:t>
            </w:r>
            <w:r w:rsidRPr="009B6AD1">
              <w:rPr>
                <w:lang w:val="en-US"/>
              </w:rPr>
              <w:t>(</w:t>
            </w:r>
            <w:r>
              <w:rPr>
                <w:lang w:val="en-US"/>
              </w:rPr>
              <w:t>ii</w:t>
            </w:r>
            <w:r w:rsidRPr="009B6AD1">
              <w:rPr>
                <w:lang w:val="en-US"/>
              </w:rPr>
              <w:t>) raising awareness and increasing knowledge of creators’ rights and related management practices</w:t>
            </w:r>
            <w:r>
              <w:rPr>
                <w:lang w:val="en-US"/>
              </w:rPr>
              <w:t xml:space="preserve">; and (iii) providing support to </w:t>
            </w:r>
            <w:r w:rsidRPr="009B6AD1">
              <w:rPr>
                <w:lang w:val="en-US"/>
              </w:rPr>
              <w:t>persons with print disabilities</w:t>
            </w:r>
          </w:p>
        </w:tc>
        <w:tc>
          <w:tcPr>
            <w:tcW w:w="1843" w:type="dxa"/>
            <w:tcBorders>
              <w:top w:val="single" w:sz="6" w:space="0" w:color="EDF0F3" w:themeColor="accent4" w:themeTint="33"/>
              <w:bottom w:val="single" w:sz="6" w:space="0" w:color="EDF0F3" w:themeColor="accent4" w:themeTint="33"/>
            </w:tcBorders>
          </w:tcPr>
          <w:p w14:paraId="2105299A" w14:textId="09F77448" w:rsidR="00434007" w:rsidRDefault="0044499C" w:rsidP="00434007">
            <w:pPr>
              <w:pStyle w:val="TableText"/>
              <w:ind w:left="0" w:right="432"/>
              <w:jc w:val="right"/>
            </w:pPr>
            <w:r w:rsidRPr="000F6024">
              <w:t>12,085</w:t>
            </w:r>
          </w:p>
        </w:tc>
        <w:tc>
          <w:tcPr>
            <w:tcW w:w="666" w:type="dxa"/>
            <w:tcBorders>
              <w:top w:val="single" w:sz="6" w:space="0" w:color="EDF0F3" w:themeColor="accent4" w:themeTint="33"/>
              <w:bottom w:val="single" w:sz="6" w:space="0" w:color="EDF0F3" w:themeColor="accent4" w:themeTint="33"/>
            </w:tcBorders>
          </w:tcPr>
          <w:p w14:paraId="5E19C179" w14:textId="77777777" w:rsidR="00434007" w:rsidRDefault="00434007" w:rsidP="00434007">
            <w:pPr>
              <w:pStyle w:val="TableText"/>
              <w:ind w:left="0"/>
              <w:jc w:val="center"/>
            </w:pPr>
            <w:r>
              <w:t>CCI</w:t>
            </w:r>
          </w:p>
        </w:tc>
      </w:tr>
      <w:tr w:rsidR="00434007" w:rsidRPr="00D350B5" w14:paraId="6495F415" w14:textId="77777777" w:rsidTr="00434007">
        <w:trPr>
          <w:cantSplit/>
          <w:trHeight w:val="1647"/>
        </w:trPr>
        <w:tc>
          <w:tcPr>
            <w:tcW w:w="7230" w:type="dxa"/>
            <w:tcBorders>
              <w:top w:val="single" w:sz="6" w:space="0" w:color="EDF0F3" w:themeColor="accent4" w:themeTint="33"/>
              <w:bottom w:val="single" w:sz="6" w:space="0" w:color="EDF0F3" w:themeColor="accent4" w:themeTint="33"/>
            </w:tcBorders>
            <w:shd w:val="clear" w:color="auto" w:fill="auto"/>
          </w:tcPr>
          <w:p w14:paraId="7826E4F2" w14:textId="77777777" w:rsidR="00434007" w:rsidRDefault="00434007" w:rsidP="008407D7">
            <w:pPr>
              <w:pStyle w:val="TableText"/>
              <w:numPr>
                <w:ilvl w:val="0"/>
                <w:numId w:val="22"/>
              </w:numPr>
              <w:spacing w:after="120"/>
              <w:ind w:left="648"/>
              <w:rPr>
                <w:lang w:val="en-US"/>
              </w:rPr>
            </w:pPr>
            <w:r w:rsidRPr="00470612">
              <w:rPr>
                <w:lang w:val="en-US"/>
              </w:rPr>
              <w:t xml:space="preserve">Support entrepreneurs, SMEs and enterprises, in collaboration with SME support institutions and other partners, to access and use the IP system and to effectively leverage IP as an asset. </w:t>
            </w:r>
            <w:r>
              <w:rPr>
                <w:lang w:val="en-US"/>
              </w:rPr>
              <w:t xml:space="preserve"> Initiatives </w:t>
            </w:r>
            <w:r w:rsidRPr="00470612">
              <w:rPr>
                <w:lang w:val="en-US"/>
              </w:rPr>
              <w:t>will focus on IP management, IP valuation, IP backed financing, and IP commercialization</w:t>
            </w:r>
          </w:p>
          <w:p w14:paraId="30AD4FFD" w14:textId="60D6BFF4" w:rsidR="00434007" w:rsidRPr="0044185F" w:rsidRDefault="00434007" w:rsidP="008407D7">
            <w:pPr>
              <w:pStyle w:val="TableText"/>
              <w:numPr>
                <w:ilvl w:val="0"/>
                <w:numId w:val="22"/>
              </w:numPr>
              <w:spacing w:after="120"/>
              <w:ind w:left="648"/>
              <w:rPr>
                <w:lang w:val="en-US"/>
              </w:rPr>
            </w:pPr>
            <w:r>
              <w:rPr>
                <w:lang w:val="en-US"/>
              </w:rPr>
              <w:t>B</w:t>
            </w:r>
            <w:r w:rsidRPr="00470612">
              <w:rPr>
                <w:lang w:val="en-US"/>
              </w:rPr>
              <w:t>uild institutional capacity for technology transfer and innovation support, with a focus on establishing and developing TISCs, TTOs and other technology transfer structures as gateways to high quality IP services. Development of information and knowledge platforms, tools, and resources to enable the provision of such services</w:t>
            </w:r>
            <w:r>
              <w:rPr>
                <w:rFonts w:ascii="Arial" w:hAnsi="Arial" w:cs="Arial"/>
                <w:color w:val="000000"/>
                <w:sz w:val="20"/>
                <w:szCs w:val="20"/>
              </w:rPr>
              <w:t xml:space="preserve">  </w:t>
            </w:r>
          </w:p>
          <w:p w14:paraId="072A02B1" w14:textId="48C16858" w:rsidR="00D97431" w:rsidRPr="0048602E" w:rsidRDefault="000F6A2A" w:rsidP="008407D7">
            <w:pPr>
              <w:pStyle w:val="TableText"/>
              <w:numPr>
                <w:ilvl w:val="0"/>
                <w:numId w:val="22"/>
              </w:numPr>
              <w:ind w:left="648"/>
              <w:rPr>
                <w:lang w:val="en-US"/>
              </w:rPr>
            </w:pPr>
            <w:r w:rsidRPr="000F6A2A">
              <w:rPr>
                <w:lang w:val="en-US"/>
              </w:rPr>
              <w:t>Facilitating d</w:t>
            </w:r>
            <w:r w:rsidR="00D97431" w:rsidRPr="0044185F">
              <w:rPr>
                <w:lang w:val="en-US"/>
              </w:rPr>
              <w:t>ialogue and knowledge sharing among Member States and other stakeholders on IP and SMEs</w:t>
            </w:r>
          </w:p>
        </w:tc>
        <w:tc>
          <w:tcPr>
            <w:tcW w:w="1843" w:type="dxa"/>
            <w:tcBorders>
              <w:top w:val="single" w:sz="6" w:space="0" w:color="EDF0F3" w:themeColor="accent4" w:themeTint="33"/>
              <w:bottom w:val="single" w:sz="6" w:space="0" w:color="EDF0F3" w:themeColor="accent4" w:themeTint="33"/>
            </w:tcBorders>
          </w:tcPr>
          <w:p w14:paraId="71B5EDA1" w14:textId="77777777" w:rsidR="00434007" w:rsidRDefault="00434007" w:rsidP="00434007">
            <w:pPr>
              <w:pStyle w:val="TableText"/>
              <w:ind w:left="0" w:right="432"/>
              <w:jc w:val="right"/>
            </w:pPr>
            <w:r>
              <w:t>23,427</w:t>
            </w:r>
          </w:p>
        </w:tc>
        <w:tc>
          <w:tcPr>
            <w:tcW w:w="666" w:type="dxa"/>
            <w:tcBorders>
              <w:top w:val="single" w:sz="6" w:space="0" w:color="EDF0F3" w:themeColor="accent4" w:themeTint="33"/>
              <w:bottom w:val="single" w:sz="6" w:space="0" w:color="EDF0F3" w:themeColor="accent4" w:themeTint="33"/>
            </w:tcBorders>
          </w:tcPr>
          <w:p w14:paraId="6B6A3591" w14:textId="77777777" w:rsidR="00434007" w:rsidRDefault="00434007" w:rsidP="00434007">
            <w:pPr>
              <w:pStyle w:val="TableText"/>
              <w:ind w:left="0"/>
              <w:jc w:val="center"/>
            </w:pPr>
            <w:r>
              <w:t xml:space="preserve">IE, </w:t>
            </w:r>
            <w:r w:rsidRPr="00B5242F">
              <w:t>RND</w:t>
            </w:r>
          </w:p>
        </w:tc>
      </w:tr>
      <w:tr w:rsidR="00434007" w:rsidRPr="00D350B5" w14:paraId="6DB34A37" w14:textId="77777777" w:rsidTr="00434007">
        <w:trPr>
          <w:cantSplit/>
          <w:trHeight w:val="462"/>
        </w:trPr>
        <w:tc>
          <w:tcPr>
            <w:tcW w:w="7230" w:type="dxa"/>
            <w:tcBorders>
              <w:top w:val="single" w:sz="6" w:space="0" w:color="EDF0F3" w:themeColor="accent4" w:themeTint="33"/>
              <w:bottom w:val="single" w:sz="4" w:space="0" w:color="EDF0F3" w:themeColor="accent4" w:themeTint="33"/>
            </w:tcBorders>
            <w:shd w:val="clear" w:color="auto" w:fill="auto"/>
          </w:tcPr>
          <w:p w14:paraId="67C1C5EF" w14:textId="77777777" w:rsidR="00434007" w:rsidRPr="0072724F" w:rsidRDefault="00434007" w:rsidP="008407D7">
            <w:pPr>
              <w:pStyle w:val="TableText"/>
              <w:numPr>
                <w:ilvl w:val="0"/>
                <w:numId w:val="22"/>
              </w:numPr>
              <w:spacing w:after="120"/>
              <w:ind w:left="648"/>
              <w:rPr>
                <w:lang w:val="en-US"/>
              </w:rPr>
            </w:pPr>
            <w:r>
              <w:rPr>
                <w:lang w:val="en-US"/>
              </w:rPr>
              <w:t xml:space="preserve">Develop and </w:t>
            </w:r>
            <w:r w:rsidRPr="00470612">
              <w:rPr>
                <w:lang w:val="en-US"/>
              </w:rPr>
              <w:t xml:space="preserve">promote IP Offices Business Solutions for national and regional IP institutions in developing countries and LDCs, including the expansion of the WIPO Office Suite </w:t>
            </w:r>
            <w:r>
              <w:rPr>
                <w:lang w:val="en-US"/>
              </w:rPr>
              <w:t xml:space="preserve"> of </w:t>
            </w:r>
            <w:r w:rsidRPr="00470612">
              <w:rPr>
                <w:lang w:val="en-US"/>
              </w:rPr>
              <w:t>applications to support other forms of IP registration (voluntary registration of copyright and traditional cultural expressions)</w:t>
            </w:r>
          </w:p>
        </w:tc>
        <w:tc>
          <w:tcPr>
            <w:tcW w:w="1843" w:type="dxa"/>
            <w:tcBorders>
              <w:top w:val="single" w:sz="6" w:space="0" w:color="EDF0F3" w:themeColor="accent4" w:themeTint="33"/>
              <w:bottom w:val="single" w:sz="4" w:space="0" w:color="EDF0F3" w:themeColor="accent4" w:themeTint="33"/>
            </w:tcBorders>
          </w:tcPr>
          <w:p w14:paraId="0FD348C7" w14:textId="77777777" w:rsidR="00434007" w:rsidRDefault="00434007" w:rsidP="00434007">
            <w:pPr>
              <w:pStyle w:val="TableText"/>
              <w:ind w:left="0" w:right="432"/>
              <w:jc w:val="right"/>
            </w:pPr>
            <w:r>
              <w:t>16,521</w:t>
            </w:r>
          </w:p>
        </w:tc>
        <w:tc>
          <w:tcPr>
            <w:tcW w:w="666" w:type="dxa"/>
            <w:tcBorders>
              <w:top w:val="single" w:sz="6" w:space="0" w:color="EDF0F3" w:themeColor="accent4" w:themeTint="33"/>
              <w:bottom w:val="single" w:sz="4" w:space="0" w:color="EDF0F3" w:themeColor="accent4" w:themeTint="33"/>
            </w:tcBorders>
          </w:tcPr>
          <w:p w14:paraId="379BC3CC" w14:textId="77777777" w:rsidR="00434007" w:rsidRPr="0022203D" w:rsidRDefault="00434007" w:rsidP="00434007">
            <w:pPr>
              <w:pStyle w:val="TableText"/>
              <w:ind w:left="0"/>
              <w:jc w:val="center"/>
            </w:pPr>
            <w:r>
              <w:t>IP, RND</w:t>
            </w:r>
          </w:p>
        </w:tc>
      </w:tr>
    </w:tbl>
    <w:p w14:paraId="12330968" w14:textId="77777777" w:rsidR="00434007" w:rsidRPr="00252731" w:rsidRDefault="00434007" w:rsidP="00434007">
      <w:pPr>
        <w:pStyle w:val="NormalNoSpace"/>
        <w:spacing w:line="140" w:lineRule="atLeast"/>
        <w:rPr>
          <w:sz w:val="20"/>
          <w:szCs w:val="20"/>
        </w:rPr>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72" w:type="dxa"/>
        </w:tblCellMar>
        <w:tblLook w:val="04A0" w:firstRow="1" w:lastRow="0" w:firstColumn="1" w:lastColumn="0" w:noHBand="0" w:noVBand="1"/>
      </w:tblPr>
      <w:tblGrid>
        <w:gridCol w:w="3420"/>
        <w:gridCol w:w="4860"/>
        <w:gridCol w:w="1530"/>
      </w:tblGrid>
      <w:tr w:rsidR="00434007" w:rsidRPr="00D350B5" w14:paraId="1E76A854" w14:textId="77777777" w:rsidTr="00434007">
        <w:trPr>
          <w:cantSplit/>
          <w:trHeight w:val="19"/>
          <w:tblHeader/>
        </w:trPr>
        <w:tc>
          <w:tcPr>
            <w:tcW w:w="3420" w:type="dxa"/>
            <w:shd w:val="clear" w:color="auto" w:fill="C6CFD7" w:themeFill="accent3" w:themeFillTint="66"/>
          </w:tcPr>
          <w:p w14:paraId="5931A5E2" w14:textId="77777777" w:rsidR="00434007" w:rsidRPr="004A4423" w:rsidRDefault="00434007" w:rsidP="00434007">
            <w:pPr>
              <w:pStyle w:val="TableTextBold"/>
              <w:rPr>
                <w:rStyle w:val="charColoured"/>
                <w:lang w:val="en-US"/>
              </w:rPr>
            </w:pPr>
            <w:r w:rsidRPr="004A4423">
              <w:rPr>
                <w:lang w:val="en-US"/>
              </w:rPr>
              <w:t>Expected Result</w:t>
            </w:r>
          </w:p>
        </w:tc>
        <w:tc>
          <w:tcPr>
            <w:tcW w:w="4860" w:type="dxa"/>
            <w:shd w:val="clear" w:color="auto" w:fill="C6CFD7" w:themeFill="accent3" w:themeFillTint="66"/>
          </w:tcPr>
          <w:p w14:paraId="60B5C0C4" w14:textId="77777777" w:rsidR="00434007" w:rsidRPr="004A4423" w:rsidRDefault="00434007" w:rsidP="00434007">
            <w:pPr>
              <w:pStyle w:val="TableText"/>
              <w:rPr>
                <w:b/>
                <w:lang w:val="en-US"/>
              </w:rPr>
            </w:pPr>
            <w:r w:rsidRPr="004A4423">
              <w:rPr>
                <w:b/>
                <w:lang w:val="en-US"/>
              </w:rPr>
              <w:t>Performance Indicators</w:t>
            </w:r>
          </w:p>
        </w:tc>
        <w:tc>
          <w:tcPr>
            <w:tcW w:w="1530" w:type="dxa"/>
            <w:shd w:val="clear" w:color="auto" w:fill="C6CFD7" w:themeFill="accent3" w:themeFillTint="66"/>
          </w:tcPr>
          <w:p w14:paraId="37B10E19" w14:textId="77777777" w:rsidR="00434007" w:rsidRPr="004A4423" w:rsidRDefault="00434007" w:rsidP="00434007">
            <w:pPr>
              <w:pStyle w:val="TableText"/>
              <w:jc w:val="center"/>
              <w:rPr>
                <w:b/>
                <w:lang w:val="en-US"/>
              </w:rPr>
            </w:pPr>
            <w:r>
              <w:rPr>
                <w:b/>
                <w:lang w:val="en-US"/>
              </w:rPr>
              <w:t>Sector</w:t>
            </w:r>
          </w:p>
        </w:tc>
      </w:tr>
      <w:tr w:rsidR="005D7F78" w:rsidRPr="00D350B5" w14:paraId="6BD008E5" w14:textId="77777777" w:rsidTr="00434007">
        <w:trPr>
          <w:cantSplit/>
          <w:trHeight w:val="267"/>
        </w:trPr>
        <w:tc>
          <w:tcPr>
            <w:tcW w:w="3420" w:type="dxa"/>
            <w:vMerge w:val="restart"/>
            <w:shd w:val="clear" w:color="auto" w:fill="auto"/>
          </w:tcPr>
          <w:p w14:paraId="492470C9" w14:textId="3981B302" w:rsidR="005D7F78" w:rsidRDefault="005D7F78" w:rsidP="00434007">
            <w:pPr>
              <w:pStyle w:val="TableTextBold"/>
              <w:rPr>
                <w:rStyle w:val="charColoured"/>
                <w:lang w:val="en-US"/>
              </w:rPr>
            </w:pPr>
            <w:r>
              <w:rPr>
                <w:rStyle w:val="charColoured"/>
                <w:lang w:val="en-US"/>
              </w:rPr>
              <w:t>4</w:t>
            </w:r>
            <w:r w:rsidRPr="00D350B5">
              <w:rPr>
                <w:rStyle w:val="charColoured"/>
                <w:lang w:val="en-US"/>
              </w:rPr>
              <w:t>.1</w:t>
            </w:r>
            <w:r w:rsidRPr="00D350B5">
              <w:rPr>
                <w:color w:val="005694"/>
                <w:lang w:val="en-US"/>
              </w:rPr>
              <w:t xml:space="preserve"> </w:t>
            </w:r>
            <w:r>
              <w:rPr>
                <w:color w:val="005694"/>
                <w:lang w:val="en-US"/>
              </w:rPr>
              <w:t xml:space="preserve"> </w:t>
            </w:r>
            <w:r>
              <w:rPr>
                <w:lang w:val="en-US"/>
              </w:rPr>
              <w:t>More effective use of a balanced IP system to support growth</w:t>
            </w:r>
            <w:r w:rsidR="004773EA">
              <w:rPr>
                <w:lang w:val="en-US"/>
              </w:rPr>
              <w:t xml:space="preserve"> </w:t>
            </w:r>
            <w:r w:rsidRPr="00C578EF">
              <w:rPr>
                <w:lang w:val="en-US"/>
              </w:rPr>
              <w:t>and development of all Member States and their relevant regions and sub-regions, including through the mainstreaming of the Development Agenda recommendations</w:t>
            </w:r>
          </w:p>
        </w:tc>
        <w:tc>
          <w:tcPr>
            <w:tcW w:w="4860" w:type="dxa"/>
            <w:shd w:val="clear" w:color="auto" w:fill="auto"/>
          </w:tcPr>
          <w:p w14:paraId="1607B9CC" w14:textId="77777777" w:rsidR="005D7F78" w:rsidRDefault="005D7F78" w:rsidP="00434007">
            <w:pPr>
              <w:pStyle w:val="TableText"/>
              <w:rPr>
                <w:lang w:val="en-US"/>
              </w:rPr>
            </w:pPr>
            <w:r w:rsidRPr="007A26C7">
              <w:rPr>
                <w:lang w:val="en-US"/>
              </w:rPr>
              <w:t>Implementation of topics on IP and Development discussed in the CDIP</w:t>
            </w:r>
          </w:p>
        </w:tc>
        <w:tc>
          <w:tcPr>
            <w:tcW w:w="1530" w:type="dxa"/>
            <w:shd w:val="clear" w:color="auto" w:fill="auto"/>
          </w:tcPr>
          <w:p w14:paraId="416F745E" w14:textId="77777777" w:rsidR="005D7F78" w:rsidRDefault="005D7F78" w:rsidP="00434007">
            <w:pPr>
              <w:pStyle w:val="TableText"/>
              <w:jc w:val="center"/>
              <w:rPr>
                <w:lang w:val="en-US"/>
              </w:rPr>
            </w:pPr>
            <w:r>
              <w:rPr>
                <w:lang w:val="en-US"/>
              </w:rPr>
              <w:t>RND</w:t>
            </w:r>
          </w:p>
        </w:tc>
      </w:tr>
      <w:tr w:rsidR="005D7F78" w:rsidRPr="00D350B5" w14:paraId="1AEFBC6C" w14:textId="77777777" w:rsidTr="00434007">
        <w:trPr>
          <w:cantSplit/>
          <w:trHeight w:val="645"/>
        </w:trPr>
        <w:tc>
          <w:tcPr>
            <w:tcW w:w="3420" w:type="dxa"/>
            <w:vMerge/>
            <w:shd w:val="clear" w:color="auto" w:fill="auto"/>
          </w:tcPr>
          <w:p w14:paraId="26F235B9" w14:textId="77777777" w:rsidR="005D7F78" w:rsidRDefault="005D7F78" w:rsidP="00434007">
            <w:pPr>
              <w:pStyle w:val="TableTextBold"/>
              <w:rPr>
                <w:rStyle w:val="charColoured"/>
                <w:lang w:val="en-US"/>
              </w:rPr>
            </w:pPr>
          </w:p>
        </w:tc>
        <w:tc>
          <w:tcPr>
            <w:tcW w:w="4860" w:type="dxa"/>
            <w:shd w:val="clear" w:color="auto" w:fill="auto"/>
          </w:tcPr>
          <w:p w14:paraId="3503CFDA" w14:textId="77777777" w:rsidR="005D7F78" w:rsidRPr="007F1A58" w:rsidRDefault="005D7F78" w:rsidP="00434007">
            <w:pPr>
              <w:pStyle w:val="TableText"/>
              <w:rPr>
                <w:lang w:val="en-US"/>
              </w:rPr>
            </w:pPr>
            <w:r w:rsidRPr="007A26C7">
              <w:rPr>
                <w:lang w:val="en-US"/>
              </w:rPr>
              <w:t>No. of national, sub-regional and regional projects, including those implemented through partnership frameworks, that have achieved their expected benefits or completed important milestones</w:t>
            </w:r>
          </w:p>
        </w:tc>
        <w:tc>
          <w:tcPr>
            <w:tcW w:w="1530" w:type="dxa"/>
            <w:shd w:val="clear" w:color="auto" w:fill="auto"/>
          </w:tcPr>
          <w:p w14:paraId="6E49A945" w14:textId="77777777" w:rsidR="005D7F78" w:rsidRPr="00F17212" w:rsidRDefault="005D7F78" w:rsidP="00434007">
            <w:pPr>
              <w:pStyle w:val="TableText"/>
              <w:jc w:val="center"/>
              <w:rPr>
                <w:lang w:val="en-US"/>
              </w:rPr>
            </w:pPr>
            <w:r>
              <w:rPr>
                <w:lang w:val="en-US"/>
              </w:rPr>
              <w:t>PT, BD, CCI, RND</w:t>
            </w:r>
          </w:p>
        </w:tc>
      </w:tr>
      <w:tr w:rsidR="005D7F78" w:rsidRPr="00D350B5" w14:paraId="467AC4F8" w14:textId="77777777" w:rsidTr="005D7F78">
        <w:trPr>
          <w:cantSplit/>
          <w:trHeight w:val="222"/>
        </w:trPr>
        <w:tc>
          <w:tcPr>
            <w:tcW w:w="3420" w:type="dxa"/>
            <w:vMerge/>
            <w:tcBorders>
              <w:bottom w:val="single" w:sz="4" w:space="0" w:color="BFBFBF" w:themeColor="background1" w:themeShade="BF"/>
            </w:tcBorders>
            <w:shd w:val="clear" w:color="auto" w:fill="auto"/>
          </w:tcPr>
          <w:p w14:paraId="7A1C348D" w14:textId="77777777" w:rsidR="005D7F78" w:rsidRDefault="005D7F78" w:rsidP="00434007">
            <w:pPr>
              <w:pStyle w:val="TableTextBold"/>
              <w:rPr>
                <w:rStyle w:val="charColoured"/>
                <w:lang w:val="en-US"/>
              </w:rPr>
            </w:pPr>
          </w:p>
        </w:tc>
        <w:tc>
          <w:tcPr>
            <w:tcW w:w="4860" w:type="dxa"/>
            <w:tcBorders>
              <w:bottom w:val="single" w:sz="4" w:space="0" w:color="BFBFBF" w:themeColor="background1" w:themeShade="BF"/>
            </w:tcBorders>
            <w:shd w:val="clear" w:color="auto" w:fill="auto"/>
          </w:tcPr>
          <w:p w14:paraId="271903B4" w14:textId="2C7242FB" w:rsidR="005D7F78" w:rsidRPr="007A26C7" w:rsidRDefault="005D7F78" w:rsidP="006772B2">
            <w:pPr>
              <w:pStyle w:val="TableText"/>
              <w:rPr>
                <w:lang w:val="en-US"/>
              </w:rPr>
            </w:pPr>
            <w:r w:rsidRPr="00FB2BB5">
              <w:rPr>
                <w:lang w:val="en-US"/>
              </w:rPr>
              <w:t xml:space="preserve">Progress on the implementation of the </w:t>
            </w:r>
            <w:r>
              <w:rPr>
                <w:lang w:val="en-US"/>
              </w:rPr>
              <w:t xml:space="preserve">WIPO </w:t>
            </w:r>
            <w:r w:rsidRPr="00FB2BB5">
              <w:rPr>
                <w:lang w:val="en-US"/>
              </w:rPr>
              <w:t>IP</w:t>
            </w:r>
            <w:r>
              <w:rPr>
                <w:lang w:val="en-US"/>
              </w:rPr>
              <w:t xml:space="preserve"> Gender Action Plan (IPGAP)</w:t>
            </w:r>
            <w:r w:rsidR="0044499C">
              <w:rPr>
                <w:lang w:val="en-US"/>
              </w:rPr>
              <w:t xml:space="preserve"> </w:t>
            </w:r>
            <w:r w:rsidR="0044499C" w:rsidRPr="006772B2">
              <w:rPr>
                <w:lang w:val="en-US"/>
              </w:rPr>
              <w:t>and</w:t>
            </w:r>
            <w:r w:rsidR="006772B2" w:rsidRPr="006772B2">
              <w:rPr>
                <w:lang w:val="en-US"/>
              </w:rPr>
              <w:t xml:space="preserve"> any future revisions</w:t>
            </w:r>
          </w:p>
        </w:tc>
        <w:tc>
          <w:tcPr>
            <w:tcW w:w="1530" w:type="dxa"/>
            <w:tcBorders>
              <w:bottom w:val="single" w:sz="4" w:space="0" w:color="BFBFBF" w:themeColor="background1" w:themeShade="BF"/>
            </w:tcBorders>
            <w:shd w:val="clear" w:color="auto" w:fill="auto"/>
          </w:tcPr>
          <w:p w14:paraId="05AFDB3F" w14:textId="77777777" w:rsidR="005D7F78" w:rsidRDefault="005D7F78" w:rsidP="00434007">
            <w:pPr>
              <w:pStyle w:val="TableText"/>
              <w:jc w:val="center"/>
              <w:rPr>
                <w:lang w:val="en-US"/>
              </w:rPr>
            </w:pPr>
            <w:r>
              <w:rPr>
                <w:lang w:val="en-US"/>
              </w:rPr>
              <w:t>ODG</w:t>
            </w:r>
          </w:p>
        </w:tc>
      </w:tr>
      <w:tr w:rsidR="00434007" w:rsidRPr="00D350B5" w14:paraId="7070DC56" w14:textId="77777777" w:rsidTr="00434007">
        <w:trPr>
          <w:cantSplit/>
          <w:trHeight w:val="383"/>
        </w:trPr>
        <w:tc>
          <w:tcPr>
            <w:tcW w:w="3420" w:type="dxa"/>
            <w:vMerge w:val="restart"/>
            <w:tcBorders>
              <w:top w:val="single" w:sz="4" w:space="0" w:color="BFBFBF" w:themeColor="background1" w:themeShade="BF"/>
            </w:tcBorders>
            <w:shd w:val="clear" w:color="auto" w:fill="auto"/>
          </w:tcPr>
          <w:p w14:paraId="6EE34A10" w14:textId="77777777" w:rsidR="00434007" w:rsidRDefault="00434007" w:rsidP="00434007">
            <w:pPr>
              <w:pStyle w:val="TableTextBold"/>
              <w:rPr>
                <w:rStyle w:val="charColoured"/>
                <w:lang w:val="en-US"/>
              </w:rPr>
            </w:pPr>
            <w:r>
              <w:rPr>
                <w:rStyle w:val="charColoured"/>
                <w:lang w:val="en-US"/>
              </w:rPr>
              <w:t xml:space="preserve">4.2  </w:t>
            </w:r>
            <w:r w:rsidRPr="00275662">
              <w:rPr>
                <w:rStyle w:val="charColoured"/>
                <w:color w:val="auto"/>
                <w:lang w:val="en-US"/>
              </w:rPr>
              <w:t>Development of balanced and effective IP, innovation and creative ecosystems in Member States</w:t>
            </w:r>
          </w:p>
        </w:tc>
        <w:tc>
          <w:tcPr>
            <w:tcW w:w="4860" w:type="dxa"/>
            <w:tcBorders>
              <w:top w:val="single" w:sz="4" w:space="0" w:color="BFBFBF" w:themeColor="background1" w:themeShade="BF"/>
            </w:tcBorders>
            <w:shd w:val="clear" w:color="auto" w:fill="auto"/>
          </w:tcPr>
          <w:p w14:paraId="209D3E34" w14:textId="77777777" w:rsidR="00434007" w:rsidRPr="00C578EF" w:rsidRDefault="00434007" w:rsidP="00434007">
            <w:pPr>
              <w:pStyle w:val="TableText"/>
              <w:rPr>
                <w:lang w:val="en-US"/>
              </w:rPr>
            </w:pPr>
            <w:r w:rsidRPr="00F91B3C">
              <w:rPr>
                <w:lang w:val="en-US"/>
              </w:rPr>
              <w:t>No. and % of Member States satisfied with the legislative and policy advice provided</w:t>
            </w:r>
          </w:p>
        </w:tc>
        <w:tc>
          <w:tcPr>
            <w:tcW w:w="1530" w:type="dxa"/>
            <w:tcBorders>
              <w:top w:val="single" w:sz="4" w:space="0" w:color="BFBFBF" w:themeColor="background1" w:themeShade="BF"/>
            </w:tcBorders>
            <w:shd w:val="clear" w:color="auto" w:fill="auto"/>
          </w:tcPr>
          <w:p w14:paraId="4B680411" w14:textId="77777777" w:rsidR="00434007" w:rsidRDefault="00434007" w:rsidP="00434007">
            <w:pPr>
              <w:pStyle w:val="TableText"/>
              <w:jc w:val="center"/>
              <w:rPr>
                <w:lang w:val="en-US"/>
              </w:rPr>
            </w:pPr>
            <w:r>
              <w:rPr>
                <w:lang w:val="en-US"/>
              </w:rPr>
              <w:t>PT, BD, CCI, GCP, RND</w:t>
            </w:r>
          </w:p>
        </w:tc>
      </w:tr>
      <w:tr w:rsidR="00434007" w:rsidRPr="00D350B5" w14:paraId="326E664B" w14:textId="77777777" w:rsidTr="00434007">
        <w:trPr>
          <w:cantSplit/>
          <w:trHeight w:val="19"/>
        </w:trPr>
        <w:tc>
          <w:tcPr>
            <w:tcW w:w="3420" w:type="dxa"/>
            <w:vMerge/>
            <w:shd w:val="clear" w:color="auto" w:fill="auto"/>
          </w:tcPr>
          <w:p w14:paraId="34C1B91E" w14:textId="77777777" w:rsidR="00434007" w:rsidRDefault="00434007" w:rsidP="00434007">
            <w:pPr>
              <w:pStyle w:val="TableTextBold"/>
              <w:ind w:left="0"/>
              <w:rPr>
                <w:rStyle w:val="charColoured"/>
                <w:lang w:val="en-US"/>
              </w:rPr>
            </w:pPr>
          </w:p>
        </w:tc>
        <w:tc>
          <w:tcPr>
            <w:tcW w:w="4860" w:type="dxa"/>
            <w:shd w:val="clear" w:color="auto" w:fill="auto"/>
          </w:tcPr>
          <w:p w14:paraId="06E780B4" w14:textId="77777777" w:rsidR="00434007" w:rsidRPr="00C578EF" w:rsidRDefault="00434007" w:rsidP="00434007">
            <w:pPr>
              <w:pStyle w:val="TableText"/>
              <w:rPr>
                <w:lang w:val="en-US"/>
              </w:rPr>
            </w:pPr>
            <w:r w:rsidRPr="00F91B3C">
              <w:rPr>
                <w:lang w:val="en-US"/>
              </w:rPr>
              <w:t>No. of Member States, sub-regional and regional IP offices using WIPO tools and methodologies for the enhancement of the</w:t>
            </w:r>
            <w:r>
              <w:rPr>
                <w:lang w:val="en-US"/>
              </w:rPr>
              <w:t>ir IP and Innovation Ecosystems</w:t>
            </w:r>
          </w:p>
        </w:tc>
        <w:tc>
          <w:tcPr>
            <w:tcW w:w="1530" w:type="dxa"/>
            <w:shd w:val="clear" w:color="auto" w:fill="auto"/>
          </w:tcPr>
          <w:p w14:paraId="7A4133D5" w14:textId="77777777" w:rsidR="00434007" w:rsidRDefault="00434007" w:rsidP="00434007">
            <w:pPr>
              <w:pStyle w:val="TableText"/>
              <w:jc w:val="center"/>
              <w:rPr>
                <w:lang w:val="en-US"/>
              </w:rPr>
            </w:pPr>
            <w:r>
              <w:rPr>
                <w:lang w:val="en-US"/>
              </w:rPr>
              <w:t>RND</w:t>
            </w:r>
          </w:p>
        </w:tc>
      </w:tr>
      <w:tr w:rsidR="00434007" w:rsidRPr="00D350B5" w14:paraId="15FC2508" w14:textId="77777777" w:rsidTr="00434007">
        <w:trPr>
          <w:cantSplit/>
          <w:trHeight w:val="19"/>
        </w:trPr>
        <w:tc>
          <w:tcPr>
            <w:tcW w:w="3420" w:type="dxa"/>
            <w:shd w:val="clear" w:color="auto" w:fill="auto"/>
          </w:tcPr>
          <w:p w14:paraId="50572516" w14:textId="77777777" w:rsidR="00434007" w:rsidRDefault="00434007" w:rsidP="00434007">
            <w:pPr>
              <w:pStyle w:val="TableTextBold"/>
              <w:rPr>
                <w:rStyle w:val="charColoured"/>
                <w:lang w:val="en-US"/>
              </w:rPr>
            </w:pPr>
          </w:p>
        </w:tc>
        <w:tc>
          <w:tcPr>
            <w:tcW w:w="4860" w:type="dxa"/>
            <w:shd w:val="clear" w:color="auto" w:fill="auto"/>
          </w:tcPr>
          <w:p w14:paraId="3A368EAA" w14:textId="77777777" w:rsidR="00434007" w:rsidRPr="00C578EF" w:rsidRDefault="00434007" w:rsidP="00434007">
            <w:pPr>
              <w:pStyle w:val="TableText"/>
              <w:rPr>
                <w:lang w:val="en-US"/>
              </w:rPr>
            </w:pPr>
            <w:r w:rsidRPr="00F91B3C">
              <w:rPr>
                <w:lang w:val="en-US"/>
              </w:rPr>
              <w:t>Level of adoption of IP ADR and domain name dispute resolution policies developed or supported by WIPO</w:t>
            </w:r>
          </w:p>
        </w:tc>
        <w:tc>
          <w:tcPr>
            <w:tcW w:w="1530" w:type="dxa"/>
            <w:shd w:val="clear" w:color="auto" w:fill="auto"/>
          </w:tcPr>
          <w:p w14:paraId="5A0BE925" w14:textId="77777777" w:rsidR="00434007" w:rsidRDefault="00434007" w:rsidP="00434007">
            <w:pPr>
              <w:pStyle w:val="TableText"/>
              <w:jc w:val="center"/>
              <w:rPr>
                <w:lang w:val="en-US"/>
              </w:rPr>
            </w:pPr>
            <w:r>
              <w:rPr>
                <w:lang w:val="en-US"/>
              </w:rPr>
              <w:t>IE</w:t>
            </w:r>
          </w:p>
        </w:tc>
      </w:tr>
      <w:tr w:rsidR="00434007" w:rsidRPr="00D350B5" w14:paraId="66880235" w14:textId="77777777" w:rsidTr="00434007">
        <w:trPr>
          <w:cantSplit/>
          <w:trHeight w:val="19"/>
        </w:trPr>
        <w:tc>
          <w:tcPr>
            <w:tcW w:w="3420" w:type="dxa"/>
            <w:shd w:val="clear" w:color="auto" w:fill="auto"/>
          </w:tcPr>
          <w:p w14:paraId="05256FAA" w14:textId="77777777" w:rsidR="00434007" w:rsidRDefault="00434007" w:rsidP="00434007">
            <w:pPr>
              <w:pStyle w:val="TableTextBold"/>
              <w:rPr>
                <w:rStyle w:val="charColoured"/>
                <w:lang w:val="en-US"/>
              </w:rPr>
            </w:pPr>
          </w:p>
        </w:tc>
        <w:tc>
          <w:tcPr>
            <w:tcW w:w="4860" w:type="dxa"/>
            <w:shd w:val="clear" w:color="auto" w:fill="auto"/>
          </w:tcPr>
          <w:p w14:paraId="08397260" w14:textId="77777777" w:rsidR="00434007" w:rsidRPr="00C578EF" w:rsidRDefault="00434007" w:rsidP="00434007">
            <w:pPr>
              <w:pStyle w:val="TableText"/>
              <w:rPr>
                <w:lang w:val="en-US"/>
              </w:rPr>
            </w:pPr>
            <w:r w:rsidRPr="00F91B3C">
              <w:rPr>
                <w:lang w:val="en-US"/>
              </w:rPr>
              <w:t>No. of unique visitors to the Global Innovation Index websites</w:t>
            </w:r>
          </w:p>
        </w:tc>
        <w:tc>
          <w:tcPr>
            <w:tcW w:w="1530" w:type="dxa"/>
            <w:shd w:val="clear" w:color="auto" w:fill="auto"/>
          </w:tcPr>
          <w:p w14:paraId="1EE58765" w14:textId="77777777" w:rsidR="00434007" w:rsidRDefault="00434007" w:rsidP="00434007">
            <w:pPr>
              <w:pStyle w:val="TableText"/>
              <w:jc w:val="center"/>
              <w:rPr>
                <w:lang w:val="en-US"/>
              </w:rPr>
            </w:pPr>
            <w:r>
              <w:rPr>
                <w:lang w:val="en-US"/>
              </w:rPr>
              <w:t>IE</w:t>
            </w:r>
          </w:p>
        </w:tc>
      </w:tr>
      <w:tr w:rsidR="00434007" w:rsidRPr="00C578EF" w14:paraId="2ECE719B" w14:textId="77777777" w:rsidTr="00434007">
        <w:trPr>
          <w:cantSplit/>
          <w:trHeight w:val="254"/>
        </w:trPr>
        <w:tc>
          <w:tcPr>
            <w:tcW w:w="3420" w:type="dxa"/>
            <w:shd w:val="clear" w:color="auto" w:fill="auto"/>
          </w:tcPr>
          <w:p w14:paraId="0AC9A744" w14:textId="77777777" w:rsidR="00434007" w:rsidRPr="00C578EF" w:rsidRDefault="00434007" w:rsidP="00434007">
            <w:pPr>
              <w:pStyle w:val="TableTextBold"/>
              <w:rPr>
                <w:rStyle w:val="charColoured"/>
                <w:b w:val="0"/>
                <w:lang w:val="en-US"/>
              </w:rPr>
            </w:pPr>
          </w:p>
        </w:tc>
        <w:tc>
          <w:tcPr>
            <w:tcW w:w="4860" w:type="dxa"/>
            <w:shd w:val="clear" w:color="auto" w:fill="auto"/>
          </w:tcPr>
          <w:p w14:paraId="7522806A" w14:textId="77777777" w:rsidR="00434007" w:rsidRPr="00C578EF" w:rsidRDefault="00434007" w:rsidP="00434007">
            <w:pPr>
              <w:pStyle w:val="TableText"/>
              <w:rPr>
                <w:lang w:val="en-US"/>
              </w:rPr>
            </w:pPr>
            <w:r w:rsidRPr="00F91B3C">
              <w:rPr>
                <w:lang w:val="en-US"/>
              </w:rPr>
              <w:t>No. of countries using the GII for the development of their innovation strategies and ecosystem</w:t>
            </w:r>
          </w:p>
        </w:tc>
        <w:tc>
          <w:tcPr>
            <w:tcW w:w="1530" w:type="dxa"/>
            <w:shd w:val="clear" w:color="auto" w:fill="auto"/>
          </w:tcPr>
          <w:p w14:paraId="47A562DC" w14:textId="77777777" w:rsidR="00434007" w:rsidRPr="00C578EF" w:rsidRDefault="00434007" w:rsidP="00434007">
            <w:pPr>
              <w:pStyle w:val="TableText"/>
              <w:jc w:val="center"/>
              <w:rPr>
                <w:lang w:val="en-US"/>
              </w:rPr>
            </w:pPr>
            <w:r>
              <w:rPr>
                <w:lang w:val="en-US"/>
              </w:rPr>
              <w:t>IE</w:t>
            </w:r>
          </w:p>
        </w:tc>
      </w:tr>
      <w:tr w:rsidR="00C85555" w:rsidRPr="00C578EF" w14:paraId="603718BC" w14:textId="77777777" w:rsidTr="004D3174">
        <w:trPr>
          <w:cantSplit/>
          <w:trHeight w:val="213"/>
        </w:trPr>
        <w:tc>
          <w:tcPr>
            <w:tcW w:w="3420" w:type="dxa"/>
            <w:shd w:val="clear" w:color="auto" w:fill="auto"/>
          </w:tcPr>
          <w:p w14:paraId="2128CC33" w14:textId="77777777" w:rsidR="00C85555" w:rsidRPr="00C578EF" w:rsidRDefault="00C85555" w:rsidP="00434007">
            <w:pPr>
              <w:pStyle w:val="TableTextBold"/>
              <w:rPr>
                <w:rStyle w:val="charColoured"/>
                <w:b w:val="0"/>
                <w:lang w:val="en-US"/>
              </w:rPr>
            </w:pPr>
          </w:p>
        </w:tc>
        <w:tc>
          <w:tcPr>
            <w:tcW w:w="4860" w:type="dxa"/>
            <w:shd w:val="clear" w:color="auto" w:fill="auto"/>
          </w:tcPr>
          <w:p w14:paraId="352E9379" w14:textId="4255177B" w:rsidR="00C85555" w:rsidRPr="00F91B3C" w:rsidRDefault="00C85555" w:rsidP="00434007">
            <w:pPr>
              <w:pStyle w:val="TableText"/>
              <w:rPr>
                <w:lang w:val="en-US"/>
              </w:rPr>
            </w:pPr>
            <w:r w:rsidRPr="00E751F6">
              <w:rPr>
                <w:lang w:val="en-US"/>
              </w:rPr>
              <w:t>Outreach to relevant Member States concerning missing and outdated data sets</w:t>
            </w:r>
          </w:p>
        </w:tc>
        <w:tc>
          <w:tcPr>
            <w:tcW w:w="1530" w:type="dxa"/>
            <w:shd w:val="clear" w:color="auto" w:fill="auto"/>
          </w:tcPr>
          <w:p w14:paraId="56DC65B8" w14:textId="60153696" w:rsidR="00C85555" w:rsidRDefault="00C85555" w:rsidP="00434007">
            <w:pPr>
              <w:pStyle w:val="TableText"/>
              <w:jc w:val="center"/>
              <w:rPr>
                <w:lang w:val="en-US"/>
              </w:rPr>
            </w:pPr>
            <w:r>
              <w:rPr>
                <w:lang w:val="en-US"/>
              </w:rPr>
              <w:t>IE</w:t>
            </w:r>
          </w:p>
        </w:tc>
      </w:tr>
      <w:tr w:rsidR="00434007" w:rsidRPr="00C578EF" w14:paraId="0B175CAF" w14:textId="77777777" w:rsidTr="005D7F78">
        <w:trPr>
          <w:cantSplit/>
          <w:trHeight w:val="186"/>
        </w:trPr>
        <w:tc>
          <w:tcPr>
            <w:tcW w:w="3420" w:type="dxa"/>
            <w:tcBorders>
              <w:bottom w:val="single" w:sz="4" w:space="0" w:color="BFBFBF" w:themeColor="background1" w:themeShade="BF"/>
            </w:tcBorders>
            <w:shd w:val="clear" w:color="auto" w:fill="auto"/>
          </w:tcPr>
          <w:p w14:paraId="40E91F6D" w14:textId="77777777" w:rsidR="00434007" w:rsidRPr="00C578EF" w:rsidRDefault="00434007" w:rsidP="00434007">
            <w:pPr>
              <w:pStyle w:val="TableTextBold"/>
              <w:rPr>
                <w:rStyle w:val="charColoured"/>
                <w:b w:val="0"/>
                <w:lang w:val="en-US"/>
              </w:rPr>
            </w:pPr>
          </w:p>
        </w:tc>
        <w:tc>
          <w:tcPr>
            <w:tcW w:w="4860" w:type="dxa"/>
            <w:tcBorders>
              <w:bottom w:val="single" w:sz="4" w:space="0" w:color="BFBFBF" w:themeColor="background1" w:themeShade="BF"/>
            </w:tcBorders>
            <w:shd w:val="clear" w:color="auto" w:fill="auto"/>
          </w:tcPr>
          <w:p w14:paraId="4A676373" w14:textId="77777777" w:rsidR="00434007" w:rsidRPr="00C578EF" w:rsidRDefault="00434007" w:rsidP="00434007">
            <w:pPr>
              <w:pStyle w:val="TableText"/>
              <w:rPr>
                <w:lang w:val="en-US"/>
              </w:rPr>
            </w:pPr>
            <w:r w:rsidRPr="00F91B3C">
              <w:rPr>
                <w:lang w:val="en-US"/>
              </w:rPr>
              <w:t>Level of sustained engagement by Member State judiciaries</w:t>
            </w:r>
          </w:p>
        </w:tc>
        <w:tc>
          <w:tcPr>
            <w:tcW w:w="1530" w:type="dxa"/>
            <w:tcBorders>
              <w:bottom w:val="single" w:sz="4" w:space="0" w:color="BFBFBF" w:themeColor="background1" w:themeShade="BF"/>
            </w:tcBorders>
            <w:shd w:val="clear" w:color="auto" w:fill="auto"/>
          </w:tcPr>
          <w:p w14:paraId="7B5F1E39" w14:textId="77777777" w:rsidR="00434007" w:rsidRPr="00C578EF" w:rsidRDefault="00434007" w:rsidP="00434007">
            <w:pPr>
              <w:pStyle w:val="TableText"/>
              <w:jc w:val="center"/>
              <w:rPr>
                <w:lang w:val="en-US"/>
              </w:rPr>
            </w:pPr>
            <w:r>
              <w:rPr>
                <w:lang w:val="en-US"/>
              </w:rPr>
              <w:t>IE</w:t>
            </w:r>
          </w:p>
        </w:tc>
      </w:tr>
      <w:tr w:rsidR="00434007" w:rsidRPr="00C578EF" w14:paraId="0C2E667F" w14:textId="77777777" w:rsidTr="00434007">
        <w:trPr>
          <w:cantSplit/>
          <w:trHeight w:val="19"/>
        </w:trPr>
        <w:tc>
          <w:tcPr>
            <w:tcW w:w="3420" w:type="dxa"/>
            <w:tcBorders>
              <w:top w:val="single" w:sz="4" w:space="0" w:color="BFBFBF" w:themeColor="background1" w:themeShade="BF"/>
            </w:tcBorders>
            <w:shd w:val="clear" w:color="auto" w:fill="auto"/>
          </w:tcPr>
          <w:p w14:paraId="1A4B4F50" w14:textId="77777777" w:rsidR="00434007" w:rsidRPr="00F91B3C" w:rsidRDefault="00434007" w:rsidP="00434007">
            <w:pPr>
              <w:pStyle w:val="TableTextBold"/>
              <w:rPr>
                <w:rStyle w:val="charColoured"/>
                <w:lang w:val="en-US"/>
              </w:rPr>
            </w:pPr>
            <w:r>
              <w:rPr>
                <w:rStyle w:val="charColoured"/>
                <w:lang w:val="en-US"/>
              </w:rPr>
              <w:t xml:space="preserve">4.3 </w:t>
            </w:r>
            <w:r w:rsidRPr="00753791">
              <w:rPr>
                <w:rStyle w:val="charColoured"/>
                <w:color w:val="auto"/>
                <w:lang w:val="en-US"/>
              </w:rPr>
              <w:t>Increased IP knowledge and skills in all Member States</w:t>
            </w:r>
          </w:p>
        </w:tc>
        <w:tc>
          <w:tcPr>
            <w:tcW w:w="4860" w:type="dxa"/>
            <w:tcBorders>
              <w:top w:val="single" w:sz="4" w:space="0" w:color="BFBFBF" w:themeColor="background1" w:themeShade="BF"/>
            </w:tcBorders>
            <w:shd w:val="clear" w:color="auto" w:fill="auto"/>
          </w:tcPr>
          <w:p w14:paraId="562E6A35" w14:textId="77777777" w:rsidR="00434007" w:rsidRPr="00C578EF" w:rsidRDefault="00434007" w:rsidP="00434007">
            <w:pPr>
              <w:pStyle w:val="TableText"/>
              <w:rPr>
                <w:lang w:val="en-US"/>
              </w:rPr>
            </w:pPr>
            <w:r w:rsidRPr="00F91B3C">
              <w:rPr>
                <w:lang w:val="en-US"/>
              </w:rPr>
              <w:t>Level of satisfaction of participants in capacity building an</w:t>
            </w:r>
            <w:r>
              <w:rPr>
                <w:lang w:val="en-US"/>
              </w:rPr>
              <w:t>d training activities on patent law</w:t>
            </w:r>
            <w:r w:rsidRPr="00F91B3C">
              <w:rPr>
                <w:lang w:val="en-US"/>
              </w:rPr>
              <w:t xml:space="preserve"> and related matters</w:t>
            </w:r>
          </w:p>
        </w:tc>
        <w:tc>
          <w:tcPr>
            <w:tcW w:w="1530" w:type="dxa"/>
            <w:tcBorders>
              <w:top w:val="single" w:sz="4" w:space="0" w:color="BFBFBF" w:themeColor="background1" w:themeShade="BF"/>
            </w:tcBorders>
            <w:shd w:val="clear" w:color="auto" w:fill="auto"/>
          </w:tcPr>
          <w:p w14:paraId="4DAD4B4B" w14:textId="77777777" w:rsidR="00434007" w:rsidRPr="00C578EF" w:rsidRDefault="00434007" w:rsidP="00434007">
            <w:pPr>
              <w:pStyle w:val="TableText"/>
              <w:jc w:val="center"/>
              <w:rPr>
                <w:lang w:val="en-US"/>
              </w:rPr>
            </w:pPr>
            <w:r>
              <w:rPr>
                <w:lang w:val="en-US"/>
              </w:rPr>
              <w:t>PT</w:t>
            </w:r>
          </w:p>
        </w:tc>
      </w:tr>
      <w:tr w:rsidR="00434007" w:rsidRPr="00C578EF" w14:paraId="4023AE78" w14:textId="77777777" w:rsidTr="00434007">
        <w:trPr>
          <w:cantSplit/>
          <w:trHeight w:val="19"/>
        </w:trPr>
        <w:tc>
          <w:tcPr>
            <w:tcW w:w="3420" w:type="dxa"/>
            <w:shd w:val="clear" w:color="auto" w:fill="auto"/>
          </w:tcPr>
          <w:p w14:paraId="6B1EDF57" w14:textId="77777777" w:rsidR="00434007" w:rsidRPr="00C578EF" w:rsidRDefault="00434007" w:rsidP="00434007">
            <w:pPr>
              <w:pStyle w:val="TableTextBold"/>
              <w:rPr>
                <w:rStyle w:val="charColoured"/>
                <w:b w:val="0"/>
                <w:lang w:val="en-US"/>
              </w:rPr>
            </w:pPr>
          </w:p>
        </w:tc>
        <w:tc>
          <w:tcPr>
            <w:tcW w:w="4860" w:type="dxa"/>
            <w:shd w:val="clear" w:color="auto" w:fill="auto"/>
          </w:tcPr>
          <w:p w14:paraId="1A6AF835" w14:textId="77777777" w:rsidR="00434007" w:rsidRPr="00F91B3C" w:rsidRDefault="00434007" w:rsidP="00434007">
            <w:pPr>
              <w:pStyle w:val="TableText"/>
              <w:rPr>
                <w:lang w:val="en-US"/>
              </w:rPr>
            </w:pPr>
            <w:r w:rsidRPr="004F2F31">
              <w:rPr>
                <w:lang w:val="en-US"/>
              </w:rPr>
              <w:t xml:space="preserve">Level of satisfaction of participants in capacity building and training activities </w:t>
            </w:r>
            <w:r w:rsidRPr="00E474F2">
              <w:rPr>
                <w:lang w:val="en-US"/>
              </w:rPr>
              <w:t>on trademarks, industrial designs and geographical indications</w:t>
            </w:r>
          </w:p>
        </w:tc>
        <w:tc>
          <w:tcPr>
            <w:tcW w:w="1530" w:type="dxa"/>
            <w:shd w:val="clear" w:color="auto" w:fill="auto"/>
          </w:tcPr>
          <w:p w14:paraId="14C0B670" w14:textId="77777777" w:rsidR="00434007" w:rsidRDefault="00434007" w:rsidP="00434007">
            <w:pPr>
              <w:pStyle w:val="TableText"/>
              <w:jc w:val="center"/>
              <w:rPr>
                <w:lang w:val="en-US"/>
              </w:rPr>
            </w:pPr>
            <w:r>
              <w:rPr>
                <w:lang w:val="en-US"/>
              </w:rPr>
              <w:t>BD</w:t>
            </w:r>
          </w:p>
        </w:tc>
      </w:tr>
      <w:tr w:rsidR="00434007" w:rsidRPr="00C578EF" w14:paraId="1EF00DFD" w14:textId="77777777" w:rsidTr="00434007">
        <w:trPr>
          <w:cantSplit/>
          <w:trHeight w:val="19"/>
        </w:trPr>
        <w:tc>
          <w:tcPr>
            <w:tcW w:w="3420" w:type="dxa"/>
            <w:shd w:val="clear" w:color="auto" w:fill="auto"/>
          </w:tcPr>
          <w:p w14:paraId="33E90BE2" w14:textId="77777777" w:rsidR="00434007" w:rsidRPr="00C578EF" w:rsidRDefault="00434007" w:rsidP="00434007">
            <w:pPr>
              <w:pStyle w:val="TableTextBold"/>
              <w:rPr>
                <w:rStyle w:val="charColoured"/>
                <w:b w:val="0"/>
                <w:lang w:val="en-US"/>
              </w:rPr>
            </w:pPr>
          </w:p>
        </w:tc>
        <w:tc>
          <w:tcPr>
            <w:tcW w:w="4860" w:type="dxa"/>
            <w:shd w:val="clear" w:color="auto" w:fill="auto"/>
          </w:tcPr>
          <w:p w14:paraId="0E79B239" w14:textId="77777777" w:rsidR="00434007" w:rsidRPr="00C578EF" w:rsidRDefault="00434007" w:rsidP="00434007">
            <w:pPr>
              <w:pStyle w:val="TableText"/>
              <w:rPr>
                <w:lang w:val="en-US"/>
              </w:rPr>
            </w:pPr>
            <w:r w:rsidRPr="00F91B3C">
              <w:rPr>
                <w:lang w:val="en-US"/>
              </w:rPr>
              <w:t>% of participants who have successfully completed skills-based training programs</w:t>
            </w:r>
          </w:p>
        </w:tc>
        <w:tc>
          <w:tcPr>
            <w:tcW w:w="1530" w:type="dxa"/>
            <w:shd w:val="clear" w:color="auto" w:fill="auto"/>
          </w:tcPr>
          <w:p w14:paraId="6DB6F55E" w14:textId="77777777" w:rsidR="00434007" w:rsidRPr="00C578EF" w:rsidRDefault="00434007" w:rsidP="00434007">
            <w:pPr>
              <w:pStyle w:val="TableText"/>
              <w:jc w:val="center"/>
              <w:rPr>
                <w:lang w:val="en-US"/>
              </w:rPr>
            </w:pPr>
            <w:r>
              <w:rPr>
                <w:lang w:val="en-US"/>
              </w:rPr>
              <w:t>RND</w:t>
            </w:r>
          </w:p>
        </w:tc>
      </w:tr>
      <w:tr w:rsidR="00434007" w:rsidRPr="00C578EF" w14:paraId="4E11CC32" w14:textId="77777777" w:rsidTr="00434007">
        <w:trPr>
          <w:cantSplit/>
          <w:trHeight w:val="19"/>
        </w:trPr>
        <w:tc>
          <w:tcPr>
            <w:tcW w:w="3420" w:type="dxa"/>
            <w:shd w:val="clear" w:color="auto" w:fill="auto"/>
          </w:tcPr>
          <w:p w14:paraId="7A5559AE" w14:textId="77777777" w:rsidR="00434007" w:rsidRPr="00C578EF" w:rsidRDefault="00434007" w:rsidP="00434007">
            <w:pPr>
              <w:pStyle w:val="TableTextBold"/>
              <w:rPr>
                <w:rStyle w:val="charColoured"/>
                <w:b w:val="0"/>
                <w:lang w:val="en-US"/>
              </w:rPr>
            </w:pPr>
          </w:p>
        </w:tc>
        <w:tc>
          <w:tcPr>
            <w:tcW w:w="4860" w:type="dxa"/>
            <w:shd w:val="clear" w:color="auto" w:fill="auto"/>
            <w:vAlign w:val="center"/>
          </w:tcPr>
          <w:p w14:paraId="375E5FF2" w14:textId="77777777" w:rsidR="00434007" w:rsidRPr="00C578EF" w:rsidRDefault="00434007" w:rsidP="00434007">
            <w:pPr>
              <w:pStyle w:val="TableText"/>
              <w:rPr>
                <w:lang w:val="en-US"/>
              </w:rPr>
            </w:pPr>
            <w:r>
              <w:rPr>
                <w:rFonts w:cs="Arial"/>
                <w:color w:val="000000"/>
                <w:szCs w:val="16"/>
              </w:rPr>
              <w:t xml:space="preserve">Success rate of participants taking knowledge and skills-based exams of advanced DL courses </w:t>
            </w:r>
          </w:p>
        </w:tc>
        <w:tc>
          <w:tcPr>
            <w:tcW w:w="1530" w:type="dxa"/>
            <w:shd w:val="clear" w:color="auto" w:fill="auto"/>
          </w:tcPr>
          <w:p w14:paraId="3A93AAF2" w14:textId="77777777" w:rsidR="00434007" w:rsidRPr="00C578EF" w:rsidRDefault="00434007" w:rsidP="00434007">
            <w:pPr>
              <w:pStyle w:val="TableText"/>
              <w:jc w:val="center"/>
              <w:rPr>
                <w:lang w:val="en-US"/>
              </w:rPr>
            </w:pPr>
            <w:r>
              <w:rPr>
                <w:lang w:val="en-US"/>
              </w:rPr>
              <w:t>RND</w:t>
            </w:r>
          </w:p>
        </w:tc>
      </w:tr>
      <w:tr w:rsidR="00434007" w:rsidRPr="00C578EF" w14:paraId="3C970EF5" w14:textId="77777777" w:rsidTr="00434007">
        <w:trPr>
          <w:cantSplit/>
          <w:trHeight w:val="19"/>
        </w:trPr>
        <w:tc>
          <w:tcPr>
            <w:tcW w:w="3420" w:type="dxa"/>
            <w:shd w:val="clear" w:color="auto" w:fill="auto"/>
          </w:tcPr>
          <w:p w14:paraId="1BD3828B" w14:textId="77777777" w:rsidR="00434007" w:rsidRPr="00C578EF" w:rsidRDefault="00434007" w:rsidP="00434007">
            <w:pPr>
              <w:pStyle w:val="TableTextBold"/>
              <w:rPr>
                <w:rStyle w:val="charColoured"/>
                <w:b w:val="0"/>
                <w:lang w:val="en-US"/>
              </w:rPr>
            </w:pPr>
          </w:p>
        </w:tc>
        <w:tc>
          <w:tcPr>
            <w:tcW w:w="4860" w:type="dxa"/>
            <w:shd w:val="clear" w:color="auto" w:fill="auto"/>
          </w:tcPr>
          <w:p w14:paraId="1C43C2F3" w14:textId="77777777" w:rsidR="00434007" w:rsidRPr="00C578EF" w:rsidRDefault="00434007" w:rsidP="00434007">
            <w:pPr>
              <w:pStyle w:val="TableText"/>
              <w:rPr>
                <w:lang w:val="en-US"/>
              </w:rPr>
            </w:pPr>
            <w:r>
              <w:rPr>
                <w:rFonts w:cs="Arial"/>
                <w:color w:val="000000"/>
                <w:szCs w:val="16"/>
              </w:rPr>
              <w:t>No. of sustainable IP training institutions (IPTIs)</w:t>
            </w:r>
          </w:p>
        </w:tc>
        <w:tc>
          <w:tcPr>
            <w:tcW w:w="1530" w:type="dxa"/>
            <w:shd w:val="clear" w:color="auto" w:fill="auto"/>
          </w:tcPr>
          <w:p w14:paraId="6E9A9D72" w14:textId="77777777" w:rsidR="00434007" w:rsidRPr="00C578EF" w:rsidRDefault="00434007" w:rsidP="00434007">
            <w:pPr>
              <w:pStyle w:val="TableText"/>
              <w:jc w:val="center"/>
              <w:rPr>
                <w:lang w:val="en-US"/>
              </w:rPr>
            </w:pPr>
            <w:r>
              <w:rPr>
                <w:lang w:val="en-US"/>
              </w:rPr>
              <w:t>RND</w:t>
            </w:r>
          </w:p>
        </w:tc>
      </w:tr>
      <w:tr w:rsidR="00434007" w:rsidRPr="00C578EF" w14:paraId="750EABF9" w14:textId="77777777" w:rsidTr="00EC58F3">
        <w:trPr>
          <w:cantSplit/>
          <w:trHeight w:val="19"/>
        </w:trPr>
        <w:tc>
          <w:tcPr>
            <w:tcW w:w="3420" w:type="dxa"/>
            <w:shd w:val="clear" w:color="auto" w:fill="auto"/>
          </w:tcPr>
          <w:p w14:paraId="0A25A041" w14:textId="77777777" w:rsidR="00434007" w:rsidRPr="00C578EF" w:rsidRDefault="00434007" w:rsidP="00434007">
            <w:pPr>
              <w:pStyle w:val="TableTextBold"/>
              <w:rPr>
                <w:rStyle w:val="charColoured"/>
                <w:b w:val="0"/>
                <w:lang w:val="en-US"/>
              </w:rPr>
            </w:pPr>
          </w:p>
        </w:tc>
        <w:tc>
          <w:tcPr>
            <w:tcW w:w="4860" w:type="dxa"/>
            <w:shd w:val="clear" w:color="auto" w:fill="auto"/>
          </w:tcPr>
          <w:p w14:paraId="60818985" w14:textId="77777777" w:rsidR="00434007" w:rsidRPr="00C578EF" w:rsidRDefault="00434007" w:rsidP="00434007">
            <w:pPr>
              <w:pStyle w:val="TableText"/>
              <w:rPr>
                <w:lang w:val="en-US"/>
              </w:rPr>
            </w:pPr>
            <w:r>
              <w:rPr>
                <w:rFonts w:cs="Arial"/>
                <w:color w:val="000000"/>
                <w:szCs w:val="16"/>
              </w:rPr>
              <w:t xml:space="preserve">No. of people trained by the IPTIs </w:t>
            </w:r>
          </w:p>
        </w:tc>
        <w:tc>
          <w:tcPr>
            <w:tcW w:w="1530" w:type="dxa"/>
            <w:shd w:val="clear" w:color="auto" w:fill="auto"/>
          </w:tcPr>
          <w:p w14:paraId="64859E16" w14:textId="77777777" w:rsidR="00434007" w:rsidRPr="00C578EF" w:rsidRDefault="00434007" w:rsidP="00434007">
            <w:pPr>
              <w:pStyle w:val="TableText"/>
              <w:jc w:val="center"/>
              <w:rPr>
                <w:lang w:val="en-US"/>
              </w:rPr>
            </w:pPr>
            <w:r>
              <w:rPr>
                <w:lang w:val="en-US"/>
              </w:rPr>
              <w:t>RND</w:t>
            </w:r>
          </w:p>
        </w:tc>
      </w:tr>
      <w:tr w:rsidR="00434007" w:rsidRPr="00C578EF" w14:paraId="72667DC8" w14:textId="77777777" w:rsidTr="00EC58F3">
        <w:trPr>
          <w:cantSplit/>
          <w:trHeight w:val="393"/>
        </w:trPr>
        <w:tc>
          <w:tcPr>
            <w:tcW w:w="3420" w:type="dxa"/>
            <w:tcBorders>
              <w:bottom w:val="single" w:sz="4" w:space="0" w:color="C6CFD7" w:themeColor="accent3" w:themeTint="66"/>
            </w:tcBorders>
            <w:shd w:val="clear" w:color="auto" w:fill="auto"/>
          </w:tcPr>
          <w:p w14:paraId="4EE86492" w14:textId="77777777" w:rsidR="00434007" w:rsidRPr="00C578EF" w:rsidRDefault="00434007" w:rsidP="00434007">
            <w:pPr>
              <w:pStyle w:val="TableTextBold"/>
              <w:rPr>
                <w:rStyle w:val="charColoured"/>
                <w:b w:val="0"/>
                <w:lang w:val="en-US"/>
              </w:rPr>
            </w:pPr>
          </w:p>
        </w:tc>
        <w:tc>
          <w:tcPr>
            <w:tcW w:w="4860" w:type="dxa"/>
            <w:tcBorders>
              <w:bottom w:val="single" w:sz="4" w:space="0" w:color="C6CFD7" w:themeColor="accent3" w:themeTint="66"/>
            </w:tcBorders>
            <w:shd w:val="clear" w:color="auto" w:fill="auto"/>
          </w:tcPr>
          <w:p w14:paraId="44670B48" w14:textId="77777777" w:rsidR="00434007" w:rsidRPr="00C578EF" w:rsidRDefault="00434007" w:rsidP="00434007">
            <w:pPr>
              <w:pStyle w:val="TableText"/>
              <w:rPr>
                <w:lang w:val="en-US"/>
              </w:rPr>
            </w:pPr>
            <w:r w:rsidRPr="00F91B3C">
              <w:rPr>
                <w:lang w:val="en-US"/>
              </w:rPr>
              <w:t>Level of satisfaction of participants in WIPO training and skills development programs</w:t>
            </w:r>
          </w:p>
        </w:tc>
        <w:tc>
          <w:tcPr>
            <w:tcW w:w="1530" w:type="dxa"/>
            <w:tcBorders>
              <w:bottom w:val="single" w:sz="4" w:space="0" w:color="C6CFD7" w:themeColor="accent3" w:themeTint="66"/>
            </w:tcBorders>
            <w:shd w:val="clear" w:color="auto" w:fill="auto"/>
          </w:tcPr>
          <w:p w14:paraId="4028A59E" w14:textId="77777777" w:rsidR="00434007" w:rsidRPr="00C578EF" w:rsidRDefault="00434007" w:rsidP="00434007">
            <w:pPr>
              <w:pStyle w:val="TableText"/>
              <w:jc w:val="center"/>
              <w:rPr>
                <w:lang w:val="en-US"/>
              </w:rPr>
            </w:pPr>
            <w:r>
              <w:rPr>
                <w:lang w:val="en-US"/>
              </w:rPr>
              <w:t>CCI, GCP, RND</w:t>
            </w:r>
          </w:p>
        </w:tc>
      </w:tr>
      <w:tr w:rsidR="00434007" w:rsidRPr="00C578EF" w14:paraId="08FB44CF" w14:textId="77777777" w:rsidTr="00EC58F3">
        <w:trPr>
          <w:cantSplit/>
          <w:trHeight w:val="19"/>
        </w:trPr>
        <w:tc>
          <w:tcPr>
            <w:tcW w:w="3420" w:type="dxa"/>
            <w:vMerge w:val="restart"/>
            <w:tcBorders>
              <w:top w:val="single" w:sz="4" w:space="0" w:color="C6CFD7" w:themeColor="accent3" w:themeTint="66"/>
            </w:tcBorders>
            <w:shd w:val="clear" w:color="auto" w:fill="auto"/>
          </w:tcPr>
          <w:p w14:paraId="60F44443" w14:textId="77777777" w:rsidR="00434007" w:rsidRPr="00F91B3C" w:rsidRDefault="00434007" w:rsidP="00434007">
            <w:pPr>
              <w:pStyle w:val="TableTextBold"/>
              <w:rPr>
                <w:rStyle w:val="charColoured"/>
                <w:lang w:val="en-US"/>
              </w:rPr>
            </w:pPr>
            <w:r w:rsidRPr="001E6912">
              <w:rPr>
                <w:rStyle w:val="charColoured"/>
                <w:lang w:val="en-US"/>
              </w:rPr>
              <w:t>4.4</w:t>
            </w:r>
            <w:r>
              <w:rPr>
                <w:rStyle w:val="charColoured"/>
                <w:lang w:val="en-US"/>
              </w:rPr>
              <w:t xml:space="preserve">  </w:t>
            </w:r>
            <w:r w:rsidRPr="00F91B3C">
              <w:rPr>
                <w:lang w:val="en-US"/>
              </w:rPr>
              <w:t xml:space="preserve">More innovators, creators, SMEs, universities, research institutions and communities leverage IP successfully  </w:t>
            </w:r>
          </w:p>
        </w:tc>
        <w:tc>
          <w:tcPr>
            <w:tcW w:w="4860" w:type="dxa"/>
            <w:tcBorders>
              <w:top w:val="single" w:sz="4" w:space="0" w:color="C6CFD7" w:themeColor="accent3" w:themeTint="66"/>
            </w:tcBorders>
            <w:shd w:val="clear" w:color="auto" w:fill="auto"/>
          </w:tcPr>
          <w:p w14:paraId="15EB99AE" w14:textId="77777777" w:rsidR="00434007" w:rsidRPr="00C578EF" w:rsidRDefault="00434007" w:rsidP="00434007">
            <w:pPr>
              <w:pStyle w:val="TableText"/>
              <w:rPr>
                <w:lang w:val="en-US"/>
              </w:rPr>
            </w:pPr>
            <w:r w:rsidRPr="007B0C1C">
              <w:rPr>
                <w:lang w:val="en-US"/>
              </w:rPr>
              <w:t>No. of CMOs in developing countries and LDCs using WIPO Connect</w:t>
            </w:r>
          </w:p>
        </w:tc>
        <w:tc>
          <w:tcPr>
            <w:tcW w:w="1530" w:type="dxa"/>
            <w:tcBorders>
              <w:top w:val="single" w:sz="4" w:space="0" w:color="C6CFD7" w:themeColor="accent3" w:themeTint="66"/>
            </w:tcBorders>
            <w:shd w:val="clear" w:color="auto" w:fill="auto"/>
          </w:tcPr>
          <w:p w14:paraId="0A736BCD" w14:textId="77777777" w:rsidR="00434007" w:rsidRPr="00C578EF" w:rsidRDefault="00434007" w:rsidP="00434007">
            <w:pPr>
              <w:pStyle w:val="TableText"/>
              <w:jc w:val="center"/>
              <w:rPr>
                <w:lang w:val="en-US"/>
              </w:rPr>
            </w:pPr>
            <w:r>
              <w:rPr>
                <w:lang w:val="en-US"/>
              </w:rPr>
              <w:t>CCI</w:t>
            </w:r>
          </w:p>
        </w:tc>
      </w:tr>
      <w:tr w:rsidR="00434007" w:rsidRPr="00C578EF" w14:paraId="10FF47D5" w14:textId="77777777" w:rsidTr="005D48D7">
        <w:trPr>
          <w:cantSplit/>
          <w:trHeight w:val="19"/>
        </w:trPr>
        <w:tc>
          <w:tcPr>
            <w:tcW w:w="3420" w:type="dxa"/>
            <w:vMerge/>
            <w:shd w:val="clear" w:color="auto" w:fill="auto"/>
          </w:tcPr>
          <w:p w14:paraId="2A8B688E" w14:textId="77777777" w:rsidR="00434007" w:rsidRPr="00C578EF" w:rsidRDefault="00434007" w:rsidP="00434007">
            <w:pPr>
              <w:pStyle w:val="TableTextBold"/>
              <w:rPr>
                <w:rStyle w:val="charColoured"/>
                <w:b w:val="0"/>
                <w:lang w:val="en-US"/>
              </w:rPr>
            </w:pPr>
          </w:p>
        </w:tc>
        <w:tc>
          <w:tcPr>
            <w:tcW w:w="4860" w:type="dxa"/>
            <w:shd w:val="clear" w:color="auto" w:fill="auto"/>
          </w:tcPr>
          <w:p w14:paraId="4136E1A2" w14:textId="77777777" w:rsidR="00434007" w:rsidRPr="00C578EF" w:rsidRDefault="00434007" w:rsidP="00434007">
            <w:pPr>
              <w:pStyle w:val="TableText"/>
              <w:rPr>
                <w:lang w:val="en-US"/>
              </w:rPr>
            </w:pPr>
            <w:r>
              <w:rPr>
                <w:lang w:val="en-US"/>
              </w:rPr>
              <w:t xml:space="preserve">ABC: </w:t>
            </w:r>
            <w:r w:rsidRPr="007B0C1C">
              <w:rPr>
                <w:lang w:val="en-US"/>
              </w:rPr>
              <w:t>No. of accessible titles delivered to persons with print disabilities</w:t>
            </w:r>
          </w:p>
        </w:tc>
        <w:tc>
          <w:tcPr>
            <w:tcW w:w="1530" w:type="dxa"/>
            <w:shd w:val="clear" w:color="auto" w:fill="auto"/>
          </w:tcPr>
          <w:p w14:paraId="717AD9B7" w14:textId="77777777" w:rsidR="00434007" w:rsidRPr="00C578EF" w:rsidRDefault="00434007" w:rsidP="00434007">
            <w:pPr>
              <w:pStyle w:val="TableText"/>
              <w:jc w:val="center"/>
              <w:rPr>
                <w:lang w:val="en-US"/>
              </w:rPr>
            </w:pPr>
            <w:r>
              <w:rPr>
                <w:lang w:val="en-US"/>
              </w:rPr>
              <w:t>CCI</w:t>
            </w:r>
          </w:p>
        </w:tc>
      </w:tr>
      <w:tr w:rsidR="00434007" w:rsidRPr="00C578EF" w14:paraId="4C57A407" w14:textId="77777777" w:rsidTr="005D48D7">
        <w:trPr>
          <w:cantSplit/>
          <w:trHeight w:val="19"/>
        </w:trPr>
        <w:tc>
          <w:tcPr>
            <w:tcW w:w="3420" w:type="dxa"/>
            <w:vMerge/>
            <w:shd w:val="clear" w:color="auto" w:fill="auto"/>
          </w:tcPr>
          <w:p w14:paraId="2C735DB8" w14:textId="77777777" w:rsidR="00434007" w:rsidRPr="00C578EF" w:rsidRDefault="00434007" w:rsidP="00434007">
            <w:pPr>
              <w:pStyle w:val="TableTextBold"/>
              <w:rPr>
                <w:rStyle w:val="charColoured"/>
                <w:b w:val="0"/>
                <w:lang w:val="en-US"/>
              </w:rPr>
            </w:pPr>
          </w:p>
        </w:tc>
        <w:tc>
          <w:tcPr>
            <w:tcW w:w="4860" w:type="dxa"/>
            <w:shd w:val="clear" w:color="auto" w:fill="auto"/>
          </w:tcPr>
          <w:p w14:paraId="60DF1D2E" w14:textId="77777777" w:rsidR="00434007" w:rsidRPr="00B5242F" w:rsidRDefault="00434007" w:rsidP="00434007">
            <w:pPr>
              <w:pStyle w:val="TableText"/>
              <w:rPr>
                <w:lang w:val="en-US"/>
              </w:rPr>
            </w:pPr>
            <w:r w:rsidRPr="00BF4124">
              <w:rPr>
                <w:lang w:val="en-US"/>
              </w:rPr>
              <w:t>No. of creators using WIPO for Creators Platform</w:t>
            </w:r>
          </w:p>
        </w:tc>
        <w:tc>
          <w:tcPr>
            <w:tcW w:w="1530" w:type="dxa"/>
            <w:shd w:val="clear" w:color="auto" w:fill="auto"/>
          </w:tcPr>
          <w:p w14:paraId="6A6F5689" w14:textId="77777777" w:rsidR="00434007" w:rsidRPr="00B5242F" w:rsidRDefault="00434007" w:rsidP="00434007">
            <w:pPr>
              <w:pStyle w:val="TableText"/>
              <w:jc w:val="center"/>
              <w:rPr>
                <w:lang w:val="en-US"/>
              </w:rPr>
            </w:pPr>
            <w:r>
              <w:rPr>
                <w:lang w:val="en-US"/>
              </w:rPr>
              <w:t>CCI</w:t>
            </w:r>
          </w:p>
        </w:tc>
      </w:tr>
      <w:tr w:rsidR="00434007" w:rsidRPr="00C578EF" w14:paraId="1DA703D5" w14:textId="77777777" w:rsidTr="005D48D7">
        <w:trPr>
          <w:cantSplit/>
          <w:trHeight w:val="19"/>
        </w:trPr>
        <w:tc>
          <w:tcPr>
            <w:tcW w:w="3420" w:type="dxa"/>
            <w:vMerge/>
            <w:shd w:val="clear" w:color="auto" w:fill="auto"/>
          </w:tcPr>
          <w:p w14:paraId="593C8DB6" w14:textId="77777777" w:rsidR="00434007" w:rsidRPr="00C578EF" w:rsidRDefault="00434007" w:rsidP="00434007">
            <w:pPr>
              <w:pStyle w:val="TableTextBold"/>
              <w:rPr>
                <w:rStyle w:val="charColoured"/>
                <w:b w:val="0"/>
                <w:lang w:val="en-US"/>
              </w:rPr>
            </w:pPr>
          </w:p>
        </w:tc>
        <w:tc>
          <w:tcPr>
            <w:tcW w:w="4860" w:type="dxa"/>
            <w:shd w:val="clear" w:color="auto" w:fill="auto"/>
          </w:tcPr>
          <w:p w14:paraId="031571E9" w14:textId="77777777" w:rsidR="00434007" w:rsidRPr="00B5242F" w:rsidRDefault="00434007" w:rsidP="00434007">
            <w:pPr>
              <w:pStyle w:val="TableText"/>
              <w:rPr>
                <w:lang w:val="en-US"/>
              </w:rPr>
            </w:pPr>
            <w:r>
              <w:rPr>
                <w:lang w:val="en-US"/>
              </w:rPr>
              <w:t xml:space="preserve">LDCs: </w:t>
            </w:r>
            <w:r w:rsidRPr="007B0C1C">
              <w:rPr>
                <w:lang w:val="en-US"/>
              </w:rPr>
              <w:t>No. of identified and deployed Appropriate Technologies (ATs) addressing development need</w:t>
            </w:r>
          </w:p>
        </w:tc>
        <w:tc>
          <w:tcPr>
            <w:tcW w:w="1530" w:type="dxa"/>
            <w:shd w:val="clear" w:color="auto" w:fill="auto"/>
          </w:tcPr>
          <w:p w14:paraId="68BFB59C" w14:textId="77777777" w:rsidR="00434007" w:rsidRPr="00B5242F" w:rsidRDefault="00434007" w:rsidP="00434007">
            <w:pPr>
              <w:pStyle w:val="TableText"/>
              <w:jc w:val="center"/>
              <w:rPr>
                <w:lang w:val="en-US"/>
              </w:rPr>
            </w:pPr>
            <w:r>
              <w:rPr>
                <w:lang w:val="en-US"/>
              </w:rPr>
              <w:t>RND</w:t>
            </w:r>
          </w:p>
        </w:tc>
      </w:tr>
      <w:tr w:rsidR="00434007" w:rsidRPr="00C578EF" w14:paraId="52FAEA01" w14:textId="77777777" w:rsidTr="005D48D7">
        <w:trPr>
          <w:cantSplit/>
          <w:trHeight w:val="392"/>
        </w:trPr>
        <w:tc>
          <w:tcPr>
            <w:tcW w:w="3420" w:type="dxa"/>
            <w:vMerge/>
            <w:tcBorders>
              <w:bottom w:val="single" w:sz="4" w:space="0" w:color="C6CFD7" w:themeColor="accent3" w:themeTint="66"/>
            </w:tcBorders>
            <w:shd w:val="clear" w:color="auto" w:fill="auto"/>
          </w:tcPr>
          <w:p w14:paraId="2B4ACAE9" w14:textId="77777777" w:rsidR="00434007" w:rsidRPr="00C578EF" w:rsidRDefault="00434007" w:rsidP="00434007">
            <w:pPr>
              <w:pStyle w:val="TableTextBold"/>
              <w:rPr>
                <w:rStyle w:val="charColoured"/>
                <w:b w:val="0"/>
                <w:lang w:val="en-US"/>
              </w:rPr>
            </w:pPr>
          </w:p>
        </w:tc>
        <w:tc>
          <w:tcPr>
            <w:tcW w:w="4860" w:type="dxa"/>
            <w:tcBorders>
              <w:bottom w:val="single" w:sz="4" w:space="0" w:color="C6CFD7" w:themeColor="accent3" w:themeTint="66"/>
            </w:tcBorders>
            <w:shd w:val="clear" w:color="auto" w:fill="auto"/>
          </w:tcPr>
          <w:p w14:paraId="6F571FE3" w14:textId="77777777" w:rsidR="00434007" w:rsidRPr="00B5242F" w:rsidRDefault="00434007" w:rsidP="00434007">
            <w:pPr>
              <w:pStyle w:val="TableText"/>
              <w:rPr>
                <w:lang w:val="en-US"/>
              </w:rPr>
            </w:pPr>
            <w:r w:rsidRPr="001E6912">
              <w:rPr>
                <w:lang w:val="en-US"/>
              </w:rPr>
              <w:t>Level of satisfaction of participants in training and capacity building activities related to GRs, TK and TCEs</w:t>
            </w:r>
          </w:p>
        </w:tc>
        <w:tc>
          <w:tcPr>
            <w:tcW w:w="1530" w:type="dxa"/>
            <w:tcBorders>
              <w:bottom w:val="single" w:sz="4" w:space="0" w:color="C6CFD7" w:themeColor="accent3" w:themeTint="66"/>
            </w:tcBorders>
            <w:shd w:val="clear" w:color="auto" w:fill="auto"/>
          </w:tcPr>
          <w:p w14:paraId="7C6F4019" w14:textId="77777777" w:rsidR="00434007" w:rsidRPr="00B5242F" w:rsidRDefault="00434007" w:rsidP="00434007">
            <w:pPr>
              <w:pStyle w:val="TableText"/>
              <w:jc w:val="center"/>
              <w:rPr>
                <w:lang w:val="en-US"/>
              </w:rPr>
            </w:pPr>
            <w:r>
              <w:rPr>
                <w:lang w:val="en-US"/>
              </w:rPr>
              <w:t>GCP</w:t>
            </w:r>
          </w:p>
        </w:tc>
      </w:tr>
      <w:tr w:rsidR="00434007" w:rsidRPr="00C578EF" w14:paraId="6A783B71" w14:textId="77777777" w:rsidTr="005D48D7">
        <w:trPr>
          <w:cantSplit/>
          <w:trHeight w:val="150"/>
        </w:trPr>
        <w:tc>
          <w:tcPr>
            <w:tcW w:w="3420" w:type="dxa"/>
            <w:tcBorders>
              <w:top w:val="single" w:sz="4" w:space="0" w:color="C6CFD7" w:themeColor="accent3" w:themeTint="66"/>
            </w:tcBorders>
            <w:shd w:val="clear" w:color="auto" w:fill="auto"/>
          </w:tcPr>
          <w:p w14:paraId="7EF009FE" w14:textId="77777777" w:rsidR="00434007" w:rsidRPr="00C578EF" w:rsidRDefault="00434007" w:rsidP="00434007">
            <w:pPr>
              <w:pStyle w:val="TableTextBold"/>
              <w:rPr>
                <w:rStyle w:val="charColoured"/>
                <w:b w:val="0"/>
                <w:lang w:val="en-US"/>
              </w:rPr>
            </w:pPr>
          </w:p>
        </w:tc>
        <w:tc>
          <w:tcPr>
            <w:tcW w:w="4860" w:type="dxa"/>
            <w:tcBorders>
              <w:top w:val="single" w:sz="4" w:space="0" w:color="C6CFD7" w:themeColor="accent3" w:themeTint="66"/>
            </w:tcBorders>
            <w:shd w:val="clear" w:color="auto" w:fill="auto"/>
          </w:tcPr>
          <w:p w14:paraId="59BC491D" w14:textId="77777777" w:rsidR="00434007" w:rsidRPr="004B39B4" w:rsidRDefault="00434007" w:rsidP="00434007">
            <w:pPr>
              <w:pStyle w:val="TableText"/>
              <w:rPr>
                <w:lang w:val="en-US"/>
              </w:rPr>
            </w:pPr>
            <w:r w:rsidRPr="00B5242F">
              <w:rPr>
                <w:lang w:val="en-US"/>
              </w:rPr>
              <w:t>No. of sustainable national TISC networks</w:t>
            </w:r>
          </w:p>
        </w:tc>
        <w:tc>
          <w:tcPr>
            <w:tcW w:w="1530" w:type="dxa"/>
            <w:tcBorders>
              <w:top w:val="single" w:sz="4" w:space="0" w:color="C6CFD7" w:themeColor="accent3" w:themeTint="66"/>
            </w:tcBorders>
            <w:shd w:val="clear" w:color="auto" w:fill="auto"/>
          </w:tcPr>
          <w:p w14:paraId="274DB07C" w14:textId="77777777" w:rsidR="00434007" w:rsidRPr="00C578EF" w:rsidRDefault="00434007" w:rsidP="00434007">
            <w:pPr>
              <w:pStyle w:val="TableText"/>
              <w:jc w:val="center"/>
              <w:rPr>
                <w:lang w:val="en-US"/>
              </w:rPr>
            </w:pPr>
            <w:r w:rsidRPr="00B5242F">
              <w:rPr>
                <w:lang w:val="en-US"/>
              </w:rPr>
              <w:t>IE, RND</w:t>
            </w:r>
          </w:p>
        </w:tc>
      </w:tr>
      <w:tr w:rsidR="00486F0E" w:rsidRPr="00C578EF" w14:paraId="4E300A3A" w14:textId="77777777" w:rsidTr="00486F0E">
        <w:trPr>
          <w:cantSplit/>
          <w:trHeight w:val="69"/>
        </w:trPr>
        <w:tc>
          <w:tcPr>
            <w:tcW w:w="3420" w:type="dxa"/>
            <w:shd w:val="clear" w:color="auto" w:fill="auto"/>
          </w:tcPr>
          <w:p w14:paraId="516BE065" w14:textId="77777777" w:rsidR="00486F0E" w:rsidRPr="00C578EF" w:rsidRDefault="00486F0E" w:rsidP="00434007">
            <w:pPr>
              <w:pStyle w:val="TableTextBold"/>
              <w:rPr>
                <w:rStyle w:val="charColoured"/>
                <w:b w:val="0"/>
                <w:lang w:val="en-US"/>
              </w:rPr>
            </w:pPr>
          </w:p>
        </w:tc>
        <w:tc>
          <w:tcPr>
            <w:tcW w:w="4860" w:type="dxa"/>
            <w:shd w:val="clear" w:color="auto" w:fill="auto"/>
          </w:tcPr>
          <w:p w14:paraId="328C53EA" w14:textId="6158F9AF" w:rsidR="00486F0E" w:rsidRPr="00B5242F" w:rsidRDefault="00486F0E" w:rsidP="00434007">
            <w:pPr>
              <w:pStyle w:val="TableText"/>
              <w:rPr>
                <w:lang w:val="en-US"/>
              </w:rPr>
            </w:pPr>
            <w:r w:rsidRPr="00793B5D">
              <w:rPr>
                <w:lang w:val="en-US"/>
              </w:rPr>
              <w:t>No. of national TISC networks with the level of maturity upgraded</w:t>
            </w:r>
          </w:p>
        </w:tc>
        <w:tc>
          <w:tcPr>
            <w:tcW w:w="1530" w:type="dxa"/>
            <w:shd w:val="clear" w:color="auto" w:fill="auto"/>
          </w:tcPr>
          <w:p w14:paraId="4C7C0DF3" w14:textId="0135B7C9" w:rsidR="00486F0E" w:rsidRPr="00B5242F" w:rsidRDefault="00486F0E" w:rsidP="00434007">
            <w:pPr>
              <w:pStyle w:val="TableText"/>
              <w:jc w:val="center"/>
              <w:rPr>
                <w:lang w:val="en-US"/>
              </w:rPr>
            </w:pPr>
            <w:r>
              <w:rPr>
                <w:lang w:val="en-US"/>
              </w:rPr>
              <w:t>IE</w:t>
            </w:r>
          </w:p>
        </w:tc>
      </w:tr>
      <w:tr w:rsidR="00434007" w:rsidRPr="00C578EF" w14:paraId="51792D7D" w14:textId="77777777" w:rsidTr="005D48D7">
        <w:trPr>
          <w:cantSplit/>
          <w:trHeight w:val="393"/>
        </w:trPr>
        <w:tc>
          <w:tcPr>
            <w:tcW w:w="3420" w:type="dxa"/>
            <w:shd w:val="clear" w:color="auto" w:fill="auto"/>
          </w:tcPr>
          <w:p w14:paraId="218D594F" w14:textId="77777777" w:rsidR="00434007" w:rsidRPr="00C578EF" w:rsidRDefault="00434007" w:rsidP="00434007">
            <w:pPr>
              <w:pStyle w:val="TableTextBold"/>
              <w:rPr>
                <w:rStyle w:val="charColoured"/>
                <w:b w:val="0"/>
                <w:lang w:val="en-US"/>
              </w:rPr>
            </w:pPr>
          </w:p>
        </w:tc>
        <w:tc>
          <w:tcPr>
            <w:tcW w:w="4860" w:type="dxa"/>
            <w:shd w:val="clear" w:color="auto" w:fill="auto"/>
          </w:tcPr>
          <w:p w14:paraId="46A7FDD2" w14:textId="77777777" w:rsidR="00434007" w:rsidRPr="001E6912" w:rsidRDefault="00434007" w:rsidP="00434007">
            <w:pPr>
              <w:pStyle w:val="TableText"/>
              <w:rPr>
                <w:lang w:val="en-US"/>
              </w:rPr>
            </w:pPr>
            <w:r w:rsidRPr="00B5242F">
              <w:rPr>
                <w:lang w:val="en-US"/>
              </w:rPr>
              <w:t>Level of satisfaction of Technology Transfer entities and other bodies with the services provided by WIPO</w:t>
            </w:r>
          </w:p>
        </w:tc>
        <w:tc>
          <w:tcPr>
            <w:tcW w:w="1530" w:type="dxa"/>
            <w:shd w:val="clear" w:color="auto" w:fill="auto"/>
          </w:tcPr>
          <w:p w14:paraId="35C13E20" w14:textId="77777777" w:rsidR="00434007" w:rsidRDefault="00434007" w:rsidP="00434007">
            <w:pPr>
              <w:pStyle w:val="TableText"/>
              <w:jc w:val="center"/>
              <w:rPr>
                <w:lang w:val="en-US"/>
              </w:rPr>
            </w:pPr>
            <w:r w:rsidRPr="00B5242F">
              <w:rPr>
                <w:lang w:val="en-US"/>
              </w:rPr>
              <w:t>IE, RND</w:t>
            </w:r>
          </w:p>
        </w:tc>
      </w:tr>
      <w:tr w:rsidR="00434007" w:rsidRPr="00C578EF" w14:paraId="6A1462D0" w14:textId="77777777" w:rsidTr="005D48D7">
        <w:trPr>
          <w:cantSplit/>
          <w:trHeight w:val="222"/>
        </w:trPr>
        <w:tc>
          <w:tcPr>
            <w:tcW w:w="3420" w:type="dxa"/>
            <w:shd w:val="clear" w:color="auto" w:fill="auto"/>
          </w:tcPr>
          <w:p w14:paraId="30D2E269" w14:textId="77777777" w:rsidR="00434007" w:rsidRPr="00C578EF" w:rsidRDefault="00434007" w:rsidP="00434007">
            <w:pPr>
              <w:pStyle w:val="TableTextBold"/>
              <w:rPr>
                <w:rStyle w:val="charColoured"/>
                <w:b w:val="0"/>
                <w:lang w:val="en-US"/>
              </w:rPr>
            </w:pPr>
          </w:p>
        </w:tc>
        <w:tc>
          <w:tcPr>
            <w:tcW w:w="4860" w:type="dxa"/>
            <w:shd w:val="clear" w:color="auto" w:fill="auto"/>
          </w:tcPr>
          <w:p w14:paraId="2544B35B" w14:textId="77777777" w:rsidR="00434007" w:rsidRPr="001E6912" w:rsidRDefault="00434007" w:rsidP="00434007">
            <w:pPr>
              <w:pStyle w:val="TableText"/>
              <w:rPr>
                <w:lang w:val="en-US"/>
              </w:rPr>
            </w:pPr>
            <w:r w:rsidRPr="008D4E6F">
              <w:rPr>
                <w:lang w:val="en-US"/>
              </w:rPr>
              <w:t>No. of unique visitors to the web-based services targeting inventors and SMEs, including no. of visitors downloading</w:t>
            </w:r>
          </w:p>
        </w:tc>
        <w:tc>
          <w:tcPr>
            <w:tcW w:w="1530" w:type="dxa"/>
            <w:shd w:val="clear" w:color="auto" w:fill="auto"/>
          </w:tcPr>
          <w:p w14:paraId="57A18266" w14:textId="77777777" w:rsidR="00434007" w:rsidRDefault="00434007" w:rsidP="00434007">
            <w:pPr>
              <w:pStyle w:val="TableText"/>
              <w:jc w:val="center"/>
              <w:rPr>
                <w:lang w:val="en-US"/>
              </w:rPr>
            </w:pPr>
            <w:r w:rsidRPr="00B5242F">
              <w:rPr>
                <w:lang w:val="en-US"/>
              </w:rPr>
              <w:t>IE, RND</w:t>
            </w:r>
          </w:p>
        </w:tc>
      </w:tr>
      <w:tr w:rsidR="00434007" w:rsidRPr="00C578EF" w14:paraId="7F16BEE0" w14:textId="77777777" w:rsidTr="005D7F78">
        <w:trPr>
          <w:cantSplit/>
          <w:trHeight w:val="222"/>
        </w:trPr>
        <w:tc>
          <w:tcPr>
            <w:tcW w:w="3420" w:type="dxa"/>
            <w:shd w:val="clear" w:color="auto" w:fill="auto"/>
          </w:tcPr>
          <w:p w14:paraId="2B1FA4A6" w14:textId="77777777" w:rsidR="00434007" w:rsidRPr="00C578EF" w:rsidRDefault="00434007" w:rsidP="00434007">
            <w:pPr>
              <w:pStyle w:val="TableTextBold"/>
              <w:rPr>
                <w:rStyle w:val="charColoured"/>
                <w:b w:val="0"/>
                <w:lang w:val="en-US"/>
              </w:rPr>
            </w:pPr>
          </w:p>
        </w:tc>
        <w:tc>
          <w:tcPr>
            <w:tcW w:w="4860" w:type="dxa"/>
            <w:shd w:val="clear" w:color="auto" w:fill="auto"/>
          </w:tcPr>
          <w:p w14:paraId="77FC3B09" w14:textId="77777777" w:rsidR="00434007" w:rsidRPr="001E6912" w:rsidRDefault="00434007" w:rsidP="00434007">
            <w:pPr>
              <w:pStyle w:val="TableText"/>
              <w:rPr>
                <w:lang w:val="en-US"/>
              </w:rPr>
            </w:pPr>
            <w:r w:rsidRPr="008D4E6F">
              <w:rPr>
                <w:lang w:val="en-US"/>
              </w:rPr>
              <w:t>No. of SME support institutions who are using WIPO materials and tools</w:t>
            </w:r>
          </w:p>
        </w:tc>
        <w:tc>
          <w:tcPr>
            <w:tcW w:w="1530" w:type="dxa"/>
            <w:shd w:val="clear" w:color="auto" w:fill="auto"/>
          </w:tcPr>
          <w:p w14:paraId="2271B418" w14:textId="77777777" w:rsidR="00434007" w:rsidRDefault="00434007" w:rsidP="00434007">
            <w:pPr>
              <w:pStyle w:val="TableText"/>
              <w:jc w:val="center"/>
              <w:rPr>
                <w:lang w:val="en-US"/>
              </w:rPr>
            </w:pPr>
            <w:r w:rsidRPr="00B5242F">
              <w:rPr>
                <w:lang w:val="en-US"/>
              </w:rPr>
              <w:t>IE, RND</w:t>
            </w:r>
          </w:p>
        </w:tc>
      </w:tr>
      <w:tr w:rsidR="00434007" w:rsidRPr="00C578EF" w14:paraId="41AFFD9F" w14:textId="77777777" w:rsidTr="00982BE3">
        <w:trPr>
          <w:cantSplit/>
          <w:trHeight w:val="240"/>
        </w:trPr>
        <w:tc>
          <w:tcPr>
            <w:tcW w:w="3420" w:type="dxa"/>
            <w:tcBorders>
              <w:bottom w:val="single" w:sz="4" w:space="0" w:color="BFBFBF" w:themeColor="background1" w:themeShade="BF"/>
            </w:tcBorders>
            <w:shd w:val="clear" w:color="auto" w:fill="auto"/>
          </w:tcPr>
          <w:p w14:paraId="26A5A67D" w14:textId="77777777" w:rsidR="00434007" w:rsidRPr="00C578EF" w:rsidRDefault="00434007" w:rsidP="00434007">
            <w:pPr>
              <w:pStyle w:val="TableTextBold"/>
              <w:rPr>
                <w:rStyle w:val="charColoured"/>
                <w:b w:val="0"/>
                <w:lang w:val="en-US"/>
              </w:rPr>
            </w:pPr>
          </w:p>
        </w:tc>
        <w:tc>
          <w:tcPr>
            <w:tcW w:w="4860" w:type="dxa"/>
            <w:tcBorders>
              <w:bottom w:val="single" w:sz="4" w:space="0" w:color="BFBFBF" w:themeColor="background1" w:themeShade="BF"/>
            </w:tcBorders>
            <w:shd w:val="clear" w:color="auto" w:fill="auto"/>
          </w:tcPr>
          <w:p w14:paraId="3BF0E0DA" w14:textId="77777777" w:rsidR="00434007" w:rsidRPr="001E6912" w:rsidRDefault="00434007" w:rsidP="00434007">
            <w:pPr>
              <w:pStyle w:val="TableText"/>
              <w:rPr>
                <w:lang w:val="en-US"/>
              </w:rPr>
            </w:pPr>
            <w:r w:rsidRPr="00C806D7">
              <w:rPr>
                <w:lang w:val="en-US"/>
              </w:rPr>
              <w:t>No. of SMEs assisted by support institutions that use WIPO materials or tools</w:t>
            </w:r>
          </w:p>
        </w:tc>
        <w:tc>
          <w:tcPr>
            <w:tcW w:w="1530" w:type="dxa"/>
            <w:tcBorders>
              <w:bottom w:val="single" w:sz="4" w:space="0" w:color="BFBFBF" w:themeColor="background1" w:themeShade="BF"/>
            </w:tcBorders>
            <w:shd w:val="clear" w:color="auto" w:fill="auto"/>
          </w:tcPr>
          <w:p w14:paraId="22EEE410" w14:textId="69997C60" w:rsidR="00434007" w:rsidRDefault="00434007" w:rsidP="00434007">
            <w:pPr>
              <w:pStyle w:val="TableText"/>
              <w:jc w:val="center"/>
              <w:rPr>
                <w:lang w:val="en-US"/>
              </w:rPr>
            </w:pPr>
            <w:r>
              <w:rPr>
                <w:lang w:val="en-US"/>
              </w:rPr>
              <w:t>IE</w:t>
            </w:r>
            <w:r w:rsidR="00ED0883">
              <w:rPr>
                <w:lang w:val="en-US"/>
              </w:rPr>
              <w:t>, RND</w:t>
            </w:r>
          </w:p>
        </w:tc>
      </w:tr>
      <w:tr w:rsidR="00434007" w:rsidRPr="00C578EF" w14:paraId="6CA5348D" w14:textId="77777777" w:rsidTr="00434007">
        <w:trPr>
          <w:cantSplit/>
          <w:trHeight w:val="19"/>
        </w:trPr>
        <w:tc>
          <w:tcPr>
            <w:tcW w:w="3420" w:type="dxa"/>
            <w:tcBorders>
              <w:top w:val="single" w:sz="4" w:space="0" w:color="BFBFBF" w:themeColor="background1" w:themeShade="BF"/>
            </w:tcBorders>
            <w:shd w:val="clear" w:color="auto" w:fill="auto"/>
          </w:tcPr>
          <w:p w14:paraId="17A1A55D" w14:textId="77777777" w:rsidR="00434007" w:rsidRPr="00C578EF" w:rsidRDefault="00434007" w:rsidP="00434007">
            <w:pPr>
              <w:pStyle w:val="TableTextBold"/>
              <w:rPr>
                <w:rStyle w:val="charColoured"/>
                <w:b w:val="0"/>
                <w:lang w:val="en-US"/>
              </w:rPr>
            </w:pPr>
            <w:r w:rsidRPr="001E6912">
              <w:rPr>
                <w:rStyle w:val="charColoured"/>
                <w:lang w:val="en-US"/>
              </w:rPr>
              <w:t>4.</w:t>
            </w:r>
            <w:r>
              <w:rPr>
                <w:rStyle w:val="charColoured"/>
                <w:lang w:val="en-US"/>
              </w:rPr>
              <w:t xml:space="preserve">5  </w:t>
            </w:r>
            <w:r w:rsidRPr="004B39B4">
              <w:rPr>
                <w:lang w:val="en-US"/>
              </w:rPr>
              <w:t xml:space="preserve">Enhanced IP infrastructure for IP Offices  </w:t>
            </w:r>
          </w:p>
        </w:tc>
        <w:tc>
          <w:tcPr>
            <w:tcW w:w="4860" w:type="dxa"/>
            <w:tcBorders>
              <w:top w:val="single" w:sz="4" w:space="0" w:color="BFBFBF" w:themeColor="background1" w:themeShade="BF"/>
            </w:tcBorders>
            <w:shd w:val="clear" w:color="auto" w:fill="auto"/>
          </w:tcPr>
          <w:p w14:paraId="2F51AA24" w14:textId="77777777" w:rsidR="00434007" w:rsidRPr="00C578EF" w:rsidRDefault="00434007" w:rsidP="00434007">
            <w:pPr>
              <w:pStyle w:val="TableText"/>
              <w:rPr>
                <w:lang w:val="en-US"/>
              </w:rPr>
            </w:pPr>
            <w:r w:rsidRPr="004B39B4">
              <w:rPr>
                <w:lang w:val="en-US"/>
              </w:rPr>
              <w:t>No. of documents exchanged through WIPO CASE and DAS</w:t>
            </w:r>
          </w:p>
        </w:tc>
        <w:tc>
          <w:tcPr>
            <w:tcW w:w="1530" w:type="dxa"/>
            <w:tcBorders>
              <w:top w:val="single" w:sz="4" w:space="0" w:color="BFBFBF" w:themeColor="background1" w:themeShade="BF"/>
            </w:tcBorders>
            <w:shd w:val="clear" w:color="auto" w:fill="auto"/>
          </w:tcPr>
          <w:p w14:paraId="6AF8FA3F" w14:textId="77777777" w:rsidR="00434007" w:rsidRPr="00C578EF" w:rsidRDefault="00434007" w:rsidP="00434007">
            <w:pPr>
              <w:pStyle w:val="TableText"/>
              <w:jc w:val="center"/>
              <w:rPr>
                <w:lang w:val="en-US"/>
              </w:rPr>
            </w:pPr>
            <w:r>
              <w:rPr>
                <w:lang w:val="en-US"/>
              </w:rPr>
              <w:t>IP</w:t>
            </w:r>
          </w:p>
        </w:tc>
      </w:tr>
      <w:tr w:rsidR="00434007" w:rsidRPr="00C578EF" w14:paraId="534DD9FC" w14:textId="77777777" w:rsidTr="006F1F81">
        <w:trPr>
          <w:cantSplit/>
          <w:trHeight w:val="402"/>
        </w:trPr>
        <w:tc>
          <w:tcPr>
            <w:tcW w:w="3420" w:type="dxa"/>
            <w:tcBorders>
              <w:bottom w:val="single" w:sz="4" w:space="0" w:color="BFBFBF" w:themeColor="background1" w:themeShade="BF"/>
            </w:tcBorders>
            <w:shd w:val="clear" w:color="auto" w:fill="auto"/>
          </w:tcPr>
          <w:p w14:paraId="18DDF432" w14:textId="77777777" w:rsidR="00434007" w:rsidRPr="001E6912" w:rsidRDefault="00434007" w:rsidP="00434007">
            <w:pPr>
              <w:pStyle w:val="TableTextBold"/>
              <w:rPr>
                <w:rStyle w:val="charColoured"/>
                <w:lang w:val="en-US"/>
              </w:rPr>
            </w:pPr>
          </w:p>
        </w:tc>
        <w:tc>
          <w:tcPr>
            <w:tcW w:w="4860" w:type="dxa"/>
            <w:tcBorders>
              <w:bottom w:val="single" w:sz="4" w:space="0" w:color="BFBFBF" w:themeColor="background1" w:themeShade="BF"/>
            </w:tcBorders>
            <w:shd w:val="clear" w:color="auto" w:fill="auto"/>
          </w:tcPr>
          <w:p w14:paraId="15EDD618" w14:textId="556C18D3" w:rsidR="00434007" w:rsidRPr="004B39B4" w:rsidRDefault="00434007" w:rsidP="00607486">
            <w:pPr>
              <w:pStyle w:val="TableText"/>
              <w:rPr>
                <w:lang w:val="en-US"/>
              </w:rPr>
            </w:pPr>
            <w:r w:rsidRPr="004B39B4">
              <w:rPr>
                <w:lang w:val="en-US"/>
              </w:rPr>
              <w:t>Average Service Level of IP Offices assisted through the IPAS suite of applications</w:t>
            </w:r>
          </w:p>
        </w:tc>
        <w:tc>
          <w:tcPr>
            <w:tcW w:w="1530" w:type="dxa"/>
            <w:tcBorders>
              <w:bottom w:val="single" w:sz="4" w:space="0" w:color="BFBFBF" w:themeColor="background1" w:themeShade="BF"/>
            </w:tcBorders>
            <w:shd w:val="clear" w:color="auto" w:fill="auto"/>
          </w:tcPr>
          <w:p w14:paraId="603B0579" w14:textId="77777777" w:rsidR="00434007" w:rsidRDefault="00434007" w:rsidP="00434007">
            <w:pPr>
              <w:pStyle w:val="TableText"/>
              <w:jc w:val="center"/>
              <w:rPr>
                <w:lang w:val="en-US"/>
              </w:rPr>
            </w:pPr>
            <w:r>
              <w:rPr>
                <w:lang w:val="en-US"/>
              </w:rPr>
              <w:t>IP, RND</w:t>
            </w:r>
          </w:p>
        </w:tc>
      </w:tr>
    </w:tbl>
    <w:p w14:paraId="5F4CBF58" w14:textId="17899873" w:rsidR="00434007" w:rsidRDefault="00434007" w:rsidP="00434007">
      <w:pPr>
        <w:pStyle w:val="NormalNoSpace"/>
      </w:pPr>
    </w:p>
    <w:p w14:paraId="1E558610" w14:textId="77777777" w:rsidR="00434007" w:rsidRPr="00CE45CA" w:rsidRDefault="00434007" w:rsidP="00434007">
      <w:pPr>
        <w:pStyle w:val="NormalNoSpace"/>
        <w:shd w:val="clear" w:color="auto" w:fill="E6F2FB" w:themeFill="accent2" w:themeFillTint="33"/>
        <w:rPr>
          <w:lang w:val="en-US"/>
        </w:rPr>
      </w:pPr>
      <w:r>
        <w:rPr>
          <w:rFonts w:eastAsia="Times New Roman" w:cs="Arial"/>
          <w:b/>
          <w:color w:val="005172" w:themeColor="text2"/>
          <w:szCs w:val="32"/>
          <w:lang w:val="en-US"/>
        </w:rPr>
        <w:t>Foundation</w:t>
      </w:r>
      <w:r w:rsidRPr="0080201A">
        <w:rPr>
          <w:rFonts w:eastAsia="Times New Roman" w:cs="Arial"/>
          <w:b/>
          <w:color w:val="005172" w:themeColor="text2"/>
          <w:szCs w:val="32"/>
          <w:lang w:val="en-US"/>
        </w:rPr>
        <w:t xml:space="preserve">:  </w:t>
      </w:r>
      <w:r w:rsidRPr="00FF46AF">
        <w:rPr>
          <w:rFonts w:eastAsia="Times New Roman" w:cs="Arial"/>
          <w:b/>
          <w:color w:val="005172" w:themeColor="text2"/>
          <w:szCs w:val="32"/>
          <w:lang w:val="en-US"/>
        </w:rPr>
        <w:t>Empower our people to work effectively, collaboratively and innovatively by providing them with the right resources, training and environment</w:t>
      </w: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7348"/>
        <w:gridCol w:w="1562"/>
        <w:gridCol w:w="810"/>
      </w:tblGrid>
      <w:tr w:rsidR="00434007" w:rsidRPr="00D350B5" w14:paraId="0C6ECC84" w14:textId="77777777" w:rsidTr="00434007">
        <w:trPr>
          <w:cantSplit/>
          <w:trHeight w:val="401"/>
          <w:tblHeader/>
        </w:trPr>
        <w:tc>
          <w:tcPr>
            <w:tcW w:w="7348" w:type="dxa"/>
            <w:tcBorders>
              <w:top w:val="single" w:sz="18" w:space="0" w:color="FFFFFF" w:themeColor="background1"/>
            </w:tcBorders>
            <w:shd w:val="clear" w:color="auto" w:fill="C6CFD7" w:themeFill="accent3" w:themeFillTint="66"/>
          </w:tcPr>
          <w:p w14:paraId="1C5E338F" w14:textId="77777777" w:rsidR="00434007" w:rsidRPr="00D350B5" w:rsidRDefault="00434007" w:rsidP="00434007">
            <w:pPr>
              <w:pStyle w:val="TableHeading"/>
              <w:keepLines/>
            </w:pPr>
            <w:r>
              <w:t>Priorities</w:t>
            </w:r>
          </w:p>
        </w:tc>
        <w:tc>
          <w:tcPr>
            <w:tcW w:w="1562" w:type="dxa"/>
            <w:tcBorders>
              <w:top w:val="single" w:sz="18" w:space="0" w:color="FFFFFF" w:themeColor="background1"/>
            </w:tcBorders>
            <w:shd w:val="clear" w:color="auto" w:fill="C6CFD7" w:themeFill="accent3" w:themeFillTint="66"/>
          </w:tcPr>
          <w:p w14:paraId="64ECA7F9" w14:textId="77777777" w:rsidR="00434007" w:rsidRDefault="00434007" w:rsidP="00434007">
            <w:pPr>
              <w:pStyle w:val="TableHeading"/>
              <w:spacing w:before="0" w:line="240" w:lineRule="auto"/>
              <w:jc w:val="center"/>
            </w:pPr>
            <w:r>
              <w:t>Budget</w:t>
            </w:r>
          </w:p>
          <w:p w14:paraId="65F4F00B" w14:textId="77777777" w:rsidR="00434007" w:rsidRDefault="00434007" w:rsidP="00434007">
            <w:pPr>
              <w:pStyle w:val="TableHeading"/>
              <w:ind w:left="0"/>
            </w:pPr>
            <w:r w:rsidRPr="00654708">
              <w:rPr>
                <w:b w:val="0"/>
                <w:i/>
                <w:sz w:val="14"/>
                <w:szCs w:val="14"/>
              </w:rPr>
              <w:t>(in thousands of Swiss francs)</w:t>
            </w:r>
          </w:p>
        </w:tc>
        <w:tc>
          <w:tcPr>
            <w:tcW w:w="810" w:type="dxa"/>
            <w:tcBorders>
              <w:top w:val="single" w:sz="18" w:space="0" w:color="FFFFFF" w:themeColor="background1"/>
            </w:tcBorders>
            <w:shd w:val="clear" w:color="auto" w:fill="C6CFD7" w:themeFill="accent3" w:themeFillTint="66"/>
          </w:tcPr>
          <w:p w14:paraId="00A9C81E" w14:textId="77777777" w:rsidR="00434007" w:rsidRDefault="00434007" w:rsidP="00434007">
            <w:pPr>
              <w:pStyle w:val="TableHeading"/>
              <w:ind w:left="0"/>
              <w:jc w:val="center"/>
            </w:pPr>
            <w:r>
              <w:t>Sector</w:t>
            </w:r>
          </w:p>
        </w:tc>
      </w:tr>
      <w:tr w:rsidR="00434007" w:rsidRPr="00D350B5" w14:paraId="293F7E55" w14:textId="77777777" w:rsidTr="006F1F81">
        <w:trPr>
          <w:cantSplit/>
          <w:trHeight w:val="1869"/>
        </w:trPr>
        <w:tc>
          <w:tcPr>
            <w:tcW w:w="7348" w:type="dxa"/>
            <w:tcBorders>
              <w:bottom w:val="single" w:sz="6" w:space="0" w:color="EDF0F3" w:themeColor="accent4" w:themeTint="33"/>
            </w:tcBorders>
            <w:shd w:val="clear" w:color="auto" w:fill="auto"/>
          </w:tcPr>
          <w:p w14:paraId="11A89E7A" w14:textId="77777777" w:rsidR="00434007" w:rsidRPr="00C16729" w:rsidRDefault="00434007" w:rsidP="008407D7">
            <w:pPr>
              <w:pStyle w:val="TableText"/>
              <w:numPr>
                <w:ilvl w:val="0"/>
                <w:numId w:val="22"/>
              </w:numPr>
              <w:spacing w:after="120"/>
              <w:ind w:left="648"/>
              <w:rPr>
                <w:lang w:val="en-US"/>
              </w:rPr>
            </w:pPr>
            <w:r w:rsidRPr="00C16729">
              <w:rPr>
                <w:lang w:val="en-US"/>
              </w:rPr>
              <w:t xml:space="preserve">Provide effective language services in support of multilingualism </w:t>
            </w:r>
          </w:p>
          <w:p w14:paraId="0CD467FB" w14:textId="77777777" w:rsidR="00434007" w:rsidRPr="00C16729" w:rsidRDefault="00434007" w:rsidP="008407D7">
            <w:pPr>
              <w:pStyle w:val="TableText"/>
              <w:numPr>
                <w:ilvl w:val="0"/>
                <w:numId w:val="22"/>
              </w:numPr>
              <w:spacing w:after="120"/>
              <w:ind w:left="648"/>
              <w:rPr>
                <w:lang w:val="en-US"/>
              </w:rPr>
            </w:pPr>
            <w:r w:rsidRPr="00C16729">
              <w:rPr>
                <w:lang w:val="en-US"/>
              </w:rPr>
              <w:t>Ensure that WIPO remains fit-for-purpose through the maintenance, renovation, transformation, and modernization of premises</w:t>
            </w:r>
          </w:p>
          <w:p w14:paraId="4BA5C61D" w14:textId="77777777" w:rsidR="00434007" w:rsidRPr="00C16729" w:rsidRDefault="00434007" w:rsidP="008407D7">
            <w:pPr>
              <w:pStyle w:val="TableText"/>
              <w:numPr>
                <w:ilvl w:val="0"/>
                <w:numId w:val="22"/>
              </w:numPr>
              <w:spacing w:after="120"/>
              <w:ind w:left="648"/>
              <w:rPr>
                <w:lang w:val="en-US"/>
              </w:rPr>
            </w:pPr>
            <w:r w:rsidRPr="00C16729">
              <w:rPr>
                <w:lang w:val="en-US"/>
              </w:rPr>
              <w:t>Optimize the provision of timely and effective physical security and information assurance services</w:t>
            </w:r>
          </w:p>
          <w:p w14:paraId="31AE1207" w14:textId="2E2418B8" w:rsidR="00434007" w:rsidRPr="00B6591B" w:rsidRDefault="00434007" w:rsidP="008407D7">
            <w:pPr>
              <w:pStyle w:val="TableText"/>
              <w:numPr>
                <w:ilvl w:val="0"/>
                <w:numId w:val="22"/>
              </w:numPr>
              <w:ind w:left="648"/>
            </w:pPr>
            <w:r>
              <w:rPr>
                <w:lang w:val="en-US"/>
              </w:rPr>
              <w:t xml:space="preserve">Accelerate </w:t>
            </w:r>
            <w:r w:rsidRPr="00470612">
              <w:rPr>
                <w:lang w:val="en-US"/>
              </w:rPr>
              <w:t xml:space="preserve">digital transformation, including through: </w:t>
            </w:r>
            <w:r>
              <w:rPr>
                <w:lang w:val="en-US"/>
              </w:rPr>
              <w:t xml:space="preserve">(i) </w:t>
            </w:r>
            <w:r w:rsidRPr="00470612">
              <w:rPr>
                <w:lang w:val="en-US"/>
              </w:rPr>
              <w:t>the phased consolidation of ICT services within one depar</w:t>
            </w:r>
            <w:r w:rsidR="00607486">
              <w:rPr>
                <w:lang w:val="en-US"/>
              </w:rPr>
              <w:t>t</w:t>
            </w:r>
            <w:r w:rsidRPr="00470612">
              <w:rPr>
                <w:lang w:val="en-US"/>
              </w:rPr>
              <w:t xml:space="preserve">ment, </w:t>
            </w:r>
            <w:r>
              <w:rPr>
                <w:lang w:val="en-US"/>
              </w:rPr>
              <w:t xml:space="preserve">(ii) </w:t>
            </w:r>
            <w:r w:rsidRPr="00470612">
              <w:rPr>
                <w:lang w:val="en-US"/>
              </w:rPr>
              <w:t xml:space="preserve">the next generation ERP, </w:t>
            </w:r>
            <w:r>
              <w:rPr>
                <w:lang w:val="en-US"/>
              </w:rPr>
              <w:t xml:space="preserve">(iii) </w:t>
            </w:r>
            <w:r w:rsidRPr="00470612">
              <w:rPr>
                <w:lang w:val="en-US"/>
              </w:rPr>
              <w:t xml:space="preserve">transition of ECM to a new platform, </w:t>
            </w:r>
            <w:r>
              <w:rPr>
                <w:lang w:val="en-US"/>
              </w:rPr>
              <w:t xml:space="preserve">(iv) </w:t>
            </w:r>
            <w:r w:rsidRPr="00470612">
              <w:rPr>
                <w:lang w:val="en-US"/>
              </w:rPr>
              <w:t xml:space="preserve">enhancing payment services to global fee-paying customers, and </w:t>
            </w:r>
            <w:r>
              <w:rPr>
                <w:lang w:val="en-US"/>
              </w:rPr>
              <w:t xml:space="preserve">(v) </w:t>
            </w:r>
            <w:r w:rsidRPr="00470612">
              <w:rPr>
                <w:lang w:val="en-US"/>
              </w:rPr>
              <w:t>further streamlining and automation of financial transactions and processes, including through Robotic Process Automation (RPAs)</w:t>
            </w:r>
          </w:p>
        </w:tc>
        <w:tc>
          <w:tcPr>
            <w:tcW w:w="1562" w:type="dxa"/>
            <w:tcBorders>
              <w:bottom w:val="single" w:sz="6" w:space="0" w:color="EDF0F3" w:themeColor="accent4" w:themeTint="33"/>
            </w:tcBorders>
          </w:tcPr>
          <w:p w14:paraId="7DF65D46" w14:textId="77777777" w:rsidR="00434007" w:rsidRDefault="00434007" w:rsidP="00434007">
            <w:pPr>
              <w:pStyle w:val="TableText"/>
              <w:spacing w:after="120"/>
              <w:ind w:left="648" w:right="432"/>
              <w:jc w:val="right"/>
              <w:rPr>
                <w:lang w:val="en-US"/>
              </w:rPr>
            </w:pPr>
            <w:r w:rsidRPr="00B82C36">
              <w:rPr>
                <w:lang w:val="en-US"/>
              </w:rPr>
              <w:t>20,894</w:t>
            </w:r>
          </w:p>
          <w:p w14:paraId="6F653240" w14:textId="77777777" w:rsidR="00434007" w:rsidRDefault="00434007" w:rsidP="00434007">
            <w:pPr>
              <w:pStyle w:val="TableText"/>
              <w:spacing w:after="120"/>
              <w:ind w:left="648" w:right="432"/>
              <w:jc w:val="right"/>
              <w:rPr>
                <w:lang w:val="en-US"/>
              </w:rPr>
            </w:pPr>
            <w:r>
              <w:rPr>
                <w:lang w:val="en-US"/>
              </w:rPr>
              <w:t>28,356</w:t>
            </w:r>
          </w:p>
          <w:p w14:paraId="1845A9C7" w14:textId="77777777" w:rsidR="00434007" w:rsidRPr="00B82C36" w:rsidRDefault="00434007" w:rsidP="00434007">
            <w:pPr>
              <w:pStyle w:val="TableText"/>
              <w:ind w:left="648" w:right="432"/>
              <w:jc w:val="right"/>
              <w:rPr>
                <w:sz w:val="18"/>
                <w:lang w:val="en-US"/>
              </w:rPr>
            </w:pPr>
          </w:p>
          <w:p w14:paraId="438EF9C1" w14:textId="77777777" w:rsidR="00434007" w:rsidRDefault="00434007" w:rsidP="00434007">
            <w:pPr>
              <w:pStyle w:val="TableText"/>
              <w:ind w:left="648" w:right="432"/>
              <w:jc w:val="right"/>
              <w:rPr>
                <w:lang w:val="en-US"/>
              </w:rPr>
            </w:pPr>
            <w:r>
              <w:rPr>
                <w:lang w:val="en-US"/>
              </w:rPr>
              <w:t>24,252</w:t>
            </w:r>
          </w:p>
          <w:p w14:paraId="5F103F5F" w14:textId="77777777" w:rsidR="00434007" w:rsidRDefault="00434007" w:rsidP="00434007">
            <w:pPr>
              <w:pStyle w:val="TableText"/>
              <w:spacing w:after="120"/>
              <w:ind w:left="648" w:right="432"/>
              <w:jc w:val="right"/>
              <w:rPr>
                <w:lang w:val="en-US"/>
              </w:rPr>
            </w:pPr>
          </w:p>
          <w:p w14:paraId="0D5C0CB0" w14:textId="77777777" w:rsidR="00434007" w:rsidRDefault="00434007" w:rsidP="00434007">
            <w:pPr>
              <w:pStyle w:val="TableText"/>
              <w:spacing w:after="120"/>
              <w:ind w:left="648" w:right="432"/>
              <w:jc w:val="right"/>
            </w:pPr>
            <w:r>
              <w:rPr>
                <w:lang w:val="en-US"/>
              </w:rPr>
              <w:t>97,201</w:t>
            </w:r>
          </w:p>
        </w:tc>
        <w:tc>
          <w:tcPr>
            <w:tcW w:w="810" w:type="dxa"/>
            <w:tcBorders>
              <w:bottom w:val="single" w:sz="6" w:space="0" w:color="EDF0F3" w:themeColor="accent4" w:themeTint="33"/>
            </w:tcBorders>
          </w:tcPr>
          <w:p w14:paraId="1F5F6201" w14:textId="77777777" w:rsidR="00434007" w:rsidRPr="0022203D" w:rsidRDefault="00434007" w:rsidP="00434007">
            <w:pPr>
              <w:pStyle w:val="TableText"/>
              <w:ind w:left="0"/>
              <w:jc w:val="center"/>
            </w:pPr>
            <w:r>
              <w:t>AFM</w:t>
            </w:r>
          </w:p>
        </w:tc>
      </w:tr>
      <w:tr w:rsidR="00434007" w:rsidRPr="00D350B5" w14:paraId="2AAC27DD" w14:textId="77777777" w:rsidTr="006F1F81">
        <w:trPr>
          <w:cantSplit/>
          <w:trHeight w:val="1341"/>
        </w:trPr>
        <w:tc>
          <w:tcPr>
            <w:tcW w:w="7348" w:type="dxa"/>
            <w:tcBorders>
              <w:top w:val="single" w:sz="6" w:space="0" w:color="EDF0F3" w:themeColor="accent4" w:themeTint="33"/>
              <w:bottom w:val="single" w:sz="6" w:space="0" w:color="EDF0F3" w:themeColor="accent4" w:themeTint="33"/>
            </w:tcBorders>
            <w:shd w:val="clear" w:color="auto" w:fill="auto"/>
          </w:tcPr>
          <w:p w14:paraId="03DE3EAD" w14:textId="77777777" w:rsidR="00434007" w:rsidRPr="00876B27" w:rsidRDefault="00434007" w:rsidP="008407D7">
            <w:pPr>
              <w:pStyle w:val="TableText"/>
              <w:numPr>
                <w:ilvl w:val="0"/>
                <w:numId w:val="26"/>
              </w:numPr>
              <w:ind w:left="630"/>
              <w:rPr>
                <w:rStyle w:val="null1"/>
              </w:rPr>
            </w:pPr>
            <w:r w:rsidRPr="00485ED6">
              <w:rPr>
                <w:rStyle w:val="null1"/>
              </w:rPr>
              <w:t xml:space="preserve">Implement human resources </w:t>
            </w:r>
            <w:r>
              <w:rPr>
                <w:rStyle w:val="null1"/>
              </w:rPr>
              <w:t>ini</w:t>
            </w:r>
            <w:r w:rsidRPr="00485ED6">
              <w:rPr>
                <w:rStyle w:val="null1"/>
              </w:rPr>
              <w:t>t</w:t>
            </w:r>
            <w:r>
              <w:rPr>
                <w:rStyle w:val="null1"/>
              </w:rPr>
              <w:t>iat</w:t>
            </w:r>
            <w:r w:rsidRPr="00485ED6">
              <w:rPr>
                <w:rStyle w:val="null1"/>
              </w:rPr>
              <w:t>ives</w:t>
            </w:r>
            <w:r>
              <w:rPr>
                <w:rStyle w:val="null1"/>
              </w:rPr>
              <w:t xml:space="preserve">, in line with </w:t>
            </w:r>
            <w:r w:rsidRPr="00485ED6">
              <w:rPr>
                <w:rStyle w:val="null1"/>
              </w:rPr>
              <w:t xml:space="preserve">the multi-year HR strategy, </w:t>
            </w:r>
            <w:r w:rsidRPr="00485ED6">
              <w:t>with a view to</w:t>
            </w:r>
            <w:r w:rsidRPr="00485ED6">
              <w:rPr>
                <w:rStyle w:val="null1"/>
              </w:rPr>
              <w:t>:</w:t>
            </w:r>
          </w:p>
          <w:p w14:paraId="00172461" w14:textId="77777777" w:rsidR="00434007" w:rsidRPr="00485ED6" w:rsidRDefault="00434007" w:rsidP="008407D7">
            <w:pPr>
              <w:pStyle w:val="TableText"/>
              <w:numPr>
                <w:ilvl w:val="1"/>
                <w:numId w:val="24"/>
              </w:numPr>
              <w:ind w:left="900" w:hanging="270"/>
            </w:pPr>
            <w:r w:rsidRPr="00485ED6">
              <w:t xml:space="preserve">Improve employee engagement </w:t>
            </w:r>
          </w:p>
          <w:p w14:paraId="12DB5331" w14:textId="77777777" w:rsidR="00434007" w:rsidRPr="00485ED6" w:rsidRDefault="00434007" w:rsidP="008407D7">
            <w:pPr>
              <w:pStyle w:val="TableText"/>
              <w:numPr>
                <w:ilvl w:val="1"/>
                <w:numId w:val="24"/>
              </w:numPr>
              <w:ind w:left="900" w:hanging="270"/>
            </w:pPr>
            <w:r w:rsidRPr="00485ED6">
              <w:t>Develop a new performance management framework</w:t>
            </w:r>
            <w:r>
              <w:t>,</w:t>
            </w:r>
            <w:r w:rsidRPr="00485ED6">
              <w:t xml:space="preserve"> </w:t>
            </w:r>
            <w:r>
              <w:t>which</w:t>
            </w:r>
            <w:r w:rsidRPr="00485ED6">
              <w:t xml:space="preserve"> foste</w:t>
            </w:r>
            <w:r>
              <w:t>rs commitment and accountability</w:t>
            </w:r>
          </w:p>
          <w:p w14:paraId="031329E4" w14:textId="77777777" w:rsidR="00434007" w:rsidRPr="00485ED6" w:rsidRDefault="00434007" w:rsidP="008407D7">
            <w:pPr>
              <w:pStyle w:val="TableText"/>
              <w:numPr>
                <w:ilvl w:val="1"/>
                <w:numId w:val="24"/>
              </w:numPr>
              <w:ind w:left="900" w:hanging="270"/>
            </w:pPr>
            <w:r w:rsidRPr="00485ED6">
              <w:t>Strengthen talent management through a training and development framework that links performance and career development (including mobility)</w:t>
            </w:r>
          </w:p>
          <w:p w14:paraId="58BB1AB2" w14:textId="77777777" w:rsidR="00F56702" w:rsidRPr="00F56702" w:rsidRDefault="00F56702" w:rsidP="008407D7">
            <w:pPr>
              <w:pStyle w:val="TableText"/>
              <w:numPr>
                <w:ilvl w:val="1"/>
                <w:numId w:val="24"/>
              </w:numPr>
              <w:ind w:left="900" w:hanging="270"/>
            </w:pPr>
            <w:r w:rsidRPr="00F56702">
              <w:rPr>
                <w:lang w:val="en-US"/>
              </w:rPr>
              <w:t xml:space="preserve">Promote balance and diversity in the WIPO workforce, in particular </w:t>
            </w:r>
            <w:r w:rsidRPr="00F56702">
              <w:t xml:space="preserve">with respect to equitable </w:t>
            </w:r>
            <w:r w:rsidRPr="00F56702">
              <w:rPr>
                <w:lang w:val="en-US"/>
              </w:rPr>
              <w:t>geographical representation and gender equality</w:t>
            </w:r>
          </w:p>
          <w:p w14:paraId="259A6BAD" w14:textId="77777777" w:rsidR="00434007" w:rsidRPr="00F56702" w:rsidRDefault="00434007" w:rsidP="008407D7">
            <w:pPr>
              <w:pStyle w:val="TableText"/>
              <w:numPr>
                <w:ilvl w:val="1"/>
                <w:numId w:val="24"/>
              </w:numPr>
              <w:ind w:left="900" w:hanging="270"/>
            </w:pPr>
            <w:r w:rsidRPr="00485ED6">
              <w:rPr>
                <w:lang w:val="en-US"/>
              </w:rPr>
              <w:t>Roll-out of the disability inclusion strategy</w:t>
            </w:r>
          </w:p>
          <w:p w14:paraId="153BFE4D" w14:textId="7C66B81E" w:rsidR="00F56702" w:rsidRPr="00485ED6" w:rsidRDefault="00F56702" w:rsidP="008407D7">
            <w:pPr>
              <w:pStyle w:val="TableText"/>
              <w:numPr>
                <w:ilvl w:val="1"/>
                <w:numId w:val="24"/>
              </w:numPr>
              <w:ind w:left="900" w:hanging="270"/>
              <w:rPr>
                <w:rStyle w:val="null1"/>
              </w:rPr>
            </w:pPr>
            <w:r w:rsidRPr="00352BE8">
              <w:t>Promote</w:t>
            </w:r>
            <w:r w:rsidRPr="00352BE8">
              <w:rPr>
                <w:rStyle w:val="null1"/>
              </w:rPr>
              <w:t xml:space="preserve"> a zero tolerance policy to prevent and address all types of misconducts, including sexual harassment</w:t>
            </w:r>
          </w:p>
        </w:tc>
        <w:tc>
          <w:tcPr>
            <w:tcW w:w="1562" w:type="dxa"/>
            <w:tcBorders>
              <w:top w:val="single" w:sz="6" w:space="0" w:color="EDF0F3" w:themeColor="accent4" w:themeTint="33"/>
              <w:bottom w:val="single" w:sz="6" w:space="0" w:color="EDF0F3" w:themeColor="accent4" w:themeTint="33"/>
            </w:tcBorders>
          </w:tcPr>
          <w:p w14:paraId="399791DB" w14:textId="77777777" w:rsidR="00434007" w:rsidRDefault="00434007" w:rsidP="00434007">
            <w:pPr>
              <w:pStyle w:val="TableText"/>
              <w:ind w:left="0" w:right="432"/>
              <w:jc w:val="right"/>
            </w:pPr>
            <w:r>
              <w:t>15,933</w:t>
            </w:r>
          </w:p>
        </w:tc>
        <w:tc>
          <w:tcPr>
            <w:tcW w:w="810" w:type="dxa"/>
            <w:tcBorders>
              <w:top w:val="single" w:sz="6" w:space="0" w:color="EDF0F3" w:themeColor="accent4" w:themeTint="33"/>
              <w:bottom w:val="single" w:sz="6" w:space="0" w:color="EDF0F3" w:themeColor="accent4" w:themeTint="33"/>
            </w:tcBorders>
          </w:tcPr>
          <w:p w14:paraId="06C34397" w14:textId="77777777" w:rsidR="00434007" w:rsidRDefault="00434007" w:rsidP="00434007">
            <w:pPr>
              <w:pStyle w:val="TableText"/>
              <w:ind w:left="0"/>
              <w:jc w:val="center"/>
            </w:pPr>
            <w:r>
              <w:t>AFM</w:t>
            </w:r>
          </w:p>
          <w:p w14:paraId="0C04AEA2" w14:textId="77777777" w:rsidR="00434007" w:rsidRPr="0022203D" w:rsidRDefault="00434007" w:rsidP="00434007">
            <w:pPr>
              <w:pStyle w:val="TableText"/>
              <w:ind w:left="0"/>
              <w:jc w:val="center"/>
            </w:pPr>
            <w:r>
              <w:t>(ODG)</w:t>
            </w:r>
          </w:p>
        </w:tc>
      </w:tr>
      <w:tr w:rsidR="00434007" w:rsidRPr="00D350B5" w14:paraId="0A39BA38" w14:textId="77777777" w:rsidTr="00844249">
        <w:trPr>
          <w:cantSplit/>
          <w:trHeight w:val="414"/>
        </w:trPr>
        <w:tc>
          <w:tcPr>
            <w:tcW w:w="7348" w:type="dxa"/>
            <w:tcBorders>
              <w:top w:val="single" w:sz="6" w:space="0" w:color="EDF0F3" w:themeColor="accent4" w:themeTint="33"/>
              <w:bottom w:val="single" w:sz="4" w:space="0" w:color="EDF0F3" w:themeColor="accent4" w:themeTint="33"/>
            </w:tcBorders>
            <w:shd w:val="clear" w:color="auto" w:fill="auto"/>
          </w:tcPr>
          <w:p w14:paraId="298206CE" w14:textId="77777777" w:rsidR="00434007" w:rsidRPr="006B61CE" w:rsidRDefault="00434007" w:rsidP="008407D7">
            <w:pPr>
              <w:pStyle w:val="TableText"/>
              <w:numPr>
                <w:ilvl w:val="0"/>
                <w:numId w:val="22"/>
              </w:numPr>
              <w:ind w:left="648"/>
              <w:rPr>
                <w:rStyle w:val="null1"/>
              </w:rPr>
            </w:pPr>
            <w:r w:rsidRPr="00092D36">
              <w:rPr>
                <w:rStyle w:val="null1"/>
              </w:rPr>
              <w:t>Internal oversight initiatives to strengthen accountability, compliance, value for money, stewardship, internal control and</w:t>
            </w:r>
            <w:r>
              <w:rPr>
                <w:rStyle w:val="null1"/>
              </w:rPr>
              <w:t xml:space="preserve"> corporate governance</w:t>
            </w:r>
          </w:p>
        </w:tc>
        <w:tc>
          <w:tcPr>
            <w:tcW w:w="1562" w:type="dxa"/>
            <w:tcBorders>
              <w:top w:val="single" w:sz="6" w:space="0" w:color="EDF0F3" w:themeColor="accent4" w:themeTint="33"/>
              <w:bottom w:val="single" w:sz="4" w:space="0" w:color="EDF0F3" w:themeColor="accent4" w:themeTint="33"/>
            </w:tcBorders>
          </w:tcPr>
          <w:p w14:paraId="7C4BC52E" w14:textId="77777777" w:rsidR="00434007" w:rsidRDefault="00434007" w:rsidP="00434007">
            <w:pPr>
              <w:pStyle w:val="TableText"/>
              <w:ind w:left="0" w:right="432"/>
              <w:jc w:val="right"/>
            </w:pPr>
            <w:r>
              <w:t>6,189</w:t>
            </w:r>
          </w:p>
        </w:tc>
        <w:tc>
          <w:tcPr>
            <w:tcW w:w="810" w:type="dxa"/>
            <w:tcBorders>
              <w:top w:val="single" w:sz="6" w:space="0" w:color="EDF0F3" w:themeColor="accent4" w:themeTint="33"/>
              <w:bottom w:val="single" w:sz="4" w:space="0" w:color="EDF0F3" w:themeColor="accent4" w:themeTint="33"/>
            </w:tcBorders>
          </w:tcPr>
          <w:p w14:paraId="01D86655" w14:textId="77777777" w:rsidR="00434007" w:rsidRDefault="00434007" w:rsidP="00434007">
            <w:pPr>
              <w:pStyle w:val="TableText"/>
              <w:ind w:left="0"/>
              <w:jc w:val="center"/>
            </w:pPr>
            <w:r>
              <w:t>AFM</w:t>
            </w:r>
          </w:p>
          <w:p w14:paraId="65DA7EA7" w14:textId="77777777" w:rsidR="00434007" w:rsidRPr="0022203D" w:rsidRDefault="00434007" w:rsidP="00434007">
            <w:pPr>
              <w:pStyle w:val="TableText"/>
              <w:ind w:left="0"/>
              <w:jc w:val="center"/>
            </w:pPr>
            <w:r>
              <w:t>(ODG)</w:t>
            </w:r>
          </w:p>
        </w:tc>
      </w:tr>
    </w:tbl>
    <w:p w14:paraId="63A9AFE3" w14:textId="77777777" w:rsidR="00434007" w:rsidRDefault="00434007" w:rsidP="00434007">
      <w:pPr>
        <w:pStyle w:val="NormalNoSpace"/>
        <w:rPr>
          <w:lang w:val="en-US"/>
        </w:rPr>
      </w:pPr>
    </w:p>
    <w:tbl>
      <w:tblPr>
        <w:tblStyle w:val="TableGrid"/>
        <w:tblW w:w="9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72" w:type="dxa"/>
        </w:tblCellMar>
        <w:tblLook w:val="04A0" w:firstRow="1" w:lastRow="0" w:firstColumn="1" w:lastColumn="0" w:noHBand="0" w:noVBand="1"/>
      </w:tblPr>
      <w:tblGrid>
        <w:gridCol w:w="3408"/>
        <w:gridCol w:w="4782"/>
        <w:gridCol w:w="1530"/>
      </w:tblGrid>
      <w:tr w:rsidR="00434007" w:rsidRPr="00D350B5" w14:paraId="3DC8639F" w14:textId="77777777" w:rsidTr="00434007">
        <w:trPr>
          <w:cantSplit/>
          <w:trHeight w:val="19"/>
          <w:tblHeader/>
        </w:trPr>
        <w:tc>
          <w:tcPr>
            <w:tcW w:w="3408" w:type="dxa"/>
            <w:shd w:val="clear" w:color="auto" w:fill="C6CFD7" w:themeFill="accent3" w:themeFillTint="66"/>
          </w:tcPr>
          <w:p w14:paraId="0A606DE7" w14:textId="77777777" w:rsidR="00434007" w:rsidRPr="004A4423" w:rsidRDefault="00434007" w:rsidP="00434007">
            <w:pPr>
              <w:pStyle w:val="TableTextBold"/>
              <w:rPr>
                <w:rStyle w:val="charColoured"/>
                <w:lang w:val="en-US"/>
              </w:rPr>
            </w:pPr>
            <w:r w:rsidRPr="004A4423">
              <w:rPr>
                <w:lang w:val="en-US"/>
              </w:rPr>
              <w:t>Expected Result</w:t>
            </w:r>
          </w:p>
        </w:tc>
        <w:tc>
          <w:tcPr>
            <w:tcW w:w="4782" w:type="dxa"/>
            <w:shd w:val="clear" w:color="auto" w:fill="C6CFD7" w:themeFill="accent3" w:themeFillTint="66"/>
          </w:tcPr>
          <w:p w14:paraId="3064FD47" w14:textId="77777777" w:rsidR="00434007" w:rsidRPr="004A4423" w:rsidRDefault="00434007" w:rsidP="00434007">
            <w:pPr>
              <w:pStyle w:val="TableText"/>
              <w:rPr>
                <w:b/>
                <w:lang w:val="en-US"/>
              </w:rPr>
            </w:pPr>
            <w:r w:rsidRPr="004A4423">
              <w:rPr>
                <w:b/>
                <w:lang w:val="en-US"/>
              </w:rPr>
              <w:t>Performance Indicators</w:t>
            </w:r>
          </w:p>
        </w:tc>
        <w:tc>
          <w:tcPr>
            <w:tcW w:w="1530" w:type="dxa"/>
            <w:shd w:val="clear" w:color="auto" w:fill="C6CFD7" w:themeFill="accent3" w:themeFillTint="66"/>
          </w:tcPr>
          <w:p w14:paraId="2D5555C6" w14:textId="77777777" w:rsidR="00434007" w:rsidRPr="004A4423" w:rsidRDefault="00434007" w:rsidP="00434007">
            <w:pPr>
              <w:pStyle w:val="TableText"/>
              <w:jc w:val="center"/>
              <w:rPr>
                <w:b/>
                <w:lang w:val="en-US"/>
              </w:rPr>
            </w:pPr>
            <w:r>
              <w:rPr>
                <w:b/>
                <w:lang w:val="en-US"/>
              </w:rPr>
              <w:t>Sector</w:t>
            </w:r>
          </w:p>
        </w:tc>
      </w:tr>
      <w:tr w:rsidR="00434007" w:rsidRPr="00D350B5" w14:paraId="4F062308" w14:textId="77777777" w:rsidTr="00434007">
        <w:trPr>
          <w:cantSplit/>
          <w:trHeight w:val="19"/>
        </w:trPr>
        <w:tc>
          <w:tcPr>
            <w:tcW w:w="3408" w:type="dxa"/>
            <w:vMerge w:val="restart"/>
            <w:shd w:val="clear" w:color="auto" w:fill="auto"/>
          </w:tcPr>
          <w:p w14:paraId="4BA2AAAB" w14:textId="77777777" w:rsidR="00434007" w:rsidRDefault="00434007" w:rsidP="00434007">
            <w:pPr>
              <w:pStyle w:val="TableTextBold"/>
              <w:rPr>
                <w:rStyle w:val="charColoured"/>
                <w:lang w:val="en-US"/>
              </w:rPr>
            </w:pPr>
            <w:r>
              <w:rPr>
                <w:rStyle w:val="charColoured"/>
                <w:lang w:val="en-US"/>
              </w:rPr>
              <w:t>5</w:t>
            </w:r>
            <w:r w:rsidRPr="00D350B5">
              <w:rPr>
                <w:rStyle w:val="charColoured"/>
                <w:lang w:val="en-US"/>
              </w:rPr>
              <w:t>.1</w:t>
            </w:r>
            <w:r w:rsidRPr="00D350B5">
              <w:rPr>
                <w:color w:val="005694"/>
                <w:lang w:val="en-US"/>
              </w:rPr>
              <w:t xml:space="preserve"> </w:t>
            </w:r>
            <w:r>
              <w:rPr>
                <w:color w:val="005694"/>
                <w:lang w:val="en-US"/>
              </w:rPr>
              <w:t xml:space="preserve"> </w:t>
            </w:r>
            <w:r w:rsidRPr="004B39B4">
              <w:rPr>
                <w:lang w:val="en-US"/>
              </w:rPr>
              <w:t>A Secretariat that is empowered through a dynamic corporate culture and is provided with the right resources and training to work effectively, collaboratively and innovatively</w:t>
            </w:r>
          </w:p>
        </w:tc>
        <w:tc>
          <w:tcPr>
            <w:tcW w:w="4782" w:type="dxa"/>
            <w:tcBorders>
              <w:top w:val="nil"/>
              <w:left w:val="nil"/>
              <w:bottom w:val="nil"/>
              <w:right w:val="nil"/>
            </w:tcBorders>
            <w:shd w:val="clear" w:color="auto" w:fill="auto"/>
          </w:tcPr>
          <w:p w14:paraId="3A7A4F24" w14:textId="77777777" w:rsidR="00434007" w:rsidRPr="00FE1DE7" w:rsidRDefault="00434007" w:rsidP="00434007">
            <w:pPr>
              <w:pStyle w:val="TableText"/>
              <w:rPr>
                <w:rFonts w:cs="Arial"/>
                <w:color w:val="000000"/>
                <w:szCs w:val="16"/>
              </w:rPr>
            </w:pPr>
            <w:r>
              <w:rPr>
                <w:rFonts w:cs="Arial"/>
                <w:color w:val="000000"/>
                <w:szCs w:val="16"/>
              </w:rPr>
              <w:t>Level of satisfaction of Member States and other stakeholders with translation and interpretation services</w:t>
            </w:r>
          </w:p>
        </w:tc>
        <w:tc>
          <w:tcPr>
            <w:tcW w:w="1530" w:type="dxa"/>
            <w:shd w:val="clear" w:color="auto" w:fill="auto"/>
          </w:tcPr>
          <w:p w14:paraId="013AFCF0" w14:textId="77777777" w:rsidR="00434007" w:rsidRDefault="00434007" w:rsidP="00434007">
            <w:pPr>
              <w:pStyle w:val="TableText"/>
              <w:jc w:val="center"/>
              <w:rPr>
                <w:lang w:val="en-US"/>
              </w:rPr>
            </w:pPr>
            <w:r>
              <w:rPr>
                <w:lang w:val="en-US"/>
              </w:rPr>
              <w:t>AFM</w:t>
            </w:r>
          </w:p>
        </w:tc>
      </w:tr>
      <w:tr w:rsidR="00434007" w:rsidRPr="00D350B5" w14:paraId="5E1E3414" w14:textId="77777777" w:rsidTr="00434007">
        <w:trPr>
          <w:cantSplit/>
          <w:trHeight w:val="216"/>
        </w:trPr>
        <w:tc>
          <w:tcPr>
            <w:tcW w:w="3408" w:type="dxa"/>
            <w:vMerge/>
            <w:shd w:val="clear" w:color="auto" w:fill="auto"/>
          </w:tcPr>
          <w:p w14:paraId="397ACB51"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36D6A676" w14:textId="77777777" w:rsidR="00434007" w:rsidRPr="007F1A58" w:rsidRDefault="00434007" w:rsidP="00434007">
            <w:pPr>
              <w:pStyle w:val="TableText"/>
              <w:rPr>
                <w:lang w:val="en-US"/>
              </w:rPr>
            </w:pPr>
            <w:r>
              <w:rPr>
                <w:rFonts w:cs="Arial"/>
                <w:color w:val="000000"/>
                <w:szCs w:val="16"/>
              </w:rPr>
              <w:t>% of spend through UN cooperation</w:t>
            </w:r>
          </w:p>
        </w:tc>
        <w:tc>
          <w:tcPr>
            <w:tcW w:w="1530" w:type="dxa"/>
            <w:shd w:val="clear" w:color="auto" w:fill="auto"/>
          </w:tcPr>
          <w:p w14:paraId="63BCD402" w14:textId="77777777" w:rsidR="00434007" w:rsidRPr="00F17212" w:rsidRDefault="00434007" w:rsidP="00434007">
            <w:pPr>
              <w:pStyle w:val="TableText"/>
              <w:jc w:val="center"/>
              <w:rPr>
                <w:lang w:val="en-US"/>
              </w:rPr>
            </w:pPr>
            <w:r>
              <w:rPr>
                <w:lang w:val="en-US"/>
              </w:rPr>
              <w:t>AFM</w:t>
            </w:r>
          </w:p>
        </w:tc>
      </w:tr>
      <w:tr w:rsidR="00434007" w:rsidRPr="00D350B5" w14:paraId="16803DF1" w14:textId="77777777" w:rsidTr="00434007">
        <w:trPr>
          <w:cantSplit/>
          <w:trHeight w:val="216"/>
        </w:trPr>
        <w:tc>
          <w:tcPr>
            <w:tcW w:w="3408" w:type="dxa"/>
            <w:vMerge/>
            <w:shd w:val="clear" w:color="auto" w:fill="auto"/>
          </w:tcPr>
          <w:p w14:paraId="47C0DDEC"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4D0E8DD6" w14:textId="77777777" w:rsidR="00434007" w:rsidRPr="007F1A58" w:rsidRDefault="00434007" w:rsidP="00434007">
            <w:pPr>
              <w:pStyle w:val="TableText"/>
              <w:rPr>
                <w:lang w:val="en-US"/>
              </w:rPr>
            </w:pPr>
            <w:r>
              <w:rPr>
                <w:rFonts w:cs="Arial"/>
                <w:color w:val="000000"/>
                <w:szCs w:val="16"/>
              </w:rPr>
              <w:t>Cost of per-word/page of translation</w:t>
            </w:r>
          </w:p>
        </w:tc>
        <w:tc>
          <w:tcPr>
            <w:tcW w:w="1530" w:type="dxa"/>
            <w:shd w:val="clear" w:color="auto" w:fill="auto"/>
          </w:tcPr>
          <w:p w14:paraId="4264222F" w14:textId="77777777" w:rsidR="00434007" w:rsidRPr="00F17212" w:rsidRDefault="00434007" w:rsidP="00434007">
            <w:pPr>
              <w:pStyle w:val="TableText"/>
              <w:jc w:val="center"/>
              <w:rPr>
                <w:lang w:val="en-US"/>
              </w:rPr>
            </w:pPr>
            <w:r>
              <w:rPr>
                <w:lang w:val="en-US"/>
              </w:rPr>
              <w:t>AFM</w:t>
            </w:r>
          </w:p>
        </w:tc>
      </w:tr>
      <w:tr w:rsidR="00434007" w:rsidRPr="00D350B5" w14:paraId="046CE1F2" w14:textId="77777777" w:rsidTr="00434007">
        <w:trPr>
          <w:cantSplit/>
          <w:trHeight w:val="216"/>
        </w:trPr>
        <w:tc>
          <w:tcPr>
            <w:tcW w:w="3408" w:type="dxa"/>
            <w:vMerge/>
            <w:shd w:val="clear" w:color="auto" w:fill="auto"/>
          </w:tcPr>
          <w:p w14:paraId="50D50A5C"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17FB5406" w14:textId="77777777" w:rsidR="00434007" w:rsidRPr="007A26C7" w:rsidRDefault="00434007" w:rsidP="00434007">
            <w:pPr>
              <w:pStyle w:val="TableText"/>
              <w:rPr>
                <w:lang w:val="en-US"/>
              </w:rPr>
            </w:pPr>
            <w:r>
              <w:rPr>
                <w:rFonts w:cs="Arial"/>
                <w:color w:val="000000"/>
                <w:szCs w:val="16"/>
              </w:rPr>
              <w:t>Employee Engagement:</w:t>
            </w:r>
            <w:r w:rsidRPr="00617C3D">
              <w:rPr>
                <w:rFonts w:cs="Arial"/>
                <w:color w:val="000000"/>
                <w:szCs w:val="16"/>
              </w:rPr>
              <w:t xml:space="preserve"> % of satisfaction working at WIPO</w:t>
            </w:r>
          </w:p>
        </w:tc>
        <w:tc>
          <w:tcPr>
            <w:tcW w:w="1530" w:type="dxa"/>
            <w:shd w:val="clear" w:color="auto" w:fill="auto"/>
          </w:tcPr>
          <w:p w14:paraId="1FD33389" w14:textId="77777777" w:rsidR="00434007" w:rsidRDefault="00434007" w:rsidP="00434007">
            <w:pPr>
              <w:pStyle w:val="TableText"/>
              <w:jc w:val="center"/>
              <w:rPr>
                <w:lang w:val="en-US"/>
              </w:rPr>
            </w:pPr>
            <w:r>
              <w:rPr>
                <w:lang w:val="en-US"/>
              </w:rPr>
              <w:t>ODG</w:t>
            </w:r>
          </w:p>
        </w:tc>
      </w:tr>
      <w:tr w:rsidR="00434007" w:rsidRPr="00D350B5" w14:paraId="426A1A4B" w14:textId="77777777" w:rsidTr="00434007">
        <w:trPr>
          <w:cantSplit/>
          <w:trHeight w:val="216"/>
        </w:trPr>
        <w:tc>
          <w:tcPr>
            <w:tcW w:w="3408" w:type="dxa"/>
            <w:shd w:val="clear" w:color="auto" w:fill="auto"/>
          </w:tcPr>
          <w:p w14:paraId="6024A5DA"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78FB8B16" w14:textId="77777777" w:rsidR="00434007" w:rsidRPr="007A26C7" w:rsidRDefault="00434007" w:rsidP="00434007">
            <w:pPr>
              <w:pStyle w:val="TableText"/>
              <w:rPr>
                <w:lang w:val="en-US"/>
              </w:rPr>
            </w:pPr>
            <w:r>
              <w:rPr>
                <w:rFonts w:cs="Arial"/>
                <w:color w:val="000000"/>
                <w:szCs w:val="16"/>
              </w:rPr>
              <w:t xml:space="preserve">Gender:  % of women at P4 to D2 level </w:t>
            </w:r>
          </w:p>
        </w:tc>
        <w:tc>
          <w:tcPr>
            <w:tcW w:w="1530" w:type="dxa"/>
            <w:shd w:val="clear" w:color="auto" w:fill="auto"/>
          </w:tcPr>
          <w:p w14:paraId="6513C499" w14:textId="77777777" w:rsidR="00434007" w:rsidRDefault="00434007" w:rsidP="00434007">
            <w:pPr>
              <w:pStyle w:val="TableText"/>
              <w:jc w:val="center"/>
              <w:rPr>
                <w:lang w:val="en-US"/>
              </w:rPr>
            </w:pPr>
            <w:r>
              <w:rPr>
                <w:lang w:val="en-US"/>
              </w:rPr>
              <w:t>ODG</w:t>
            </w:r>
          </w:p>
        </w:tc>
      </w:tr>
      <w:tr w:rsidR="00434007" w:rsidRPr="00D350B5" w14:paraId="6B6081C4" w14:textId="77777777" w:rsidTr="004773EA">
        <w:trPr>
          <w:cantSplit/>
          <w:trHeight w:val="216"/>
        </w:trPr>
        <w:tc>
          <w:tcPr>
            <w:tcW w:w="3408" w:type="dxa"/>
            <w:shd w:val="clear" w:color="auto" w:fill="auto"/>
          </w:tcPr>
          <w:p w14:paraId="7B7F7A9F"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64901B9F" w14:textId="77777777" w:rsidR="00434007" w:rsidRDefault="00434007" w:rsidP="00434007">
            <w:pPr>
              <w:pStyle w:val="TableText"/>
              <w:rPr>
                <w:rFonts w:cs="Arial"/>
                <w:color w:val="000000"/>
                <w:szCs w:val="16"/>
              </w:rPr>
            </w:pPr>
            <w:r w:rsidRPr="00FB2BB5">
              <w:rPr>
                <w:lang w:val="en-US"/>
              </w:rPr>
              <w:t>Progress on the implementation of</w:t>
            </w:r>
            <w:r>
              <w:rPr>
                <w:lang w:val="en-US"/>
              </w:rPr>
              <w:t xml:space="preserve"> the WIPO</w:t>
            </w:r>
            <w:r w:rsidRPr="00FB2BB5">
              <w:rPr>
                <w:lang w:val="en-US"/>
              </w:rPr>
              <w:t xml:space="preserve"> </w:t>
            </w:r>
            <w:r w:rsidRPr="00822978">
              <w:rPr>
                <w:lang w:val="en-US"/>
              </w:rPr>
              <w:t>Disability Inclusion Strategy</w:t>
            </w:r>
          </w:p>
        </w:tc>
        <w:tc>
          <w:tcPr>
            <w:tcW w:w="1530" w:type="dxa"/>
            <w:shd w:val="clear" w:color="auto" w:fill="auto"/>
          </w:tcPr>
          <w:p w14:paraId="07809854" w14:textId="77777777" w:rsidR="00434007" w:rsidRDefault="00434007" w:rsidP="00434007">
            <w:pPr>
              <w:pStyle w:val="TableText"/>
              <w:jc w:val="center"/>
              <w:rPr>
                <w:lang w:val="en-US"/>
              </w:rPr>
            </w:pPr>
            <w:r>
              <w:rPr>
                <w:lang w:val="en-US"/>
              </w:rPr>
              <w:t>ODG</w:t>
            </w:r>
          </w:p>
        </w:tc>
      </w:tr>
      <w:tr w:rsidR="00434007" w:rsidRPr="00D350B5" w14:paraId="079264B9" w14:textId="77777777" w:rsidTr="004773EA">
        <w:trPr>
          <w:cantSplit/>
          <w:trHeight w:val="231"/>
        </w:trPr>
        <w:tc>
          <w:tcPr>
            <w:tcW w:w="3408" w:type="dxa"/>
            <w:shd w:val="clear" w:color="auto" w:fill="auto"/>
          </w:tcPr>
          <w:p w14:paraId="705F1F55" w14:textId="77777777" w:rsidR="00434007" w:rsidRDefault="00434007" w:rsidP="00434007">
            <w:pPr>
              <w:pStyle w:val="TableTextBold"/>
              <w:rPr>
                <w:rStyle w:val="charColoured"/>
                <w:lang w:val="en-US"/>
              </w:rPr>
            </w:pPr>
          </w:p>
        </w:tc>
        <w:tc>
          <w:tcPr>
            <w:tcW w:w="4782" w:type="dxa"/>
            <w:tcBorders>
              <w:top w:val="nil"/>
            </w:tcBorders>
            <w:shd w:val="clear" w:color="auto" w:fill="auto"/>
          </w:tcPr>
          <w:p w14:paraId="0C41E5B6" w14:textId="77777777" w:rsidR="00434007" w:rsidRPr="00576457" w:rsidRDefault="00434007" w:rsidP="00434007">
            <w:pPr>
              <w:pStyle w:val="TableText"/>
            </w:pPr>
            <w:r w:rsidRPr="005D3E1E">
              <w:rPr>
                <w:lang w:val="en-US"/>
              </w:rPr>
              <w:t>% of UN SWA</w:t>
            </w:r>
            <w:r>
              <w:rPr>
                <w:lang w:val="en-US"/>
              </w:rPr>
              <w:t>P requirements met or exceeded</w:t>
            </w:r>
          </w:p>
        </w:tc>
        <w:tc>
          <w:tcPr>
            <w:tcW w:w="1530" w:type="dxa"/>
            <w:shd w:val="clear" w:color="auto" w:fill="auto"/>
          </w:tcPr>
          <w:p w14:paraId="571624E6" w14:textId="77777777" w:rsidR="00434007" w:rsidRDefault="00434007" w:rsidP="00434007">
            <w:pPr>
              <w:pStyle w:val="TableText"/>
              <w:jc w:val="center"/>
              <w:rPr>
                <w:lang w:val="en-US"/>
              </w:rPr>
            </w:pPr>
            <w:r>
              <w:rPr>
                <w:lang w:val="en-US"/>
              </w:rPr>
              <w:t>ODG</w:t>
            </w:r>
          </w:p>
        </w:tc>
      </w:tr>
      <w:tr w:rsidR="001D5FD6" w:rsidRPr="00D350B5" w14:paraId="1F542DB6" w14:textId="77777777" w:rsidTr="00F56702">
        <w:trPr>
          <w:cantSplit/>
          <w:trHeight w:val="231"/>
        </w:trPr>
        <w:tc>
          <w:tcPr>
            <w:tcW w:w="3408" w:type="dxa"/>
            <w:shd w:val="clear" w:color="auto" w:fill="auto"/>
          </w:tcPr>
          <w:p w14:paraId="6DED7602" w14:textId="77777777" w:rsidR="001D5FD6" w:rsidRDefault="001D5FD6" w:rsidP="001D5FD6">
            <w:pPr>
              <w:pStyle w:val="TableTextBold"/>
              <w:rPr>
                <w:rStyle w:val="charColoured"/>
                <w:lang w:val="en-US"/>
              </w:rPr>
            </w:pPr>
          </w:p>
        </w:tc>
        <w:tc>
          <w:tcPr>
            <w:tcW w:w="4782" w:type="dxa"/>
            <w:shd w:val="clear" w:color="auto" w:fill="auto"/>
          </w:tcPr>
          <w:p w14:paraId="49D52EFA" w14:textId="5CEEA380" w:rsidR="001D5FD6" w:rsidRPr="005D3E1E" w:rsidRDefault="001D5FD6" w:rsidP="001D5FD6">
            <w:pPr>
              <w:pStyle w:val="TableText"/>
              <w:rPr>
                <w:lang w:val="en-US"/>
              </w:rPr>
            </w:pPr>
            <w:r w:rsidRPr="00576457">
              <w:rPr>
                <w:rFonts w:cs="Arial"/>
                <w:color w:val="000000"/>
                <w:szCs w:val="16"/>
              </w:rPr>
              <w:t>Geographical Diversity: % per region as per 1975 Accord</w:t>
            </w:r>
          </w:p>
        </w:tc>
        <w:tc>
          <w:tcPr>
            <w:tcW w:w="1530" w:type="dxa"/>
            <w:shd w:val="clear" w:color="auto" w:fill="auto"/>
          </w:tcPr>
          <w:p w14:paraId="1277F73A" w14:textId="4A034F4C" w:rsidR="001D5FD6" w:rsidRDefault="001D5FD6" w:rsidP="001D5FD6">
            <w:pPr>
              <w:pStyle w:val="TableText"/>
              <w:jc w:val="center"/>
              <w:rPr>
                <w:lang w:val="en-US"/>
              </w:rPr>
            </w:pPr>
            <w:r>
              <w:rPr>
                <w:lang w:val="en-US"/>
              </w:rPr>
              <w:t>ODG</w:t>
            </w:r>
          </w:p>
        </w:tc>
      </w:tr>
      <w:tr w:rsidR="00F56702" w:rsidRPr="00D350B5" w14:paraId="4CCB3C85" w14:textId="77777777" w:rsidTr="004773EA">
        <w:trPr>
          <w:cantSplit/>
          <w:trHeight w:val="231"/>
        </w:trPr>
        <w:tc>
          <w:tcPr>
            <w:tcW w:w="3408" w:type="dxa"/>
            <w:tcBorders>
              <w:bottom w:val="single" w:sz="4" w:space="0" w:color="BFBFBF" w:themeColor="background1" w:themeShade="BF"/>
            </w:tcBorders>
            <w:shd w:val="clear" w:color="auto" w:fill="auto"/>
          </w:tcPr>
          <w:p w14:paraId="3F63A7DD" w14:textId="77777777" w:rsidR="00F56702" w:rsidRDefault="00F56702" w:rsidP="001D5FD6">
            <w:pPr>
              <w:pStyle w:val="TableTextBold"/>
              <w:rPr>
                <w:rStyle w:val="charColoured"/>
                <w:lang w:val="en-US"/>
              </w:rPr>
            </w:pPr>
          </w:p>
        </w:tc>
        <w:tc>
          <w:tcPr>
            <w:tcW w:w="4782" w:type="dxa"/>
            <w:tcBorders>
              <w:bottom w:val="single" w:sz="4" w:space="0" w:color="BFBFBF" w:themeColor="background1" w:themeShade="BF"/>
            </w:tcBorders>
            <w:shd w:val="clear" w:color="auto" w:fill="auto"/>
          </w:tcPr>
          <w:p w14:paraId="6D2B9B54" w14:textId="33C7C661" w:rsidR="00F56702" w:rsidRPr="00576457" w:rsidRDefault="00F56702" w:rsidP="001D5FD6">
            <w:pPr>
              <w:pStyle w:val="TableText"/>
              <w:rPr>
                <w:rFonts w:cs="Arial"/>
                <w:color w:val="000000"/>
                <w:szCs w:val="16"/>
              </w:rPr>
            </w:pPr>
            <w:r w:rsidRPr="00352BE8">
              <w:rPr>
                <w:rFonts w:cs="Arial"/>
                <w:color w:val="000000"/>
                <w:szCs w:val="16"/>
              </w:rPr>
              <w:t xml:space="preserve">% of WIPO employees who have completed </w:t>
            </w:r>
            <w:r w:rsidR="007534E3">
              <w:rPr>
                <w:rFonts w:cs="Arial"/>
                <w:color w:val="000000"/>
                <w:szCs w:val="16"/>
              </w:rPr>
              <w:t>mandatory training on “Working Together H</w:t>
            </w:r>
            <w:r w:rsidRPr="00352BE8">
              <w:rPr>
                <w:rFonts w:cs="Arial"/>
                <w:color w:val="000000"/>
                <w:szCs w:val="16"/>
              </w:rPr>
              <w:t>armoniously</w:t>
            </w:r>
            <w:r w:rsidR="007534E3">
              <w:rPr>
                <w:rFonts w:cs="Arial"/>
                <w:color w:val="000000"/>
                <w:szCs w:val="16"/>
              </w:rPr>
              <w:t>”</w:t>
            </w:r>
          </w:p>
        </w:tc>
        <w:tc>
          <w:tcPr>
            <w:tcW w:w="1530" w:type="dxa"/>
            <w:tcBorders>
              <w:bottom w:val="single" w:sz="4" w:space="0" w:color="BFBFBF" w:themeColor="background1" w:themeShade="BF"/>
            </w:tcBorders>
            <w:shd w:val="clear" w:color="auto" w:fill="auto"/>
          </w:tcPr>
          <w:p w14:paraId="3CF2E1BF" w14:textId="75889B7C" w:rsidR="00F56702" w:rsidRDefault="00F56702" w:rsidP="001D5FD6">
            <w:pPr>
              <w:pStyle w:val="TableText"/>
              <w:jc w:val="center"/>
              <w:rPr>
                <w:lang w:val="en-US"/>
              </w:rPr>
            </w:pPr>
            <w:r>
              <w:rPr>
                <w:lang w:val="en-US"/>
              </w:rPr>
              <w:t>ODG</w:t>
            </w:r>
          </w:p>
        </w:tc>
      </w:tr>
      <w:tr w:rsidR="001D5FD6" w:rsidRPr="00D350B5" w14:paraId="511D26D5" w14:textId="77777777" w:rsidTr="00434007">
        <w:trPr>
          <w:cantSplit/>
          <w:trHeight w:val="216"/>
        </w:trPr>
        <w:tc>
          <w:tcPr>
            <w:tcW w:w="3408" w:type="dxa"/>
            <w:vMerge w:val="restart"/>
            <w:tcBorders>
              <w:top w:val="single" w:sz="4" w:space="0" w:color="BFBFBF" w:themeColor="background1" w:themeShade="BF"/>
            </w:tcBorders>
            <w:shd w:val="clear" w:color="auto" w:fill="auto"/>
          </w:tcPr>
          <w:p w14:paraId="162EC688" w14:textId="77777777" w:rsidR="001D5FD6" w:rsidRDefault="001D5FD6" w:rsidP="001D5FD6">
            <w:pPr>
              <w:pStyle w:val="TableTextBold"/>
              <w:rPr>
                <w:rStyle w:val="charColoured"/>
                <w:lang w:val="en-US"/>
              </w:rPr>
            </w:pPr>
            <w:r>
              <w:rPr>
                <w:rStyle w:val="charColoured"/>
                <w:lang w:val="en-US"/>
              </w:rPr>
              <w:t xml:space="preserve">5.2  </w:t>
            </w:r>
            <w:r w:rsidRPr="00241D1D">
              <w:rPr>
                <w:rStyle w:val="charColoured"/>
                <w:color w:val="auto"/>
                <w:lang w:val="en-US"/>
              </w:rPr>
              <w:t>Digitally enabled, secure and sustainable operating environment and services</w:t>
            </w:r>
          </w:p>
        </w:tc>
        <w:tc>
          <w:tcPr>
            <w:tcW w:w="4782" w:type="dxa"/>
            <w:tcBorders>
              <w:top w:val="single" w:sz="4" w:space="0" w:color="BFBFBF" w:themeColor="background1" w:themeShade="BF"/>
              <w:left w:val="nil"/>
              <w:right w:val="nil"/>
            </w:tcBorders>
            <w:shd w:val="clear" w:color="auto" w:fill="auto"/>
          </w:tcPr>
          <w:p w14:paraId="1B830129" w14:textId="28A91340" w:rsidR="001D5FD6" w:rsidRPr="00FE1DE7" w:rsidRDefault="001D5FD6" w:rsidP="001D5FD6">
            <w:pPr>
              <w:pStyle w:val="TableText"/>
              <w:rPr>
                <w:rFonts w:cs="Arial"/>
                <w:color w:val="000000"/>
                <w:szCs w:val="16"/>
              </w:rPr>
            </w:pPr>
            <w:r w:rsidRPr="00ED0883">
              <w:rPr>
                <w:rFonts w:cs="Arial"/>
                <w:color w:val="000000"/>
                <w:szCs w:val="16"/>
              </w:rPr>
              <w:t>Automation of the PCT Fee Transfer Service (PCT FTS)</w:t>
            </w:r>
          </w:p>
        </w:tc>
        <w:tc>
          <w:tcPr>
            <w:tcW w:w="1530" w:type="dxa"/>
            <w:tcBorders>
              <w:top w:val="single" w:sz="4" w:space="0" w:color="BFBFBF" w:themeColor="background1" w:themeShade="BF"/>
            </w:tcBorders>
            <w:shd w:val="clear" w:color="auto" w:fill="auto"/>
          </w:tcPr>
          <w:p w14:paraId="0BD04CC0" w14:textId="77777777" w:rsidR="001D5FD6" w:rsidRDefault="001D5FD6" w:rsidP="001D5FD6">
            <w:pPr>
              <w:pStyle w:val="TableText"/>
              <w:jc w:val="center"/>
              <w:rPr>
                <w:lang w:val="en-US"/>
              </w:rPr>
            </w:pPr>
            <w:r>
              <w:rPr>
                <w:lang w:val="en-US"/>
              </w:rPr>
              <w:t>AFM</w:t>
            </w:r>
          </w:p>
        </w:tc>
      </w:tr>
      <w:tr w:rsidR="001D5FD6" w:rsidRPr="00D350B5" w14:paraId="5682ACC3" w14:textId="77777777" w:rsidTr="00434007">
        <w:trPr>
          <w:cantSplit/>
          <w:trHeight w:val="216"/>
        </w:trPr>
        <w:tc>
          <w:tcPr>
            <w:tcW w:w="3408" w:type="dxa"/>
            <w:vMerge/>
            <w:tcBorders>
              <w:bottom w:val="single" w:sz="4" w:space="0" w:color="D9D9D9" w:themeColor="background1" w:themeShade="D9"/>
            </w:tcBorders>
            <w:shd w:val="clear" w:color="auto" w:fill="auto"/>
          </w:tcPr>
          <w:p w14:paraId="6667A559" w14:textId="77777777" w:rsidR="001D5FD6" w:rsidRDefault="001D5FD6" w:rsidP="001D5FD6">
            <w:pPr>
              <w:pStyle w:val="TableTextBold"/>
              <w:rPr>
                <w:rStyle w:val="charColoured"/>
                <w:lang w:val="en-US"/>
              </w:rPr>
            </w:pPr>
          </w:p>
        </w:tc>
        <w:tc>
          <w:tcPr>
            <w:tcW w:w="4782" w:type="dxa"/>
            <w:shd w:val="clear" w:color="auto" w:fill="auto"/>
          </w:tcPr>
          <w:p w14:paraId="313F3DB8" w14:textId="77777777" w:rsidR="001D5FD6" w:rsidRPr="00C578EF" w:rsidRDefault="001D5FD6" w:rsidP="001D5FD6">
            <w:pPr>
              <w:pStyle w:val="TableText"/>
              <w:rPr>
                <w:lang w:val="en-US"/>
              </w:rPr>
            </w:pPr>
            <w:r>
              <w:rPr>
                <w:rFonts w:cs="Arial"/>
                <w:color w:val="000000"/>
                <w:szCs w:val="16"/>
              </w:rPr>
              <w:t>WIPO premises and installations remain fit for purpose</w:t>
            </w:r>
          </w:p>
        </w:tc>
        <w:tc>
          <w:tcPr>
            <w:tcW w:w="1530" w:type="dxa"/>
            <w:tcBorders>
              <w:left w:val="nil"/>
            </w:tcBorders>
            <w:shd w:val="clear" w:color="auto" w:fill="auto"/>
          </w:tcPr>
          <w:p w14:paraId="622F9562" w14:textId="77777777" w:rsidR="001D5FD6" w:rsidRDefault="001D5FD6" w:rsidP="001D5FD6">
            <w:pPr>
              <w:pStyle w:val="TableText"/>
              <w:jc w:val="center"/>
              <w:rPr>
                <w:lang w:val="en-US"/>
              </w:rPr>
            </w:pPr>
            <w:r>
              <w:rPr>
                <w:lang w:val="en-US"/>
              </w:rPr>
              <w:t>AFM</w:t>
            </w:r>
          </w:p>
        </w:tc>
      </w:tr>
      <w:tr w:rsidR="001D5FD6" w:rsidRPr="00D350B5" w14:paraId="3FAF0077" w14:textId="77777777" w:rsidTr="00434007">
        <w:trPr>
          <w:cantSplit/>
          <w:trHeight w:val="19"/>
        </w:trPr>
        <w:tc>
          <w:tcPr>
            <w:tcW w:w="3408" w:type="dxa"/>
            <w:vMerge/>
            <w:tcBorders>
              <w:top w:val="single" w:sz="4" w:space="0" w:color="D9D9D9" w:themeColor="background1" w:themeShade="D9"/>
            </w:tcBorders>
            <w:shd w:val="clear" w:color="auto" w:fill="auto"/>
          </w:tcPr>
          <w:p w14:paraId="6E2A9EB6" w14:textId="77777777" w:rsidR="001D5FD6" w:rsidRDefault="001D5FD6" w:rsidP="001D5FD6">
            <w:pPr>
              <w:pStyle w:val="TableTextBold"/>
              <w:rPr>
                <w:rStyle w:val="charColoured"/>
                <w:lang w:val="en-US"/>
              </w:rPr>
            </w:pPr>
          </w:p>
        </w:tc>
        <w:tc>
          <w:tcPr>
            <w:tcW w:w="4782" w:type="dxa"/>
            <w:shd w:val="clear" w:color="auto" w:fill="auto"/>
          </w:tcPr>
          <w:p w14:paraId="74179F34" w14:textId="77777777" w:rsidR="001D5FD6" w:rsidRPr="00C578EF" w:rsidRDefault="001D5FD6" w:rsidP="001D5FD6">
            <w:pPr>
              <w:pStyle w:val="TableText"/>
              <w:rPr>
                <w:lang w:val="en-US"/>
              </w:rPr>
            </w:pPr>
            <w:r>
              <w:rPr>
                <w:rFonts w:cs="Arial"/>
                <w:color w:val="000000"/>
                <w:szCs w:val="16"/>
              </w:rPr>
              <w:t>Enhanced capability to detect and respond and recover from information security threats ensuring minimal business disruption</w:t>
            </w:r>
          </w:p>
        </w:tc>
        <w:tc>
          <w:tcPr>
            <w:tcW w:w="1530" w:type="dxa"/>
            <w:tcBorders>
              <w:left w:val="nil"/>
            </w:tcBorders>
            <w:shd w:val="clear" w:color="auto" w:fill="auto"/>
          </w:tcPr>
          <w:p w14:paraId="49438E18" w14:textId="77777777" w:rsidR="001D5FD6" w:rsidRDefault="001D5FD6" w:rsidP="001D5FD6">
            <w:pPr>
              <w:pStyle w:val="TableText"/>
              <w:jc w:val="center"/>
              <w:rPr>
                <w:lang w:val="en-US"/>
              </w:rPr>
            </w:pPr>
            <w:r>
              <w:rPr>
                <w:lang w:val="en-US"/>
              </w:rPr>
              <w:t>AFM</w:t>
            </w:r>
          </w:p>
        </w:tc>
      </w:tr>
      <w:tr w:rsidR="001D5FD6" w:rsidRPr="00D350B5" w14:paraId="0030F899" w14:textId="77777777" w:rsidTr="006023D7">
        <w:trPr>
          <w:cantSplit/>
          <w:trHeight w:val="216"/>
        </w:trPr>
        <w:tc>
          <w:tcPr>
            <w:tcW w:w="3408" w:type="dxa"/>
            <w:shd w:val="clear" w:color="auto" w:fill="auto"/>
          </w:tcPr>
          <w:p w14:paraId="37B1B597" w14:textId="77777777" w:rsidR="001D5FD6" w:rsidRDefault="001D5FD6" w:rsidP="001D5FD6">
            <w:pPr>
              <w:pStyle w:val="TableTextBold"/>
              <w:rPr>
                <w:rStyle w:val="charColoured"/>
                <w:lang w:val="en-US"/>
              </w:rPr>
            </w:pPr>
          </w:p>
        </w:tc>
        <w:tc>
          <w:tcPr>
            <w:tcW w:w="4782" w:type="dxa"/>
            <w:shd w:val="clear" w:color="auto" w:fill="auto"/>
          </w:tcPr>
          <w:p w14:paraId="37902BF6" w14:textId="77777777" w:rsidR="001D5FD6" w:rsidRPr="00C578EF" w:rsidRDefault="001D5FD6" w:rsidP="001D5FD6">
            <w:pPr>
              <w:pStyle w:val="TableText"/>
              <w:rPr>
                <w:lang w:val="en-US"/>
              </w:rPr>
            </w:pPr>
            <w:r>
              <w:rPr>
                <w:rFonts w:cs="Arial"/>
                <w:color w:val="000000"/>
                <w:szCs w:val="16"/>
              </w:rPr>
              <w:t>Improved service delivery to external stakeholders (Apdex score)</w:t>
            </w:r>
          </w:p>
        </w:tc>
        <w:tc>
          <w:tcPr>
            <w:tcW w:w="1530" w:type="dxa"/>
            <w:tcBorders>
              <w:left w:val="nil"/>
            </w:tcBorders>
            <w:shd w:val="clear" w:color="auto" w:fill="auto"/>
          </w:tcPr>
          <w:p w14:paraId="30F3487F" w14:textId="77777777" w:rsidR="001D5FD6" w:rsidRDefault="001D5FD6" w:rsidP="001D5FD6">
            <w:pPr>
              <w:pStyle w:val="TableText"/>
              <w:jc w:val="center"/>
              <w:rPr>
                <w:lang w:val="en-US"/>
              </w:rPr>
            </w:pPr>
            <w:r>
              <w:rPr>
                <w:lang w:val="en-US"/>
              </w:rPr>
              <w:t>AFM</w:t>
            </w:r>
          </w:p>
        </w:tc>
      </w:tr>
      <w:tr w:rsidR="001D5FD6" w:rsidRPr="00C578EF" w14:paraId="3008A33C" w14:textId="77777777" w:rsidTr="006023D7">
        <w:trPr>
          <w:cantSplit/>
          <w:trHeight w:val="216"/>
        </w:trPr>
        <w:tc>
          <w:tcPr>
            <w:tcW w:w="3408" w:type="dxa"/>
            <w:tcBorders>
              <w:bottom w:val="single" w:sz="4" w:space="0" w:color="BFBFBF" w:themeColor="background1" w:themeShade="BF"/>
            </w:tcBorders>
            <w:shd w:val="clear" w:color="auto" w:fill="auto"/>
          </w:tcPr>
          <w:p w14:paraId="71BDAB7E" w14:textId="77777777" w:rsidR="001D5FD6" w:rsidRPr="00C578EF" w:rsidRDefault="001D5FD6" w:rsidP="001D5FD6">
            <w:pPr>
              <w:pStyle w:val="TableTextBold"/>
              <w:rPr>
                <w:rStyle w:val="charColoured"/>
                <w:b w:val="0"/>
                <w:lang w:val="en-US"/>
              </w:rPr>
            </w:pPr>
          </w:p>
        </w:tc>
        <w:tc>
          <w:tcPr>
            <w:tcW w:w="4782" w:type="dxa"/>
            <w:tcBorders>
              <w:top w:val="nil"/>
              <w:bottom w:val="single" w:sz="4" w:space="0" w:color="BFBFBF" w:themeColor="background1" w:themeShade="BF"/>
            </w:tcBorders>
            <w:shd w:val="clear" w:color="auto" w:fill="auto"/>
          </w:tcPr>
          <w:p w14:paraId="1468FD89" w14:textId="77777777" w:rsidR="001D5FD6" w:rsidRPr="00576457" w:rsidRDefault="001D5FD6" w:rsidP="001D5FD6">
            <w:pPr>
              <w:pStyle w:val="TableText"/>
            </w:pPr>
            <w:r w:rsidRPr="00AA0D6C">
              <w:rPr>
                <w:lang w:val="en-US"/>
              </w:rPr>
              <w:t>Improved service delivery to internal stakeholders (CSAT score)</w:t>
            </w:r>
          </w:p>
        </w:tc>
        <w:tc>
          <w:tcPr>
            <w:tcW w:w="1530" w:type="dxa"/>
            <w:tcBorders>
              <w:left w:val="nil"/>
              <w:bottom w:val="single" w:sz="4" w:space="0" w:color="BFBFBF" w:themeColor="background1" w:themeShade="BF"/>
            </w:tcBorders>
            <w:shd w:val="clear" w:color="auto" w:fill="auto"/>
          </w:tcPr>
          <w:p w14:paraId="1AD31CE8" w14:textId="77777777" w:rsidR="001D5FD6" w:rsidRPr="00C578EF" w:rsidRDefault="001D5FD6" w:rsidP="001D5FD6">
            <w:pPr>
              <w:pStyle w:val="TableText"/>
              <w:jc w:val="center"/>
              <w:rPr>
                <w:lang w:val="en-US"/>
              </w:rPr>
            </w:pPr>
            <w:r>
              <w:rPr>
                <w:lang w:val="en-US"/>
              </w:rPr>
              <w:t>AFM</w:t>
            </w:r>
          </w:p>
        </w:tc>
      </w:tr>
      <w:tr w:rsidR="001D5FD6" w:rsidRPr="00C578EF" w14:paraId="159C70F3" w14:textId="77777777" w:rsidTr="006023D7">
        <w:trPr>
          <w:cantSplit/>
          <w:trHeight w:val="19"/>
        </w:trPr>
        <w:tc>
          <w:tcPr>
            <w:tcW w:w="3408" w:type="dxa"/>
            <w:tcBorders>
              <w:top w:val="single" w:sz="4" w:space="0" w:color="BFBFBF" w:themeColor="background1" w:themeShade="BF"/>
            </w:tcBorders>
            <w:shd w:val="clear" w:color="auto" w:fill="auto"/>
          </w:tcPr>
          <w:p w14:paraId="42AE3343" w14:textId="77777777" w:rsidR="001D5FD6" w:rsidRPr="00F91B3C" w:rsidRDefault="001D5FD6" w:rsidP="001D5FD6">
            <w:pPr>
              <w:pStyle w:val="TableTextBold"/>
              <w:rPr>
                <w:rStyle w:val="charColoured"/>
                <w:lang w:val="en-US"/>
              </w:rPr>
            </w:pPr>
            <w:r>
              <w:rPr>
                <w:rStyle w:val="charColoured"/>
                <w:lang w:val="en-US"/>
              </w:rPr>
              <w:lastRenderedPageBreak/>
              <w:t xml:space="preserve">5.3  </w:t>
            </w:r>
            <w:r w:rsidRPr="00241D1D">
              <w:rPr>
                <w:rStyle w:val="charColoured"/>
                <w:color w:val="auto"/>
                <w:lang w:val="en-US"/>
              </w:rPr>
              <w:t>Sound and prudent financial management and effective corporate governance and oversight</w:t>
            </w:r>
          </w:p>
        </w:tc>
        <w:tc>
          <w:tcPr>
            <w:tcW w:w="4782" w:type="dxa"/>
            <w:tcBorders>
              <w:top w:val="single" w:sz="4" w:space="0" w:color="BFBFBF" w:themeColor="background1" w:themeShade="BF"/>
            </w:tcBorders>
            <w:shd w:val="clear" w:color="auto" w:fill="auto"/>
          </w:tcPr>
          <w:p w14:paraId="2FF172BF" w14:textId="77777777" w:rsidR="001D5FD6" w:rsidRPr="00C578EF" w:rsidRDefault="001D5FD6" w:rsidP="001D5FD6">
            <w:pPr>
              <w:pStyle w:val="TableText"/>
              <w:rPr>
                <w:lang w:val="en-US"/>
              </w:rPr>
            </w:pPr>
            <w:r w:rsidRPr="00FE1DE7">
              <w:rPr>
                <w:lang w:val="en-US"/>
              </w:rPr>
              <w:t>Confirmation of conformity of financial operations to the provisions of the applicable WIPO conventions and treaties, the WIPO Financial Regulations and Rules and</w:t>
            </w:r>
            <w:r>
              <w:rPr>
                <w:lang w:val="en-US"/>
              </w:rPr>
              <w:t xml:space="preserve"> </w:t>
            </w:r>
            <w:r w:rsidRPr="00FE1DE7">
              <w:rPr>
                <w:lang w:val="en-US"/>
              </w:rPr>
              <w:t>IPSAS</w:t>
            </w:r>
          </w:p>
        </w:tc>
        <w:tc>
          <w:tcPr>
            <w:tcW w:w="1530" w:type="dxa"/>
            <w:tcBorders>
              <w:top w:val="single" w:sz="4" w:space="0" w:color="BFBFBF" w:themeColor="background1" w:themeShade="BF"/>
            </w:tcBorders>
            <w:shd w:val="clear" w:color="auto" w:fill="auto"/>
          </w:tcPr>
          <w:p w14:paraId="5CCBE852" w14:textId="77777777" w:rsidR="001D5FD6" w:rsidRPr="00C578EF" w:rsidRDefault="001D5FD6" w:rsidP="001D5FD6">
            <w:pPr>
              <w:pStyle w:val="TableText"/>
              <w:jc w:val="center"/>
              <w:rPr>
                <w:lang w:val="en-US"/>
              </w:rPr>
            </w:pPr>
            <w:r>
              <w:rPr>
                <w:lang w:val="en-US"/>
              </w:rPr>
              <w:t>AFM</w:t>
            </w:r>
          </w:p>
        </w:tc>
      </w:tr>
      <w:tr w:rsidR="001D5FD6" w:rsidRPr="00C578EF" w14:paraId="6791AF56" w14:textId="77777777" w:rsidTr="00434007">
        <w:trPr>
          <w:cantSplit/>
          <w:trHeight w:val="19"/>
        </w:trPr>
        <w:tc>
          <w:tcPr>
            <w:tcW w:w="3408" w:type="dxa"/>
            <w:shd w:val="clear" w:color="auto" w:fill="auto"/>
          </w:tcPr>
          <w:p w14:paraId="2DA5E7FB" w14:textId="77777777" w:rsidR="001D5FD6" w:rsidRPr="00C578EF" w:rsidRDefault="001D5FD6" w:rsidP="001D5FD6">
            <w:pPr>
              <w:pStyle w:val="TableTextBold"/>
              <w:rPr>
                <w:rStyle w:val="charColoured"/>
                <w:b w:val="0"/>
                <w:lang w:val="en-US"/>
              </w:rPr>
            </w:pPr>
          </w:p>
        </w:tc>
        <w:tc>
          <w:tcPr>
            <w:tcW w:w="4782" w:type="dxa"/>
            <w:shd w:val="clear" w:color="auto" w:fill="auto"/>
          </w:tcPr>
          <w:p w14:paraId="50C14985" w14:textId="77777777" w:rsidR="001D5FD6" w:rsidRPr="00C578EF" w:rsidRDefault="001D5FD6" w:rsidP="001D5FD6">
            <w:pPr>
              <w:pStyle w:val="TableText"/>
              <w:rPr>
                <w:lang w:val="en-US"/>
              </w:rPr>
            </w:pPr>
            <w:r w:rsidRPr="00FE1DE7">
              <w:rPr>
                <w:lang w:val="en-US"/>
              </w:rPr>
              <w:t>Increased maturity of RBM and RM enabled by stronger ERP systems managed and enhanced in accordance with best practice</w:t>
            </w:r>
          </w:p>
        </w:tc>
        <w:tc>
          <w:tcPr>
            <w:tcW w:w="1530" w:type="dxa"/>
            <w:shd w:val="clear" w:color="auto" w:fill="auto"/>
          </w:tcPr>
          <w:p w14:paraId="222E5C25" w14:textId="77777777" w:rsidR="001D5FD6" w:rsidRPr="00C578EF" w:rsidRDefault="001D5FD6" w:rsidP="001D5FD6">
            <w:pPr>
              <w:pStyle w:val="TableText"/>
              <w:jc w:val="center"/>
              <w:rPr>
                <w:lang w:val="en-US"/>
              </w:rPr>
            </w:pPr>
            <w:r>
              <w:rPr>
                <w:lang w:val="en-US"/>
              </w:rPr>
              <w:t>AFM</w:t>
            </w:r>
          </w:p>
        </w:tc>
      </w:tr>
      <w:tr w:rsidR="001D5FD6" w:rsidRPr="00C578EF" w14:paraId="2BF70853" w14:textId="77777777" w:rsidTr="00434007">
        <w:trPr>
          <w:cantSplit/>
          <w:trHeight w:val="216"/>
        </w:trPr>
        <w:tc>
          <w:tcPr>
            <w:tcW w:w="3408" w:type="dxa"/>
            <w:shd w:val="clear" w:color="auto" w:fill="auto"/>
          </w:tcPr>
          <w:p w14:paraId="5B006369" w14:textId="77777777" w:rsidR="001D5FD6" w:rsidRPr="00C578EF" w:rsidRDefault="001D5FD6" w:rsidP="001D5FD6">
            <w:pPr>
              <w:pStyle w:val="TableTextBold"/>
              <w:rPr>
                <w:rStyle w:val="charColoured"/>
                <w:b w:val="0"/>
                <w:lang w:val="en-US"/>
              </w:rPr>
            </w:pPr>
          </w:p>
        </w:tc>
        <w:tc>
          <w:tcPr>
            <w:tcW w:w="4782" w:type="dxa"/>
            <w:shd w:val="clear" w:color="auto" w:fill="auto"/>
          </w:tcPr>
          <w:p w14:paraId="38F2A5EF" w14:textId="77777777" w:rsidR="001D5FD6" w:rsidRPr="00C578EF" w:rsidRDefault="001D5FD6" w:rsidP="001D5FD6">
            <w:pPr>
              <w:pStyle w:val="TableText"/>
              <w:rPr>
                <w:lang w:val="en-US"/>
              </w:rPr>
            </w:pPr>
            <w:r w:rsidRPr="00FE1DE7">
              <w:rPr>
                <w:lang w:val="en-US"/>
              </w:rPr>
              <w:t>Cost savings for goods and services procured by WIPO</w:t>
            </w:r>
          </w:p>
        </w:tc>
        <w:tc>
          <w:tcPr>
            <w:tcW w:w="1530" w:type="dxa"/>
            <w:shd w:val="clear" w:color="auto" w:fill="auto"/>
          </w:tcPr>
          <w:p w14:paraId="4FD4A627" w14:textId="77777777" w:rsidR="001D5FD6" w:rsidRPr="00C578EF" w:rsidRDefault="001D5FD6" w:rsidP="001D5FD6">
            <w:pPr>
              <w:pStyle w:val="TableText"/>
              <w:jc w:val="center"/>
              <w:rPr>
                <w:lang w:val="en-US"/>
              </w:rPr>
            </w:pPr>
            <w:r>
              <w:rPr>
                <w:lang w:val="en-US"/>
              </w:rPr>
              <w:t>AFM</w:t>
            </w:r>
          </w:p>
        </w:tc>
      </w:tr>
      <w:tr w:rsidR="001D5FD6" w:rsidRPr="00C578EF" w14:paraId="76F98049" w14:textId="77777777" w:rsidTr="00434007">
        <w:trPr>
          <w:cantSplit/>
          <w:trHeight w:val="216"/>
        </w:trPr>
        <w:tc>
          <w:tcPr>
            <w:tcW w:w="3408" w:type="dxa"/>
            <w:shd w:val="clear" w:color="auto" w:fill="auto"/>
          </w:tcPr>
          <w:p w14:paraId="3F07300B" w14:textId="77777777" w:rsidR="001D5FD6" w:rsidRPr="00C578EF" w:rsidRDefault="001D5FD6" w:rsidP="001D5FD6">
            <w:pPr>
              <w:pStyle w:val="TableTextBold"/>
              <w:rPr>
                <w:rStyle w:val="charColoured"/>
                <w:b w:val="0"/>
                <w:lang w:val="en-US"/>
              </w:rPr>
            </w:pPr>
          </w:p>
        </w:tc>
        <w:tc>
          <w:tcPr>
            <w:tcW w:w="4782" w:type="dxa"/>
            <w:shd w:val="clear" w:color="auto" w:fill="auto"/>
            <w:vAlign w:val="center"/>
          </w:tcPr>
          <w:p w14:paraId="11CAF250" w14:textId="77777777" w:rsidR="001D5FD6" w:rsidRPr="00C578EF" w:rsidRDefault="001D5FD6" w:rsidP="001D5FD6">
            <w:pPr>
              <w:pStyle w:val="TableText"/>
              <w:rPr>
                <w:lang w:val="en-US"/>
              </w:rPr>
            </w:pPr>
            <w:r w:rsidRPr="00FE1DE7">
              <w:rPr>
                <w:lang w:val="en-US"/>
              </w:rPr>
              <w:t>Average air ticket fare</w:t>
            </w:r>
          </w:p>
        </w:tc>
        <w:tc>
          <w:tcPr>
            <w:tcW w:w="1530" w:type="dxa"/>
            <w:shd w:val="clear" w:color="auto" w:fill="auto"/>
          </w:tcPr>
          <w:p w14:paraId="31BE9226" w14:textId="77777777" w:rsidR="001D5FD6" w:rsidRPr="00C578EF" w:rsidRDefault="001D5FD6" w:rsidP="001D5FD6">
            <w:pPr>
              <w:pStyle w:val="TableText"/>
              <w:jc w:val="center"/>
              <w:rPr>
                <w:lang w:val="en-US"/>
              </w:rPr>
            </w:pPr>
            <w:r>
              <w:rPr>
                <w:lang w:val="en-US"/>
              </w:rPr>
              <w:t>AFM</w:t>
            </w:r>
          </w:p>
        </w:tc>
      </w:tr>
      <w:tr w:rsidR="001D5FD6" w:rsidRPr="00C578EF" w14:paraId="39A38322" w14:textId="77777777" w:rsidTr="00434007">
        <w:trPr>
          <w:cantSplit/>
          <w:trHeight w:val="216"/>
        </w:trPr>
        <w:tc>
          <w:tcPr>
            <w:tcW w:w="3408" w:type="dxa"/>
            <w:shd w:val="clear" w:color="auto" w:fill="auto"/>
          </w:tcPr>
          <w:p w14:paraId="5CBB7178" w14:textId="77777777" w:rsidR="001D5FD6" w:rsidRPr="00C578EF" w:rsidRDefault="001D5FD6" w:rsidP="001D5FD6">
            <w:pPr>
              <w:pStyle w:val="TableTextBold"/>
              <w:rPr>
                <w:rStyle w:val="charColoured"/>
                <w:b w:val="0"/>
                <w:lang w:val="en-US"/>
              </w:rPr>
            </w:pPr>
          </w:p>
        </w:tc>
        <w:tc>
          <w:tcPr>
            <w:tcW w:w="4782" w:type="dxa"/>
            <w:shd w:val="clear" w:color="auto" w:fill="auto"/>
          </w:tcPr>
          <w:p w14:paraId="1DFCF9AA" w14:textId="77777777" w:rsidR="001D5FD6" w:rsidRPr="00C578EF" w:rsidRDefault="001D5FD6" w:rsidP="001D5FD6">
            <w:pPr>
              <w:pStyle w:val="TableText"/>
              <w:rPr>
                <w:lang w:val="en-US"/>
              </w:rPr>
            </w:pPr>
            <w:r w:rsidRPr="00FE1DE7">
              <w:rPr>
                <w:lang w:val="en-US"/>
              </w:rPr>
              <w:t>No interference and perceived independence by key stakeholders</w:t>
            </w:r>
          </w:p>
        </w:tc>
        <w:tc>
          <w:tcPr>
            <w:tcW w:w="1530" w:type="dxa"/>
            <w:shd w:val="clear" w:color="auto" w:fill="auto"/>
          </w:tcPr>
          <w:p w14:paraId="0D02A5E9" w14:textId="77777777" w:rsidR="001D5FD6" w:rsidRPr="00C578EF" w:rsidRDefault="001D5FD6" w:rsidP="001D5FD6">
            <w:pPr>
              <w:pStyle w:val="TableText"/>
              <w:jc w:val="center"/>
              <w:rPr>
                <w:lang w:val="en-US"/>
              </w:rPr>
            </w:pPr>
            <w:r>
              <w:rPr>
                <w:lang w:val="en-US"/>
              </w:rPr>
              <w:t>ODG</w:t>
            </w:r>
          </w:p>
        </w:tc>
      </w:tr>
      <w:tr w:rsidR="001D5FD6" w:rsidRPr="00C578EF" w14:paraId="344B04F8" w14:textId="77777777" w:rsidTr="00434007">
        <w:trPr>
          <w:cantSplit/>
          <w:trHeight w:val="216"/>
        </w:trPr>
        <w:tc>
          <w:tcPr>
            <w:tcW w:w="3408" w:type="dxa"/>
            <w:tcBorders>
              <w:bottom w:val="single" w:sz="4" w:space="0" w:color="BFBFBF" w:themeColor="background1" w:themeShade="BF"/>
            </w:tcBorders>
            <w:shd w:val="clear" w:color="auto" w:fill="auto"/>
          </w:tcPr>
          <w:p w14:paraId="50EA7EA0" w14:textId="77777777" w:rsidR="001D5FD6" w:rsidRPr="00C578EF" w:rsidRDefault="001D5FD6" w:rsidP="001D5FD6">
            <w:pPr>
              <w:pStyle w:val="TableTextBold"/>
              <w:rPr>
                <w:rStyle w:val="charColoured"/>
                <w:b w:val="0"/>
                <w:lang w:val="en-US"/>
              </w:rPr>
            </w:pPr>
          </w:p>
        </w:tc>
        <w:tc>
          <w:tcPr>
            <w:tcW w:w="4782" w:type="dxa"/>
            <w:tcBorders>
              <w:bottom w:val="single" w:sz="4" w:space="0" w:color="BFBFBF" w:themeColor="background1" w:themeShade="BF"/>
            </w:tcBorders>
            <w:shd w:val="clear" w:color="auto" w:fill="auto"/>
          </w:tcPr>
          <w:p w14:paraId="4F08A0B5" w14:textId="77777777" w:rsidR="001D5FD6" w:rsidRPr="00C578EF" w:rsidRDefault="001D5FD6" w:rsidP="001D5FD6">
            <w:pPr>
              <w:pStyle w:val="TableText"/>
              <w:rPr>
                <w:lang w:val="en-US"/>
              </w:rPr>
            </w:pPr>
            <w:r w:rsidRPr="00FE1DE7">
              <w:rPr>
                <w:lang w:val="en-US"/>
              </w:rPr>
              <w:t>No. of oversight recommendations accepted</w:t>
            </w:r>
          </w:p>
        </w:tc>
        <w:tc>
          <w:tcPr>
            <w:tcW w:w="1530" w:type="dxa"/>
            <w:tcBorders>
              <w:bottom w:val="single" w:sz="4" w:space="0" w:color="BFBFBF" w:themeColor="background1" w:themeShade="BF"/>
            </w:tcBorders>
            <w:shd w:val="clear" w:color="auto" w:fill="auto"/>
          </w:tcPr>
          <w:p w14:paraId="190A1EC4" w14:textId="77777777" w:rsidR="001D5FD6" w:rsidRPr="00C578EF" w:rsidRDefault="001D5FD6" w:rsidP="001D5FD6">
            <w:pPr>
              <w:pStyle w:val="TableText"/>
              <w:jc w:val="center"/>
              <w:rPr>
                <w:lang w:val="en-US"/>
              </w:rPr>
            </w:pPr>
            <w:r>
              <w:rPr>
                <w:lang w:val="en-US"/>
              </w:rPr>
              <w:t>ODG</w:t>
            </w:r>
          </w:p>
        </w:tc>
      </w:tr>
    </w:tbl>
    <w:p w14:paraId="6B2AD2BF" w14:textId="77777777" w:rsidR="00434007" w:rsidRDefault="00434007" w:rsidP="000E45F6">
      <w:pPr>
        <w:spacing w:before="360"/>
        <w:rPr>
          <w:sz w:val="32"/>
        </w:rPr>
      </w:pPr>
      <w:r>
        <w:rPr>
          <w:color w:val="005171"/>
          <w:sz w:val="32"/>
        </w:rPr>
        <w:t>Risks</w:t>
      </w:r>
    </w:p>
    <w:p w14:paraId="64E3CAB7" w14:textId="69BE4A5C" w:rsidR="00434007" w:rsidRDefault="00434007" w:rsidP="008060C9">
      <w:pPr>
        <w:pStyle w:val="NormalNumb"/>
        <w:spacing w:after="0"/>
        <w:ind w:left="0"/>
      </w:pPr>
      <w:r>
        <w:t>Pursuing an acceptable level of risk is fundamental to undertaking the Organization’s activities and an integral element of WIPO’s planning and daily operations, enabling it to take into account uncertainties that may affect the</w:t>
      </w:r>
      <w:bookmarkStart w:id="11" w:name="Implementation_Strategies"/>
      <w:bookmarkEnd w:id="11"/>
      <w:r>
        <w:t xml:space="preserve"> achievement of Expected Results and KPIs.  The Organization’s risk appetite statement</w:t>
      </w:r>
      <w:r>
        <w:rPr>
          <w:rStyle w:val="FootnoteReference"/>
        </w:rPr>
        <w:footnoteReference w:id="12"/>
      </w:r>
      <w:r>
        <w:t xml:space="preserve"> sets out the level of</w:t>
      </w:r>
      <w:bookmarkStart w:id="12" w:name="Copyright_Management"/>
      <w:bookmarkEnd w:id="12"/>
      <w:r>
        <w:t xml:space="preserve"> acceptable risk and the governance process that oversees it.  The following organizational risks are pervasive across Sectors and are assessed, monitored and treated throughout the biennium. </w:t>
      </w:r>
      <w:r w:rsidR="001E7A58">
        <w:t xml:space="preserve"> </w:t>
      </w:r>
      <w:r>
        <w:t>Our risk hierarchy includes key risks to achieving Expected Results identified in this document, while enterprise systems are used to keep track of risks at the operational level.</w:t>
      </w:r>
    </w:p>
    <w:p w14:paraId="11E4CCE3" w14:textId="77777777" w:rsidR="00434007" w:rsidRPr="000A58CA" w:rsidRDefault="00434007" w:rsidP="00844249">
      <w:pPr>
        <w:pStyle w:val="NormalAbb"/>
        <w:spacing w:after="0"/>
        <w:rPr>
          <w:lang w:val="en-US"/>
        </w:rPr>
      </w:pPr>
    </w:p>
    <w:tbl>
      <w:tblPr>
        <w:tblW w:w="9888" w:type="dxa"/>
        <w:tblCellMar>
          <w:left w:w="72" w:type="dxa"/>
          <w:right w:w="0" w:type="dxa"/>
        </w:tblCellMar>
        <w:tblLook w:val="01E0" w:firstRow="1" w:lastRow="1" w:firstColumn="1" w:lastColumn="1" w:noHBand="0" w:noVBand="0"/>
      </w:tblPr>
      <w:tblGrid>
        <w:gridCol w:w="79"/>
        <w:gridCol w:w="78"/>
        <w:gridCol w:w="4343"/>
        <w:gridCol w:w="4050"/>
        <w:gridCol w:w="1260"/>
        <w:gridCol w:w="78"/>
      </w:tblGrid>
      <w:tr w:rsidR="00434007" w:rsidRPr="00CC0822" w14:paraId="4284EC9B" w14:textId="77777777" w:rsidTr="00996A80">
        <w:trPr>
          <w:trHeight w:val="475"/>
        </w:trPr>
        <w:tc>
          <w:tcPr>
            <w:tcW w:w="79" w:type="dxa"/>
            <w:shd w:val="clear" w:color="auto" w:fill="C5CFD6"/>
          </w:tcPr>
          <w:p w14:paraId="1194E45A" w14:textId="77777777" w:rsidR="00434007" w:rsidRPr="00CC0822" w:rsidRDefault="00434007" w:rsidP="00434007">
            <w:pPr>
              <w:widowControl w:val="0"/>
              <w:autoSpaceDE w:val="0"/>
              <w:autoSpaceDN w:val="0"/>
              <w:spacing w:before="83" w:after="0" w:line="240" w:lineRule="auto"/>
              <w:ind w:left="120"/>
              <w:rPr>
                <w:rFonts w:ascii="Arial Narrow" w:eastAsia="Arial Narrow" w:hAnsi="Arial Narrow" w:cs="Arial Narrow"/>
                <w:b/>
                <w:sz w:val="16"/>
                <w:lang w:val="en-US" w:bidi="en-US"/>
              </w:rPr>
            </w:pPr>
          </w:p>
        </w:tc>
        <w:tc>
          <w:tcPr>
            <w:tcW w:w="78" w:type="dxa"/>
            <w:shd w:val="clear" w:color="auto" w:fill="C5CFD6"/>
          </w:tcPr>
          <w:p w14:paraId="180919E7" w14:textId="77777777" w:rsidR="00434007" w:rsidRPr="00CC0822" w:rsidRDefault="00434007" w:rsidP="00434007">
            <w:pPr>
              <w:widowControl w:val="0"/>
              <w:autoSpaceDE w:val="0"/>
              <w:autoSpaceDN w:val="0"/>
              <w:spacing w:before="83" w:after="0" w:line="240" w:lineRule="auto"/>
              <w:ind w:left="120"/>
              <w:rPr>
                <w:rFonts w:ascii="Arial Narrow" w:eastAsia="Arial Narrow" w:hAnsi="Arial Narrow" w:cs="Arial Narrow"/>
                <w:b/>
                <w:sz w:val="16"/>
                <w:lang w:val="en-US" w:bidi="en-US"/>
              </w:rPr>
            </w:pPr>
          </w:p>
        </w:tc>
        <w:tc>
          <w:tcPr>
            <w:tcW w:w="4343" w:type="dxa"/>
            <w:shd w:val="clear" w:color="auto" w:fill="C5CFD6"/>
          </w:tcPr>
          <w:p w14:paraId="30337827" w14:textId="77777777" w:rsidR="00434007" w:rsidRPr="00CC0822" w:rsidRDefault="00434007" w:rsidP="00434007">
            <w:pPr>
              <w:widowControl w:val="0"/>
              <w:autoSpaceDE w:val="0"/>
              <w:autoSpaceDN w:val="0"/>
              <w:spacing w:before="83" w:after="0" w:line="240" w:lineRule="auto"/>
              <w:ind w:left="120"/>
              <w:rPr>
                <w:rFonts w:ascii="Arial Narrow" w:eastAsia="Arial Narrow" w:hAnsi="Arial Narrow" w:cs="Arial"/>
                <w:b/>
                <w:sz w:val="16"/>
                <w:szCs w:val="14"/>
                <w:lang w:val="en-US" w:bidi="en-US"/>
              </w:rPr>
            </w:pPr>
            <w:r w:rsidRPr="00CC0822">
              <w:rPr>
                <w:rFonts w:ascii="Arial Narrow" w:eastAsia="Arial Narrow" w:hAnsi="Arial Narrow" w:cs="Arial"/>
                <w:b/>
                <w:sz w:val="16"/>
                <w:szCs w:val="14"/>
                <w:lang w:val="en-US" w:bidi="en-US"/>
              </w:rPr>
              <w:t>Risk</w:t>
            </w:r>
          </w:p>
        </w:tc>
        <w:tc>
          <w:tcPr>
            <w:tcW w:w="4050" w:type="dxa"/>
            <w:shd w:val="clear" w:color="auto" w:fill="C5CFD6"/>
          </w:tcPr>
          <w:p w14:paraId="419543B7" w14:textId="77777777" w:rsidR="00434007" w:rsidRPr="00CC0822" w:rsidRDefault="00434007" w:rsidP="00434007">
            <w:pPr>
              <w:widowControl w:val="0"/>
              <w:autoSpaceDE w:val="0"/>
              <w:autoSpaceDN w:val="0"/>
              <w:spacing w:before="83" w:after="0" w:line="240" w:lineRule="auto"/>
              <w:ind w:left="76"/>
              <w:rPr>
                <w:rFonts w:ascii="Arial Narrow" w:eastAsia="Arial Narrow" w:hAnsi="Arial Narrow" w:cs="Arial"/>
                <w:b/>
                <w:sz w:val="16"/>
                <w:szCs w:val="14"/>
                <w:lang w:val="en-US" w:bidi="en-US"/>
              </w:rPr>
            </w:pPr>
            <w:r w:rsidRPr="00CC0822">
              <w:rPr>
                <w:rFonts w:ascii="Arial Narrow" w:eastAsia="Arial Narrow" w:hAnsi="Arial Narrow" w:cs="Arial"/>
                <w:b/>
                <w:sz w:val="16"/>
                <w:szCs w:val="14"/>
                <w:lang w:val="en-US" w:bidi="en-US"/>
              </w:rPr>
              <w:t>Risk Response</w:t>
            </w:r>
          </w:p>
        </w:tc>
        <w:tc>
          <w:tcPr>
            <w:tcW w:w="1260" w:type="dxa"/>
            <w:shd w:val="clear" w:color="auto" w:fill="C5CFD6"/>
          </w:tcPr>
          <w:p w14:paraId="16538B44" w14:textId="06889152" w:rsidR="00434007" w:rsidRPr="00CC0822" w:rsidRDefault="00672FCB" w:rsidP="00996A80">
            <w:pPr>
              <w:widowControl w:val="0"/>
              <w:autoSpaceDE w:val="0"/>
              <w:autoSpaceDN w:val="0"/>
              <w:spacing w:before="83" w:after="0" w:line="240" w:lineRule="auto"/>
              <w:rPr>
                <w:rFonts w:ascii="Arial Narrow" w:eastAsia="Arial Narrow" w:hAnsi="Arial Narrow" w:cs="Arial"/>
                <w:b/>
                <w:sz w:val="16"/>
                <w:szCs w:val="14"/>
                <w:lang w:val="en-US" w:bidi="en-US"/>
              </w:rPr>
            </w:pPr>
            <w:r w:rsidRPr="00CC0822">
              <w:rPr>
                <w:rFonts w:ascii="Arial Narrow" w:eastAsia="Times New Roman" w:hAnsi="Arial Narrow" w:cs="Arial"/>
                <w:b/>
                <w:bCs/>
                <w:color w:val="000000"/>
                <w:sz w:val="16"/>
                <w:szCs w:val="14"/>
                <w:lang w:val="en-US" w:bidi="en-US"/>
              </w:rPr>
              <w:t>T</w:t>
            </w:r>
            <w:r w:rsidR="00660BE6" w:rsidRPr="00CC0822">
              <w:rPr>
                <w:rFonts w:ascii="Arial Narrow" w:eastAsia="Times New Roman" w:hAnsi="Arial Narrow" w:cs="Arial"/>
                <w:b/>
                <w:bCs/>
                <w:color w:val="000000"/>
                <w:sz w:val="16"/>
                <w:szCs w:val="14"/>
                <w:lang w:val="en-US" w:bidi="en-US"/>
              </w:rPr>
              <w:t xml:space="preserve">arget Residual </w:t>
            </w:r>
            <w:r w:rsidR="00996A80">
              <w:rPr>
                <w:rFonts w:ascii="Arial Narrow" w:eastAsia="Times New Roman" w:hAnsi="Arial Narrow" w:cs="Arial"/>
                <w:b/>
                <w:bCs/>
                <w:color w:val="000000"/>
                <w:sz w:val="16"/>
                <w:szCs w:val="14"/>
                <w:lang w:val="en-US" w:bidi="en-US"/>
              </w:rPr>
              <w:t>R</w:t>
            </w:r>
            <w:r w:rsidR="00660BE6" w:rsidRPr="00CC0822">
              <w:rPr>
                <w:rFonts w:ascii="Arial Narrow" w:eastAsia="Times New Roman" w:hAnsi="Arial Narrow" w:cs="Arial"/>
                <w:b/>
                <w:bCs/>
                <w:color w:val="000000"/>
                <w:sz w:val="16"/>
                <w:szCs w:val="14"/>
                <w:lang w:val="en-US" w:bidi="en-US"/>
              </w:rPr>
              <w:t>i</w:t>
            </w:r>
            <w:r w:rsidRPr="00CC0822">
              <w:rPr>
                <w:rFonts w:ascii="Arial Narrow" w:eastAsia="Times New Roman" w:hAnsi="Arial Narrow" w:cs="Arial"/>
                <w:b/>
                <w:bCs/>
                <w:color w:val="000000"/>
                <w:sz w:val="16"/>
                <w:szCs w:val="14"/>
                <w:lang w:val="en-US" w:bidi="en-US"/>
              </w:rPr>
              <w:t>sk</w:t>
            </w:r>
          </w:p>
        </w:tc>
        <w:tc>
          <w:tcPr>
            <w:tcW w:w="78" w:type="dxa"/>
            <w:shd w:val="clear" w:color="auto" w:fill="C5CFD6"/>
          </w:tcPr>
          <w:p w14:paraId="1E1263A1" w14:textId="77777777" w:rsidR="00434007" w:rsidRPr="00CC0822" w:rsidRDefault="00434007" w:rsidP="00434007">
            <w:pPr>
              <w:widowControl w:val="0"/>
              <w:autoSpaceDE w:val="0"/>
              <w:autoSpaceDN w:val="0"/>
              <w:spacing w:before="83" w:after="0" w:line="240" w:lineRule="auto"/>
              <w:ind w:left="76"/>
              <w:rPr>
                <w:rFonts w:ascii="Arial Narrow" w:eastAsia="Arial Narrow" w:hAnsi="Arial Narrow" w:cs="Arial Narrow"/>
                <w:b/>
                <w:sz w:val="16"/>
                <w:lang w:val="en-US" w:bidi="en-US"/>
              </w:rPr>
            </w:pPr>
          </w:p>
        </w:tc>
      </w:tr>
      <w:tr w:rsidR="00434007" w:rsidRPr="00757D23" w14:paraId="1BF4B581" w14:textId="77777777" w:rsidTr="005D7F78">
        <w:trPr>
          <w:trHeight w:val="808"/>
        </w:trPr>
        <w:tc>
          <w:tcPr>
            <w:tcW w:w="79" w:type="dxa"/>
          </w:tcPr>
          <w:p w14:paraId="0075DD57" w14:textId="77777777" w:rsidR="00434007" w:rsidRPr="00757D23" w:rsidRDefault="00434007" w:rsidP="00434007">
            <w:pPr>
              <w:widowControl w:val="0"/>
              <w:autoSpaceDE w:val="0"/>
              <w:autoSpaceDN w:val="0"/>
              <w:spacing w:before="39" w:after="0" w:line="261" w:lineRule="auto"/>
              <w:ind w:left="98" w:right="213"/>
              <w:jc w:val="both"/>
              <w:rPr>
                <w:rFonts w:ascii="Arial Narrow" w:eastAsia="Arial Narrow" w:hAnsi="Arial Narrow" w:cs="Arial Narrow"/>
                <w:sz w:val="16"/>
                <w:lang w:val="en-US" w:bidi="en-US"/>
              </w:rPr>
            </w:pPr>
          </w:p>
        </w:tc>
        <w:tc>
          <w:tcPr>
            <w:tcW w:w="78" w:type="dxa"/>
          </w:tcPr>
          <w:p w14:paraId="44B8FCB7" w14:textId="77777777" w:rsidR="00434007" w:rsidRPr="00757D23" w:rsidRDefault="00434007" w:rsidP="00434007">
            <w:pPr>
              <w:widowControl w:val="0"/>
              <w:autoSpaceDE w:val="0"/>
              <w:autoSpaceDN w:val="0"/>
              <w:spacing w:before="39" w:after="0" w:line="261" w:lineRule="auto"/>
              <w:ind w:left="98" w:right="213"/>
              <w:jc w:val="both"/>
              <w:rPr>
                <w:rFonts w:ascii="Arial Narrow" w:eastAsia="Arial Narrow" w:hAnsi="Arial Narrow" w:cs="Arial Narrow"/>
                <w:sz w:val="16"/>
                <w:lang w:val="en-US" w:bidi="en-US"/>
              </w:rPr>
            </w:pPr>
          </w:p>
        </w:tc>
        <w:tc>
          <w:tcPr>
            <w:tcW w:w="4343" w:type="dxa"/>
          </w:tcPr>
          <w:p w14:paraId="07C3D579" w14:textId="77777777" w:rsidR="00434007" w:rsidRPr="00757D23" w:rsidRDefault="00434007" w:rsidP="00607486">
            <w:pPr>
              <w:widowControl w:val="0"/>
              <w:autoSpaceDE w:val="0"/>
              <w:autoSpaceDN w:val="0"/>
              <w:spacing w:before="89" w:after="0" w:line="240" w:lineRule="auto"/>
              <w:ind w:left="98" w:right="213"/>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The global geopolitical, economic, financial or health contexts worsen, adversely affecting WIPO’s delivery of services to stakeholders, customers, and Member States.</w:t>
            </w:r>
          </w:p>
          <w:p w14:paraId="7EE12B7D" w14:textId="77777777" w:rsidR="00434007" w:rsidRPr="00757D23" w:rsidRDefault="00434007" w:rsidP="00607486">
            <w:pPr>
              <w:widowControl w:val="0"/>
              <w:autoSpaceDE w:val="0"/>
              <w:autoSpaceDN w:val="0"/>
              <w:spacing w:before="39" w:after="0" w:line="240" w:lineRule="auto"/>
              <w:ind w:left="98" w:right="213"/>
              <w:rPr>
                <w:rFonts w:ascii="Arial Narrow" w:eastAsia="Arial Narrow" w:hAnsi="Arial Narrow" w:cs="Arial Narrow"/>
                <w:sz w:val="16"/>
                <w:lang w:val="en-US" w:bidi="en-US"/>
              </w:rPr>
            </w:pPr>
            <w:r w:rsidRPr="00757D23">
              <w:rPr>
                <w:rFonts w:ascii="Arial Narrow" w:eastAsia="Arial Narrow" w:hAnsi="Arial Narrow" w:cs="Arial Narrow"/>
                <w:b/>
                <w:i/>
                <w:sz w:val="16"/>
                <w:lang w:val="en-US" w:bidi="en-US"/>
              </w:rPr>
              <w:t>Medium risk appetite</w:t>
            </w:r>
          </w:p>
        </w:tc>
        <w:tc>
          <w:tcPr>
            <w:tcW w:w="4050" w:type="dxa"/>
          </w:tcPr>
          <w:p w14:paraId="1F4E64E1" w14:textId="77777777" w:rsidR="00434007" w:rsidRPr="00757D23" w:rsidRDefault="00434007"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 xml:space="preserve">WIPO undertakes continual all-hazard risk monitoring overseen by the Risk Management Group.  The Organization has built resilient infrastructure, work processes and culture allowing rapid adaptation to evolving external contexts. </w:t>
            </w:r>
          </w:p>
        </w:tc>
        <w:tc>
          <w:tcPr>
            <w:tcW w:w="1260" w:type="dxa"/>
          </w:tcPr>
          <w:p w14:paraId="1D80D8FE" w14:textId="7E76BDE6" w:rsidR="00434007" w:rsidRDefault="00660BE6" w:rsidP="00607486">
            <w:pPr>
              <w:widowControl w:val="0"/>
              <w:autoSpaceDE w:val="0"/>
              <w:autoSpaceDN w:val="0"/>
              <w:spacing w:before="89" w:after="0" w:line="240" w:lineRule="auto"/>
              <w:ind w:hanging="69"/>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434007" w:rsidRPr="00757D23">
              <w:rPr>
                <w:rFonts w:ascii="Arial Narrow" w:eastAsia="Times New Roman" w:hAnsi="Arial Narrow" w:cs="Arial Narrow"/>
                <w:sz w:val="16"/>
                <w:szCs w:val="16"/>
                <w:lang w:val="en-US" w:bidi="en-US"/>
              </w:rPr>
              <w:t xml:space="preserve">Medium </w:t>
            </w:r>
            <w:r w:rsidR="00EB4125">
              <w:rPr>
                <w:rFonts w:ascii="Arial Narrow" w:eastAsia="Times New Roman" w:hAnsi="Arial Narrow" w:cs="Arial Narrow"/>
                <w:sz w:val="16"/>
                <w:szCs w:val="16"/>
                <w:lang w:val="en-US" w:bidi="en-US"/>
              </w:rPr>
              <w:t xml:space="preserve">– </w:t>
            </w:r>
          </w:p>
          <w:p w14:paraId="73114629" w14:textId="4E0A3154" w:rsidR="00434007" w:rsidRPr="00757D23" w:rsidRDefault="00660BE6" w:rsidP="00607486">
            <w:pPr>
              <w:widowControl w:val="0"/>
              <w:autoSpaceDE w:val="0"/>
              <w:autoSpaceDN w:val="0"/>
              <w:spacing w:before="4" w:after="0" w:line="240" w:lineRule="auto"/>
              <w:ind w:hanging="69"/>
              <w:rPr>
                <w:rFonts w:ascii="Arial Narrow" w:eastAsia="Arial Narrow" w:hAnsi="Arial Narrow" w:cs="Arial Narrow"/>
                <w:sz w:val="16"/>
                <w:highlight w:val="yellow"/>
                <w:lang w:val="en-US" w:bidi="en-US"/>
              </w:rPr>
            </w:pPr>
            <w:r>
              <w:rPr>
                <w:rFonts w:ascii="Arial Narrow" w:eastAsia="Times New Roman" w:hAnsi="Arial Narrow" w:cs="Arial Narrow"/>
                <w:sz w:val="16"/>
                <w:szCs w:val="16"/>
                <w:lang w:val="en-US" w:bidi="en-US"/>
              </w:rPr>
              <w:t xml:space="preserve">   </w:t>
            </w:r>
            <w:r w:rsidR="00672FCB">
              <w:rPr>
                <w:rFonts w:ascii="Arial Narrow" w:eastAsia="Times New Roman" w:hAnsi="Arial Narrow" w:cs="Arial Narrow"/>
                <w:sz w:val="16"/>
                <w:szCs w:val="16"/>
                <w:lang w:val="en-US" w:bidi="en-US"/>
              </w:rPr>
              <w:t>i</w:t>
            </w:r>
            <w:r w:rsidR="00434007">
              <w:rPr>
                <w:rFonts w:ascii="Arial Narrow" w:eastAsia="Times New Roman" w:hAnsi="Arial Narrow" w:cs="Arial Narrow"/>
                <w:sz w:val="16"/>
                <w:szCs w:val="16"/>
                <w:lang w:val="en-US" w:bidi="en-US"/>
              </w:rPr>
              <w:t xml:space="preserve">n line with </w:t>
            </w:r>
            <w:r w:rsidR="00434007" w:rsidRPr="00757D23">
              <w:rPr>
                <w:rFonts w:ascii="Arial Narrow" w:eastAsia="Times New Roman" w:hAnsi="Arial Narrow" w:cs="Arial Narrow"/>
                <w:sz w:val="16"/>
                <w:szCs w:val="16"/>
                <w:lang w:val="en-US" w:bidi="en-US"/>
              </w:rPr>
              <w:t>risk appetite</w:t>
            </w:r>
          </w:p>
        </w:tc>
        <w:tc>
          <w:tcPr>
            <w:tcW w:w="78" w:type="dxa"/>
          </w:tcPr>
          <w:p w14:paraId="78BD9471" w14:textId="77777777" w:rsidR="00434007" w:rsidRPr="00757D23" w:rsidRDefault="00434007" w:rsidP="00434007">
            <w:pPr>
              <w:widowControl w:val="0"/>
              <w:autoSpaceDE w:val="0"/>
              <w:autoSpaceDN w:val="0"/>
              <w:spacing w:before="61" w:after="0" w:line="288" w:lineRule="auto"/>
              <w:ind w:left="76" w:right="86" w:hanging="22"/>
              <w:rPr>
                <w:rFonts w:ascii="Arial Narrow" w:eastAsia="Arial Narrow" w:hAnsi="Arial Narrow" w:cs="Arial Narrow"/>
                <w:sz w:val="16"/>
                <w:highlight w:val="yellow"/>
                <w:lang w:val="en-US" w:bidi="en-US"/>
              </w:rPr>
            </w:pPr>
          </w:p>
        </w:tc>
      </w:tr>
      <w:tr w:rsidR="00434007" w:rsidRPr="00757D23" w14:paraId="08B24FA1" w14:textId="77777777" w:rsidTr="005D7F78">
        <w:trPr>
          <w:trHeight w:val="1672"/>
        </w:trPr>
        <w:tc>
          <w:tcPr>
            <w:tcW w:w="79" w:type="dxa"/>
          </w:tcPr>
          <w:p w14:paraId="15E3D27C" w14:textId="77777777" w:rsidR="00434007" w:rsidRPr="00757D23" w:rsidRDefault="00434007" w:rsidP="00434007">
            <w:pPr>
              <w:widowControl w:val="0"/>
              <w:autoSpaceDE w:val="0"/>
              <w:autoSpaceDN w:val="0"/>
              <w:spacing w:before="39" w:after="0" w:line="261" w:lineRule="auto"/>
              <w:ind w:left="98" w:right="213"/>
              <w:jc w:val="both"/>
              <w:rPr>
                <w:rFonts w:ascii="Arial Narrow" w:eastAsia="Arial Narrow" w:hAnsi="Arial Narrow" w:cs="Arial Narrow"/>
                <w:sz w:val="16"/>
                <w:lang w:val="en-US" w:bidi="en-US"/>
              </w:rPr>
            </w:pPr>
          </w:p>
        </w:tc>
        <w:tc>
          <w:tcPr>
            <w:tcW w:w="78" w:type="dxa"/>
          </w:tcPr>
          <w:p w14:paraId="600E907F" w14:textId="77777777" w:rsidR="00434007" w:rsidRPr="00757D23" w:rsidRDefault="00434007" w:rsidP="00434007">
            <w:pPr>
              <w:widowControl w:val="0"/>
              <w:autoSpaceDE w:val="0"/>
              <w:autoSpaceDN w:val="0"/>
              <w:spacing w:before="39" w:after="0" w:line="261" w:lineRule="auto"/>
              <w:ind w:left="98" w:right="213"/>
              <w:jc w:val="both"/>
              <w:rPr>
                <w:rFonts w:ascii="Arial Narrow" w:eastAsia="Arial Narrow" w:hAnsi="Arial Narrow" w:cs="Arial Narrow"/>
                <w:sz w:val="16"/>
                <w:lang w:val="en-US" w:bidi="en-US"/>
              </w:rPr>
            </w:pPr>
          </w:p>
        </w:tc>
        <w:tc>
          <w:tcPr>
            <w:tcW w:w="4343" w:type="dxa"/>
          </w:tcPr>
          <w:p w14:paraId="29CA53D8" w14:textId="77777777" w:rsidR="00434007" w:rsidRPr="00757D23" w:rsidRDefault="00434007" w:rsidP="00607486">
            <w:pPr>
              <w:widowControl w:val="0"/>
              <w:autoSpaceDE w:val="0"/>
              <w:autoSpaceDN w:val="0"/>
              <w:spacing w:before="89" w:after="0" w:line="240" w:lineRule="auto"/>
              <w:ind w:left="98" w:right="213"/>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Confidence in intellectual property frameworks declines or the engagement of Member States or stakeholders diminishes reducing WIPO’s role, credibility or influence.</w:t>
            </w:r>
          </w:p>
          <w:p w14:paraId="51FF5B09" w14:textId="77777777" w:rsidR="00434007" w:rsidRPr="00757D23" w:rsidRDefault="00434007" w:rsidP="00607486">
            <w:pPr>
              <w:widowControl w:val="0"/>
              <w:autoSpaceDE w:val="0"/>
              <w:autoSpaceDN w:val="0"/>
              <w:spacing w:before="39" w:after="0" w:line="240" w:lineRule="auto"/>
              <w:ind w:left="98" w:right="213"/>
              <w:rPr>
                <w:rFonts w:ascii="Arial Narrow" w:eastAsia="Arial Narrow" w:hAnsi="Arial Narrow" w:cs="Arial Narrow"/>
                <w:b/>
                <w:i/>
                <w:sz w:val="16"/>
                <w:lang w:val="en-US" w:bidi="en-US"/>
              </w:rPr>
            </w:pPr>
            <w:r w:rsidRPr="00757D23">
              <w:rPr>
                <w:rFonts w:ascii="Arial Narrow" w:eastAsia="Arial Narrow" w:hAnsi="Arial Narrow" w:cs="Arial Narrow"/>
                <w:b/>
                <w:i/>
                <w:sz w:val="16"/>
                <w:lang w:val="en-US" w:bidi="en-US"/>
              </w:rPr>
              <w:t>Medium risk appetite</w:t>
            </w:r>
          </w:p>
        </w:tc>
        <w:tc>
          <w:tcPr>
            <w:tcW w:w="4050" w:type="dxa"/>
          </w:tcPr>
          <w:p w14:paraId="4C5452BE" w14:textId="1E531D7A" w:rsidR="00434007" w:rsidRPr="00757D23" w:rsidRDefault="00434007"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 xml:space="preserve">Demonstrate the value of IP in a pragmatic and impactful manner by supporting innovators and creators, and showing how IP can contribute to enterprise and economic growth. </w:t>
            </w:r>
            <w:r w:rsidR="001E7A58">
              <w:rPr>
                <w:rFonts w:ascii="Arial Narrow" w:eastAsia="Arial Narrow" w:hAnsi="Arial Narrow" w:cs="Arial Narrow"/>
                <w:sz w:val="16"/>
                <w:lang w:val="en-US" w:bidi="en-US"/>
              </w:rPr>
              <w:t xml:space="preserve"> </w:t>
            </w:r>
            <w:r w:rsidRPr="00757D23">
              <w:rPr>
                <w:rFonts w:ascii="Arial Narrow" w:eastAsia="Arial Narrow" w:hAnsi="Arial Narrow" w:cs="Arial Narrow"/>
                <w:sz w:val="16"/>
                <w:lang w:val="en-US" w:bidi="en-US"/>
              </w:rPr>
              <w:t>Proactively engage and communicate about IP beyond a technical audience to the general public and emerging stakeholders, such as youth, about the relevance and importance of IP. Facilitate and actively support a conducive and efficient environment for Member State deliberations and activities about areas of IP work relevant to them.</w:t>
            </w:r>
          </w:p>
        </w:tc>
        <w:tc>
          <w:tcPr>
            <w:tcW w:w="1260" w:type="dxa"/>
          </w:tcPr>
          <w:p w14:paraId="2DAA3E11" w14:textId="67630EB6" w:rsidR="00672FCB" w:rsidRDefault="00660BE6" w:rsidP="00607486">
            <w:pPr>
              <w:widowControl w:val="0"/>
              <w:autoSpaceDE w:val="0"/>
              <w:autoSpaceDN w:val="0"/>
              <w:spacing w:before="89"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672FCB" w:rsidRPr="00757D23">
              <w:rPr>
                <w:rFonts w:ascii="Arial Narrow" w:eastAsia="Times New Roman" w:hAnsi="Arial Narrow" w:cs="Arial Narrow"/>
                <w:sz w:val="16"/>
                <w:szCs w:val="16"/>
                <w:lang w:val="en-US" w:bidi="en-US"/>
              </w:rPr>
              <w:t xml:space="preserve">Medium </w:t>
            </w:r>
            <w:r w:rsidR="00EB4125">
              <w:rPr>
                <w:rFonts w:ascii="Arial Narrow" w:eastAsia="Times New Roman" w:hAnsi="Arial Narrow" w:cs="Arial Narrow"/>
                <w:sz w:val="16"/>
                <w:szCs w:val="16"/>
                <w:lang w:val="en-US" w:bidi="en-US"/>
              </w:rPr>
              <w:t xml:space="preserve">– </w:t>
            </w:r>
          </w:p>
          <w:p w14:paraId="78BEF495" w14:textId="1A94F6F4" w:rsidR="00434007" w:rsidRPr="00757D23" w:rsidRDefault="00660BE6" w:rsidP="00607486">
            <w:pPr>
              <w:widowControl w:val="0"/>
              <w:autoSpaceDE w:val="0"/>
              <w:autoSpaceDN w:val="0"/>
              <w:spacing w:before="4" w:after="0" w:line="240" w:lineRule="auto"/>
              <w:rPr>
                <w:rFonts w:ascii="Arial Narrow" w:eastAsia="Arial Narrow" w:hAnsi="Arial Narrow" w:cs="Arial Narrow"/>
                <w:sz w:val="16"/>
                <w:lang w:val="en-US" w:bidi="en-US"/>
              </w:rPr>
            </w:pPr>
            <w:r>
              <w:rPr>
                <w:rFonts w:ascii="Arial Narrow" w:eastAsia="Times New Roman" w:hAnsi="Arial Narrow" w:cs="Arial Narrow"/>
                <w:sz w:val="16"/>
                <w:szCs w:val="16"/>
                <w:lang w:val="en-US" w:bidi="en-US"/>
              </w:rPr>
              <w:t xml:space="preserve"> </w:t>
            </w:r>
            <w:r w:rsidR="00672FCB">
              <w:rPr>
                <w:rFonts w:ascii="Arial Narrow" w:eastAsia="Times New Roman" w:hAnsi="Arial Narrow" w:cs="Arial Narrow"/>
                <w:sz w:val="16"/>
                <w:szCs w:val="16"/>
                <w:lang w:val="en-US" w:bidi="en-US"/>
              </w:rPr>
              <w:t xml:space="preserve">in line with </w:t>
            </w:r>
            <w:r w:rsidR="00672FCB" w:rsidRPr="00757D23">
              <w:rPr>
                <w:rFonts w:ascii="Arial Narrow" w:eastAsia="Times New Roman" w:hAnsi="Arial Narrow" w:cs="Arial Narrow"/>
                <w:sz w:val="16"/>
                <w:szCs w:val="16"/>
                <w:lang w:val="en-US" w:bidi="en-US"/>
              </w:rPr>
              <w:t>risk appetite</w:t>
            </w:r>
          </w:p>
        </w:tc>
        <w:tc>
          <w:tcPr>
            <w:tcW w:w="78" w:type="dxa"/>
          </w:tcPr>
          <w:p w14:paraId="50B9F329" w14:textId="77777777" w:rsidR="00434007" w:rsidRPr="00757D23" w:rsidRDefault="00434007" w:rsidP="00434007">
            <w:pPr>
              <w:widowControl w:val="0"/>
              <w:autoSpaceDE w:val="0"/>
              <w:autoSpaceDN w:val="0"/>
              <w:spacing w:before="61" w:after="0" w:line="288" w:lineRule="auto"/>
              <w:ind w:left="76" w:right="86" w:hanging="22"/>
              <w:rPr>
                <w:rFonts w:ascii="Arial Narrow" w:eastAsia="Arial Narrow" w:hAnsi="Arial Narrow" w:cs="Arial Narrow"/>
                <w:sz w:val="16"/>
                <w:lang w:val="en-US" w:bidi="en-US"/>
              </w:rPr>
            </w:pPr>
          </w:p>
        </w:tc>
      </w:tr>
      <w:tr w:rsidR="00BD75A0" w:rsidRPr="00757D23" w14:paraId="363B5AC5" w14:textId="77777777" w:rsidTr="00844249">
        <w:trPr>
          <w:trHeight w:val="1447"/>
        </w:trPr>
        <w:tc>
          <w:tcPr>
            <w:tcW w:w="79" w:type="dxa"/>
          </w:tcPr>
          <w:p w14:paraId="15B894AB" w14:textId="77777777" w:rsidR="00BD75A0" w:rsidRPr="00757D23" w:rsidRDefault="00BD75A0" w:rsidP="00434007">
            <w:pPr>
              <w:widowControl w:val="0"/>
              <w:autoSpaceDE w:val="0"/>
              <w:autoSpaceDN w:val="0"/>
              <w:spacing w:before="146" w:after="0" w:line="261" w:lineRule="auto"/>
              <w:ind w:left="98" w:right="315"/>
              <w:rPr>
                <w:rFonts w:ascii="Arial Narrow" w:eastAsia="Arial Narrow" w:hAnsi="Arial Narrow" w:cs="Arial Narrow"/>
                <w:sz w:val="16"/>
                <w:lang w:val="en-US" w:bidi="en-US"/>
              </w:rPr>
            </w:pPr>
          </w:p>
        </w:tc>
        <w:tc>
          <w:tcPr>
            <w:tcW w:w="78" w:type="dxa"/>
          </w:tcPr>
          <w:p w14:paraId="652C211C" w14:textId="77777777" w:rsidR="00BD75A0" w:rsidRPr="00757D23" w:rsidRDefault="00BD75A0" w:rsidP="00434007">
            <w:pPr>
              <w:widowControl w:val="0"/>
              <w:autoSpaceDE w:val="0"/>
              <w:autoSpaceDN w:val="0"/>
              <w:spacing w:before="146" w:after="0" w:line="261" w:lineRule="auto"/>
              <w:ind w:left="98" w:right="315"/>
              <w:rPr>
                <w:rFonts w:ascii="Arial Narrow" w:eastAsia="Arial Narrow" w:hAnsi="Arial Narrow" w:cs="Arial Narrow"/>
                <w:sz w:val="16"/>
                <w:lang w:val="en-US" w:bidi="en-US"/>
              </w:rPr>
            </w:pPr>
          </w:p>
        </w:tc>
        <w:tc>
          <w:tcPr>
            <w:tcW w:w="4343" w:type="dxa"/>
          </w:tcPr>
          <w:p w14:paraId="3C1B5A78" w14:textId="77777777" w:rsidR="00BD75A0" w:rsidRPr="00BD75A0" w:rsidRDefault="00BD75A0" w:rsidP="00BD75A0">
            <w:pPr>
              <w:pStyle w:val="xtableparagraph"/>
              <w:spacing w:before="89" w:line="252" w:lineRule="auto"/>
              <w:ind w:left="101" w:right="216"/>
              <w:jc w:val="both"/>
              <w:rPr>
                <w:rFonts w:eastAsia="Arial Narrow" w:cs="Arial Narrow"/>
                <w:sz w:val="16"/>
                <w:lang w:bidi="en-US"/>
              </w:rPr>
            </w:pPr>
            <w:r w:rsidRPr="00BD75A0">
              <w:rPr>
                <w:rFonts w:eastAsia="Arial Narrow" w:cs="Arial Narrow"/>
                <w:sz w:val="16"/>
                <w:lang w:bidi="en-US"/>
              </w:rPr>
              <w:t>Two Diplomatic Conferences represent a significant opportunity for WIPO to address: (i) the proposed International Legal Instrument Relating to Intellectual Property, Genetic Resources and Traditional Knowledge Associated with Genetic Resources; and, (ii) the proposed Design Law Treaty. If the Diplomatic Conferences do not achieve their respective goals, it may affect the perception of WIPO’s ability to build a balanced and effective normative framework for IP.</w:t>
            </w:r>
          </w:p>
          <w:p w14:paraId="68FF29D4" w14:textId="006A7BF9" w:rsidR="00BD75A0" w:rsidRPr="00757D23" w:rsidRDefault="00BD75A0" w:rsidP="00BD75A0">
            <w:pPr>
              <w:widowControl w:val="0"/>
              <w:autoSpaceDE w:val="0"/>
              <w:autoSpaceDN w:val="0"/>
              <w:spacing w:before="39" w:after="0" w:line="240" w:lineRule="auto"/>
              <w:ind w:left="98" w:right="213"/>
              <w:rPr>
                <w:rFonts w:ascii="Arial Narrow" w:eastAsia="Arial Narrow" w:hAnsi="Arial Narrow" w:cs="Arial Narrow"/>
                <w:sz w:val="16"/>
                <w:lang w:val="en-US" w:bidi="en-US"/>
              </w:rPr>
            </w:pPr>
            <w:r w:rsidRPr="00BD75A0">
              <w:rPr>
                <w:rFonts w:ascii="Arial Narrow" w:eastAsia="Arial Narrow" w:hAnsi="Arial Narrow" w:cs="Arial Narrow"/>
                <w:b/>
                <w:i/>
                <w:sz w:val="16"/>
                <w:lang w:val="en-US" w:bidi="en-US"/>
              </w:rPr>
              <w:t>Medium risk appetite</w:t>
            </w:r>
          </w:p>
        </w:tc>
        <w:tc>
          <w:tcPr>
            <w:tcW w:w="4050" w:type="dxa"/>
          </w:tcPr>
          <w:p w14:paraId="1FF4911F" w14:textId="420D5BF6" w:rsidR="00BD75A0" w:rsidRPr="00757D23" w:rsidRDefault="00BD75A0"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BD75A0">
              <w:rPr>
                <w:rFonts w:ascii="Arial Narrow" w:eastAsia="Arial Narrow" w:hAnsi="Arial Narrow" w:cs="Arial Narrow"/>
                <w:sz w:val="16"/>
                <w:lang w:val="en-US" w:bidi="en-US"/>
              </w:rPr>
              <w:t>Active engagement with Member States and stakeholders to facilitate and create, in a technical and neutral way, a conducive environment for the Diplomatic Conferences to achieve their respective goals, whilst respecting that the outcomes will be Member State driven.</w:t>
            </w:r>
          </w:p>
        </w:tc>
        <w:tc>
          <w:tcPr>
            <w:tcW w:w="1260" w:type="dxa"/>
          </w:tcPr>
          <w:p w14:paraId="4682FC5C" w14:textId="77777777" w:rsidR="00BD75A0" w:rsidRDefault="00BD75A0" w:rsidP="00607486">
            <w:pPr>
              <w:widowControl w:val="0"/>
              <w:autoSpaceDE w:val="0"/>
              <w:autoSpaceDN w:val="0"/>
              <w:spacing w:before="89" w:after="0" w:line="240" w:lineRule="auto"/>
              <w:ind w:left="21" w:hanging="21"/>
              <w:rPr>
                <w:rFonts w:ascii="Arial Narrow" w:eastAsia="Arial Narrow" w:hAnsi="Arial Narrow" w:cs="Arial Narrow"/>
                <w:sz w:val="16"/>
                <w:lang w:val="en-US" w:bidi="en-US"/>
              </w:rPr>
            </w:pPr>
            <w:r w:rsidRPr="00BD75A0">
              <w:rPr>
                <w:rFonts w:ascii="Arial Narrow" w:eastAsia="Arial Narrow" w:hAnsi="Arial Narrow" w:cs="Arial Narrow"/>
                <w:sz w:val="16"/>
                <w:lang w:val="en-US" w:bidi="en-US"/>
              </w:rPr>
              <w:t xml:space="preserve">Medium – </w:t>
            </w:r>
          </w:p>
          <w:p w14:paraId="04700358" w14:textId="4BBDAC2C" w:rsidR="00BD75A0" w:rsidRDefault="00BD75A0" w:rsidP="00BD75A0">
            <w:pPr>
              <w:widowControl w:val="0"/>
              <w:autoSpaceDE w:val="0"/>
              <w:autoSpaceDN w:val="0"/>
              <w:spacing w:after="0" w:line="240" w:lineRule="auto"/>
              <w:ind w:left="14" w:hanging="14"/>
              <w:rPr>
                <w:rFonts w:ascii="Arial Narrow" w:eastAsia="Times New Roman" w:hAnsi="Arial Narrow" w:cs="Arial Narrow"/>
                <w:sz w:val="16"/>
                <w:szCs w:val="16"/>
                <w:lang w:val="en-US" w:bidi="en-US"/>
              </w:rPr>
            </w:pPr>
            <w:r w:rsidRPr="00BD75A0">
              <w:rPr>
                <w:rFonts w:ascii="Arial Narrow" w:eastAsia="Arial Narrow" w:hAnsi="Arial Narrow" w:cs="Arial Narrow"/>
                <w:sz w:val="16"/>
                <w:lang w:val="en-US" w:bidi="en-US"/>
              </w:rPr>
              <w:t>in line with risk appetite</w:t>
            </w:r>
          </w:p>
        </w:tc>
        <w:tc>
          <w:tcPr>
            <w:tcW w:w="78" w:type="dxa"/>
          </w:tcPr>
          <w:p w14:paraId="583CF978" w14:textId="77777777" w:rsidR="00BD75A0" w:rsidRPr="00757D23" w:rsidRDefault="00BD75A0" w:rsidP="00434007">
            <w:pPr>
              <w:widowControl w:val="0"/>
              <w:autoSpaceDE w:val="0"/>
              <w:autoSpaceDN w:val="0"/>
              <w:spacing w:before="4" w:after="0" w:line="240" w:lineRule="auto"/>
              <w:rPr>
                <w:rFonts w:eastAsia="Arial Narrow" w:hAnsi="Arial Narrow" w:cs="Arial Narrow"/>
                <w:sz w:val="14"/>
                <w:lang w:val="en-US" w:bidi="en-US"/>
              </w:rPr>
            </w:pPr>
          </w:p>
        </w:tc>
      </w:tr>
      <w:tr w:rsidR="00434007" w:rsidRPr="00757D23" w14:paraId="280D3DC2" w14:textId="77777777" w:rsidTr="00844249">
        <w:trPr>
          <w:trHeight w:val="1042"/>
        </w:trPr>
        <w:tc>
          <w:tcPr>
            <w:tcW w:w="79" w:type="dxa"/>
          </w:tcPr>
          <w:p w14:paraId="3BA57DE6" w14:textId="77777777" w:rsidR="00434007" w:rsidRPr="00757D23" w:rsidRDefault="00434007" w:rsidP="00434007">
            <w:pPr>
              <w:widowControl w:val="0"/>
              <w:autoSpaceDE w:val="0"/>
              <w:autoSpaceDN w:val="0"/>
              <w:spacing w:before="146" w:after="0" w:line="261" w:lineRule="auto"/>
              <w:ind w:left="98" w:right="315"/>
              <w:rPr>
                <w:rFonts w:ascii="Arial Narrow" w:eastAsia="Arial Narrow" w:hAnsi="Arial Narrow" w:cs="Arial Narrow"/>
                <w:sz w:val="16"/>
                <w:lang w:val="en-US" w:bidi="en-US"/>
              </w:rPr>
            </w:pPr>
          </w:p>
        </w:tc>
        <w:tc>
          <w:tcPr>
            <w:tcW w:w="78" w:type="dxa"/>
          </w:tcPr>
          <w:p w14:paraId="56DBB30D" w14:textId="77777777" w:rsidR="00434007" w:rsidRPr="00757D23" w:rsidRDefault="00434007" w:rsidP="00434007">
            <w:pPr>
              <w:widowControl w:val="0"/>
              <w:autoSpaceDE w:val="0"/>
              <w:autoSpaceDN w:val="0"/>
              <w:spacing w:before="146" w:after="0" w:line="261" w:lineRule="auto"/>
              <w:ind w:left="98" w:right="315"/>
              <w:rPr>
                <w:rFonts w:ascii="Arial Narrow" w:eastAsia="Arial Narrow" w:hAnsi="Arial Narrow" w:cs="Arial Narrow"/>
                <w:sz w:val="16"/>
                <w:lang w:val="en-US" w:bidi="en-US"/>
              </w:rPr>
            </w:pPr>
          </w:p>
        </w:tc>
        <w:tc>
          <w:tcPr>
            <w:tcW w:w="4343" w:type="dxa"/>
          </w:tcPr>
          <w:p w14:paraId="4570D30A" w14:textId="08FA6BD2" w:rsidR="00434007" w:rsidRPr="00757D23" w:rsidRDefault="00434007" w:rsidP="00607486">
            <w:pPr>
              <w:widowControl w:val="0"/>
              <w:autoSpaceDE w:val="0"/>
              <w:autoSpaceDN w:val="0"/>
              <w:spacing w:before="89" w:after="0" w:line="240" w:lineRule="auto"/>
              <w:ind w:left="98" w:right="315"/>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In the context of global economic uncertainty, a reduction in filings for revenue generating activities</w:t>
            </w:r>
            <w:r w:rsidR="001E7A58">
              <w:rPr>
                <w:rFonts w:ascii="Arial Narrow" w:eastAsia="Arial Narrow" w:hAnsi="Arial Narrow" w:cs="Arial Narrow"/>
                <w:sz w:val="16"/>
                <w:lang w:val="en-US" w:bidi="en-US"/>
              </w:rPr>
              <w:t xml:space="preserve"> owing to an economic downturn </w:t>
            </w:r>
            <w:r w:rsidRPr="00757D23">
              <w:rPr>
                <w:rFonts w:ascii="Arial Narrow" w:eastAsia="Arial Narrow" w:hAnsi="Arial Narrow" w:cs="Arial Narrow"/>
                <w:sz w:val="16"/>
                <w:lang w:val="en-US" w:bidi="en-US"/>
              </w:rPr>
              <w:t>or other reasons reduces the biennial income received</w:t>
            </w:r>
            <w:r w:rsidR="001E7A58">
              <w:rPr>
                <w:rFonts w:ascii="Arial Narrow" w:eastAsia="Arial Narrow" w:hAnsi="Arial Narrow" w:cs="Arial Narrow"/>
                <w:sz w:val="16"/>
                <w:lang w:val="en-US" w:bidi="en-US"/>
              </w:rPr>
              <w:t xml:space="preserve"> thus threatening</w:t>
            </w:r>
            <w:r w:rsidRPr="00757D23">
              <w:rPr>
                <w:rFonts w:ascii="Arial Narrow" w:eastAsia="Arial Narrow" w:hAnsi="Arial Narrow" w:cs="Arial Narrow"/>
                <w:sz w:val="16"/>
                <w:lang w:val="en-US" w:bidi="en-US"/>
              </w:rPr>
              <w:t xml:space="preserve"> the Organization’s financial sustainability.</w:t>
            </w:r>
          </w:p>
          <w:p w14:paraId="145CEDE5" w14:textId="77777777" w:rsidR="00434007" w:rsidRPr="00757D23" w:rsidRDefault="00434007" w:rsidP="00607486">
            <w:pPr>
              <w:widowControl w:val="0"/>
              <w:autoSpaceDE w:val="0"/>
              <w:autoSpaceDN w:val="0"/>
              <w:spacing w:before="39" w:after="0" w:line="240" w:lineRule="auto"/>
              <w:ind w:left="101" w:right="317"/>
              <w:rPr>
                <w:rFonts w:ascii="Arial Narrow" w:eastAsia="Arial Narrow" w:hAnsi="Arial Narrow" w:cs="Arial Narrow"/>
                <w:sz w:val="16"/>
                <w:lang w:val="en-US" w:bidi="en-US"/>
              </w:rPr>
            </w:pPr>
            <w:r w:rsidRPr="00757D23">
              <w:rPr>
                <w:rFonts w:ascii="Arial Narrow" w:eastAsia="Arial Narrow" w:hAnsi="Arial Narrow" w:cs="Arial Narrow"/>
                <w:b/>
                <w:i/>
                <w:sz w:val="16"/>
                <w:lang w:val="en-US" w:bidi="en-US"/>
              </w:rPr>
              <w:t>Medium risk appetite</w:t>
            </w:r>
          </w:p>
        </w:tc>
        <w:tc>
          <w:tcPr>
            <w:tcW w:w="4050" w:type="dxa"/>
          </w:tcPr>
          <w:p w14:paraId="422A13AD" w14:textId="075626F6" w:rsidR="00434007" w:rsidRPr="00757D23" w:rsidRDefault="00434007" w:rsidP="00BD75A0">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 xml:space="preserve">Reserves set at approximately 25% of biennial budget; prudent financial management and monitoring as well as rolling </w:t>
            </w:r>
            <w:r w:rsidR="001E7A58">
              <w:rPr>
                <w:rFonts w:ascii="Arial Narrow" w:eastAsia="Arial Narrow" w:hAnsi="Arial Narrow" w:cs="Arial Narrow"/>
                <w:sz w:val="16"/>
                <w:lang w:val="en-US" w:bidi="en-US"/>
              </w:rPr>
              <w:t xml:space="preserve">income </w:t>
            </w:r>
            <w:r w:rsidRPr="00757D23">
              <w:rPr>
                <w:rFonts w:ascii="Arial Narrow" w:eastAsia="Arial Narrow" w:hAnsi="Arial Narrow" w:cs="Arial Narrow"/>
                <w:sz w:val="16"/>
                <w:lang w:val="en-US" w:bidi="en-US"/>
              </w:rPr>
              <w:t xml:space="preserve">and </w:t>
            </w:r>
            <w:r w:rsidR="001E7A58">
              <w:rPr>
                <w:rFonts w:ascii="Arial Narrow" w:eastAsia="Arial Narrow" w:hAnsi="Arial Narrow" w:cs="Arial Narrow"/>
                <w:sz w:val="16"/>
                <w:lang w:val="en-US" w:bidi="en-US"/>
              </w:rPr>
              <w:t>demand</w:t>
            </w:r>
            <w:r w:rsidRPr="00757D23">
              <w:rPr>
                <w:rFonts w:ascii="Arial Narrow" w:eastAsia="Arial Narrow" w:hAnsi="Arial Narrow" w:cs="Arial Narrow"/>
                <w:sz w:val="16"/>
                <w:lang w:val="en-US" w:bidi="en-US"/>
              </w:rPr>
              <w:t xml:space="preserve"> forecasts place the Organization in a sound financial position with the ability to recognize and respond in an agile manner to changes.</w:t>
            </w:r>
          </w:p>
        </w:tc>
        <w:tc>
          <w:tcPr>
            <w:tcW w:w="1260" w:type="dxa"/>
          </w:tcPr>
          <w:p w14:paraId="79190BD1" w14:textId="62B23B83" w:rsidR="00D56626" w:rsidRDefault="00660BE6" w:rsidP="00607486">
            <w:pPr>
              <w:widowControl w:val="0"/>
              <w:autoSpaceDE w:val="0"/>
              <w:autoSpaceDN w:val="0"/>
              <w:spacing w:before="89" w:after="0" w:line="240" w:lineRule="auto"/>
              <w:ind w:left="21" w:hanging="21"/>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D56626">
              <w:rPr>
                <w:rFonts w:ascii="Arial Narrow" w:eastAsia="Times New Roman" w:hAnsi="Arial Narrow" w:cs="Arial Narrow"/>
                <w:sz w:val="16"/>
                <w:szCs w:val="16"/>
                <w:lang w:val="en-US" w:bidi="en-US"/>
              </w:rPr>
              <w:t xml:space="preserve">Medium </w:t>
            </w:r>
            <w:r w:rsidR="00EB4125">
              <w:rPr>
                <w:rFonts w:ascii="Arial Narrow" w:eastAsia="Times New Roman" w:hAnsi="Arial Narrow" w:cs="Arial Narrow"/>
                <w:sz w:val="16"/>
                <w:szCs w:val="16"/>
                <w:lang w:val="en-US" w:bidi="en-US"/>
              </w:rPr>
              <w:t xml:space="preserve">– </w:t>
            </w:r>
          </w:p>
          <w:p w14:paraId="47921A33" w14:textId="02FF903D" w:rsidR="00660BE6" w:rsidRDefault="00D56626" w:rsidP="00607486">
            <w:pPr>
              <w:widowControl w:val="0"/>
              <w:autoSpaceDE w:val="0"/>
              <w:autoSpaceDN w:val="0"/>
              <w:spacing w:after="0" w:line="240" w:lineRule="auto"/>
              <w:ind w:left="21" w:hanging="21"/>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660BE6">
              <w:rPr>
                <w:rFonts w:ascii="Arial Narrow" w:eastAsia="Times New Roman" w:hAnsi="Arial Narrow" w:cs="Arial Narrow"/>
                <w:sz w:val="16"/>
                <w:szCs w:val="16"/>
                <w:lang w:val="en-US" w:bidi="en-US"/>
              </w:rPr>
              <w:t>in line with risk appetite</w:t>
            </w:r>
          </w:p>
          <w:p w14:paraId="6341BCF8" w14:textId="75621936" w:rsidR="00434007" w:rsidRPr="00757D23" w:rsidRDefault="00434007" w:rsidP="00607486">
            <w:pPr>
              <w:widowControl w:val="0"/>
              <w:autoSpaceDE w:val="0"/>
              <w:autoSpaceDN w:val="0"/>
              <w:spacing w:before="89" w:after="0" w:line="240" w:lineRule="auto"/>
              <w:rPr>
                <w:rFonts w:eastAsia="Arial Narrow" w:hAnsi="Arial Narrow" w:cs="Arial Narrow"/>
                <w:sz w:val="14"/>
                <w:lang w:val="en-US" w:bidi="en-US"/>
              </w:rPr>
            </w:pPr>
          </w:p>
        </w:tc>
        <w:tc>
          <w:tcPr>
            <w:tcW w:w="78" w:type="dxa"/>
          </w:tcPr>
          <w:p w14:paraId="6BFB7039" w14:textId="77777777" w:rsidR="00434007" w:rsidRPr="00757D23" w:rsidRDefault="00434007" w:rsidP="00434007">
            <w:pPr>
              <w:widowControl w:val="0"/>
              <w:autoSpaceDE w:val="0"/>
              <w:autoSpaceDN w:val="0"/>
              <w:spacing w:before="4" w:after="0" w:line="240" w:lineRule="auto"/>
              <w:rPr>
                <w:rFonts w:eastAsia="Arial Narrow" w:hAnsi="Arial Narrow" w:cs="Arial Narrow"/>
                <w:sz w:val="14"/>
                <w:lang w:val="en-US" w:bidi="en-US"/>
              </w:rPr>
            </w:pPr>
          </w:p>
        </w:tc>
      </w:tr>
      <w:tr w:rsidR="00434007" w:rsidRPr="00757D23" w14:paraId="62B4F337" w14:textId="77777777" w:rsidTr="00BD75A0">
        <w:trPr>
          <w:trHeight w:val="1258"/>
        </w:trPr>
        <w:tc>
          <w:tcPr>
            <w:tcW w:w="79" w:type="dxa"/>
          </w:tcPr>
          <w:p w14:paraId="1F07097B" w14:textId="77777777" w:rsidR="00434007" w:rsidRPr="00757D23" w:rsidRDefault="00434007" w:rsidP="00434007">
            <w:pPr>
              <w:widowControl w:val="0"/>
              <w:autoSpaceDE w:val="0"/>
              <w:autoSpaceDN w:val="0"/>
              <w:spacing w:before="146" w:after="0" w:line="261" w:lineRule="auto"/>
              <w:ind w:left="98" w:right="38"/>
              <w:rPr>
                <w:rFonts w:ascii="Arial Narrow" w:eastAsia="Arial Narrow" w:hAnsi="Arial Narrow" w:cs="Arial Narrow"/>
                <w:sz w:val="16"/>
                <w:lang w:val="en-US" w:bidi="en-US"/>
              </w:rPr>
            </w:pPr>
          </w:p>
        </w:tc>
        <w:tc>
          <w:tcPr>
            <w:tcW w:w="78" w:type="dxa"/>
          </w:tcPr>
          <w:p w14:paraId="6C036A87" w14:textId="77777777" w:rsidR="00434007" w:rsidRPr="00757D23" w:rsidRDefault="00434007" w:rsidP="00434007">
            <w:pPr>
              <w:widowControl w:val="0"/>
              <w:autoSpaceDE w:val="0"/>
              <w:autoSpaceDN w:val="0"/>
              <w:spacing w:before="146" w:after="0" w:line="261" w:lineRule="auto"/>
              <w:ind w:left="98" w:right="38"/>
              <w:rPr>
                <w:rFonts w:ascii="Arial Narrow" w:eastAsia="Arial Narrow" w:hAnsi="Arial Narrow" w:cs="Arial Narrow"/>
                <w:sz w:val="16"/>
                <w:lang w:val="en-US" w:bidi="en-US"/>
              </w:rPr>
            </w:pPr>
          </w:p>
        </w:tc>
        <w:tc>
          <w:tcPr>
            <w:tcW w:w="4343" w:type="dxa"/>
          </w:tcPr>
          <w:p w14:paraId="5A1ABBBF" w14:textId="77777777" w:rsidR="00434007" w:rsidRPr="00757D23" w:rsidRDefault="00434007" w:rsidP="00607486">
            <w:pPr>
              <w:widowControl w:val="0"/>
              <w:autoSpaceDE w:val="0"/>
              <w:autoSpaceDN w:val="0"/>
              <w:spacing w:before="89" w:after="0" w:line="240" w:lineRule="auto"/>
              <w:ind w:left="98" w:right="38"/>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Prolonged unavailability of business critical information systems negatively</w:t>
            </w:r>
            <w:bookmarkStart w:id="13" w:name="Chart_3:__2022/23_Share_of_Personnel_and"/>
            <w:bookmarkEnd w:id="13"/>
            <w:r w:rsidRPr="00757D23">
              <w:rPr>
                <w:rFonts w:ascii="Arial Narrow" w:eastAsia="Arial Narrow" w:hAnsi="Arial Narrow" w:cs="Arial Narrow"/>
                <w:sz w:val="16"/>
                <w:lang w:val="en-US" w:bidi="en-US"/>
              </w:rPr>
              <w:t xml:space="preserve"> affects the key services of WIPO including, </w:t>
            </w:r>
            <w:r w:rsidRPr="00757D23">
              <w:rPr>
                <w:rFonts w:ascii="Arial Narrow" w:eastAsia="Arial Narrow" w:hAnsi="Arial Narrow" w:cs="Arial Narrow"/>
                <w:i/>
                <w:sz w:val="16"/>
                <w:lang w:val="en-US" w:bidi="en-US"/>
              </w:rPr>
              <w:t xml:space="preserve">inter alia, </w:t>
            </w:r>
            <w:r w:rsidRPr="00757D23">
              <w:rPr>
                <w:rFonts w:ascii="Arial Narrow" w:eastAsia="Arial Narrow" w:hAnsi="Arial Narrow" w:cs="Arial Narrow"/>
                <w:sz w:val="16"/>
                <w:lang w:val="en-US" w:bidi="en-US"/>
              </w:rPr>
              <w:t>WIPO’s Global IP Services, Platforms and internal systems.</w:t>
            </w:r>
          </w:p>
          <w:p w14:paraId="4EA16E38" w14:textId="77777777" w:rsidR="00434007" w:rsidRPr="00757D23" w:rsidRDefault="00434007" w:rsidP="00607486">
            <w:pPr>
              <w:widowControl w:val="0"/>
              <w:autoSpaceDE w:val="0"/>
              <w:autoSpaceDN w:val="0"/>
              <w:spacing w:before="39" w:after="0" w:line="240" w:lineRule="auto"/>
              <w:ind w:left="98" w:right="38"/>
              <w:rPr>
                <w:rFonts w:ascii="Arial Narrow" w:eastAsia="Arial Narrow" w:hAnsi="Arial Narrow" w:cs="Arial Narrow"/>
                <w:sz w:val="16"/>
                <w:lang w:val="en-US" w:bidi="en-US"/>
              </w:rPr>
            </w:pPr>
            <w:r w:rsidRPr="00757D23">
              <w:rPr>
                <w:rFonts w:ascii="Arial Narrow" w:eastAsia="Arial Narrow" w:hAnsi="Arial Narrow" w:cs="Arial Narrow"/>
                <w:b/>
                <w:i/>
                <w:sz w:val="16"/>
                <w:lang w:val="en-US" w:bidi="en-US"/>
              </w:rPr>
              <w:t>Low risk appetite</w:t>
            </w:r>
          </w:p>
        </w:tc>
        <w:tc>
          <w:tcPr>
            <w:tcW w:w="4050" w:type="dxa"/>
          </w:tcPr>
          <w:p w14:paraId="220E4066" w14:textId="07CE1C08" w:rsidR="00434007" w:rsidRPr="00757D23" w:rsidRDefault="00434007"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Preparation and regular testing of IT disaster recovery and business continuity plans, updated to reflect lessons from the COVID-19 pandemic. Implementation of cross-functional strategies</w:t>
            </w:r>
            <w:r w:rsidR="001E7A58">
              <w:rPr>
                <w:rFonts w:ascii="Arial Narrow" w:eastAsia="Arial Narrow" w:hAnsi="Arial Narrow" w:cs="Arial Narrow"/>
                <w:sz w:val="16"/>
                <w:lang w:val="en-US" w:bidi="en-US"/>
              </w:rPr>
              <w:t>,</w:t>
            </w:r>
            <w:r w:rsidRPr="00757D23">
              <w:rPr>
                <w:rFonts w:ascii="Arial Narrow" w:eastAsia="Arial Narrow" w:hAnsi="Arial Narrow" w:cs="Arial Narrow"/>
                <w:sz w:val="16"/>
                <w:lang w:val="en-US" w:bidi="en-US"/>
              </w:rPr>
              <w:t xml:space="preserve"> including resilience improvements in system</w:t>
            </w:r>
            <w:bookmarkStart w:id="14" w:name="Personnel_Costs"/>
            <w:bookmarkStart w:id="15" w:name="Information_and_Digital_Outreach"/>
            <w:bookmarkEnd w:id="14"/>
            <w:bookmarkEnd w:id="15"/>
            <w:r w:rsidRPr="00757D23">
              <w:rPr>
                <w:rFonts w:ascii="Arial Narrow" w:eastAsia="Arial Narrow" w:hAnsi="Arial Narrow" w:cs="Arial Narrow"/>
                <w:sz w:val="16"/>
                <w:lang w:val="en-US" w:bidi="en-US"/>
              </w:rPr>
              <w:t xml:space="preserve"> architecture, exploiting the additional levels of resilience provided by cloud</w:t>
            </w:r>
            <w:bookmarkStart w:id="16" w:name="Income"/>
            <w:bookmarkEnd w:id="16"/>
            <w:r w:rsidRPr="00757D23">
              <w:rPr>
                <w:rFonts w:ascii="Arial Narrow" w:eastAsia="Arial Narrow" w:hAnsi="Arial Narrow" w:cs="Arial Narrow"/>
                <w:sz w:val="16"/>
                <w:lang w:val="en-US" w:bidi="en-US"/>
              </w:rPr>
              <w:t xml:space="preserve"> architectures, and a greater degree of automated development and release controls.</w:t>
            </w:r>
          </w:p>
        </w:tc>
        <w:tc>
          <w:tcPr>
            <w:tcW w:w="1260" w:type="dxa"/>
          </w:tcPr>
          <w:p w14:paraId="17C94BAB" w14:textId="16558462" w:rsidR="00434007" w:rsidRDefault="00660BE6" w:rsidP="00607486">
            <w:pPr>
              <w:widowControl w:val="0"/>
              <w:autoSpaceDE w:val="0"/>
              <w:autoSpaceDN w:val="0"/>
              <w:spacing w:before="89"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434007" w:rsidRPr="00757D23">
              <w:rPr>
                <w:rFonts w:ascii="Arial Narrow" w:eastAsia="Times New Roman" w:hAnsi="Arial Narrow" w:cs="Arial Narrow"/>
                <w:sz w:val="16"/>
                <w:szCs w:val="16"/>
                <w:lang w:val="en-US" w:bidi="en-US"/>
              </w:rPr>
              <w:t>Low</w:t>
            </w:r>
            <w:r w:rsidR="00D56626">
              <w:rPr>
                <w:rFonts w:ascii="Arial Narrow" w:eastAsia="Times New Roman" w:hAnsi="Arial Narrow" w:cs="Arial Narrow"/>
                <w:sz w:val="16"/>
                <w:szCs w:val="16"/>
                <w:lang w:val="en-US" w:bidi="en-US"/>
              </w:rPr>
              <w:t xml:space="preserve"> </w:t>
            </w:r>
            <w:r w:rsidR="00EB4125">
              <w:rPr>
                <w:rFonts w:ascii="Arial Narrow" w:eastAsia="Times New Roman" w:hAnsi="Arial Narrow" w:cs="Arial Narrow"/>
                <w:sz w:val="16"/>
                <w:szCs w:val="16"/>
                <w:lang w:val="en-US" w:bidi="en-US"/>
              </w:rPr>
              <w:t xml:space="preserve">– </w:t>
            </w:r>
            <w:r>
              <w:rPr>
                <w:rFonts w:ascii="Arial Narrow" w:eastAsia="Times New Roman" w:hAnsi="Arial Narrow" w:cs="Arial Narrow"/>
                <w:sz w:val="16"/>
                <w:szCs w:val="16"/>
                <w:lang w:val="en-US" w:bidi="en-US"/>
              </w:rPr>
              <w:t xml:space="preserve"> </w:t>
            </w:r>
          </w:p>
          <w:p w14:paraId="2068A4F5" w14:textId="29B390DE" w:rsidR="00434007" w:rsidRPr="00757D23" w:rsidRDefault="00660BE6" w:rsidP="00607486">
            <w:pPr>
              <w:widowControl w:val="0"/>
              <w:autoSpaceDE w:val="0"/>
              <w:autoSpaceDN w:val="0"/>
              <w:spacing w:before="6" w:after="0" w:line="240" w:lineRule="auto"/>
              <w:rPr>
                <w:rFonts w:eastAsia="Arial Narrow" w:hAnsi="Arial Narrow" w:cs="Arial Narrow"/>
                <w:sz w:val="14"/>
                <w:lang w:val="en-US" w:bidi="en-US"/>
              </w:rPr>
            </w:pPr>
            <w:r>
              <w:rPr>
                <w:rFonts w:ascii="Arial Narrow" w:eastAsia="Times New Roman" w:hAnsi="Arial Narrow" w:cs="Arial Narrow"/>
                <w:sz w:val="16"/>
                <w:szCs w:val="16"/>
                <w:lang w:val="en-US" w:bidi="en-US"/>
              </w:rPr>
              <w:t xml:space="preserve"> i</w:t>
            </w:r>
            <w:r w:rsidR="00434007" w:rsidRPr="00757D23">
              <w:rPr>
                <w:rFonts w:ascii="Arial Narrow" w:eastAsia="Times New Roman" w:hAnsi="Arial Narrow" w:cs="Arial Narrow"/>
                <w:sz w:val="16"/>
                <w:szCs w:val="16"/>
                <w:lang w:val="en-US" w:bidi="en-US"/>
              </w:rPr>
              <w:t>n line with risk appetite</w:t>
            </w:r>
          </w:p>
        </w:tc>
        <w:tc>
          <w:tcPr>
            <w:tcW w:w="78" w:type="dxa"/>
          </w:tcPr>
          <w:p w14:paraId="698D0991" w14:textId="77777777" w:rsidR="00434007" w:rsidRPr="00757D23" w:rsidRDefault="00434007" w:rsidP="00434007">
            <w:pPr>
              <w:widowControl w:val="0"/>
              <w:autoSpaceDE w:val="0"/>
              <w:autoSpaceDN w:val="0"/>
              <w:spacing w:before="6" w:after="0" w:line="240" w:lineRule="auto"/>
              <w:rPr>
                <w:rFonts w:eastAsia="Arial Narrow" w:hAnsi="Arial Narrow" w:cs="Arial Narrow"/>
                <w:sz w:val="14"/>
                <w:lang w:val="en-US" w:bidi="en-US"/>
              </w:rPr>
            </w:pPr>
          </w:p>
        </w:tc>
      </w:tr>
      <w:tr w:rsidR="00434007" w:rsidRPr="00757D23" w14:paraId="5588B28D" w14:textId="77777777" w:rsidTr="00844249">
        <w:trPr>
          <w:trHeight w:val="79"/>
        </w:trPr>
        <w:tc>
          <w:tcPr>
            <w:tcW w:w="79" w:type="dxa"/>
          </w:tcPr>
          <w:p w14:paraId="52E36244" w14:textId="77777777" w:rsidR="00434007" w:rsidRPr="00757D23" w:rsidRDefault="00434007" w:rsidP="00434007">
            <w:pPr>
              <w:widowControl w:val="0"/>
              <w:autoSpaceDE w:val="0"/>
              <w:autoSpaceDN w:val="0"/>
              <w:spacing w:before="146" w:after="0" w:line="261" w:lineRule="auto"/>
              <w:ind w:left="98" w:right="52"/>
              <w:rPr>
                <w:rFonts w:ascii="Arial Narrow" w:eastAsia="Arial Narrow" w:hAnsi="Arial Narrow" w:cs="Arial Narrow"/>
                <w:sz w:val="16"/>
                <w:lang w:val="en-US" w:bidi="en-US"/>
              </w:rPr>
            </w:pPr>
          </w:p>
        </w:tc>
        <w:tc>
          <w:tcPr>
            <w:tcW w:w="78" w:type="dxa"/>
          </w:tcPr>
          <w:p w14:paraId="783DAA02" w14:textId="77777777" w:rsidR="00434007" w:rsidRPr="00757D23" w:rsidRDefault="00434007" w:rsidP="00434007">
            <w:pPr>
              <w:widowControl w:val="0"/>
              <w:autoSpaceDE w:val="0"/>
              <w:autoSpaceDN w:val="0"/>
              <w:spacing w:before="146" w:after="0" w:line="261" w:lineRule="auto"/>
              <w:ind w:left="98" w:right="52"/>
              <w:rPr>
                <w:rFonts w:ascii="Arial Narrow" w:eastAsia="Arial Narrow" w:hAnsi="Arial Narrow" w:cs="Arial Narrow"/>
                <w:sz w:val="16"/>
                <w:lang w:val="en-US" w:bidi="en-US"/>
              </w:rPr>
            </w:pPr>
          </w:p>
        </w:tc>
        <w:tc>
          <w:tcPr>
            <w:tcW w:w="4343" w:type="dxa"/>
          </w:tcPr>
          <w:p w14:paraId="70B010B9" w14:textId="55F5EF4D" w:rsidR="00434007" w:rsidRPr="00757D23" w:rsidRDefault="00434007" w:rsidP="00607486">
            <w:pPr>
              <w:widowControl w:val="0"/>
              <w:autoSpaceDE w:val="0"/>
              <w:autoSpaceDN w:val="0"/>
              <w:spacing w:before="89" w:after="0" w:line="240" w:lineRule="auto"/>
              <w:ind w:left="98" w:right="52"/>
              <w:rPr>
                <w:rFonts w:ascii="Arial Narrow" w:eastAsia="Arial Narrow" w:hAnsi="Arial Narrow" w:cs="Arial Narrow"/>
                <w:b/>
                <w:i/>
                <w:sz w:val="16"/>
                <w:lang w:val="en-US" w:bidi="en-US"/>
              </w:rPr>
            </w:pPr>
            <w:bookmarkStart w:id="17" w:name="Methodology"/>
            <w:bookmarkStart w:id="18" w:name="Copyright_Law"/>
            <w:bookmarkEnd w:id="17"/>
            <w:bookmarkEnd w:id="18"/>
            <w:r w:rsidRPr="00757D23">
              <w:rPr>
                <w:rFonts w:ascii="Arial Narrow" w:eastAsia="Arial Narrow" w:hAnsi="Arial Narrow" w:cs="Arial Narrow"/>
                <w:sz w:val="16"/>
                <w:lang w:val="en-US" w:bidi="en-US"/>
              </w:rPr>
              <w:t>WIPO and its external service providers are exposed t</w:t>
            </w:r>
            <w:r w:rsidR="00607486">
              <w:rPr>
                <w:rFonts w:ascii="Arial Narrow" w:eastAsia="Arial Narrow" w:hAnsi="Arial Narrow" w:cs="Arial Narrow"/>
                <w:sz w:val="16"/>
                <w:lang w:val="en-US" w:bidi="en-US"/>
              </w:rPr>
              <w:t xml:space="preserve">o </w:t>
            </w:r>
            <w:r w:rsidRPr="00757D23">
              <w:rPr>
                <w:rFonts w:ascii="Arial Narrow" w:eastAsia="Arial Narrow" w:hAnsi="Arial Narrow" w:cs="Arial Narrow"/>
                <w:sz w:val="16"/>
                <w:lang w:val="en-US" w:bidi="en-US"/>
              </w:rPr>
              <w:t xml:space="preserve">risks arising from cyber-crime or other breach of cybersecurity leading to the accidental or unlawful destruction, loss, alteration, unauthorized disclosure of, or access to, confidential and/or personal data that is transmitted, stored or otherwise processed by the Organization. </w:t>
            </w:r>
          </w:p>
          <w:p w14:paraId="2D7E8F1B" w14:textId="77777777" w:rsidR="00434007" w:rsidRPr="00757D23" w:rsidRDefault="00434007" w:rsidP="00607486">
            <w:pPr>
              <w:widowControl w:val="0"/>
              <w:autoSpaceDE w:val="0"/>
              <w:autoSpaceDN w:val="0"/>
              <w:spacing w:before="39" w:after="0" w:line="240" w:lineRule="auto"/>
              <w:ind w:left="101" w:right="52"/>
              <w:rPr>
                <w:rFonts w:ascii="Arial Narrow" w:eastAsia="Arial Narrow" w:hAnsi="Arial Narrow" w:cs="Arial Narrow"/>
                <w:sz w:val="16"/>
                <w:lang w:val="en-US" w:bidi="en-US"/>
              </w:rPr>
            </w:pPr>
            <w:r w:rsidRPr="00757D23">
              <w:rPr>
                <w:rFonts w:ascii="Arial Narrow" w:eastAsia="Arial Narrow" w:hAnsi="Arial Narrow" w:cs="Arial Narrow"/>
                <w:b/>
                <w:i/>
                <w:sz w:val="16"/>
                <w:lang w:val="en-US" w:bidi="en-US"/>
              </w:rPr>
              <w:t>Low risk appetite</w:t>
            </w:r>
          </w:p>
        </w:tc>
        <w:tc>
          <w:tcPr>
            <w:tcW w:w="4050" w:type="dxa"/>
          </w:tcPr>
          <w:p w14:paraId="6B44C90F" w14:textId="11ED4BC0" w:rsidR="00434007" w:rsidRPr="00757D23" w:rsidRDefault="00434007"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The implementation of a comprehensive information security strategy, including provisions for awareness-raising, monitoring and surveillance, enhanced oversight of external service providers, and independent security testing, to respond to the risk o</w:t>
            </w:r>
            <w:r w:rsidR="001E7A58">
              <w:rPr>
                <w:rFonts w:ascii="Arial Narrow" w:eastAsia="Arial Narrow" w:hAnsi="Arial Narrow" w:cs="Arial Narrow"/>
                <w:sz w:val="16"/>
                <w:lang w:val="en-US" w:bidi="en-US"/>
              </w:rPr>
              <w:t>f data breache</w:t>
            </w:r>
            <w:r w:rsidR="001E7A58" w:rsidRPr="006F1F81">
              <w:rPr>
                <w:rFonts w:ascii="Arial Narrow" w:eastAsia="Arial Narrow" w:hAnsi="Arial Narrow" w:cs="Arial Narrow"/>
                <w:sz w:val="16"/>
                <w:lang w:val="en-US" w:bidi="en-US"/>
              </w:rPr>
              <w:t>s</w:t>
            </w:r>
            <w:r w:rsidRPr="006F1F81">
              <w:rPr>
                <w:rFonts w:ascii="Arial Narrow" w:eastAsia="Arial Narrow" w:hAnsi="Arial Narrow" w:cs="Arial Narrow"/>
                <w:sz w:val="16"/>
                <w:lang w:val="en-US" w:bidi="en-US"/>
              </w:rPr>
              <w:t>.</w:t>
            </w:r>
            <w:r w:rsidR="00844249">
              <w:rPr>
                <w:rFonts w:ascii="Arial Narrow" w:eastAsia="Arial Narrow" w:hAnsi="Arial Narrow" w:cs="Arial Narrow"/>
                <w:sz w:val="16"/>
                <w:lang w:val="en-US" w:bidi="en-US"/>
              </w:rPr>
              <w:t xml:space="preserve"> </w:t>
            </w:r>
          </w:p>
        </w:tc>
        <w:tc>
          <w:tcPr>
            <w:tcW w:w="1260" w:type="dxa"/>
          </w:tcPr>
          <w:p w14:paraId="48E244E0" w14:textId="0DFAE5AF" w:rsidR="00434007" w:rsidRDefault="00660BE6" w:rsidP="00607486">
            <w:pPr>
              <w:widowControl w:val="0"/>
              <w:autoSpaceDE w:val="0"/>
              <w:autoSpaceDN w:val="0"/>
              <w:spacing w:before="89"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434007" w:rsidRPr="00757D23">
              <w:rPr>
                <w:rFonts w:ascii="Arial Narrow" w:eastAsia="Times New Roman" w:hAnsi="Arial Narrow" w:cs="Arial Narrow"/>
                <w:sz w:val="16"/>
                <w:szCs w:val="16"/>
                <w:lang w:val="en-US" w:bidi="en-US"/>
              </w:rPr>
              <w:t xml:space="preserve">Low </w:t>
            </w:r>
            <w:r w:rsidR="00EB4125">
              <w:rPr>
                <w:rFonts w:ascii="Arial Narrow" w:eastAsia="Times New Roman" w:hAnsi="Arial Narrow" w:cs="Arial Narrow"/>
                <w:sz w:val="16"/>
                <w:szCs w:val="16"/>
                <w:lang w:val="en-US" w:bidi="en-US"/>
              </w:rPr>
              <w:t xml:space="preserve">– </w:t>
            </w:r>
            <w:r>
              <w:rPr>
                <w:rFonts w:ascii="Arial Narrow" w:eastAsia="Times New Roman" w:hAnsi="Arial Narrow" w:cs="Arial Narrow"/>
                <w:sz w:val="16"/>
                <w:szCs w:val="16"/>
                <w:lang w:val="en-US" w:bidi="en-US"/>
              </w:rPr>
              <w:t xml:space="preserve"> </w:t>
            </w:r>
          </w:p>
          <w:p w14:paraId="2B792C1A" w14:textId="3514526F" w:rsidR="00434007" w:rsidRPr="00757D23" w:rsidRDefault="00660BE6" w:rsidP="00607486">
            <w:pPr>
              <w:widowControl w:val="0"/>
              <w:autoSpaceDE w:val="0"/>
              <w:autoSpaceDN w:val="0"/>
              <w:spacing w:before="6"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i</w:t>
            </w:r>
            <w:r w:rsidR="00434007" w:rsidRPr="00757D23">
              <w:rPr>
                <w:rFonts w:ascii="Arial Narrow" w:eastAsia="Times New Roman" w:hAnsi="Arial Narrow" w:cs="Arial Narrow"/>
                <w:sz w:val="16"/>
                <w:szCs w:val="16"/>
                <w:lang w:val="en-US" w:bidi="en-US"/>
              </w:rPr>
              <w:t>n line with risk appetite</w:t>
            </w:r>
          </w:p>
          <w:p w14:paraId="629DBC68" w14:textId="77777777" w:rsidR="00434007" w:rsidRPr="00757D23" w:rsidRDefault="00434007" w:rsidP="00607486">
            <w:pPr>
              <w:widowControl w:val="0"/>
              <w:autoSpaceDE w:val="0"/>
              <w:autoSpaceDN w:val="0"/>
              <w:spacing w:before="6" w:after="0" w:line="240" w:lineRule="auto"/>
              <w:rPr>
                <w:rFonts w:eastAsia="Arial Narrow" w:hAnsi="Arial Narrow" w:cs="Arial Narrow"/>
                <w:sz w:val="14"/>
                <w:lang w:val="en-US" w:bidi="en-US"/>
              </w:rPr>
            </w:pPr>
          </w:p>
        </w:tc>
        <w:tc>
          <w:tcPr>
            <w:tcW w:w="78" w:type="dxa"/>
          </w:tcPr>
          <w:p w14:paraId="5851CF40" w14:textId="77777777" w:rsidR="00434007" w:rsidRPr="00757D23" w:rsidRDefault="00434007" w:rsidP="00434007">
            <w:pPr>
              <w:widowControl w:val="0"/>
              <w:autoSpaceDE w:val="0"/>
              <w:autoSpaceDN w:val="0"/>
              <w:spacing w:before="6" w:after="0" w:line="240" w:lineRule="auto"/>
              <w:rPr>
                <w:rFonts w:eastAsia="Arial Narrow" w:hAnsi="Arial Narrow" w:cs="Arial Narrow"/>
                <w:sz w:val="14"/>
                <w:lang w:val="en-US" w:bidi="en-US"/>
              </w:rPr>
            </w:pPr>
          </w:p>
        </w:tc>
      </w:tr>
      <w:tr w:rsidR="00434007" w:rsidRPr="00757D23" w14:paraId="4F62A3D7" w14:textId="77777777" w:rsidTr="00C85EA8">
        <w:trPr>
          <w:trHeight w:val="1222"/>
        </w:trPr>
        <w:tc>
          <w:tcPr>
            <w:tcW w:w="79" w:type="dxa"/>
          </w:tcPr>
          <w:p w14:paraId="78369F10" w14:textId="77777777" w:rsidR="00434007" w:rsidRPr="00757D23" w:rsidRDefault="00434007" w:rsidP="00434007">
            <w:pPr>
              <w:widowControl w:val="0"/>
              <w:autoSpaceDE w:val="0"/>
              <w:autoSpaceDN w:val="0"/>
              <w:spacing w:before="155" w:after="0" w:line="288" w:lineRule="auto"/>
              <w:ind w:left="98" w:right="168"/>
              <w:rPr>
                <w:rFonts w:ascii="Arial Narrow" w:eastAsia="Arial Narrow" w:hAnsi="Arial Narrow" w:cs="Arial Narrow"/>
                <w:sz w:val="16"/>
                <w:lang w:val="en-US" w:bidi="en-US"/>
              </w:rPr>
            </w:pPr>
          </w:p>
        </w:tc>
        <w:tc>
          <w:tcPr>
            <w:tcW w:w="78" w:type="dxa"/>
          </w:tcPr>
          <w:p w14:paraId="628132D4" w14:textId="77777777" w:rsidR="00434007" w:rsidRPr="00757D23" w:rsidRDefault="00434007" w:rsidP="00434007">
            <w:pPr>
              <w:widowControl w:val="0"/>
              <w:autoSpaceDE w:val="0"/>
              <w:autoSpaceDN w:val="0"/>
              <w:spacing w:before="155" w:after="0" w:line="288" w:lineRule="auto"/>
              <w:ind w:left="98" w:right="168"/>
              <w:rPr>
                <w:rFonts w:ascii="Arial Narrow" w:eastAsia="Arial Narrow" w:hAnsi="Arial Narrow" w:cs="Arial Narrow"/>
                <w:sz w:val="16"/>
                <w:lang w:val="en-US" w:bidi="en-US"/>
              </w:rPr>
            </w:pPr>
          </w:p>
        </w:tc>
        <w:tc>
          <w:tcPr>
            <w:tcW w:w="4343" w:type="dxa"/>
            <w:tcBorders>
              <w:bottom w:val="single" w:sz="4" w:space="0" w:color="CBD4DB" w:themeColor="accent4" w:themeTint="99"/>
            </w:tcBorders>
          </w:tcPr>
          <w:p w14:paraId="1187DF56" w14:textId="77777777" w:rsidR="00434007" w:rsidRPr="00757D23" w:rsidRDefault="00434007" w:rsidP="00607486">
            <w:pPr>
              <w:widowControl w:val="0"/>
              <w:autoSpaceDE w:val="0"/>
              <w:autoSpaceDN w:val="0"/>
              <w:spacing w:before="89" w:after="0" w:line="240" w:lineRule="auto"/>
              <w:ind w:left="98" w:right="168"/>
              <w:rPr>
                <w:rFonts w:ascii="Arial Narrow" w:eastAsia="Arial Narrow" w:hAnsi="Arial Narrow" w:cs="Arial Narrow"/>
                <w:sz w:val="16"/>
                <w:lang w:val="en-US" w:bidi="en-US"/>
              </w:rPr>
            </w:pPr>
            <w:bookmarkStart w:id="19" w:name="Strategic_Pillar_3:__Provide_high_qualit"/>
            <w:bookmarkEnd w:id="19"/>
            <w:r w:rsidRPr="00757D23">
              <w:rPr>
                <w:rFonts w:ascii="Arial Narrow" w:eastAsia="Arial Narrow" w:hAnsi="Arial Narrow" w:cs="Arial Narrow"/>
                <w:sz w:val="16"/>
                <w:lang w:val="en-US" w:bidi="en-US"/>
              </w:rPr>
              <w:t>Evolving stakeholder expectations exceed the user experience offered through our publicly focused web and mobile products, leading to loss of brand confidence and temptation to seek alternative solutions.</w:t>
            </w:r>
          </w:p>
          <w:p w14:paraId="248FA46F" w14:textId="77777777" w:rsidR="00434007" w:rsidRPr="00757D23" w:rsidRDefault="00434007" w:rsidP="00607486">
            <w:pPr>
              <w:widowControl w:val="0"/>
              <w:autoSpaceDE w:val="0"/>
              <w:autoSpaceDN w:val="0"/>
              <w:spacing w:before="39" w:after="0" w:line="240" w:lineRule="auto"/>
              <w:ind w:left="101" w:right="168"/>
              <w:rPr>
                <w:rFonts w:ascii="Arial Narrow" w:eastAsia="Arial Narrow" w:hAnsi="Arial Narrow" w:cs="Arial Narrow"/>
                <w:b/>
                <w:i/>
                <w:sz w:val="16"/>
                <w:lang w:val="en-US" w:bidi="en-US"/>
              </w:rPr>
            </w:pPr>
            <w:r w:rsidRPr="00757D23">
              <w:rPr>
                <w:rFonts w:ascii="Arial Narrow" w:eastAsia="Arial Narrow" w:hAnsi="Arial Narrow" w:cs="Arial Narrow"/>
                <w:b/>
                <w:i/>
                <w:sz w:val="16"/>
                <w:lang w:val="en-US" w:bidi="en-US"/>
              </w:rPr>
              <w:t xml:space="preserve">Medium risk appetite </w:t>
            </w:r>
          </w:p>
        </w:tc>
        <w:tc>
          <w:tcPr>
            <w:tcW w:w="4050" w:type="dxa"/>
            <w:tcBorders>
              <w:bottom w:val="single" w:sz="4" w:space="0" w:color="CBD4DB" w:themeColor="accent4" w:themeTint="99"/>
            </w:tcBorders>
          </w:tcPr>
          <w:p w14:paraId="35A40706" w14:textId="20411694" w:rsidR="00434007" w:rsidRPr="00757D23" w:rsidRDefault="00434007" w:rsidP="00607486">
            <w:pPr>
              <w:widowControl w:val="0"/>
              <w:autoSpaceDE w:val="0"/>
              <w:autoSpaceDN w:val="0"/>
              <w:spacing w:before="89" w:after="0" w:line="240" w:lineRule="auto"/>
              <w:ind w:left="58" w:right="86"/>
              <w:rPr>
                <w:rFonts w:ascii="Arial Narrow" w:eastAsia="Arial Narrow" w:hAnsi="Arial Narrow" w:cs="Arial Narrow"/>
                <w:sz w:val="16"/>
                <w:lang w:val="en-US" w:bidi="en-US"/>
              </w:rPr>
            </w:pPr>
            <w:r w:rsidRPr="00757D23">
              <w:rPr>
                <w:rFonts w:ascii="Arial Narrow" w:eastAsia="Arial Narrow" w:hAnsi="Arial Narrow" w:cs="Arial Narrow"/>
                <w:sz w:val="16"/>
                <w:lang w:val="en-US" w:bidi="en-US"/>
              </w:rPr>
              <w:t>A focus on digital transformat</w:t>
            </w:r>
            <w:r w:rsidR="001E7A58">
              <w:rPr>
                <w:rFonts w:ascii="Arial Narrow" w:eastAsia="Arial Narrow" w:hAnsi="Arial Narrow" w:cs="Arial Narrow"/>
                <w:sz w:val="16"/>
                <w:lang w:val="en-US" w:bidi="en-US"/>
              </w:rPr>
              <w:t>ion, including user experience</w:t>
            </w:r>
            <w:r w:rsidR="0000041D">
              <w:rPr>
                <w:rFonts w:ascii="Arial Narrow" w:eastAsia="Arial Narrow" w:hAnsi="Arial Narrow" w:cs="Arial Narrow"/>
                <w:sz w:val="16"/>
                <w:lang w:val="en-US" w:bidi="en-US"/>
              </w:rPr>
              <w:t>, Global IP Portal</w:t>
            </w:r>
            <w:r w:rsidR="001E7A58">
              <w:rPr>
                <w:rFonts w:ascii="Arial Narrow" w:eastAsia="Arial Narrow" w:hAnsi="Arial Narrow" w:cs="Arial Narrow"/>
                <w:sz w:val="16"/>
                <w:lang w:val="en-US" w:bidi="en-US"/>
              </w:rPr>
              <w:t xml:space="preserve"> </w:t>
            </w:r>
            <w:r w:rsidRPr="00757D23">
              <w:rPr>
                <w:rFonts w:ascii="Arial Narrow" w:eastAsia="Arial Narrow" w:hAnsi="Arial Narrow" w:cs="Arial Narrow"/>
                <w:sz w:val="16"/>
                <w:lang w:val="en-US" w:bidi="en-US"/>
              </w:rPr>
              <w:t xml:space="preserve">and a harmonized ICT strategy all contribute to keeping our products relevant and user-friendly. </w:t>
            </w:r>
            <w:r w:rsidR="001E7A58">
              <w:rPr>
                <w:rFonts w:ascii="Arial Narrow" w:eastAsia="Arial Narrow" w:hAnsi="Arial Narrow" w:cs="Arial Narrow"/>
                <w:sz w:val="16"/>
                <w:lang w:val="en-US" w:bidi="en-US"/>
              </w:rPr>
              <w:t xml:space="preserve"> </w:t>
            </w:r>
            <w:r w:rsidRPr="00757D23">
              <w:rPr>
                <w:rFonts w:ascii="Arial Narrow" w:eastAsia="Arial Narrow" w:hAnsi="Arial Narrow" w:cs="Arial Narrow"/>
                <w:sz w:val="16"/>
                <w:lang w:val="en-US" w:bidi="en-US"/>
              </w:rPr>
              <w:t>An upgrade of WIPO’s website platform together with</w:t>
            </w:r>
            <w:bookmarkStart w:id="20" w:name="Strategic_Pillar_2:__Bring_people_togeth"/>
            <w:bookmarkEnd w:id="20"/>
            <w:r w:rsidRPr="00757D23">
              <w:rPr>
                <w:rFonts w:ascii="Arial Narrow" w:eastAsia="Arial Narrow" w:hAnsi="Arial Narrow" w:cs="Arial Narrow"/>
                <w:sz w:val="16"/>
                <w:lang w:val="en-US" w:bidi="en-US"/>
              </w:rPr>
              <w:t xml:space="preserve"> audience-adapted content will continue. </w:t>
            </w:r>
            <w:r w:rsidR="00160DC6">
              <w:rPr>
                <w:rFonts w:ascii="Arial Narrow" w:eastAsia="Arial Narrow" w:hAnsi="Arial Narrow" w:cs="Arial Narrow"/>
                <w:sz w:val="16"/>
                <w:lang w:val="en-US" w:bidi="en-US"/>
              </w:rPr>
              <w:t xml:space="preserve"> </w:t>
            </w:r>
            <w:r w:rsidRPr="00757D23">
              <w:rPr>
                <w:rFonts w:ascii="Arial Narrow" w:eastAsia="Arial Narrow" w:hAnsi="Arial Narrow" w:cs="Arial Narrow"/>
                <w:sz w:val="16"/>
                <w:lang w:val="en-US" w:bidi="en-US"/>
              </w:rPr>
              <w:t>A more coherent and strategic approach</w:t>
            </w:r>
            <w:bookmarkStart w:id="21" w:name="Planning_Assumptions"/>
            <w:bookmarkEnd w:id="21"/>
            <w:r w:rsidRPr="00757D23">
              <w:rPr>
                <w:rFonts w:ascii="Arial Narrow" w:eastAsia="Arial Narrow" w:hAnsi="Arial Narrow" w:cs="Arial Narrow"/>
                <w:sz w:val="16"/>
                <w:lang w:val="en-US" w:bidi="en-US"/>
              </w:rPr>
              <w:t xml:space="preserve"> to customer experience, relying on tools and analytics.</w:t>
            </w:r>
          </w:p>
        </w:tc>
        <w:tc>
          <w:tcPr>
            <w:tcW w:w="1260" w:type="dxa"/>
            <w:tcBorders>
              <w:bottom w:val="single" w:sz="4" w:space="0" w:color="CBD4DB" w:themeColor="accent4" w:themeTint="99"/>
            </w:tcBorders>
          </w:tcPr>
          <w:p w14:paraId="70AE3CB4" w14:textId="6BA6627C" w:rsidR="00434007" w:rsidRDefault="00660BE6" w:rsidP="00607486">
            <w:pPr>
              <w:widowControl w:val="0"/>
              <w:autoSpaceDE w:val="0"/>
              <w:autoSpaceDN w:val="0"/>
              <w:spacing w:before="89"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w:t>
            </w:r>
            <w:r w:rsidR="00434007" w:rsidRPr="00757D23">
              <w:rPr>
                <w:rFonts w:ascii="Arial Narrow" w:eastAsia="Times New Roman" w:hAnsi="Arial Narrow" w:cs="Arial Narrow"/>
                <w:sz w:val="16"/>
                <w:szCs w:val="16"/>
                <w:lang w:val="en-US" w:bidi="en-US"/>
              </w:rPr>
              <w:t>Low</w:t>
            </w:r>
            <w:r w:rsidR="00D56626">
              <w:rPr>
                <w:rFonts w:ascii="Arial Narrow" w:eastAsia="Times New Roman" w:hAnsi="Arial Narrow" w:cs="Arial Narrow"/>
                <w:sz w:val="16"/>
                <w:szCs w:val="16"/>
                <w:lang w:val="en-US" w:bidi="en-US"/>
              </w:rPr>
              <w:t xml:space="preserve"> </w:t>
            </w:r>
            <w:r w:rsidR="00EB4125">
              <w:rPr>
                <w:rFonts w:ascii="Arial Narrow" w:eastAsia="Times New Roman" w:hAnsi="Arial Narrow" w:cs="Arial Narrow"/>
                <w:sz w:val="16"/>
                <w:szCs w:val="16"/>
                <w:lang w:val="en-US" w:bidi="en-US"/>
              </w:rPr>
              <w:t xml:space="preserve">– </w:t>
            </w:r>
            <w:r>
              <w:rPr>
                <w:rFonts w:ascii="Arial Narrow" w:eastAsia="Times New Roman" w:hAnsi="Arial Narrow" w:cs="Arial Narrow"/>
                <w:sz w:val="16"/>
                <w:szCs w:val="16"/>
                <w:lang w:val="en-US" w:bidi="en-US"/>
              </w:rPr>
              <w:t xml:space="preserve"> </w:t>
            </w:r>
          </w:p>
          <w:p w14:paraId="675BC930" w14:textId="5B7CF84F" w:rsidR="00434007" w:rsidRPr="00757D23" w:rsidRDefault="00660BE6" w:rsidP="00607486">
            <w:pPr>
              <w:widowControl w:val="0"/>
              <w:autoSpaceDE w:val="0"/>
              <w:autoSpaceDN w:val="0"/>
              <w:spacing w:after="0" w:line="240" w:lineRule="auto"/>
              <w:rPr>
                <w:rFonts w:ascii="Arial Narrow" w:eastAsia="Times New Roman" w:hAnsi="Arial Narrow" w:cs="Arial Narrow"/>
                <w:sz w:val="16"/>
                <w:szCs w:val="16"/>
                <w:lang w:val="en-US" w:bidi="en-US"/>
              </w:rPr>
            </w:pPr>
            <w:r>
              <w:rPr>
                <w:rFonts w:ascii="Arial Narrow" w:eastAsia="Times New Roman" w:hAnsi="Arial Narrow" w:cs="Arial Narrow"/>
                <w:sz w:val="16"/>
                <w:szCs w:val="16"/>
                <w:lang w:val="en-US" w:bidi="en-US"/>
              </w:rPr>
              <w:t xml:space="preserve"> i</w:t>
            </w:r>
            <w:r w:rsidR="00434007" w:rsidRPr="00757D23">
              <w:rPr>
                <w:rFonts w:ascii="Arial Narrow" w:eastAsia="Times New Roman" w:hAnsi="Arial Narrow" w:cs="Arial Narrow"/>
                <w:sz w:val="16"/>
                <w:szCs w:val="16"/>
                <w:lang w:val="en-US" w:bidi="en-US"/>
              </w:rPr>
              <w:t>n line with risk appetite</w:t>
            </w:r>
          </w:p>
        </w:tc>
        <w:tc>
          <w:tcPr>
            <w:tcW w:w="78" w:type="dxa"/>
          </w:tcPr>
          <w:p w14:paraId="474223C2" w14:textId="77777777" w:rsidR="00434007" w:rsidRPr="00757D23" w:rsidRDefault="00434007" w:rsidP="00434007">
            <w:pPr>
              <w:widowControl w:val="0"/>
              <w:autoSpaceDE w:val="0"/>
              <w:autoSpaceDN w:val="0"/>
              <w:spacing w:before="155" w:after="0" w:line="288" w:lineRule="auto"/>
              <w:ind w:left="76" w:right="14" w:hanging="22"/>
              <w:rPr>
                <w:rFonts w:ascii="Arial Narrow" w:eastAsia="Arial Narrow" w:hAnsi="Arial Narrow" w:cs="Arial Narrow"/>
                <w:sz w:val="16"/>
                <w:lang w:val="en-US" w:bidi="en-US"/>
              </w:rPr>
            </w:pPr>
          </w:p>
        </w:tc>
      </w:tr>
    </w:tbl>
    <w:p w14:paraId="6F3579B4" w14:textId="2E59B2B6" w:rsidR="00434007" w:rsidRPr="00356104" w:rsidRDefault="00434007" w:rsidP="00434007">
      <w:pPr>
        <w:pStyle w:val="Heading1NoNumb"/>
        <w:rPr>
          <w:lang w:val="en-US"/>
        </w:rPr>
      </w:pPr>
      <w:r>
        <w:rPr>
          <w:lang w:val="en-US"/>
        </w:rPr>
        <w:t>2024</w:t>
      </w:r>
      <w:r w:rsidRPr="00356104">
        <w:rPr>
          <w:lang w:val="en-US"/>
        </w:rPr>
        <w:t>/2</w:t>
      </w:r>
      <w:r>
        <w:rPr>
          <w:lang w:val="en-US"/>
        </w:rPr>
        <w:t>5</w:t>
      </w:r>
      <w:r w:rsidRPr="00356104">
        <w:rPr>
          <w:lang w:val="en-US"/>
        </w:rPr>
        <w:t xml:space="preserve"> Budget by Cost Category</w:t>
      </w:r>
    </w:p>
    <w:p w14:paraId="718AE599" w14:textId="77777777" w:rsidR="00434007" w:rsidRDefault="00434007" w:rsidP="00BB606C">
      <w:pPr>
        <w:pStyle w:val="NormalNumb"/>
        <w:ind w:left="0"/>
      </w:pPr>
      <w:r w:rsidRPr="002934E0">
        <w:t>The estimated cost for “Posts” in 202</w:t>
      </w:r>
      <w:r>
        <w:t>4</w:t>
      </w:r>
      <w:r w:rsidRPr="002934E0">
        <w:t>/2</w:t>
      </w:r>
      <w:r>
        <w:t>5</w:t>
      </w:r>
      <w:r w:rsidRPr="002934E0">
        <w:t xml:space="preserve"> represents a</w:t>
      </w:r>
      <w:r>
        <w:t>n</w:t>
      </w:r>
      <w:r w:rsidRPr="002934E0">
        <w:t xml:space="preserve"> increase of </w:t>
      </w:r>
      <w:r>
        <w:t>35</w:t>
      </w:r>
      <w:r w:rsidRPr="002934E0">
        <w:t xml:space="preserve"> million Swiss francs, or </w:t>
      </w:r>
      <w:r>
        <w:t>7.8</w:t>
      </w:r>
      <w:r w:rsidRPr="002934E0">
        <w:t xml:space="preserve"> per</w:t>
      </w:r>
      <w:r>
        <w:t xml:space="preserve"> </w:t>
      </w:r>
      <w:r w:rsidRPr="002934E0">
        <w:t>cent, compared to the 202</w:t>
      </w:r>
      <w:r>
        <w:t>2</w:t>
      </w:r>
      <w:r w:rsidRPr="002934E0">
        <w:t>/2</w:t>
      </w:r>
      <w:r>
        <w:t>3</w:t>
      </w:r>
      <w:r w:rsidRPr="002934E0">
        <w:t xml:space="preserve"> </w:t>
      </w:r>
      <w:r>
        <w:t>PoW&amp;</w:t>
      </w:r>
      <w:r w:rsidRPr="002934E0">
        <w:t xml:space="preserve">B.  The </w:t>
      </w:r>
      <w:r>
        <w:t>estimated cost</w:t>
      </w:r>
      <w:r w:rsidRPr="002934E0">
        <w:t xml:space="preserve"> of “Temporary Staff</w:t>
      </w:r>
      <w:r>
        <w:t>”</w:t>
      </w:r>
      <w:r w:rsidRPr="002934E0">
        <w:t xml:space="preserve"> </w:t>
      </w:r>
      <w:r>
        <w:t>represents an in</w:t>
      </w:r>
      <w:r w:rsidRPr="002934E0">
        <w:t xml:space="preserve">crease of </w:t>
      </w:r>
      <w:r>
        <w:t>2.5</w:t>
      </w:r>
      <w:r w:rsidRPr="002934E0">
        <w:t xml:space="preserve"> million Swiss francs, or </w:t>
      </w:r>
      <w:r>
        <w:t>16.6</w:t>
      </w:r>
      <w:r w:rsidRPr="002934E0">
        <w:t xml:space="preserve"> </w:t>
      </w:r>
      <w:r>
        <w:t xml:space="preserve">per cent. </w:t>
      </w:r>
    </w:p>
    <w:p w14:paraId="78971E7B" w14:textId="77777777" w:rsidR="00434007" w:rsidRPr="00D350B5" w:rsidRDefault="00434007" w:rsidP="004807F0">
      <w:pPr>
        <w:pStyle w:val="TableAndChartTitle"/>
        <w:spacing w:before="120" w:after="0" w:line="240" w:lineRule="auto"/>
      </w:pPr>
      <w:r>
        <w:t>Table 6:  2024/25</w:t>
      </w:r>
      <w:r w:rsidRPr="00D350B5">
        <w:t xml:space="preserve"> Budget by Cost Category</w:t>
      </w:r>
    </w:p>
    <w:p w14:paraId="42165613" w14:textId="59DBE073" w:rsidR="00434007" w:rsidRPr="00EC21A0" w:rsidRDefault="00434007" w:rsidP="00EC21A0">
      <w:pPr>
        <w:pStyle w:val="TableAndChartTitleAddText"/>
        <w:spacing w:before="0" w:after="0" w:line="240" w:lineRule="auto"/>
        <w:rPr>
          <w:sz w:val="16"/>
        </w:rPr>
      </w:pPr>
      <w:r w:rsidRPr="00940625">
        <w:rPr>
          <w:sz w:val="16"/>
        </w:rPr>
        <w:t>(in thousands of Swiss francs)</w:t>
      </w:r>
    </w:p>
    <w:p w14:paraId="17DA4A65" w14:textId="070342B9" w:rsidR="00A8698F" w:rsidRDefault="00A8698F" w:rsidP="00A8698F">
      <w:pPr>
        <w:spacing w:after="0"/>
        <w:rPr>
          <w:rFonts w:asciiTheme="minorHAnsi" w:hAnsiTheme="minorHAnsi"/>
          <w:sz w:val="22"/>
        </w:rPr>
      </w:pPr>
    </w:p>
    <w:tbl>
      <w:tblPr>
        <w:tblW w:w="9280" w:type="dxa"/>
        <w:tblLook w:val="04A0" w:firstRow="1" w:lastRow="0" w:firstColumn="1" w:lastColumn="0" w:noHBand="0" w:noVBand="1"/>
      </w:tblPr>
      <w:tblGrid>
        <w:gridCol w:w="253"/>
        <w:gridCol w:w="253"/>
        <w:gridCol w:w="1420"/>
        <w:gridCol w:w="1520"/>
        <w:gridCol w:w="1260"/>
        <w:gridCol w:w="1260"/>
        <w:gridCol w:w="1260"/>
        <w:gridCol w:w="1080"/>
        <w:gridCol w:w="1080"/>
      </w:tblGrid>
      <w:tr w:rsidR="00A8698F" w:rsidRPr="00A8698F" w14:paraId="02AEE367" w14:textId="77777777" w:rsidTr="00A8698F">
        <w:trPr>
          <w:divId w:val="53744011"/>
          <w:trHeight w:val="495"/>
        </w:trPr>
        <w:tc>
          <w:tcPr>
            <w:tcW w:w="200" w:type="dxa"/>
            <w:tcBorders>
              <w:top w:val="nil"/>
              <w:left w:val="nil"/>
              <w:bottom w:val="nil"/>
              <w:right w:val="nil"/>
            </w:tcBorders>
            <w:shd w:val="clear" w:color="000000" w:fill="C7CFD8"/>
            <w:hideMark/>
          </w:tcPr>
          <w:p w14:paraId="103BE482" w14:textId="09A19B95"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00" w:type="dxa"/>
            <w:tcBorders>
              <w:top w:val="nil"/>
              <w:left w:val="nil"/>
              <w:bottom w:val="nil"/>
              <w:right w:val="nil"/>
            </w:tcBorders>
            <w:shd w:val="clear" w:color="000000" w:fill="C7CFD8"/>
            <w:hideMark/>
          </w:tcPr>
          <w:p w14:paraId="64B9F9B6"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420" w:type="dxa"/>
            <w:tcBorders>
              <w:top w:val="nil"/>
              <w:left w:val="nil"/>
              <w:bottom w:val="nil"/>
              <w:right w:val="nil"/>
            </w:tcBorders>
            <w:shd w:val="clear" w:color="000000" w:fill="C7CFD8"/>
            <w:hideMark/>
          </w:tcPr>
          <w:p w14:paraId="4DAD9495"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520" w:type="dxa"/>
            <w:tcBorders>
              <w:top w:val="nil"/>
              <w:left w:val="nil"/>
              <w:bottom w:val="nil"/>
              <w:right w:val="nil"/>
            </w:tcBorders>
            <w:shd w:val="clear" w:color="000000" w:fill="C7CFD8"/>
            <w:hideMark/>
          </w:tcPr>
          <w:p w14:paraId="1729ED53"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260" w:type="dxa"/>
            <w:vMerge w:val="restart"/>
            <w:tcBorders>
              <w:top w:val="nil"/>
              <w:left w:val="nil"/>
              <w:bottom w:val="nil"/>
              <w:right w:val="nil"/>
            </w:tcBorders>
            <w:shd w:val="clear" w:color="000000" w:fill="C7CFD8"/>
            <w:vAlign w:val="center"/>
            <w:hideMark/>
          </w:tcPr>
          <w:p w14:paraId="3E8250C9"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2024/25 </w:t>
            </w:r>
            <w:r w:rsidRPr="00A8698F">
              <w:rPr>
                <w:rFonts w:ascii="Arial Narrow" w:eastAsia="Times New Roman" w:hAnsi="Arial Narrow" w:cs="Times New Roman"/>
                <w:b/>
                <w:bCs/>
                <w:sz w:val="16"/>
                <w:szCs w:val="16"/>
                <w:lang w:val="en-US"/>
              </w:rPr>
              <w:br/>
              <w:t>Proposed</w:t>
            </w:r>
            <w:r w:rsidRPr="00A8698F">
              <w:rPr>
                <w:rFonts w:ascii="Arial Narrow" w:eastAsia="Times New Roman" w:hAnsi="Arial Narrow" w:cs="Times New Roman"/>
                <w:b/>
                <w:bCs/>
                <w:sz w:val="16"/>
                <w:szCs w:val="16"/>
                <w:lang w:val="en-US"/>
              </w:rPr>
              <w:br/>
              <w:t xml:space="preserve"> Budget </w:t>
            </w:r>
          </w:p>
        </w:tc>
        <w:tc>
          <w:tcPr>
            <w:tcW w:w="1260" w:type="dxa"/>
            <w:vMerge w:val="restart"/>
            <w:tcBorders>
              <w:top w:val="nil"/>
              <w:left w:val="nil"/>
              <w:bottom w:val="nil"/>
              <w:right w:val="nil"/>
            </w:tcBorders>
            <w:shd w:val="clear" w:color="000000" w:fill="C7CFD8"/>
            <w:vAlign w:val="center"/>
            <w:hideMark/>
          </w:tcPr>
          <w:p w14:paraId="2861FB60"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2022/23 </w:t>
            </w:r>
            <w:r w:rsidRPr="00A8698F">
              <w:rPr>
                <w:rFonts w:ascii="Arial Narrow" w:eastAsia="Times New Roman" w:hAnsi="Arial Narrow" w:cs="Times New Roman"/>
                <w:b/>
                <w:bCs/>
                <w:sz w:val="16"/>
                <w:szCs w:val="16"/>
                <w:lang w:val="en-US"/>
              </w:rPr>
              <w:br/>
              <w:t xml:space="preserve">PoW&amp;B </w:t>
            </w:r>
          </w:p>
        </w:tc>
        <w:tc>
          <w:tcPr>
            <w:tcW w:w="1260" w:type="dxa"/>
            <w:vMerge w:val="restart"/>
            <w:tcBorders>
              <w:top w:val="nil"/>
              <w:left w:val="nil"/>
              <w:bottom w:val="nil"/>
              <w:right w:val="nil"/>
            </w:tcBorders>
            <w:shd w:val="clear" w:color="000000" w:fill="C7CFD8"/>
            <w:vAlign w:val="center"/>
            <w:hideMark/>
          </w:tcPr>
          <w:p w14:paraId="51F548D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2022/23 </w:t>
            </w:r>
            <w:r w:rsidRPr="00A8698F">
              <w:rPr>
                <w:rFonts w:ascii="Arial Narrow" w:eastAsia="Times New Roman" w:hAnsi="Arial Narrow" w:cs="Times New Roman"/>
                <w:b/>
                <w:bCs/>
                <w:sz w:val="16"/>
                <w:szCs w:val="16"/>
                <w:lang w:val="en-US"/>
              </w:rPr>
              <w:br/>
              <w:t>Budget after</w:t>
            </w:r>
            <w:r w:rsidRPr="00A8698F">
              <w:rPr>
                <w:rFonts w:ascii="Arial Narrow" w:eastAsia="Times New Roman" w:hAnsi="Arial Narrow" w:cs="Times New Roman"/>
                <w:b/>
                <w:bCs/>
                <w:sz w:val="16"/>
                <w:szCs w:val="16"/>
                <w:lang w:val="en-US"/>
              </w:rPr>
              <w:br/>
              <w:t xml:space="preserve"> Transfers </w:t>
            </w:r>
          </w:p>
        </w:tc>
        <w:tc>
          <w:tcPr>
            <w:tcW w:w="2160" w:type="dxa"/>
            <w:gridSpan w:val="2"/>
            <w:tcBorders>
              <w:top w:val="nil"/>
              <w:left w:val="nil"/>
              <w:bottom w:val="nil"/>
              <w:right w:val="nil"/>
            </w:tcBorders>
            <w:shd w:val="clear" w:color="000000" w:fill="C7CFD8"/>
            <w:vAlign w:val="center"/>
            <w:hideMark/>
          </w:tcPr>
          <w:p w14:paraId="49F9794A"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2024/25 </w:t>
            </w:r>
            <w:r w:rsidRPr="00A8698F">
              <w:rPr>
                <w:rFonts w:ascii="Arial Narrow" w:eastAsia="Times New Roman" w:hAnsi="Arial Narrow" w:cs="Times New Roman"/>
                <w:b/>
                <w:bCs/>
                <w:sz w:val="16"/>
                <w:szCs w:val="16"/>
                <w:lang w:val="en-US"/>
              </w:rPr>
              <w:br/>
              <w:t xml:space="preserve">vs. 2022/23 PoW&amp;B </w:t>
            </w:r>
          </w:p>
        </w:tc>
      </w:tr>
      <w:tr w:rsidR="00A8698F" w:rsidRPr="00A8698F" w14:paraId="7C50F93E" w14:textId="77777777" w:rsidTr="00A8698F">
        <w:trPr>
          <w:divId w:val="53744011"/>
          <w:trHeight w:val="315"/>
        </w:trPr>
        <w:tc>
          <w:tcPr>
            <w:tcW w:w="200" w:type="dxa"/>
            <w:tcBorders>
              <w:top w:val="nil"/>
              <w:left w:val="nil"/>
              <w:bottom w:val="single" w:sz="4" w:space="0" w:color="C7CFD8"/>
              <w:right w:val="nil"/>
            </w:tcBorders>
            <w:shd w:val="clear" w:color="000000" w:fill="C7CFD8"/>
            <w:hideMark/>
          </w:tcPr>
          <w:p w14:paraId="0A569FE4"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00" w:type="dxa"/>
            <w:tcBorders>
              <w:top w:val="nil"/>
              <w:left w:val="nil"/>
              <w:bottom w:val="single" w:sz="4" w:space="0" w:color="C7CFD8"/>
              <w:right w:val="nil"/>
            </w:tcBorders>
            <w:shd w:val="clear" w:color="000000" w:fill="C7CFD8"/>
            <w:hideMark/>
          </w:tcPr>
          <w:p w14:paraId="3840AD85"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420" w:type="dxa"/>
            <w:tcBorders>
              <w:top w:val="nil"/>
              <w:left w:val="nil"/>
              <w:bottom w:val="single" w:sz="4" w:space="0" w:color="C7CFD8"/>
              <w:right w:val="nil"/>
            </w:tcBorders>
            <w:shd w:val="clear" w:color="000000" w:fill="C7CFD8"/>
            <w:hideMark/>
          </w:tcPr>
          <w:p w14:paraId="244DA0EC"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520" w:type="dxa"/>
            <w:tcBorders>
              <w:top w:val="nil"/>
              <w:left w:val="nil"/>
              <w:bottom w:val="single" w:sz="4" w:space="0" w:color="C7CFD8"/>
              <w:right w:val="nil"/>
            </w:tcBorders>
            <w:shd w:val="clear" w:color="000000" w:fill="C7CFD8"/>
            <w:hideMark/>
          </w:tcPr>
          <w:p w14:paraId="51235194"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260" w:type="dxa"/>
            <w:vMerge/>
            <w:tcBorders>
              <w:top w:val="nil"/>
              <w:left w:val="nil"/>
              <w:bottom w:val="nil"/>
              <w:right w:val="nil"/>
            </w:tcBorders>
            <w:vAlign w:val="center"/>
            <w:hideMark/>
          </w:tcPr>
          <w:p w14:paraId="52FD7E6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vMerge/>
            <w:tcBorders>
              <w:top w:val="nil"/>
              <w:left w:val="nil"/>
              <w:bottom w:val="nil"/>
              <w:right w:val="nil"/>
            </w:tcBorders>
            <w:vAlign w:val="center"/>
            <w:hideMark/>
          </w:tcPr>
          <w:p w14:paraId="61E7BF09"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vMerge/>
            <w:tcBorders>
              <w:top w:val="nil"/>
              <w:left w:val="nil"/>
              <w:bottom w:val="nil"/>
              <w:right w:val="nil"/>
            </w:tcBorders>
            <w:vAlign w:val="center"/>
            <w:hideMark/>
          </w:tcPr>
          <w:p w14:paraId="1298B941"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080" w:type="dxa"/>
            <w:tcBorders>
              <w:top w:val="single" w:sz="4" w:space="0" w:color="748B9E"/>
              <w:left w:val="nil"/>
              <w:bottom w:val="single" w:sz="4" w:space="0" w:color="C7CFD8"/>
              <w:right w:val="nil"/>
            </w:tcBorders>
            <w:shd w:val="clear" w:color="000000" w:fill="C7CFD8"/>
            <w:vAlign w:val="center"/>
            <w:hideMark/>
          </w:tcPr>
          <w:p w14:paraId="0807A532"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Amount </w:t>
            </w:r>
          </w:p>
        </w:tc>
        <w:tc>
          <w:tcPr>
            <w:tcW w:w="1080" w:type="dxa"/>
            <w:tcBorders>
              <w:top w:val="single" w:sz="4" w:space="0" w:color="748B9E"/>
              <w:left w:val="nil"/>
              <w:bottom w:val="single" w:sz="4" w:space="0" w:color="C7CFD8"/>
              <w:right w:val="nil"/>
            </w:tcBorders>
            <w:shd w:val="clear" w:color="000000" w:fill="C7CFD8"/>
            <w:vAlign w:val="center"/>
            <w:hideMark/>
          </w:tcPr>
          <w:p w14:paraId="28591395"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w:t>
            </w:r>
          </w:p>
        </w:tc>
      </w:tr>
      <w:tr w:rsidR="00A8698F" w:rsidRPr="00A8698F" w14:paraId="22AE1333" w14:textId="77777777" w:rsidTr="00253B03">
        <w:trPr>
          <w:divId w:val="53744011"/>
          <w:trHeight w:hRule="exact" w:val="216"/>
        </w:trPr>
        <w:tc>
          <w:tcPr>
            <w:tcW w:w="1820" w:type="dxa"/>
            <w:gridSpan w:val="3"/>
            <w:tcBorders>
              <w:top w:val="nil"/>
              <w:left w:val="nil"/>
              <w:bottom w:val="nil"/>
              <w:right w:val="nil"/>
            </w:tcBorders>
            <w:shd w:val="clear" w:color="auto" w:fill="auto"/>
            <w:noWrap/>
            <w:hideMark/>
          </w:tcPr>
          <w:p w14:paraId="4976AF9E"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r w:rsidRPr="00A8698F">
              <w:rPr>
                <w:rFonts w:ascii="Arial Narrow" w:eastAsia="Times New Roman" w:hAnsi="Arial Narrow" w:cs="Times New Roman"/>
                <w:b/>
                <w:bCs/>
                <w:color w:val="005172"/>
                <w:sz w:val="16"/>
                <w:szCs w:val="16"/>
                <w:lang w:val="en-US"/>
              </w:rPr>
              <w:t>A. Personnel Resources</w:t>
            </w:r>
          </w:p>
        </w:tc>
        <w:tc>
          <w:tcPr>
            <w:tcW w:w="1520" w:type="dxa"/>
            <w:tcBorders>
              <w:top w:val="nil"/>
              <w:left w:val="nil"/>
              <w:bottom w:val="nil"/>
              <w:right w:val="nil"/>
            </w:tcBorders>
            <w:shd w:val="clear" w:color="auto" w:fill="auto"/>
            <w:noWrap/>
            <w:hideMark/>
          </w:tcPr>
          <w:p w14:paraId="693C100C"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p>
        </w:tc>
        <w:tc>
          <w:tcPr>
            <w:tcW w:w="1260" w:type="dxa"/>
            <w:tcBorders>
              <w:top w:val="single" w:sz="4" w:space="0" w:color="C7CFD8"/>
              <w:left w:val="nil"/>
              <w:bottom w:val="nil"/>
              <w:right w:val="nil"/>
            </w:tcBorders>
            <w:shd w:val="clear" w:color="auto" w:fill="auto"/>
            <w:noWrap/>
            <w:hideMark/>
          </w:tcPr>
          <w:p w14:paraId="4040796C"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single" w:sz="4" w:space="0" w:color="C7CFD8"/>
              <w:left w:val="nil"/>
              <w:bottom w:val="nil"/>
              <w:right w:val="nil"/>
            </w:tcBorders>
            <w:shd w:val="clear" w:color="auto" w:fill="auto"/>
            <w:noWrap/>
            <w:hideMark/>
          </w:tcPr>
          <w:p w14:paraId="047EEEA4"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single" w:sz="4" w:space="0" w:color="C7CFD8"/>
              <w:left w:val="nil"/>
              <w:bottom w:val="nil"/>
              <w:right w:val="nil"/>
            </w:tcBorders>
            <w:shd w:val="clear" w:color="000000" w:fill="FFFFFF"/>
            <w:noWrap/>
            <w:hideMark/>
          </w:tcPr>
          <w:p w14:paraId="1495CB38"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080" w:type="dxa"/>
            <w:tcBorders>
              <w:top w:val="nil"/>
              <w:left w:val="nil"/>
              <w:bottom w:val="nil"/>
              <w:right w:val="nil"/>
            </w:tcBorders>
            <w:shd w:val="clear" w:color="auto" w:fill="auto"/>
            <w:noWrap/>
            <w:hideMark/>
          </w:tcPr>
          <w:p w14:paraId="51A1DB50"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080" w:type="dxa"/>
            <w:tcBorders>
              <w:top w:val="nil"/>
              <w:left w:val="nil"/>
              <w:bottom w:val="nil"/>
              <w:right w:val="nil"/>
            </w:tcBorders>
            <w:shd w:val="clear" w:color="auto" w:fill="auto"/>
            <w:noWrap/>
            <w:hideMark/>
          </w:tcPr>
          <w:p w14:paraId="49678033"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r>
      <w:tr w:rsidR="00A8698F" w:rsidRPr="00A8698F" w14:paraId="0A06811A"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B2349DF"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63D5A848"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16A5BBCF"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Posts</w:t>
            </w:r>
          </w:p>
        </w:tc>
        <w:tc>
          <w:tcPr>
            <w:tcW w:w="1520" w:type="dxa"/>
            <w:tcBorders>
              <w:top w:val="nil"/>
              <w:left w:val="nil"/>
              <w:bottom w:val="nil"/>
              <w:right w:val="nil"/>
            </w:tcBorders>
            <w:shd w:val="clear" w:color="auto" w:fill="auto"/>
            <w:noWrap/>
            <w:hideMark/>
          </w:tcPr>
          <w:p w14:paraId="6F22AC0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202E220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486,072</w:t>
            </w:r>
          </w:p>
        </w:tc>
        <w:tc>
          <w:tcPr>
            <w:tcW w:w="1260" w:type="dxa"/>
            <w:tcBorders>
              <w:top w:val="nil"/>
              <w:left w:val="nil"/>
              <w:bottom w:val="nil"/>
              <w:right w:val="nil"/>
            </w:tcBorders>
            <w:shd w:val="clear" w:color="auto" w:fill="auto"/>
            <w:noWrap/>
            <w:hideMark/>
          </w:tcPr>
          <w:p w14:paraId="24DBEA5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451,089</w:t>
            </w:r>
          </w:p>
        </w:tc>
        <w:tc>
          <w:tcPr>
            <w:tcW w:w="1260" w:type="dxa"/>
            <w:tcBorders>
              <w:top w:val="nil"/>
              <w:left w:val="nil"/>
              <w:bottom w:val="nil"/>
              <w:right w:val="nil"/>
            </w:tcBorders>
            <w:shd w:val="clear" w:color="auto" w:fill="auto"/>
            <w:noWrap/>
            <w:hideMark/>
          </w:tcPr>
          <w:p w14:paraId="23BAD5B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437,591</w:t>
            </w:r>
          </w:p>
        </w:tc>
        <w:tc>
          <w:tcPr>
            <w:tcW w:w="1080" w:type="dxa"/>
            <w:tcBorders>
              <w:top w:val="nil"/>
              <w:left w:val="nil"/>
              <w:bottom w:val="nil"/>
              <w:right w:val="nil"/>
            </w:tcBorders>
            <w:shd w:val="clear" w:color="auto" w:fill="auto"/>
            <w:noWrap/>
            <w:hideMark/>
          </w:tcPr>
          <w:p w14:paraId="51A6995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34,983</w:t>
            </w:r>
          </w:p>
        </w:tc>
        <w:tc>
          <w:tcPr>
            <w:tcW w:w="1080" w:type="dxa"/>
            <w:tcBorders>
              <w:top w:val="nil"/>
              <w:left w:val="nil"/>
              <w:bottom w:val="nil"/>
              <w:right w:val="nil"/>
            </w:tcBorders>
            <w:shd w:val="clear" w:color="auto" w:fill="auto"/>
            <w:noWrap/>
            <w:hideMark/>
          </w:tcPr>
          <w:p w14:paraId="7F5564B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7.8%</w:t>
            </w:r>
          </w:p>
        </w:tc>
      </w:tr>
      <w:tr w:rsidR="00A8698F" w:rsidRPr="00A8698F" w14:paraId="555EEB3B" w14:textId="77777777" w:rsidTr="00253B03">
        <w:trPr>
          <w:divId w:val="53744011"/>
          <w:trHeight w:hRule="exact" w:val="216"/>
        </w:trPr>
        <w:tc>
          <w:tcPr>
            <w:tcW w:w="200" w:type="dxa"/>
            <w:tcBorders>
              <w:top w:val="nil"/>
              <w:left w:val="nil"/>
              <w:bottom w:val="nil"/>
              <w:right w:val="nil"/>
            </w:tcBorders>
            <w:shd w:val="clear" w:color="auto" w:fill="auto"/>
            <w:noWrap/>
            <w:hideMark/>
          </w:tcPr>
          <w:p w14:paraId="36937F3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5384205E"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0EDAA99E"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Temporary Staff</w:t>
            </w:r>
          </w:p>
        </w:tc>
        <w:tc>
          <w:tcPr>
            <w:tcW w:w="1520" w:type="dxa"/>
            <w:tcBorders>
              <w:top w:val="nil"/>
              <w:left w:val="nil"/>
              <w:bottom w:val="nil"/>
              <w:right w:val="nil"/>
            </w:tcBorders>
            <w:shd w:val="clear" w:color="auto" w:fill="auto"/>
            <w:noWrap/>
            <w:hideMark/>
          </w:tcPr>
          <w:p w14:paraId="75A9C25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0C91DA2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17,373</w:t>
            </w:r>
          </w:p>
        </w:tc>
        <w:tc>
          <w:tcPr>
            <w:tcW w:w="1260" w:type="dxa"/>
            <w:tcBorders>
              <w:top w:val="nil"/>
              <w:left w:val="nil"/>
              <w:bottom w:val="nil"/>
              <w:right w:val="nil"/>
            </w:tcBorders>
            <w:shd w:val="clear" w:color="auto" w:fill="auto"/>
            <w:noWrap/>
            <w:hideMark/>
          </w:tcPr>
          <w:p w14:paraId="5269D8F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14,897</w:t>
            </w:r>
          </w:p>
        </w:tc>
        <w:tc>
          <w:tcPr>
            <w:tcW w:w="1260" w:type="dxa"/>
            <w:tcBorders>
              <w:top w:val="nil"/>
              <w:left w:val="nil"/>
              <w:bottom w:val="nil"/>
              <w:right w:val="nil"/>
            </w:tcBorders>
            <w:shd w:val="clear" w:color="auto" w:fill="auto"/>
            <w:noWrap/>
            <w:hideMark/>
          </w:tcPr>
          <w:p w14:paraId="41B53F5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24,633</w:t>
            </w:r>
          </w:p>
        </w:tc>
        <w:tc>
          <w:tcPr>
            <w:tcW w:w="1080" w:type="dxa"/>
            <w:tcBorders>
              <w:top w:val="nil"/>
              <w:left w:val="nil"/>
              <w:bottom w:val="nil"/>
              <w:right w:val="nil"/>
            </w:tcBorders>
            <w:shd w:val="clear" w:color="auto" w:fill="auto"/>
            <w:noWrap/>
            <w:hideMark/>
          </w:tcPr>
          <w:p w14:paraId="614ADA1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2,476</w:t>
            </w:r>
          </w:p>
        </w:tc>
        <w:tc>
          <w:tcPr>
            <w:tcW w:w="1080" w:type="dxa"/>
            <w:tcBorders>
              <w:top w:val="nil"/>
              <w:left w:val="nil"/>
              <w:bottom w:val="nil"/>
              <w:right w:val="nil"/>
            </w:tcBorders>
            <w:shd w:val="clear" w:color="auto" w:fill="auto"/>
            <w:noWrap/>
            <w:hideMark/>
          </w:tcPr>
          <w:p w14:paraId="0F9EACF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16.6%</w:t>
            </w:r>
          </w:p>
        </w:tc>
      </w:tr>
      <w:tr w:rsidR="00A8698F" w:rsidRPr="00A8698F" w14:paraId="78F664F8" w14:textId="77777777" w:rsidTr="00253B03">
        <w:trPr>
          <w:divId w:val="53744011"/>
          <w:trHeight w:hRule="exact" w:val="216"/>
        </w:trPr>
        <w:tc>
          <w:tcPr>
            <w:tcW w:w="200" w:type="dxa"/>
            <w:tcBorders>
              <w:top w:val="nil"/>
              <w:left w:val="nil"/>
              <w:bottom w:val="nil"/>
              <w:right w:val="nil"/>
            </w:tcBorders>
            <w:shd w:val="clear" w:color="auto" w:fill="auto"/>
            <w:noWrap/>
            <w:hideMark/>
          </w:tcPr>
          <w:p w14:paraId="35730C4D"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9ABC5F5"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6DD615A1"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Other Staff Costs</w:t>
            </w:r>
          </w:p>
        </w:tc>
        <w:tc>
          <w:tcPr>
            <w:tcW w:w="1520" w:type="dxa"/>
            <w:tcBorders>
              <w:top w:val="nil"/>
              <w:left w:val="nil"/>
              <w:bottom w:val="nil"/>
              <w:right w:val="nil"/>
            </w:tcBorders>
            <w:shd w:val="clear" w:color="auto" w:fill="auto"/>
            <w:noWrap/>
            <w:hideMark/>
          </w:tcPr>
          <w:p w14:paraId="4908A238"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6B442B5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3,152</w:t>
            </w:r>
          </w:p>
        </w:tc>
        <w:tc>
          <w:tcPr>
            <w:tcW w:w="1260" w:type="dxa"/>
            <w:tcBorders>
              <w:top w:val="nil"/>
              <w:left w:val="nil"/>
              <w:bottom w:val="nil"/>
              <w:right w:val="nil"/>
            </w:tcBorders>
            <w:shd w:val="clear" w:color="auto" w:fill="auto"/>
            <w:noWrap/>
            <w:hideMark/>
          </w:tcPr>
          <w:p w14:paraId="314073A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3,152</w:t>
            </w:r>
          </w:p>
        </w:tc>
        <w:tc>
          <w:tcPr>
            <w:tcW w:w="1260" w:type="dxa"/>
            <w:tcBorders>
              <w:top w:val="nil"/>
              <w:left w:val="nil"/>
              <w:bottom w:val="nil"/>
              <w:right w:val="nil"/>
            </w:tcBorders>
            <w:shd w:val="clear" w:color="auto" w:fill="auto"/>
            <w:noWrap/>
            <w:hideMark/>
          </w:tcPr>
          <w:p w14:paraId="10A120F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3,152</w:t>
            </w:r>
          </w:p>
        </w:tc>
        <w:tc>
          <w:tcPr>
            <w:tcW w:w="1080" w:type="dxa"/>
            <w:tcBorders>
              <w:top w:val="nil"/>
              <w:left w:val="nil"/>
              <w:bottom w:val="nil"/>
              <w:right w:val="nil"/>
            </w:tcBorders>
            <w:shd w:val="clear" w:color="auto" w:fill="auto"/>
            <w:noWrap/>
            <w:hideMark/>
          </w:tcPr>
          <w:p w14:paraId="1079602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80" w:type="dxa"/>
            <w:tcBorders>
              <w:top w:val="nil"/>
              <w:left w:val="nil"/>
              <w:bottom w:val="nil"/>
              <w:right w:val="nil"/>
            </w:tcBorders>
            <w:shd w:val="clear" w:color="auto" w:fill="auto"/>
            <w:noWrap/>
            <w:hideMark/>
          </w:tcPr>
          <w:p w14:paraId="1B6B285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0.0%</w:t>
            </w:r>
          </w:p>
        </w:tc>
      </w:tr>
      <w:tr w:rsidR="00A8698F" w:rsidRPr="00A8698F" w14:paraId="0A8F9DB3" w14:textId="77777777" w:rsidTr="00253B03">
        <w:trPr>
          <w:divId w:val="53744011"/>
          <w:trHeight w:hRule="exact" w:val="216"/>
        </w:trPr>
        <w:tc>
          <w:tcPr>
            <w:tcW w:w="200" w:type="dxa"/>
            <w:tcBorders>
              <w:top w:val="nil"/>
              <w:left w:val="nil"/>
              <w:bottom w:val="nil"/>
              <w:right w:val="nil"/>
            </w:tcBorders>
            <w:shd w:val="clear" w:color="auto" w:fill="auto"/>
            <w:noWrap/>
            <w:hideMark/>
          </w:tcPr>
          <w:p w14:paraId="1F8C6B1E"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3140" w:type="dxa"/>
            <w:gridSpan w:val="3"/>
            <w:tcBorders>
              <w:top w:val="nil"/>
              <w:left w:val="nil"/>
              <w:bottom w:val="nil"/>
              <w:right w:val="nil"/>
            </w:tcBorders>
            <w:shd w:val="clear" w:color="auto" w:fill="auto"/>
            <w:noWrap/>
            <w:hideMark/>
          </w:tcPr>
          <w:p w14:paraId="68F61C76"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Sub-total, A. w/out Unalloc.</w:t>
            </w:r>
          </w:p>
        </w:tc>
        <w:tc>
          <w:tcPr>
            <w:tcW w:w="1260" w:type="dxa"/>
            <w:tcBorders>
              <w:top w:val="nil"/>
              <w:left w:val="nil"/>
              <w:bottom w:val="nil"/>
              <w:right w:val="nil"/>
            </w:tcBorders>
            <w:shd w:val="clear" w:color="000000" w:fill="FFFFFF"/>
            <w:noWrap/>
            <w:hideMark/>
          </w:tcPr>
          <w:p w14:paraId="44AECE68"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506,597</w:t>
            </w:r>
          </w:p>
        </w:tc>
        <w:tc>
          <w:tcPr>
            <w:tcW w:w="1260" w:type="dxa"/>
            <w:tcBorders>
              <w:top w:val="nil"/>
              <w:left w:val="nil"/>
              <w:bottom w:val="nil"/>
              <w:right w:val="nil"/>
            </w:tcBorders>
            <w:shd w:val="clear" w:color="000000" w:fill="FFFFFF"/>
            <w:noWrap/>
            <w:hideMark/>
          </w:tcPr>
          <w:p w14:paraId="01314912"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469,138</w:t>
            </w:r>
          </w:p>
        </w:tc>
        <w:tc>
          <w:tcPr>
            <w:tcW w:w="1260" w:type="dxa"/>
            <w:tcBorders>
              <w:top w:val="nil"/>
              <w:left w:val="nil"/>
              <w:bottom w:val="nil"/>
              <w:right w:val="nil"/>
            </w:tcBorders>
            <w:shd w:val="clear" w:color="000000" w:fill="FFFFFF"/>
            <w:noWrap/>
            <w:hideMark/>
          </w:tcPr>
          <w:p w14:paraId="5ACCF07C"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465,376</w:t>
            </w:r>
          </w:p>
        </w:tc>
        <w:tc>
          <w:tcPr>
            <w:tcW w:w="1080" w:type="dxa"/>
            <w:tcBorders>
              <w:top w:val="nil"/>
              <w:left w:val="nil"/>
              <w:bottom w:val="nil"/>
              <w:right w:val="nil"/>
            </w:tcBorders>
            <w:shd w:val="clear" w:color="auto" w:fill="auto"/>
            <w:noWrap/>
            <w:hideMark/>
          </w:tcPr>
          <w:p w14:paraId="0332A0B0"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37,459</w:t>
            </w:r>
          </w:p>
        </w:tc>
        <w:tc>
          <w:tcPr>
            <w:tcW w:w="1080" w:type="dxa"/>
            <w:tcBorders>
              <w:top w:val="nil"/>
              <w:left w:val="nil"/>
              <w:bottom w:val="nil"/>
              <w:right w:val="nil"/>
            </w:tcBorders>
            <w:shd w:val="clear" w:color="auto" w:fill="auto"/>
            <w:noWrap/>
            <w:hideMark/>
          </w:tcPr>
          <w:p w14:paraId="484B447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8.0%</w:t>
            </w:r>
          </w:p>
        </w:tc>
      </w:tr>
      <w:tr w:rsidR="00A8698F" w:rsidRPr="00A8698F" w14:paraId="535BD8A5"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42A1932D"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200" w:type="dxa"/>
            <w:tcBorders>
              <w:top w:val="nil"/>
              <w:left w:val="nil"/>
              <w:bottom w:val="single" w:sz="4" w:space="0" w:color="C7CFD8"/>
              <w:right w:val="nil"/>
            </w:tcBorders>
            <w:shd w:val="clear" w:color="auto" w:fill="auto"/>
            <w:noWrap/>
            <w:hideMark/>
          </w:tcPr>
          <w:p w14:paraId="4B97F333"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2940" w:type="dxa"/>
            <w:gridSpan w:val="2"/>
            <w:tcBorders>
              <w:top w:val="nil"/>
              <w:left w:val="nil"/>
              <w:bottom w:val="single" w:sz="4" w:space="0" w:color="C7CFD8"/>
              <w:right w:val="nil"/>
            </w:tcBorders>
            <w:shd w:val="clear" w:color="auto" w:fill="auto"/>
            <w:noWrap/>
            <w:hideMark/>
          </w:tcPr>
          <w:p w14:paraId="1F59BACE"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Unallocated (Personnel)</w:t>
            </w:r>
          </w:p>
        </w:tc>
        <w:tc>
          <w:tcPr>
            <w:tcW w:w="1260" w:type="dxa"/>
            <w:tcBorders>
              <w:top w:val="nil"/>
              <w:left w:val="nil"/>
              <w:bottom w:val="single" w:sz="4" w:space="0" w:color="C7CFD8"/>
              <w:right w:val="nil"/>
            </w:tcBorders>
            <w:shd w:val="clear" w:color="auto" w:fill="auto"/>
            <w:noWrap/>
            <w:hideMark/>
          </w:tcPr>
          <w:p w14:paraId="50602B0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5,571</w:t>
            </w:r>
          </w:p>
        </w:tc>
        <w:tc>
          <w:tcPr>
            <w:tcW w:w="1260" w:type="dxa"/>
            <w:tcBorders>
              <w:top w:val="nil"/>
              <w:left w:val="nil"/>
              <w:bottom w:val="single" w:sz="4" w:space="0" w:color="C7CFD8"/>
              <w:right w:val="nil"/>
            </w:tcBorders>
            <w:shd w:val="clear" w:color="auto" w:fill="auto"/>
            <w:noWrap/>
            <w:hideMark/>
          </w:tcPr>
          <w:p w14:paraId="1460971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7,346</w:t>
            </w:r>
          </w:p>
        </w:tc>
        <w:tc>
          <w:tcPr>
            <w:tcW w:w="1260" w:type="dxa"/>
            <w:tcBorders>
              <w:top w:val="nil"/>
              <w:left w:val="nil"/>
              <w:bottom w:val="single" w:sz="4" w:space="0" w:color="C7CFD8"/>
              <w:right w:val="nil"/>
            </w:tcBorders>
            <w:shd w:val="clear" w:color="auto" w:fill="auto"/>
            <w:noWrap/>
            <w:hideMark/>
          </w:tcPr>
          <w:p w14:paraId="589159D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2,467</w:t>
            </w:r>
          </w:p>
        </w:tc>
        <w:tc>
          <w:tcPr>
            <w:tcW w:w="1080" w:type="dxa"/>
            <w:tcBorders>
              <w:top w:val="nil"/>
              <w:left w:val="nil"/>
              <w:bottom w:val="single" w:sz="4" w:space="0" w:color="C7CFD8"/>
              <w:right w:val="nil"/>
            </w:tcBorders>
            <w:shd w:val="clear" w:color="auto" w:fill="auto"/>
            <w:noWrap/>
            <w:hideMark/>
          </w:tcPr>
          <w:p w14:paraId="5B30A36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(1,775)</w:t>
            </w:r>
          </w:p>
        </w:tc>
        <w:tc>
          <w:tcPr>
            <w:tcW w:w="1080" w:type="dxa"/>
            <w:tcBorders>
              <w:top w:val="nil"/>
              <w:left w:val="nil"/>
              <w:bottom w:val="single" w:sz="4" w:space="0" w:color="C7CFD8"/>
              <w:right w:val="nil"/>
            </w:tcBorders>
            <w:shd w:val="clear" w:color="auto" w:fill="auto"/>
            <w:noWrap/>
            <w:hideMark/>
          </w:tcPr>
          <w:p w14:paraId="73F9DB3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-24.2%</w:t>
            </w:r>
          </w:p>
        </w:tc>
      </w:tr>
      <w:tr w:rsidR="00A8698F" w:rsidRPr="00A8698F" w14:paraId="4C719B95" w14:textId="77777777" w:rsidTr="00253B03">
        <w:trPr>
          <w:divId w:val="53744011"/>
          <w:trHeight w:hRule="exact" w:val="216"/>
        </w:trPr>
        <w:tc>
          <w:tcPr>
            <w:tcW w:w="200" w:type="dxa"/>
            <w:tcBorders>
              <w:top w:val="nil"/>
              <w:left w:val="nil"/>
              <w:bottom w:val="single" w:sz="8" w:space="0" w:color="C7CFD8"/>
              <w:right w:val="nil"/>
            </w:tcBorders>
            <w:shd w:val="clear" w:color="auto" w:fill="auto"/>
            <w:noWrap/>
            <w:hideMark/>
          </w:tcPr>
          <w:p w14:paraId="059321F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620" w:type="dxa"/>
            <w:gridSpan w:val="2"/>
            <w:tcBorders>
              <w:top w:val="nil"/>
              <w:left w:val="nil"/>
              <w:bottom w:val="single" w:sz="8" w:space="0" w:color="C7CFD8"/>
              <w:right w:val="nil"/>
            </w:tcBorders>
            <w:shd w:val="clear" w:color="auto" w:fill="auto"/>
            <w:noWrap/>
            <w:vAlign w:val="center"/>
            <w:hideMark/>
          </w:tcPr>
          <w:p w14:paraId="788AA30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 A</w:t>
            </w:r>
          </w:p>
        </w:tc>
        <w:tc>
          <w:tcPr>
            <w:tcW w:w="1520" w:type="dxa"/>
            <w:tcBorders>
              <w:top w:val="nil"/>
              <w:left w:val="nil"/>
              <w:bottom w:val="single" w:sz="8" w:space="0" w:color="C7CFD8"/>
              <w:right w:val="nil"/>
            </w:tcBorders>
            <w:shd w:val="clear" w:color="auto" w:fill="auto"/>
            <w:noWrap/>
            <w:hideMark/>
          </w:tcPr>
          <w:p w14:paraId="799DE48A"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8" w:space="0" w:color="C7CFD8"/>
              <w:right w:val="nil"/>
            </w:tcBorders>
            <w:shd w:val="clear" w:color="auto" w:fill="auto"/>
            <w:noWrap/>
            <w:vAlign w:val="center"/>
            <w:hideMark/>
          </w:tcPr>
          <w:p w14:paraId="3955729A"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512,168</w:t>
            </w:r>
          </w:p>
        </w:tc>
        <w:tc>
          <w:tcPr>
            <w:tcW w:w="1260" w:type="dxa"/>
            <w:tcBorders>
              <w:top w:val="nil"/>
              <w:left w:val="nil"/>
              <w:bottom w:val="single" w:sz="8" w:space="0" w:color="C7CFD8"/>
              <w:right w:val="nil"/>
            </w:tcBorders>
            <w:shd w:val="clear" w:color="auto" w:fill="auto"/>
            <w:noWrap/>
            <w:vAlign w:val="center"/>
            <w:hideMark/>
          </w:tcPr>
          <w:p w14:paraId="1E1A4A26"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476,484</w:t>
            </w:r>
          </w:p>
        </w:tc>
        <w:tc>
          <w:tcPr>
            <w:tcW w:w="1260" w:type="dxa"/>
            <w:tcBorders>
              <w:top w:val="nil"/>
              <w:left w:val="nil"/>
              <w:bottom w:val="single" w:sz="8" w:space="0" w:color="C7CFD8"/>
              <w:right w:val="nil"/>
            </w:tcBorders>
            <w:shd w:val="clear" w:color="auto" w:fill="auto"/>
            <w:noWrap/>
            <w:vAlign w:val="center"/>
            <w:hideMark/>
          </w:tcPr>
          <w:p w14:paraId="719B633A"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467,843</w:t>
            </w:r>
          </w:p>
        </w:tc>
        <w:tc>
          <w:tcPr>
            <w:tcW w:w="1080" w:type="dxa"/>
            <w:tcBorders>
              <w:top w:val="nil"/>
              <w:left w:val="nil"/>
              <w:bottom w:val="single" w:sz="8" w:space="0" w:color="C7CFD8"/>
              <w:right w:val="nil"/>
            </w:tcBorders>
            <w:shd w:val="clear" w:color="auto" w:fill="auto"/>
            <w:noWrap/>
            <w:vAlign w:val="center"/>
            <w:hideMark/>
          </w:tcPr>
          <w:p w14:paraId="713A9696"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35,683</w:t>
            </w:r>
          </w:p>
        </w:tc>
        <w:tc>
          <w:tcPr>
            <w:tcW w:w="1080" w:type="dxa"/>
            <w:tcBorders>
              <w:top w:val="nil"/>
              <w:left w:val="nil"/>
              <w:bottom w:val="single" w:sz="8" w:space="0" w:color="C7CFD8"/>
              <w:right w:val="nil"/>
            </w:tcBorders>
            <w:shd w:val="clear" w:color="auto" w:fill="auto"/>
            <w:noWrap/>
            <w:vAlign w:val="center"/>
            <w:hideMark/>
          </w:tcPr>
          <w:p w14:paraId="6FAFF5B2"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7.5%</w:t>
            </w:r>
          </w:p>
        </w:tc>
      </w:tr>
      <w:tr w:rsidR="00A8698F" w:rsidRPr="00A8698F" w14:paraId="2111C168" w14:textId="77777777" w:rsidTr="00253B03">
        <w:trPr>
          <w:divId w:val="53744011"/>
          <w:trHeight w:hRule="exact" w:val="216"/>
        </w:trPr>
        <w:tc>
          <w:tcPr>
            <w:tcW w:w="3340" w:type="dxa"/>
            <w:gridSpan w:val="4"/>
            <w:tcBorders>
              <w:top w:val="nil"/>
              <w:left w:val="nil"/>
              <w:bottom w:val="nil"/>
              <w:right w:val="nil"/>
            </w:tcBorders>
            <w:shd w:val="clear" w:color="auto" w:fill="auto"/>
            <w:noWrap/>
            <w:hideMark/>
          </w:tcPr>
          <w:p w14:paraId="3D6A8EF4"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r w:rsidRPr="00A8698F">
              <w:rPr>
                <w:rFonts w:ascii="Arial Narrow" w:eastAsia="Times New Roman" w:hAnsi="Arial Narrow" w:cs="Times New Roman"/>
                <w:b/>
                <w:bCs/>
                <w:color w:val="005172"/>
                <w:sz w:val="16"/>
                <w:szCs w:val="16"/>
                <w:lang w:val="en-US"/>
              </w:rPr>
              <w:t>B. Non-personnel Resources</w:t>
            </w:r>
          </w:p>
        </w:tc>
        <w:tc>
          <w:tcPr>
            <w:tcW w:w="1260" w:type="dxa"/>
            <w:tcBorders>
              <w:top w:val="nil"/>
              <w:left w:val="nil"/>
              <w:bottom w:val="nil"/>
              <w:right w:val="nil"/>
            </w:tcBorders>
            <w:shd w:val="clear" w:color="000000" w:fill="FFFFFF"/>
            <w:noWrap/>
            <w:hideMark/>
          </w:tcPr>
          <w:p w14:paraId="3BFAE8B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nil"/>
              <w:right w:val="nil"/>
            </w:tcBorders>
            <w:shd w:val="clear" w:color="auto" w:fill="auto"/>
            <w:noWrap/>
            <w:hideMark/>
          </w:tcPr>
          <w:p w14:paraId="23BF095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260" w:type="dxa"/>
            <w:tcBorders>
              <w:top w:val="nil"/>
              <w:left w:val="nil"/>
              <w:bottom w:val="nil"/>
              <w:right w:val="nil"/>
            </w:tcBorders>
            <w:shd w:val="clear" w:color="000000" w:fill="FFFFFF"/>
            <w:noWrap/>
            <w:hideMark/>
          </w:tcPr>
          <w:p w14:paraId="72D69D1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080" w:type="dxa"/>
            <w:tcBorders>
              <w:top w:val="nil"/>
              <w:left w:val="nil"/>
              <w:bottom w:val="nil"/>
              <w:right w:val="nil"/>
            </w:tcBorders>
            <w:shd w:val="clear" w:color="auto" w:fill="auto"/>
            <w:noWrap/>
            <w:hideMark/>
          </w:tcPr>
          <w:p w14:paraId="2E5605B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080" w:type="dxa"/>
            <w:tcBorders>
              <w:top w:val="nil"/>
              <w:left w:val="nil"/>
              <w:bottom w:val="nil"/>
              <w:right w:val="nil"/>
            </w:tcBorders>
            <w:shd w:val="clear" w:color="auto" w:fill="auto"/>
            <w:noWrap/>
            <w:hideMark/>
          </w:tcPr>
          <w:p w14:paraId="35268038"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199CA14B" w14:textId="77777777" w:rsidTr="00253B03">
        <w:trPr>
          <w:divId w:val="53744011"/>
          <w:trHeight w:hRule="exact" w:val="216"/>
        </w:trPr>
        <w:tc>
          <w:tcPr>
            <w:tcW w:w="200" w:type="dxa"/>
            <w:tcBorders>
              <w:top w:val="nil"/>
              <w:left w:val="nil"/>
              <w:bottom w:val="nil"/>
              <w:right w:val="nil"/>
            </w:tcBorders>
            <w:shd w:val="clear" w:color="auto" w:fill="auto"/>
            <w:noWrap/>
            <w:hideMark/>
          </w:tcPr>
          <w:p w14:paraId="41357D2F"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140" w:type="dxa"/>
            <w:gridSpan w:val="3"/>
            <w:tcBorders>
              <w:top w:val="nil"/>
              <w:left w:val="nil"/>
              <w:bottom w:val="nil"/>
              <w:right w:val="nil"/>
            </w:tcBorders>
            <w:shd w:val="clear" w:color="auto" w:fill="auto"/>
            <w:noWrap/>
            <w:hideMark/>
          </w:tcPr>
          <w:p w14:paraId="3C105C13"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Internships and WIPO Fellowships</w:t>
            </w:r>
          </w:p>
        </w:tc>
        <w:tc>
          <w:tcPr>
            <w:tcW w:w="1260" w:type="dxa"/>
            <w:tcBorders>
              <w:top w:val="nil"/>
              <w:left w:val="nil"/>
              <w:bottom w:val="nil"/>
              <w:right w:val="nil"/>
            </w:tcBorders>
            <w:shd w:val="clear" w:color="000000" w:fill="FFFFFF"/>
            <w:noWrap/>
            <w:hideMark/>
          </w:tcPr>
          <w:p w14:paraId="5AA9233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nil"/>
              <w:right w:val="nil"/>
            </w:tcBorders>
            <w:shd w:val="clear" w:color="auto" w:fill="auto"/>
            <w:noWrap/>
            <w:hideMark/>
          </w:tcPr>
          <w:p w14:paraId="25B9A8F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260" w:type="dxa"/>
            <w:tcBorders>
              <w:top w:val="nil"/>
              <w:left w:val="nil"/>
              <w:bottom w:val="nil"/>
              <w:right w:val="nil"/>
            </w:tcBorders>
            <w:shd w:val="clear" w:color="000000" w:fill="FFFFFF"/>
            <w:noWrap/>
            <w:hideMark/>
          </w:tcPr>
          <w:p w14:paraId="5E92C77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080" w:type="dxa"/>
            <w:tcBorders>
              <w:top w:val="nil"/>
              <w:left w:val="nil"/>
              <w:bottom w:val="nil"/>
              <w:right w:val="nil"/>
            </w:tcBorders>
            <w:shd w:val="clear" w:color="auto" w:fill="auto"/>
            <w:noWrap/>
            <w:hideMark/>
          </w:tcPr>
          <w:p w14:paraId="3FFC117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080" w:type="dxa"/>
            <w:tcBorders>
              <w:top w:val="nil"/>
              <w:left w:val="nil"/>
              <w:bottom w:val="nil"/>
              <w:right w:val="nil"/>
            </w:tcBorders>
            <w:shd w:val="clear" w:color="auto" w:fill="auto"/>
            <w:noWrap/>
            <w:hideMark/>
          </w:tcPr>
          <w:p w14:paraId="443753F4"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1FEDEAF4" w14:textId="77777777" w:rsidTr="00253B03">
        <w:trPr>
          <w:divId w:val="53744011"/>
          <w:trHeight w:hRule="exact" w:val="216"/>
        </w:trPr>
        <w:tc>
          <w:tcPr>
            <w:tcW w:w="200" w:type="dxa"/>
            <w:tcBorders>
              <w:top w:val="nil"/>
              <w:left w:val="nil"/>
              <w:bottom w:val="nil"/>
              <w:right w:val="nil"/>
            </w:tcBorders>
            <w:shd w:val="clear" w:color="auto" w:fill="auto"/>
            <w:noWrap/>
            <w:hideMark/>
          </w:tcPr>
          <w:p w14:paraId="28E47212"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5EF8DC60"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0C2B45CA"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Internships</w:t>
            </w:r>
          </w:p>
        </w:tc>
        <w:tc>
          <w:tcPr>
            <w:tcW w:w="1520" w:type="dxa"/>
            <w:tcBorders>
              <w:top w:val="nil"/>
              <w:left w:val="nil"/>
              <w:bottom w:val="nil"/>
              <w:right w:val="nil"/>
            </w:tcBorders>
            <w:shd w:val="clear" w:color="auto" w:fill="auto"/>
            <w:noWrap/>
            <w:hideMark/>
          </w:tcPr>
          <w:p w14:paraId="732113F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57081D2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1,089</w:t>
            </w:r>
          </w:p>
        </w:tc>
        <w:tc>
          <w:tcPr>
            <w:tcW w:w="1260" w:type="dxa"/>
            <w:tcBorders>
              <w:top w:val="nil"/>
              <w:left w:val="nil"/>
              <w:bottom w:val="nil"/>
              <w:right w:val="nil"/>
            </w:tcBorders>
            <w:shd w:val="clear" w:color="auto" w:fill="auto"/>
            <w:noWrap/>
            <w:hideMark/>
          </w:tcPr>
          <w:p w14:paraId="6D528DE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1,543</w:t>
            </w:r>
          </w:p>
        </w:tc>
        <w:tc>
          <w:tcPr>
            <w:tcW w:w="1260" w:type="dxa"/>
            <w:tcBorders>
              <w:top w:val="nil"/>
              <w:left w:val="nil"/>
              <w:bottom w:val="nil"/>
              <w:right w:val="nil"/>
            </w:tcBorders>
            <w:shd w:val="clear" w:color="auto" w:fill="auto"/>
            <w:noWrap/>
            <w:hideMark/>
          </w:tcPr>
          <w:p w14:paraId="131B782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1,239</w:t>
            </w:r>
          </w:p>
        </w:tc>
        <w:tc>
          <w:tcPr>
            <w:tcW w:w="1080" w:type="dxa"/>
            <w:tcBorders>
              <w:top w:val="nil"/>
              <w:left w:val="nil"/>
              <w:bottom w:val="nil"/>
              <w:right w:val="nil"/>
            </w:tcBorders>
            <w:shd w:val="clear" w:color="auto" w:fill="auto"/>
            <w:noWrap/>
            <w:hideMark/>
          </w:tcPr>
          <w:p w14:paraId="1FDCDC0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(454)</w:t>
            </w:r>
          </w:p>
        </w:tc>
        <w:tc>
          <w:tcPr>
            <w:tcW w:w="1080" w:type="dxa"/>
            <w:tcBorders>
              <w:top w:val="nil"/>
              <w:left w:val="nil"/>
              <w:bottom w:val="nil"/>
              <w:right w:val="nil"/>
            </w:tcBorders>
            <w:shd w:val="clear" w:color="auto" w:fill="auto"/>
            <w:noWrap/>
            <w:hideMark/>
          </w:tcPr>
          <w:p w14:paraId="76F13E3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-29.4%</w:t>
            </w:r>
          </w:p>
        </w:tc>
      </w:tr>
      <w:tr w:rsidR="00A8698F" w:rsidRPr="00A8698F" w14:paraId="639A7790"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55B540F"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BB46685"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72CDB01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WIPO Fellowships</w:t>
            </w:r>
          </w:p>
        </w:tc>
        <w:tc>
          <w:tcPr>
            <w:tcW w:w="1520" w:type="dxa"/>
            <w:tcBorders>
              <w:top w:val="nil"/>
              <w:left w:val="nil"/>
              <w:bottom w:val="nil"/>
              <w:right w:val="nil"/>
            </w:tcBorders>
            <w:shd w:val="clear" w:color="auto" w:fill="auto"/>
            <w:noWrap/>
            <w:hideMark/>
          </w:tcPr>
          <w:p w14:paraId="57E94FE6"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2CAB19F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17,913</w:t>
            </w:r>
          </w:p>
        </w:tc>
        <w:tc>
          <w:tcPr>
            <w:tcW w:w="1260" w:type="dxa"/>
            <w:tcBorders>
              <w:top w:val="nil"/>
              <w:left w:val="nil"/>
              <w:bottom w:val="nil"/>
              <w:right w:val="nil"/>
            </w:tcBorders>
            <w:shd w:val="clear" w:color="auto" w:fill="auto"/>
            <w:noWrap/>
            <w:hideMark/>
          </w:tcPr>
          <w:p w14:paraId="3B10431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13,464</w:t>
            </w:r>
          </w:p>
        </w:tc>
        <w:tc>
          <w:tcPr>
            <w:tcW w:w="1260" w:type="dxa"/>
            <w:tcBorders>
              <w:top w:val="nil"/>
              <w:left w:val="nil"/>
              <w:bottom w:val="nil"/>
              <w:right w:val="nil"/>
            </w:tcBorders>
            <w:shd w:val="clear" w:color="auto" w:fill="auto"/>
            <w:noWrap/>
            <w:hideMark/>
          </w:tcPr>
          <w:p w14:paraId="79EBB1A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16,118</w:t>
            </w:r>
          </w:p>
        </w:tc>
        <w:tc>
          <w:tcPr>
            <w:tcW w:w="1080" w:type="dxa"/>
            <w:tcBorders>
              <w:top w:val="nil"/>
              <w:left w:val="nil"/>
              <w:bottom w:val="nil"/>
              <w:right w:val="nil"/>
            </w:tcBorders>
            <w:shd w:val="clear" w:color="auto" w:fill="auto"/>
            <w:noWrap/>
            <w:hideMark/>
          </w:tcPr>
          <w:p w14:paraId="620C73F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4,449</w:t>
            </w:r>
          </w:p>
        </w:tc>
        <w:tc>
          <w:tcPr>
            <w:tcW w:w="1080" w:type="dxa"/>
            <w:tcBorders>
              <w:top w:val="nil"/>
              <w:left w:val="nil"/>
              <w:bottom w:val="nil"/>
              <w:right w:val="nil"/>
            </w:tcBorders>
            <w:shd w:val="clear" w:color="auto" w:fill="auto"/>
            <w:noWrap/>
            <w:hideMark/>
          </w:tcPr>
          <w:p w14:paraId="12C9D26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33.0%</w:t>
            </w:r>
          </w:p>
        </w:tc>
      </w:tr>
      <w:tr w:rsidR="00A8698F" w:rsidRPr="00A8698F" w14:paraId="2DCDAB00"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37E9B298"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1B753E8C"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7BED45B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000000" w:fill="FFFFFF"/>
            <w:noWrap/>
            <w:hideMark/>
          </w:tcPr>
          <w:p w14:paraId="58987AE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19,002</w:t>
            </w:r>
          </w:p>
        </w:tc>
        <w:tc>
          <w:tcPr>
            <w:tcW w:w="1260" w:type="dxa"/>
            <w:tcBorders>
              <w:top w:val="nil"/>
              <w:left w:val="nil"/>
              <w:bottom w:val="single" w:sz="4" w:space="0" w:color="C7CFD8"/>
              <w:right w:val="nil"/>
            </w:tcBorders>
            <w:shd w:val="clear" w:color="000000" w:fill="FFFFFF"/>
            <w:noWrap/>
            <w:hideMark/>
          </w:tcPr>
          <w:p w14:paraId="6CB0192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15,006</w:t>
            </w:r>
          </w:p>
        </w:tc>
        <w:tc>
          <w:tcPr>
            <w:tcW w:w="1260" w:type="dxa"/>
            <w:tcBorders>
              <w:top w:val="nil"/>
              <w:left w:val="nil"/>
              <w:bottom w:val="single" w:sz="4" w:space="0" w:color="C7CFD8"/>
              <w:right w:val="nil"/>
            </w:tcBorders>
            <w:shd w:val="clear" w:color="000000" w:fill="FFFFFF"/>
            <w:noWrap/>
            <w:hideMark/>
          </w:tcPr>
          <w:p w14:paraId="3AC2E01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17,357</w:t>
            </w:r>
          </w:p>
        </w:tc>
        <w:tc>
          <w:tcPr>
            <w:tcW w:w="1080" w:type="dxa"/>
            <w:tcBorders>
              <w:top w:val="nil"/>
              <w:left w:val="nil"/>
              <w:bottom w:val="single" w:sz="4" w:space="0" w:color="C7CFD8"/>
              <w:right w:val="nil"/>
            </w:tcBorders>
            <w:shd w:val="clear" w:color="auto" w:fill="auto"/>
            <w:noWrap/>
            <w:hideMark/>
          </w:tcPr>
          <w:p w14:paraId="611AA47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3,995</w:t>
            </w:r>
          </w:p>
        </w:tc>
        <w:tc>
          <w:tcPr>
            <w:tcW w:w="1080" w:type="dxa"/>
            <w:tcBorders>
              <w:top w:val="nil"/>
              <w:left w:val="nil"/>
              <w:bottom w:val="single" w:sz="4" w:space="0" w:color="C7CFD8"/>
              <w:right w:val="nil"/>
            </w:tcBorders>
            <w:shd w:val="clear" w:color="auto" w:fill="auto"/>
            <w:noWrap/>
            <w:hideMark/>
          </w:tcPr>
          <w:p w14:paraId="5623931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26.6%</w:t>
            </w:r>
          </w:p>
        </w:tc>
      </w:tr>
      <w:tr w:rsidR="00A8698F" w:rsidRPr="00A8698F" w14:paraId="6F188BB9" w14:textId="77777777" w:rsidTr="00253B03">
        <w:trPr>
          <w:divId w:val="53744011"/>
          <w:trHeight w:hRule="exact" w:val="216"/>
        </w:trPr>
        <w:tc>
          <w:tcPr>
            <w:tcW w:w="200" w:type="dxa"/>
            <w:tcBorders>
              <w:top w:val="nil"/>
              <w:left w:val="nil"/>
              <w:bottom w:val="nil"/>
              <w:right w:val="nil"/>
            </w:tcBorders>
            <w:shd w:val="clear" w:color="auto" w:fill="auto"/>
            <w:noWrap/>
            <w:hideMark/>
          </w:tcPr>
          <w:p w14:paraId="4625DED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140" w:type="dxa"/>
            <w:gridSpan w:val="3"/>
            <w:tcBorders>
              <w:top w:val="nil"/>
              <w:left w:val="nil"/>
              <w:bottom w:val="nil"/>
              <w:right w:val="nil"/>
            </w:tcBorders>
            <w:shd w:val="clear" w:color="auto" w:fill="auto"/>
            <w:noWrap/>
            <w:hideMark/>
          </w:tcPr>
          <w:p w14:paraId="35E2AEA8"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Travel, Training and Grants</w:t>
            </w:r>
          </w:p>
        </w:tc>
        <w:tc>
          <w:tcPr>
            <w:tcW w:w="1260" w:type="dxa"/>
            <w:tcBorders>
              <w:top w:val="nil"/>
              <w:left w:val="nil"/>
              <w:bottom w:val="nil"/>
              <w:right w:val="nil"/>
            </w:tcBorders>
            <w:shd w:val="clear" w:color="auto" w:fill="auto"/>
            <w:noWrap/>
            <w:hideMark/>
          </w:tcPr>
          <w:p w14:paraId="5453209F"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hideMark/>
          </w:tcPr>
          <w:p w14:paraId="14175971"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5ECF0A2F"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47C68783"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26498FA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1805A02F" w14:textId="77777777" w:rsidTr="00253B03">
        <w:trPr>
          <w:divId w:val="53744011"/>
          <w:trHeight w:hRule="exact" w:val="216"/>
        </w:trPr>
        <w:tc>
          <w:tcPr>
            <w:tcW w:w="200" w:type="dxa"/>
            <w:tcBorders>
              <w:top w:val="nil"/>
              <w:left w:val="nil"/>
              <w:bottom w:val="nil"/>
              <w:right w:val="nil"/>
            </w:tcBorders>
            <w:shd w:val="clear" w:color="auto" w:fill="auto"/>
            <w:noWrap/>
            <w:hideMark/>
          </w:tcPr>
          <w:p w14:paraId="1BB52FCC"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0F754B1"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7B78CAE3"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Staff Missions</w:t>
            </w:r>
          </w:p>
        </w:tc>
        <w:tc>
          <w:tcPr>
            <w:tcW w:w="1520" w:type="dxa"/>
            <w:tcBorders>
              <w:top w:val="nil"/>
              <w:left w:val="nil"/>
              <w:bottom w:val="nil"/>
              <w:right w:val="nil"/>
            </w:tcBorders>
            <w:shd w:val="clear" w:color="auto" w:fill="auto"/>
            <w:noWrap/>
            <w:hideMark/>
          </w:tcPr>
          <w:p w14:paraId="640C565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4858DC1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10,392</w:t>
            </w:r>
          </w:p>
        </w:tc>
        <w:tc>
          <w:tcPr>
            <w:tcW w:w="1260" w:type="dxa"/>
            <w:tcBorders>
              <w:top w:val="nil"/>
              <w:left w:val="nil"/>
              <w:bottom w:val="nil"/>
              <w:right w:val="nil"/>
            </w:tcBorders>
            <w:shd w:val="clear" w:color="auto" w:fill="auto"/>
            <w:noWrap/>
            <w:hideMark/>
          </w:tcPr>
          <w:p w14:paraId="13FF1BD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10,617</w:t>
            </w:r>
          </w:p>
        </w:tc>
        <w:tc>
          <w:tcPr>
            <w:tcW w:w="1260" w:type="dxa"/>
            <w:tcBorders>
              <w:top w:val="nil"/>
              <w:left w:val="nil"/>
              <w:bottom w:val="nil"/>
              <w:right w:val="nil"/>
            </w:tcBorders>
            <w:shd w:val="clear" w:color="auto" w:fill="auto"/>
            <w:noWrap/>
            <w:hideMark/>
          </w:tcPr>
          <w:p w14:paraId="3CDBF2A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7,492</w:t>
            </w:r>
          </w:p>
        </w:tc>
        <w:tc>
          <w:tcPr>
            <w:tcW w:w="1080" w:type="dxa"/>
            <w:tcBorders>
              <w:top w:val="nil"/>
              <w:left w:val="nil"/>
              <w:bottom w:val="nil"/>
              <w:right w:val="nil"/>
            </w:tcBorders>
            <w:shd w:val="clear" w:color="auto" w:fill="auto"/>
            <w:noWrap/>
            <w:hideMark/>
          </w:tcPr>
          <w:p w14:paraId="5CF7D71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(225)</w:t>
            </w:r>
          </w:p>
        </w:tc>
        <w:tc>
          <w:tcPr>
            <w:tcW w:w="1080" w:type="dxa"/>
            <w:tcBorders>
              <w:top w:val="nil"/>
              <w:left w:val="nil"/>
              <w:bottom w:val="nil"/>
              <w:right w:val="nil"/>
            </w:tcBorders>
            <w:shd w:val="clear" w:color="auto" w:fill="auto"/>
            <w:noWrap/>
            <w:hideMark/>
          </w:tcPr>
          <w:p w14:paraId="2B02731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-2.1%</w:t>
            </w:r>
          </w:p>
        </w:tc>
      </w:tr>
      <w:tr w:rsidR="00A8698F" w:rsidRPr="00A8698F" w14:paraId="1226EFEC" w14:textId="77777777" w:rsidTr="00253B03">
        <w:trPr>
          <w:divId w:val="53744011"/>
          <w:trHeight w:hRule="exact" w:val="216"/>
        </w:trPr>
        <w:tc>
          <w:tcPr>
            <w:tcW w:w="200" w:type="dxa"/>
            <w:tcBorders>
              <w:top w:val="nil"/>
              <w:left w:val="nil"/>
              <w:bottom w:val="nil"/>
              <w:right w:val="nil"/>
            </w:tcBorders>
            <w:shd w:val="clear" w:color="auto" w:fill="auto"/>
            <w:noWrap/>
            <w:hideMark/>
          </w:tcPr>
          <w:p w14:paraId="2ADEDD5A"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42DE9AF7"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70EBC45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Third-party Travel</w:t>
            </w:r>
          </w:p>
        </w:tc>
        <w:tc>
          <w:tcPr>
            <w:tcW w:w="1520" w:type="dxa"/>
            <w:tcBorders>
              <w:top w:val="nil"/>
              <w:left w:val="nil"/>
              <w:bottom w:val="nil"/>
              <w:right w:val="nil"/>
            </w:tcBorders>
            <w:shd w:val="clear" w:color="auto" w:fill="auto"/>
            <w:noWrap/>
            <w:hideMark/>
          </w:tcPr>
          <w:p w14:paraId="1FD7B91D"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31E544E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18,121</w:t>
            </w:r>
          </w:p>
        </w:tc>
        <w:tc>
          <w:tcPr>
            <w:tcW w:w="1260" w:type="dxa"/>
            <w:tcBorders>
              <w:top w:val="nil"/>
              <w:left w:val="nil"/>
              <w:bottom w:val="nil"/>
              <w:right w:val="nil"/>
            </w:tcBorders>
            <w:shd w:val="clear" w:color="auto" w:fill="auto"/>
            <w:noWrap/>
            <w:hideMark/>
          </w:tcPr>
          <w:p w14:paraId="43915B0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15,637</w:t>
            </w:r>
          </w:p>
        </w:tc>
        <w:tc>
          <w:tcPr>
            <w:tcW w:w="1260" w:type="dxa"/>
            <w:tcBorders>
              <w:top w:val="nil"/>
              <w:left w:val="nil"/>
              <w:bottom w:val="nil"/>
              <w:right w:val="nil"/>
            </w:tcBorders>
            <w:shd w:val="clear" w:color="auto" w:fill="auto"/>
            <w:noWrap/>
            <w:hideMark/>
          </w:tcPr>
          <w:p w14:paraId="3A5E518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13,487</w:t>
            </w:r>
          </w:p>
        </w:tc>
        <w:tc>
          <w:tcPr>
            <w:tcW w:w="1080" w:type="dxa"/>
            <w:tcBorders>
              <w:top w:val="nil"/>
              <w:left w:val="nil"/>
              <w:bottom w:val="nil"/>
              <w:right w:val="nil"/>
            </w:tcBorders>
            <w:shd w:val="clear" w:color="auto" w:fill="auto"/>
            <w:noWrap/>
            <w:hideMark/>
          </w:tcPr>
          <w:p w14:paraId="4F6B233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2,484</w:t>
            </w:r>
          </w:p>
        </w:tc>
        <w:tc>
          <w:tcPr>
            <w:tcW w:w="1080" w:type="dxa"/>
            <w:tcBorders>
              <w:top w:val="nil"/>
              <w:left w:val="nil"/>
              <w:bottom w:val="nil"/>
              <w:right w:val="nil"/>
            </w:tcBorders>
            <w:shd w:val="clear" w:color="auto" w:fill="auto"/>
            <w:noWrap/>
            <w:hideMark/>
          </w:tcPr>
          <w:p w14:paraId="5C32565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15.9%</w:t>
            </w:r>
          </w:p>
        </w:tc>
      </w:tr>
      <w:tr w:rsidR="00A8698F" w:rsidRPr="00A8698F" w14:paraId="605AA600"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7ACED991"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6C7D8FA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27FCDCCD"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000000" w:fill="FFFFFF"/>
            <w:noWrap/>
            <w:hideMark/>
          </w:tcPr>
          <w:p w14:paraId="2AAF63F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28,513</w:t>
            </w:r>
          </w:p>
        </w:tc>
        <w:tc>
          <w:tcPr>
            <w:tcW w:w="1260" w:type="dxa"/>
            <w:tcBorders>
              <w:top w:val="nil"/>
              <w:left w:val="nil"/>
              <w:bottom w:val="single" w:sz="4" w:space="0" w:color="C7CFD8"/>
              <w:right w:val="nil"/>
            </w:tcBorders>
            <w:shd w:val="clear" w:color="000000" w:fill="FFFFFF"/>
            <w:noWrap/>
            <w:hideMark/>
          </w:tcPr>
          <w:p w14:paraId="2599C24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26,254</w:t>
            </w:r>
          </w:p>
        </w:tc>
        <w:tc>
          <w:tcPr>
            <w:tcW w:w="1260" w:type="dxa"/>
            <w:tcBorders>
              <w:top w:val="nil"/>
              <w:left w:val="nil"/>
              <w:bottom w:val="single" w:sz="4" w:space="0" w:color="C7CFD8"/>
              <w:right w:val="nil"/>
            </w:tcBorders>
            <w:shd w:val="clear" w:color="000000" w:fill="FFFFFF"/>
            <w:noWrap/>
            <w:hideMark/>
          </w:tcPr>
          <w:p w14:paraId="16BE302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20,979</w:t>
            </w:r>
          </w:p>
        </w:tc>
        <w:tc>
          <w:tcPr>
            <w:tcW w:w="1080" w:type="dxa"/>
            <w:tcBorders>
              <w:top w:val="nil"/>
              <w:left w:val="nil"/>
              <w:bottom w:val="single" w:sz="4" w:space="0" w:color="C7CFD8"/>
              <w:right w:val="nil"/>
            </w:tcBorders>
            <w:shd w:val="clear" w:color="auto" w:fill="auto"/>
            <w:noWrap/>
            <w:hideMark/>
          </w:tcPr>
          <w:p w14:paraId="194AEBC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2,259</w:t>
            </w:r>
          </w:p>
        </w:tc>
        <w:tc>
          <w:tcPr>
            <w:tcW w:w="1080" w:type="dxa"/>
            <w:tcBorders>
              <w:top w:val="nil"/>
              <w:left w:val="nil"/>
              <w:bottom w:val="single" w:sz="4" w:space="0" w:color="C7CFD8"/>
              <w:right w:val="nil"/>
            </w:tcBorders>
            <w:shd w:val="clear" w:color="auto" w:fill="auto"/>
            <w:noWrap/>
            <w:hideMark/>
          </w:tcPr>
          <w:p w14:paraId="6A447C1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8.6%</w:t>
            </w:r>
          </w:p>
        </w:tc>
      </w:tr>
      <w:tr w:rsidR="00A8698F" w:rsidRPr="00A8698F" w14:paraId="6B071DC7" w14:textId="77777777" w:rsidTr="00253B03">
        <w:trPr>
          <w:divId w:val="53744011"/>
          <w:trHeight w:hRule="exact" w:val="216"/>
        </w:trPr>
        <w:tc>
          <w:tcPr>
            <w:tcW w:w="200" w:type="dxa"/>
            <w:tcBorders>
              <w:top w:val="nil"/>
              <w:left w:val="nil"/>
              <w:bottom w:val="nil"/>
              <w:right w:val="nil"/>
            </w:tcBorders>
            <w:shd w:val="clear" w:color="auto" w:fill="auto"/>
            <w:noWrap/>
            <w:hideMark/>
          </w:tcPr>
          <w:p w14:paraId="109F27B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620" w:type="dxa"/>
            <w:gridSpan w:val="2"/>
            <w:tcBorders>
              <w:top w:val="nil"/>
              <w:left w:val="nil"/>
              <w:bottom w:val="nil"/>
              <w:right w:val="nil"/>
            </w:tcBorders>
            <w:shd w:val="clear" w:color="auto" w:fill="auto"/>
            <w:noWrap/>
            <w:hideMark/>
          </w:tcPr>
          <w:p w14:paraId="44C27509"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Contractual Services</w:t>
            </w:r>
          </w:p>
        </w:tc>
        <w:tc>
          <w:tcPr>
            <w:tcW w:w="1520" w:type="dxa"/>
            <w:tcBorders>
              <w:top w:val="nil"/>
              <w:left w:val="nil"/>
              <w:bottom w:val="nil"/>
              <w:right w:val="nil"/>
            </w:tcBorders>
            <w:shd w:val="clear" w:color="auto" w:fill="auto"/>
            <w:noWrap/>
            <w:hideMark/>
          </w:tcPr>
          <w:p w14:paraId="7310BBE6"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hideMark/>
          </w:tcPr>
          <w:p w14:paraId="64055A64"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3C69A7A3"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3C50F4FA"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08D2EFB8"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1F43119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30780907"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B0E5D86"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41268578"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7DDB1160"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Conferences</w:t>
            </w:r>
          </w:p>
        </w:tc>
        <w:tc>
          <w:tcPr>
            <w:tcW w:w="1520" w:type="dxa"/>
            <w:tcBorders>
              <w:top w:val="nil"/>
              <w:left w:val="nil"/>
              <w:bottom w:val="nil"/>
              <w:right w:val="nil"/>
            </w:tcBorders>
            <w:shd w:val="clear" w:color="auto" w:fill="auto"/>
            <w:noWrap/>
            <w:hideMark/>
          </w:tcPr>
          <w:p w14:paraId="58368656"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3ECC71D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10,307</w:t>
            </w:r>
          </w:p>
        </w:tc>
        <w:tc>
          <w:tcPr>
            <w:tcW w:w="1260" w:type="dxa"/>
            <w:tcBorders>
              <w:top w:val="nil"/>
              <w:left w:val="nil"/>
              <w:bottom w:val="nil"/>
              <w:right w:val="nil"/>
            </w:tcBorders>
            <w:shd w:val="clear" w:color="auto" w:fill="auto"/>
            <w:noWrap/>
            <w:hideMark/>
          </w:tcPr>
          <w:p w14:paraId="44378AA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8,381</w:t>
            </w:r>
          </w:p>
        </w:tc>
        <w:tc>
          <w:tcPr>
            <w:tcW w:w="1260" w:type="dxa"/>
            <w:tcBorders>
              <w:top w:val="nil"/>
              <w:left w:val="nil"/>
              <w:bottom w:val="nil"/>
              <w:right w:val="nil"/>
            </w:tcBorders>
            <w:shd w:val="clear" w:color="auto" w:fill="auto"/>
            <w:noWrap/>
            <w:hideMark/>
          </w:tcPr>
          <w:p w14:paraId="21CF5B8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8,941</w:t>
            </w:r>
          </w:p>
        </w:tc>
        <w:tc>
          <w:tcPr>
            <w:tcW w:w="1080" w:type="dxa"/>
            <w:tcBorders>
              <w:top w:val="nil"/>
              <w:left w:val="nil"/>
              <w:bottom w:val="nil"/>
              <w:right w:val="nil"/>
            </w:tcBorders>
            <w:shd w:val="clear" w:color="auto" w:fill="auto"/>
            <w:noWrap/>
            <w:hideMark/>
          </w:tcPr>
          <w:p w14:paraId="2AF6ED4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1,925</w:t>
            </w:r>
          </w:p>
        </w:tc>
        <w:tc>
          <w:tcPr>
            <w:tcW w:w="1080" w:type="dxa"/>
            <w:tcBorders>
              <w:top w:val="nil"/>
              <w:left w:val="nil"/>
              <w:bottom w:val="nil"/>
              <w:right w:val="nil"/>
            </w:tcBorders>
            <w:shd w:val="clear" w:color="auto" w:fill="auto"/>
            <w:noWrap/>
            <w:hideMark/>
          </w:tcPr>
          <w:p w14:paraId="5DF8E50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23.0%</w:t>
            </w:r>
          </w:p>
        </w:tc>
      </w:tr>
      <w:tr w:rsidR="00A8698F" w:rsidRPr="00A8698F" w14:paraId="7D0096BA"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7FF1B34"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60C33C35"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3CE99E70"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Publishing</w:t>
            </w:r>
          </w:p>
        </w:tc>
        <w:tc>
          <w:tcPr>
            <w:tcW w:w="1520" w:type="dxa"/>
            <w:tcBorders>
              <w:top w:val="nil"/>
              <w:left w:val="nil"/>
              <w:bottom w:val="nil"/>
              <w:right w:val="nil"/>
            </w:tcBorders>
            <w:shd w:val="clear" w:color="auto" w:fill="auto"/>
            <w:noWrap/>
            <w:hideMark/>
          </w:tcPr>
          <w:p w14:paraId="696FF8B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07A5700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228</w:t>
            </w:r>
          </w:p>
        </w:tc>
        <w:tc>
          <w:tcPr>
            <w:tcW w:w="1260" w:type="dxa"/>
            <w:tcBorders>
              <w:top w:val="nil"/>
              <w:left w:val="nil"/>
              <w:bottom w:val="nil"/>
              <w:right w:val="nil"/>
            </w:tcBorders>
            <w:shd w:val="clear" w:color="auto" w:fill="auto"/>
            <w:noWrap/>
            <w:hideMark/>
          </w:tcPr>
          <w:p w14:paraId="70C6A2F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461</w:t>
            </w:r>
          </w:p>
        </w:tc>
        <w:tc>
          <w:tcPr>
            <w:tcW w:w="1260" w:type="dxa"/>
            <w:tcBorders>
              <w:top w:val="nil"/>
              <w:left w:val="nil"/>
              <w:bottom w:val="nil"/>
              <w:right w:val="nil"/>
            </w:tcBorders>
            <w:shd w:val="clear" w:color="auto" w:fill="auto"/>
            <w:noWrap/>
            <w:hideMark/>
          </w:tcPr>
          <w:p w14:paraId="0F65C37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329</w:t>
            </w:r>
          </w:p>
        </w:tc>
        <w:tc>
          <w:tcPr>
            <w:tcW w:w="1080" w:type="dxa"/>
            <w:tcBorders>
              <w:top w:val="nil"/>
              <w:left w:val="nil"/>
              <w:bottom w:val="nil"/>
              <w:right w:val="nil"/>
            </w:tcBorders>
            <w:shd w:val="clear" w:color="auto" w:fill="auto"/>
            <w:noWrap/>
            <w:hideMark/>
          </w:tcPr>
          <w:p w14:paraId="4E08132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(233)</w:t>
            </w:r>
          </w:p>
        </w:tc>
        <w:tc>
          <w:tcPr>
            <w:tcW w:w="1080" w:type="dxa"/>
            <w:tcBorders>
              <w:top w:val="nil"/>
              <w:left w:val="nil"/>
              <w:bottom w:val="nil"/>
              <w:right w:val="nil"/>
            </w:tcBorders>
            <w:shd w:val="clear" w:color="auto" w:fill="auto"/>
            <w:noWrap/>
            <w:hideMark/>
          </w:tcPr>
          <w:p w14:paraId="26D2B89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-50.5%</w:t>
            </w:r>
          </w:p>
        </w:tc>
      </w:tr>
      <w:tr w:rsidR="00A8698F" w:rsidRPr="00A8698F" w14:paraId="633EFF1B" w14:textId="77777777" w:rsidTr="00253B03">
        <w:trPr>
          <w:divId w:val="53744011"/>
          <w:trHeight w:hRule="exact" w:val="216"/>
        </w:trPr>
        <w:tc>
          <w:tcPr>
            <w:tcW w:w="200" w:type="dxa"/>
            <w:tcBorders>
              <w:top w:val="nil"/>
              <w:left w:val="nil"/>
              <w:bottom w:val="nil"/>
              <w:right w:val="nil"/>
            </w:tcBorders>
            <w:shd w:val="clear" w:color="auto" w:fill="auto"/>
            <w:noWrap/>
            <w:hideMark/>
          </w:tcPr>
          <w:p w14:paraId="1AA352E9"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06B07982"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2940" w:type="dxa"/>
            <w:gridSpan w:val="2"/>
            <w:tcBorders>
              <w:top w:val="nil"/>
              <w:left w:val="nil"/>
              <w:bottom w:val="nil"/>
              <w:right w:val="nil"/>
            </w:tcBorders>
            <w:shd w:val="clear" w:color="auto" w:fill="auto"/>
            <w:noWrap/>
            <w:hideMark/>
          </w:tcPr>
          <w:p w14:paraId="3B3220EE"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Individual Contractual Services</w:t>
            </w:r>
          </w:p>
        </w:tc>
        <w:tc>
          <w:tcPr>
            <w:tcW w:w="1260" w:type="dxa"/>
            <w:tcBorders>
              <w:top w:val="nil"/>
              <w:left w:val="nil"/>
              <w:bottom w:val="nil"/>
              <w:right w:val="nil"/>
            </w:tcBorders>
            <w:shd w:val="clear" w:color="auto" w:fill="auto"/>
            <w:noWrap/>
            <w:hideMark/>
          </w:tcPr>
          <w:p w14:paraId="0D2626D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43,246</w:t>
            </w:r>
          </w:p>
        </w:tc>
        <w:tc>
          <w:tcPr>
            <w:tcW w:w="1260" w:type="dxa"/>
            <w:tcBorders>
              <w:top w:val="nil"/>
              <w:left w:val="nil"/>
              <w:bottom w:val="nil"/>
              <w:right w:val="nil"/>
            </w:tcBorders>
            <w:shd w:val="clear" w:color="auto" w:fill="auto"/>
            <w:noWrap/>
            <w:hideMark/>
          </w:tcPr>
          <w:p w14:paraId="0BAD2B4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38,241</w:t>
            </w:r>
          </w:p>
        </w:tc>
        <w:tc>
          <w:tcPr>
            <w:tcW w:w="1260" w:type="dxa"/>
            <w:tcBorders>
              <w:top w:val="nil"/>
              <w:left w:val="nil"/>
              <w:bottom w:val="nil"/>
              <w:right w:val="nil"/>
            </w:tcBorders>
            <w:shd w:val="clear" w:color="auto" w:fill="auto"/>
            <w:noWrap/>
            <w:hideMark/>
          </w:tcPr>
          <w:p w14:paraId="0D60F69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38,442</w:t>
            </w:r>
          </w:p>
        </w:tc>
        <w:tc>
          <w:tcPr>
            <w:tcW w:w="1080" w:type="dxa"/>
            <w:tcBorders>
              <w:top w:val="nil"/>
              <w:left w:val="nil"/>
              <w:bottom w:val="nil"/>
              <w:right w:val="nil"/>
            </w:tcBorders>
            <w:shd w:val="clear" w:color="auto" w:fill="auto"/>
            <w:noWrap/>
            <w:hideMark/>
          </w:tcPr>
          <w:p w14:paraId="5BE1BFF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5,005</w:t>
            </w:r>
          </w:p>
        </w:tc>
        <w:tc>
          <w:tcPr>
            <w:tcW w:w="1080" w:type="dxa"/>
            <w:tcBorders>
              <w:top w:val="nil"/>
              <w:left w:val="nil"/>
              <w:bottom w:val="nil"/>
              <w:right w:val="nil"/>
            </w:tcBorders>
            <w:shd w:val="clear" w:color="auto" w:fill="auto"/>
            <w:noWrap/>
            <w:hideMark/>
          </w:tcPr>
          <w:p w14:paraId="7E8F871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13.1%</w:t>
            </w:r>
          </w:p>
        </w:tc>
      </w:tr>
      <w:tr w:rsidR="00A8698F" w:rsidRPr="00A8698F" w14:paraId="2E4E6A2B"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2CDA905"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26D9E21C"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2940" w:type="dxa"/>
            <w:gridSpan w:val="2"/>
            <w:tcBorders>
              <w:top w:val="nil"/>
              <w:left w:val="nil"/>
              <w:bottom w:val="nil"/>
              <w:right w:val="nil"/>
            </w:tcBorders>
            <w:shd w:val="clear" w:color="auto" w:fill="auto"/>
            <w:noWrap/>
            <w:hideMark/>
          </w:tcPr>
          <w:p w14:paraId="0FC415FB"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Other Contractual Services</w:t>
            </w:r>
          </w:p>
        </w:tc>
        <w:tc>
          <w:tcPr>
            <w:tcW w:w="1260" w:type="dxa"/>
            <w:tcBorders>
              <w:top w:val="nil"/>
              <w:left w:val="nil"/>
              <w:bottom w:val="nil"/>
              <w:right w:val="nil"/>
            </w:tcBorders>
            <w:shd w:val="clear" w:color="auto" w:fill="auto"/>
            <w:noWrap/>
            <w:hideMark/>
          </w:tcPr>
          <w:p w14:paraId="708C057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180,047</w:t>
            </w:r>
          </w:p>
        </w:tc>
        <w:tc>
          <w:tcPr>
            <w:tcW w:w="1260" w:type="dxa"/>
            <w:tcBorders>
              <w:top w:val="nil"/>
              <w:left w:val="nil"/>
              <w:bottom w:val="nil"/>
              <w:right w:val="nil"/>
            </w:tcBorders>
            <w:shd w:val="clear" w:color="auto" w:fill="auto"/>
            <w:noWrap/>
            <w:hideMark/>
          </w:tcPr>
          <w:p w14:paraId="46B98FE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165,280</w:t>
            </w:r>
          </w:p>
        </w:tc>
        <w:tc>
          <w:tcPr>
            <w:tcW w:w="1260" w:type="dxa"/>
            <w:tcBorders>
              <w:top w:val="nil"/>
              <w:left w:val="nil"/>
              <w:bottom w:val="nil"/>
              <w:right w:val="nil"/>
            </w:tcBorders>
            <w:shd w:val="clear" w:color="auto" w:fill="auto"/>
            <w:noWrap/>
            <w:hideMark/>
          </w:tcPr>
          <w:p w14:paraId="57D342D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175,814</w:t>
            </w:r>
          </w:p>
        </w:tc>
        <w:tc>
          <w:tcPr>
            <w:tcW w:w="1080" w:type="dxa"/>
            <w:tcBorders>
              <w:top w:val="nil"/>
              <w:left w:val="nil"/>
              <w:bottom w:val="nil"/>
              <w:right w:val="nil"/>
            </w:tcBorders>
            <w:shd w:val="clear" w:color="auto" w:fill="auto"/>
            <w:noWrap/>
            <w:hideMark/>
          </w:tcPr>
          <w:p w14:paraId="5EB8712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14,767</w:t>
            </w:r>
          </w:p>
        </w:tc>
        <w:tc>
          <w:tcPr>
            <w:tcW w:w="1080" w:type="dxa"/>
            <w:tcBorders>
              <w:top w:val="nil"/>
              <w:left w:val="nil"/>
              <w:bottom w:val="nil"/>
              <w:right w:val="nil"/>
            </w:tcBorders>
            <w:shd w:val="clear" w:color="auto" w:fill="auto"/>
            <w:noWrap/>
            <w:hideMark/>
          </w:tcPr>
          <w:p w14:paraId="64DA85D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8.9%</w:t>
            </w:r>
          </w:p>
        </w:tc>
      </w:tr>
      <w:tr w:rsidR="00A8698F" w:rsidRPr="00A8698F" w14:paraId="27C646F5"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114BC944"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237500C9"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5AABD2A5"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auto" w:fill="auto"/>
            <w:noWrap/>
            <w:hideMark/>
          </w:tcPr>
          <w:p w14:paraId="0CBCE38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233,828</w:t>
            </w:r>
          </w:p>
        </w:tc>
        <w:tc>
          <w:tcPr>
            <w:tcW w:w="1260" w:type="dxa"/>
            <w:tcBorders>
              <w:top w:val="nil"/>
              <w:left w:val="nil"/>
              <w:bottom w:val="single" w:sz="4" w:space="0" w:color="C7CFD8"/>
              <w:right w:val="nil"/>
            </w:tcBorders>
            <w:shd w:val="clear" w:color="auto" w:fill="auto"/>
            <w:noWrap/>
            <w:hideMark/>
          </w:tcPr>
          <w:p w14:paraId="4572695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212,364</w:t>
            </w:r>
          </w:p>
        </w:tc>
        <w:tc>
          <w:tcPr>
            <w:tcW w:w="1260" w:type="dxa"/>
            <w:tcBorders>
              <w:top w:val="nil"/>
              <w:left w:val="nil"/>
              <w:bottom w:val="single" w:sz="4" w:space="0" w:color="C7CFD8"/>
              <w:right w:val="nil"/>
            </w:tcBorders>
            <w:shd w:val="clear" w:color="auto" w:fill="auto"/>
            <w:noWrap/>
            <w:hideMark/>
          </w:tcPr>
          <w:p w14:paraId="5141307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223,527</w:t>
            </w:r>
          </w:p>
        </w:tc>
        <w:tc>
          <w:tcPr>
            <w:tcW w:w="1080" w:type="dxa"/>
            <w:tcBorders>
              <w:top w:val="nil"/>
              <w:left w:val="nil"/>
              <w:bottom w:val="single" w:sz="4" w:space="0" w:color="C7CFD8"/>
              <w:right w:val="nil"/>
            </w:tcBorders>
            <w:shd w:val="clear" w:color="auto" w:fill="auto"/>
            <w:noWrap/>
            <w:hideMark/>
          </w:tcPr>
          <w:p w14:paraId="4CEDF01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21,464</w:t>
            </w:r>
          </w:p>
        </w:tc>
        <w:tc>
          <w:tcPr>
            <w:tcW w:w="1080" w:type="dxa"/>
            <w:tcBorders>
              <w:top w:val="nil"/>
              <w:left w:val="nil"/>
              <w:bottom w:val="single" w:sz="4" w:space="0" w:color="C7CFD8"/>
              <w:right w:val="nil"/>
            </w:tcBorders>
            <w:shd w:val="clear" w:color="auto" w:fill="auto"/>
            <w:noWrap/>
            <w:hideMark/>
          </w:tcPr>
          <w:p w14:paraId="5F219E6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10.1%</w:t>
            </w:r>
          </w:p>
        </w:tc>
      </w:tr>
      <w:tr w:rsidR="00A8698F" w:rsidRPr="00A8698F" w14:paraId="3D74024A" w14:textId="77777777" w:rsidTr="00253B03">
        <w:trPr>
          <w:divId w:val="53744011"/>
          <w:trHeight w:hRule="exact" w:val="216"/>
        </w:trPr>
        <w:tc>
          <w:tcPr>
            <w:tcW w:w="200" w:type="dxa"/>
            <w:tcBorders>
              <w:top w:val="nil"/>
              <w:left w:val="nil"/>
              <w:bottom w:val="nil"/>
              <w:right w:val="nil"/>
            </w:tcBorders>
            <w:shd w:val="clear" w:color="auto" w:fill="auto"/>
            <w:noWrap/>
            <w:hideMark/>
          </w:tcPr>
          <w:p w14:paraId="7C9CFCAB"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1620" w:type="dxa"/>
            <w:gridSpan w:val="2"/>
            <w:tcBorders>
              <w:top w:val="nil"/>
              <w:left w:val="nil"/>
              <w:bottom w:val="nil"/>
              <w:right w:val="nil"/>
            </w:tcBorders>
            <w:shd w:val="clear" w:color="auto" w:fill="auto"/>
            <w:noWrap/>
            <w:hideMark/>
          </w:tcPr>
          <w:p w14:paraId="2D9619E4"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Finance Costs</w:t>
            </w:r>
          </w:p>
        </w:tc>
        <w:tc>
          <w:tcPr>
            <w:tcW w:w="1520" w:type="dxa"/>
            <w:tcBorders>
              <w:top w:val="nil"/>
              <w:left w:val="nil"/>
              <w:bottom w:val="nil"/>
              <w:right w:val="nil"/>
            </w:tcBorders>
            <w:shd w:val="clear" w:color="auto" w:fill="auto"/>
            <w:noWrap/>
            <w:hideMark/>
          </w:tcPr>
          <w:p w14:paraId="726C1DB6"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hideMark/>
          </w:tcPr>
          <w:p w14:paraId="38BCBFC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500</w:t>
            </w:r>
          </w:p>
        </w:tc>
        <w:tc>
          <w:tcPr>
            <w:tcW w:w="1260" w:type="dxa"/>
            <w:tcBorders>
              <w:top w:val="nil"/>
              <w:left w:val="nil"/>
              <w:bottom w:val="nil"/>
              <w:right w:val="nil"/>
            </w:tcBorders>
            <w:shd w:val="clear" w:color="auto" w:fill="auto"/>
            <w:noWrap/>
            <w:hideMark/>
          </w:tcPr>
          <w:p w14:paraId="3C17493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2,480</w:t>
            </w:r>
          </w:p>
        </w:tc>
        <w:tc>
          <w:tcPr>
            <w:tcW w:w="1260" w:type="dxa"/>
            <w:tcBorders>
              <w:top w:val="nil"/>
              <w:left w:val="nil"/>
              <w:bottom w:val="nil"/>
              <w:right w:val="nil"/>
            </w:tcBorders>
            <w:shd w:val="clear" w:color="auto" w:fill="auto"/>
            <w:noWrap/>
            <w:hideMark/>
          </w:tcPr>
          <w:p w14:paraId="64613EE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408</w:t>
            </w:r>
          </w:p>
        </w:tc>
        <w:tc>
          <w:tcPr>
            <w:tcW w:w="1080" w:type="dxa"/>
            <w:tcBorders>
              <w:top w:val="nil"/>
              <w:left w:val="nil"/>
              <w:bottom w:val="nil"/>
              <w:right w:val="nil"/>
            </w:tcBorders>
            <w:shd w:val="clear" w:color="auto" w:fill="auto"/>
            <w:noWrap/>
            <w:hideMark/>
          </w:tcPr>
          <w:p w14:paraId="01B67E3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(1,980)</w:t>
            </w:r>
          </w:p>
        </w:tc>
        <w:tc>
          <w:tcPr>
            <w:tcW w:w="1080" w:type="dxa"/>
            <w:tcBorders>
              <w:top w:val="nil"/>
              <w:left w:val="nil"/>
              <w:bottom w:val="nil"/>
              <w:right w:val="nil"/>
            </w:tcBorders>
            <w:shd w:val="clear" w:color="auto" w:fill="auto"/>
            <w:noWrap/>
            <w:hideMark/>
          </w:tcPr>
          <w:p w14:paraId="5115694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-79.8%</w:t>
            </w:r>
          </w:p>
        </w:tc>
      </w:tr>
      <w:tr w:rsidR="00A8698F" w:rsidRPr="00A8698F" w14:paraId="7C62C6F0"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26889E49"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622D2258"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788B8346"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000000" w:fill="FFFFFF"/>
            <w:noWrap/>
            <w:hideMark/>
          </w:tcPr>
          <w:p w14:paraId="1B38178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500</w:t>
            </w:r>
          </w:p>
        </w:tc>
        <w:tc>
          <w:tcPr>
            <w:tcW w:w="1260" w:type="dxa"/>
            <w:tcBorders>
              <w:top w:val="nil"/>
              <w:left w:val="nil"/>
              <w:bottom w:val="single" w:sz="4" w:space="0" w:color="C7CFD8"/>
              <w:right w:val="nil"/>
            </w:tcBorders>
            <w:shd w:val="clear" w:color="000000" w:fill="FFFFFF"/>
            <w:noWrap/>
            <w:hideMark/>
          </w:tcPr>
          <w:p w14:paraId="51EC77A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2,480</w:t>
            </w:r>
          </w:p>
        </w:tc>
        <w:tc>
          <w:tcPr>
            <w:tcW w:w="1260" w:type="dxa"/>
            <w:tcBorders>
              <w:top w:val="nil"/>
              <w:left w:val="nil"/>
              <w:bottom w:val="single" w:sz="4" w:space="0" w:color="C7CFD8"/>
              <w:right w:val="nil"/>
            </w:tcBorders>
            <w:shd w:val="clear" w:color="000000" w:fill="FFFFFF"/>
            <w:noWrap/>
            <w:hideMark/>
          </w:tcPr>
          <w:p w14:paraId="77B63B8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408</w:t>
            </w:r>
          </w:p>
        </w:tc>
        <w:tc>
          <w:tcPr>
            <w:tcW w:w="1080" w:type="dxa"/>
            <w:tcBorders>
              <w:top w:val="nil"/>
              <w:left w:val="nil"/>
              <w:bottom w:val="single" w:sz="4" w:space="0" w:color="C7CFD8"/>
              <w:right w:val="nil"/>
            </w:tcBorders>
            <w:shd w:val="clear" w:color="auto" w:fill="auto"/>
            <w:noWrap/>
            <w:hideMark/>
          </w:tcPr>
          <w:p w14:paraId="25173E7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(1,980)</w:t>
            </w:r>
          </w:p>
        </w:tc>
        <w:tc>
          <w:tcPr>
            <w:tcW w:w="1080" w:type="dxa"/>
            <w:tcBorders>
              <w:top w:val="nil"/>
              <w:left w:val="nil"/>
              <w:bottom w:val="single" w:sz="4" w:space="0" w:color="C7CFD8"/>
              <w:right w:val="nil"/>
            </w:tcBorders>
            <w:shd w:val="clear" w:color="auto" w:fill="auto"/>
            <w:noWrap/>
            <w:hideMark/>
          </w:tcPr>
          <w:p w14:paraId="07C3C4D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-79.8%</w:t>
            </w:r>
          </w:p>
        </w:tc>
      </w:tr>
      <w:tr w:rsidR="00A8698F" w:rsidRPr="00A8698F" w14:paraId="78A9419D" w14:textId="77777777" w:rsidTr="00253B03">
        <w:trPr>
          <w:divId w:val="53744011"/>
          <w:trHeight w:hRule="exact" w:val="216"/>
        </w:trPr>
        <w:tc>
          <w:tcPr>
            <w:tcW w:w="200" w:type="dxa"/>
            <w:tcBorders>
              <w:top w:val="nil"/>
              <w:left w:val="nil"/>
              <w:bottom w:val="nil"/>
              <w:right w:val="nil"/>
            </w:tcBorders>
            <w:shd w:val="clear" w:color="auto" w:fill="auto"/>
            <w:noWrap/>
            <w:hideMark/>
          </w:tcPr>
          <w:p w14:paraId="7476E1C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620" w:type="dxa"/>
            <w:gridSpan w:val="2"/>
            <w:tcBorders>
              <w:top w:val="nil"/>
              <w:left w:val="nil"/>
              <w:bottom w:val="nil"/>
              <w:right w:val="nil"/>
            </w:tcBorders>
            <w:shd w:val="clear" w:color="auto" w:fill="auto"/>
            <w:noWrap/>
            <w:hideMark/>
          </w:tcPr>
          <w:p w14:paraId="0FC10549"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Operating Expenses</w:t>
            </w:r>
          </w:p>
        </w:tc>
        <w:tc>
          <w:tcPr>
            <w:tcW w:w="1520" w:type="dxa"/>
            <w:tcBorders>
              <w:top w:val="nil"/>
              <w:left w:val="nil"/>
              <w:bottom w:val="nil"/>
              <w:right w:val="nil"/>
            </w:tcBorders>
            <w:shd w:val="clear" w:color="auto" w:fill="auto"/>
            <w:noWrap/>
            <w:hideMark/>
          </w:tcPr>
          <w:p w14:paraId="7AF48194"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hideMark/>
          </w:tcPr>
          <w:p w14:paraId="111C1696"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7D9B29DE"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44A21E63"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1A7495CE"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05A3D183"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6D57A3F0" w14:textId="77777777" w:rsidTr="00253B03">
        <w:trPr>
          <w:divId w:val="53744011"/>
          <w:trHeight w:hRule="exact" w:val="216"/>
        </w:trPr>
        <w:tc>
          <w:tcPr>
            <w:tcW w:w="200" w:type="dxa"/>
            <w:tcBorders>
              <w:top w:val="nil"/>
              <w:left w:val="nil"/>
              <w:bottom w:val="nil"/>
              <w:right w:val="nil"/>
            </w:tcBorders>
            <w:shd w:val="clear" w:color="auto" w:fill="auto"/>
            <w:noWrap/>
            <w:hideMark/>
          </w:tcPr>
          <w:p w14:paraId="104718A0"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2887DE1"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2940" w:type="dxa"/>
            <w:gridSpan w:val="2"/>
            <w:tcBorders>
              <w:top w:val="nil"/>
              <w:left w:val="nil"/>
              <w:bottom w:val="nil"/>
              <w:right w:val="nil"/>
            </w:tcBorders>
            <w:shd w:val="clear" w:color="auto" w:fill="auto"/>
            <w:noWrap/>
            <w:hideMark/>
          </w:tcPr>
          <w:p w14:paraId="1951ECB8"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Premises &amp; Maintenance</w:t>
            </w:r>
          </w:p>
        </w:tc>
        <w:tc>
          <w:tcPr>
            <w:tcW w:w="1260" w:type="dxa"/>
            <w:tcBorders>
              <w:top w:val="nil"/>
              <w:left w:val="nil"/>
              <w:bottom w:val="nil"/>
              <w:right w:val="nil"/>
            </w:tcBorders>
            <w:shd w:val="clear" w:color="auto" w:fill="auto"/>
            <w:noWrap/>
            <w:hideMark/>
          </w:tcPr>
          <w:p w14:paraId="76F3095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49,847</w:t>
            </w:r>
          </w:p>
        </w:tc>
        <w:tc>
          <w:tcPr>
            <w:tcW w:w="1260" w:type="dxa"/>
            <w:tcBorders>
              <w:top w:val="nil"/>
              <w:left w:val="nil"/>
              <w:bottom w:val="nil"/>
              <w:right w:val="nil"/>
            </w:tcBorders>
            <w:shd w:val="clear" w:color="auto" w:fill="auto"/>
            <w:noWrap/>
            <w:hideMark/>
          </w:tcPr>
          <w:p w14:paraId="64BB094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45,671</w:t>
            </w:r>
          </w:p>
        </w:tc>
        <w:tc>
          <w:tcPr>
            <w:tcW w:w="1260" w:type="dxa"/>
            <w:tcBorders>
              <w:top w:val="nil"/>
              <w:left w:val="nil"/>
              <w:bottom w:val="nil"/>
              <w:right w:val="nil"/>
            </w:tcBorders>
            <w:shd w:val="clear" w:color="auto" w:fill="auto"/>
            <w:noWrap/>
            <w:hideMark/>
          </w:tcPr>
          <w:p w14:paraId="7660CAF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47,640</w:t>
            </w:r>
          </w:p>
        </w:tc>
        <w:tc>
          <w:tcPr>
            <w:tcW w:w="1080" w:type="dxa"/>
            <w:tcBorders>
              <w:top w:val="nil"/>
              <w:left w:val="nil"/>
              <w:bottom w:val="nil"/>
              <w:right w:val="nil"/>
            </w:tcBorders>
            <w:shd w:val="clear" w:color="auto" w:fill="auto"/>
            <w:noWrap/>
            <w:hideMark/>
          </w:tcPr>
          <w:p w14:paraId="7A57CA4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4,176</w:t>
            </w:r>
          </w:p>
        </w:tc>
        <w:tc>
          <w:tcPr>
            <w:tcW w:w="1080" w:type="dxa"/>
            <w:tcBorders>
              <w:top w:val="nil"/>
              <w:left w:val="nil"/>
              <w:bottom w:val="nil"/>
              <w:right w:val="nil"/>
            </w:tcBorders>
            <w:shd w:val="clear" w:color="auto" w:fill="auto"/>
            <w:noWrap/>
            <w:hideMark/>
          </w:tcPr>
          <w:p w14:paraId="14F7467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9.1%</w:t>
            </w:r>
          </w:p>
        </w:tc>
      </w:tr>
      <w:tr w:rsidR="00A8698F" w:rsidRPr="00A8698F" w14:paraId="5BBBFBD0" w14:textId="77777777" w:rsidTr="00253B03">
        <w:trPr>
          <w:divId w:val="53744011"/>
          <w:trHeight w:hRule="exact" w:val="216"/>
        </w:trPr>
        <w:tc>
          <w:tcPr>
            <w:tcW w:w="200" w:type="dxa"/>
            <w:tcBorders>
              <w:top w:val="nil"/>
              <w:left w:val="nil"/>
              <w:bottom w:val="nil"/>
              <w:right w:val="nil"/>
            </w:tcBorders>
            <w:shd w:val="clear" w:color="auto" w:fill="auto"/>
            <w:noWrap/>
            <w:hideMark/>
          </w:tcPr>
          <w:p w14:paraId="5639246C"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69373559"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060689AD"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Communication</w:t>
            </w:r>
          </w:p>
        </w:tc>
        <w:tc>
          <w:tcPr>
            <w:tcW w:w="1520" w:type="dxa"/>
            <w:tcBorders>
              <w:top w:val="nil"/>
              <w:left w:val="nil"/>
              <w:bottom w:val="nil"/>
              <w:right w:val="nil"/>
            </w:tcBorders>
            <w:shd w:val="clear" w:color="auto" w:fill="auto"/>
            <w:noWrap/>
            <w:hideMark/>
          </w:tcPr>
          <w:p w14:paraId="43DC6C5E"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7A3626A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2,381</w:t>
            </w:r>
          </w:p>
        </w:tc>
        <w:tc>
          <w:tcPr>
            <w:tcW w:w="1260" w:type="dxa"/>
            <w:tcBorders>
              <w:top w:val="nil"/>
              <w:left w:val="nil"/>
              <w:bottom w:val="nil"/>
              <w:right w:val="nil"/>
            </w:tcBorders>
            <w:shd w:val="clear" w:color="auto" w:fill="auto"/>
            <w:noWrap/>
            <w:hideMark/>
          </w:tcPr>
          <w:p w14:paraId="0A7643C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3,003</w:t>
            </w:r>
          </w:p>
        </w:tc>
        <w:tc>
          <w:tcPr>
            <w:tcW w:w="1260" w:type="dxa"/>
            <w:tcBorders>
              <w:top w:val="nil"/>
              <w:left w:val="nil"/>
              <w:bottom w:val="nil"/>
              <w:right w:val="nil"/>
            </w:tcBorders>
            <w:shd w:val="clear" w:color="auto" w:fill="auto"/>
            <w:noWrap/>
            <w:hideMark/>
          </w:tcPr>
          <w:p w14:paraId="7612815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2,643</w:t>
            </w:r>
          </w:p>
        </w:tc>
        <w:tc>
          <w:tcPr>
            <w:tcW w:w="1080" w:type="dxa"/>
            <w:tcBorders>
              <w:top w:val="nil"/>
              <w:left w:val="nil"/>
              <w:bottom w:val="nil"/>
              <w:right w:val="nil"/>
            </w:tcBorders>
            <w:shd w:val="clear" w:color="auto" w:fill="auto"/>
            <w:noWrap/>
            <w:hideMark/>
          </w:tcPr>
          <w:p w14:paraId="3EF9610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(623)</w:t>
            </w:r>
          </w:p>
        </w:tc>
        <w:tc>
          <w:tcPr>
            <w:tcW w:w="1080" w:type="dxa"/>
            <w:tcBorders>
              <w:top w:val="nil"/>
              <w:left w:val="nil"/>
              <w:bottom w:val="nil"/>
              <w:right w:val="nil"/>
            </w:tcBorders>
            <w:shd w:val="clear" w:color="auto" w:fill="auto"/>
            <w:noWrap/>
            <w:hideMark/>
          </w:tcPr>
          <w:p w14:paraId="000BB21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-20.7%</w:t>
            </w:r>
          </w:p>
        </w:tc>
      </w:tr>
      <w:tr w:rsidR="00A8698F" w:rsidRPr="00A8698F" w14:paraId="4D4312C0" w14:textId="77777777" w:rsidTr="00253B03">
        <w:trPr>
          <w:divId w:val="53744011"/>
          <w:trHeight w:hRule="exact" w:val="216"/>
        </w:trPr>
        <w:tc>
          <w:tcPr>
            <w:tcW w:w="200" w:type="dxa"/>
            <w:tcBorders>
              <w:top w:val="nil"/>
              <w:left w:val="nil"/>
              <w:bottom w:val="nil"/>
              <w:right w:val="nil"/>
            </w:tcBorders>
            <w:shd w:val="clear" w:color="auto" w:fill="auto"/>
            <w:noWrap/>
            <w:hideMark/>
          </w:tcPr>
          <w:p w14:paraId="55B84423"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91AD792"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2940" w:type="dxa"/>
            <w:gridSpan w:val="2"/>
            <w:tcBorders>
              <w:top w:val="nil"/>
              <w:left w:val="nil"/>
              <w:bottom w:val="nil"/>
              <w:right w:val="nil"/>
            </w:tcBorders>
            <w:shd w:val="clear" w:color="auto" w:fill="auto"/>
            <w:noWrap/>
            <w:hideMark/>
          </w:tcPr>
          <w:p w14:paraId="35CCC23F"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Representation &amp; Other Operating Expenses</w:t>
            </w:r>
          </w:p>
        </w:tc>
        <w:tc>
          <w:tcPr>
            <w:tcW w:w="1260" w:type="dxa"/>
            <w:tcBorders>
              <w:top w:val="nil"/>
              <w:left w:val="nil"/>
              <w:bottom w:val="nil"/>
              <w:right w:val="nil"/>
            </w:tcBorders>
            <w:shd w:val="clear" w:color="auto" w:fill="auto"/>
            <w:noWrap/>
            <w:hideMark/>
          </w:tcPr>
          <w:p w14:paraId="0B44CC4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1,968</w:t>
            </w:r>
          </w:p>
        </w:tc>
        <w:tc>
          <w:tcPr>
            <w:tcW w:w="1260" w:type="dxa"/>
            <w:tcBorders>
              <w:top w:val="nil"/>
              <w:left w:val="nil"/>
              <w:bottom w:val="nil"/>
              <w:right w:val="nil"/>
            </w:tcBorders>
            <w:shd w:val="clear" w:color="auto" w:fill="auto"/>
            <w:noWrap/>
            <w:hideMark/>
          </w:tcPr>
          <w:p w14:paraId="695E382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1,680</w:t>
            </w:r>
          </w:p>
        </w:tc>
        <w:tc>
          <w:tcPr>
            <w:tcW w:w="1260" w:type="dxa"/>
            <w:tcBorders>
              <w:top w:val="nil"/>
              <w:left w:val="nil"/>
              <w:bottom w:val="nil"/>
              <w:right w:val="nil"/>
            </w:tcBorders>
            <w:shd w:val="clear" w:color="auto" w:fill="auto"/>
            <w:noWrap/>
            <w:hideMark/>
          </w:tcPr>
          <w:p w14:paraId="5E9E1BD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1,942</w:t>
            </w:r>
          </w:p>
        </w:tc>
        <w:tc>
          <w:tcPr>
            <w:tcW w:w="1080" w:type="dxa"/>
            <w:tcBorders>
              <w:top w:val="nil"/>
              <w:left w:val="nil"/>
              <w:bottom w:val="nil"/>
              <w:right w:val="nil"/>
            </w:tcBorders>
            <w:shd w:val="clear" w:color="auto" w:fill="auto"/>
            <w:noWrap/>
            <w:hideMark/>
          </w:tcPr>
          <w:p w14:paraId="72A007B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288</w:t>
            </w:r>
          </w:p>
        </w:tc>
        <w:tc>
          <w:tcPr>
            <w:tcW w:w="1080" w:type="dxa"/>
            <w:tcBorders>
              <w:top w:val="nil"/>
              <w:left w:val="nil"/>
              <w:bottom w:val="nil"/>
              <w:right w:val="nil"/>
            </w:tcBorders>
            <w:shd w:val="clear" w:color="auto" w:fill="auto"/>
            <w:noWrap/>
            <w:hideMark/>
          </w:tcPr>
          <w:p w14:paraId="0054B8D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17.1%</w:t>
            </w:r>
          </w:p>
        </w:tc>
      </w:tr>
      <w:tr w:rsidR="00A8698F" w:rsidRPr="00A8698F" w14:paraId="596F7EBB" w14:textId="77777777" w:rsidTr="00253B03">
        <w:trPr>
          <w:divId w:val="53744011"/>
          <w:trHeight w:hRule="exact" w:val="216"/>
        </w:trPr>
        <w:tc>
          <w:tcPr>
            <w:tcW w:w="200" w:type="dxa"/>
            <w:tcBorders>
              <w:top w:val="nil"/>
              <w:left w:val="nil"/>
              <w:bottom w:val="nil"/>
              <w:right w:val="nil"/>
            </w:tcBorders>
            <w:shd w:val="clear" w:color="auto" w:fill="auto"/>
            <w:noWrap/>
            <w:hideMark/>
          </w:tcPr>
          <w:p w14:paraId="21332E03"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4378FE49"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13BFFE2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UN Joint Services</w:t>
            </w:r>
          </w:p>
        </w:tc>
        <w:tc>
          <w:tcPr>
            <w:tcW w:w="1520" w:type="dxa"/>
            <w:tcBorders>
              <w:top w:val="nil"/>
              <w:left w:val="nil"/>
              <w:bottom w:val="nil"/>
              <w:right w:val="nil"/>
            </w:tcBorders>
            <w:shd w:val="clear" w:color="auto" w:fill="auto"/>
            <w:noWrap/>
            <w:hideMark/>
          </w:tcPr>
          <w:p w14:paraId="4785EA8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7782CDA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1,952</w:t>
            </w:r>
          </w:p>
        </w:tc>
        <w:tc>
          <w:tcPr>
            <w:tcW w:w="1260" w:type="dxa"/>
            <w:tcBorders>
              <w:top w:val="nil"/>
              <w:left w:val="nil"/>
              <w:bottom w:val="nil"/>
              <w:right w:val="nil"/>
            </w:tcBorders>
            <w:shd w:val="clear" w:color="auto" w:fill="auto"/>
            <w:noWrap/>
            <w:hideMark/>
          </w:tcPr>
          <w:p w14:paraId="70194C1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1,689</w:t>
            </w:r>
          </w:p>
        </w:tc>
        <w:tc>
          <w:tcPr>
            <w:tcW w:w="1260" w:type="dxa"/>
            <w:tcBorders>
              <w:top w:val="nil"/>
              <w:left w:val="nil"/>
              <w:bottom w:val="nil"/>
              <w:right w:val="nil"/>
            </w:tcBorders>
            <w:shd w:val="clear" w:color="auto" w:fill="auto"/>
            <w:noWrap/>
            <w:hideMark/>
          </w:tcPr>
          <w:p w14:paraId="158A3F3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1,803</w:t>
            </w:r>
          </w:p>
        </w:tc>
        <w:tc>
          <w:tcPr>
            <w:tcW w:w="1080" w:type="dxa"/>
            <w:tcBorders>
              <w:top w:val="nil"/>
              <w:left w:val="nil"/>
              <w:bottom w:val="nil"/>
              <w:right w:val="nil"/>
            </w:tcBorders>
            <w:shd w:val="clear" w:color="auto" w:fill="auto"/>
            <w:noWrap/>
            <w:hideMark/>
          </w:tcPr>
          <w:p w14:paraId="73A807D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263</w:t>
            </w:r>
          </w:p>
        </w:tc>
        <w:tc>
          <w:tcPr>
            <w:tcW w:w="1080" w:type="dxa"/>
            <w:tcBorders>
              <w:top w:val="nil"/>
              <w:left w:val="nil"/>
              <w:bottom w:val="nil"/>
              <w:right w:val="nil"/>
            </w:tcBorders>
            <w:shd w:val="clear" w:color="auto" w:fill="auto"/>
            <w:noWrap/>
            <w:hideMark/>
          </w:tcPr>
          <w:p w14:paraId="1042457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15.6%</w:t>
            </w:r>
          </w:p>
        </w:tc>
      </w:tr>
      <w:tr w:rsidR="00A8698F" w:rsidRPr="00A8698F" w14:paraId="5F4F4EE8"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255DB4FC"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16F4F45A"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4E4EDB24"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000000" w:fill="FFFFFF"/>
            <w:noWrap/>
            <w:hideMark/>
          </w:tcPr>
          <w:p w14:paraId="4239C1A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56,147</w:t>
            </w:r>
          </w:p>
        </w:tc>
        <w:tc>
          <w:tcPr>
            <w:tcW w:w="1260" w:type="dxa"/>
            <w:tcBorders>
              <w:top w:val="nil"/>
              <w:left w:val="nil"/>
              <w:bottom w:val="single" w:sz="4" w:space="0" w:color="C7CFD8"/>
              <w:right w:val="nil"/>
            </w:tcBorders>
            <w:shd w:val="clear" w:color="000000" w:fill="FFFFFF"/>
            <w:noWrap/>
            <w:hideMark/>
          </w:tcPr>
          <w:p w14:paraId="3CC6174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52,043</w:t>
            </w:r>
          </w:p>
        </w:tc>
        <w:tc>
          <w:tcPr>
            <w:tcW w:w="1260" w:type="dxa"/>
            <w:tcBorders>
              <w:top w:val="nil"/>
              <w:left w:val="nil"/>
              <w:bottom w:val="single" w:sz="4" w:space="0" w:color="C7CFD8"/>
              <w:right w:val="nil"/>
            </w:tcBorders>
            <w:shd w:val="clear" w:color="000000" w:fill="FFFFFF"/>
            <w:noWrap/>
            <w:hideMark/>
          </w:tcPr>
          <w:p w14:paraId="1676E35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54,029</w:t>
            </w:r>
          </w:p>
        </w:tc>
        <w:tc>
          <w:tcPr>
            <w:tcW w:w="1080" w:type="dxa"/>
            <w:tcBorders>
              <w:top w:val="nil"/>
              <w:left w:val="nil"/>
              <w:bottom w:val="single" w:sz="4" w:space="0" w:color="C7CFD8"/>
              <w:right w:val="nil"/>
            </w:tcBorders>
            <w:shd w:val="clear" w:color="auto" w:fill="auto"/>
            <w:noWrap/>
            <w:hideMark/>
          </w:tcPr>
          <w:p w14:paraId="69FB77E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4,104</w:t>
            </w:r>
          </w:p>
        </w:tc>
        <w:tc>
          <w:tcPr>
            <w:tcW w:w="1080" w:type="dxa"/>
            <w:tcBorders>
              <w:top w:val="nil"/>
              <w:left w:val="nil"/>
              <w:bottom w:val="single" w:sz="4" w:space="0" w:color="C7CFD8"/>
              <w:right w:val="nil"/>
            </w:tcBorders>
            <w:shd w:val="clear" w:color="auto" w:fill="auto"/>
            <w:noWrap/>
            <w:hideMark/>
          </w:tcPr>
          <w:p w14:paraId="6F35000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7.9%</w:t>
            </w:r>
          </w:p>
        </w:tc>
      </w:tr>
      <w:tr w:rsidR="00A8698F" w:rsidRPr="00A8698F" w14:paraId="3AA0492A"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092FB0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140" w:type="dxa"/>
            <w:gridSpan w:val="3"/>
            <w:tcBorders>
              <w:top w:val="nil"/>
              <w:left w:val="nil"/>
              <w:bottom w:val="nil"/>
              <w:right w:val="nil"/>
            </w:tcBorders>
            <w:shd w:val="clear" w:color="auto" w:fill="auto"/>
            <w:noWrap/>
            <w:hideMark/>
          </w:tcPr>
          <w:p w14:paraId="21B48F0A"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Equipment and Supplies</w:t>
            </w:r>
          </w:p>
        </w:tc>
        <w:tc>
          <w:tcPr>
            <w:tcW w:w="1260" w:type="dxa"/>
            <w:tcBorders>
              <w:top w:val="nil"/>
              <w:left w:val="nil"/>
              <w:bottom w:val="nil"/>
              <w:right w:val="nil"/>
            </w:tcBorders>
            <w:shd w:val="clear" w:color="auto" w:fill="auto"/>
            <w:noWrap/>
            <w:hideMark/>
          </w:tcPr>
          <w:p w14:paraId="26E02A28"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hideMark/>
          </w:tcPr>
          <w:p w14:paraId="00BE165E"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176CB71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40B94351"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hideMark/>
          </w:tcPr>
          <w:p w14:paraId="1E58401D"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1A45E027" w14:textId="77777777" w:rsidTr="00253B03">
        <w:trPr>
          <w:divId w:val="53744011"/>
          <w:trHeight w:hRule="exact" w:val="216"/>
        </w:trPr>
        <w:tc>
          <w:tcPr>
            <w:tcW w:w="200" w:type="dxa"/>
            <w:tcBorders>
              <w:top w:val="nil"/>
              <w:left w:val="nil"/>
              <w:bottom w:val="nil"/>
              <w:right w:val="nil"/>
            </w:tcBorders>
            <w:shd w:val="clear" w:color="auto" w:fill="auto"/>
            <w:noWrap/>
            <w:hideMark/>
          </w:tcPr>
          <w:p w14:paraId="3223A5AD"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1C97BA63"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2940" w:type="dxa"/>
            <w:gridSpan w:val="2"/>
            <w:tcBorders>
              <w:top w:val="nil"/>
              <w:left w:val="nil"/>
              <w:bottom w:val="nil"/>
              <w:right w:val="nil"/>
            </w:tcBorders>
            <w:shd w:val="clear" w:color="auto" w:fill="auto"/>
            <w:noWrap/>
            <w:hideMark/>
          </w:tcPr>
          <w:p w14:paraId="03D627F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Furniture &amp; Equipment</w:t>
            </w:r>
          </w:p>
        </w:tc>
        <w:tc>
          <w:tcPr>
            <w:tcW w:w="1260" w:type="dxa"/>
            <w:tcBorders>
              <w:top w:val="nil"/>
              <w:left w:val="nil"/>
              <w:bottom w:val="nil"/>
              <w:right w:val="nil"/>
            </w:tcBorders>
            <w:shd w:val="clear" w:color="auto" w:fill="auto"/>
            <w:noWrap/>
            <w:hideMark/>
          </w:tcPr>
          <w:p w14:paraId="49C79A2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1,120</w:t>
            </w:r>
          </w:p>
        </w:tc>
        <w:tc>
          <w:tcPr>
            <w:tcW w:w="1260" w:type="dxa"/>
            <w:tcBorders>
              <w:top w:val="nil"/>
              <w:left w:val="nil"/>
              <w:bottom w:val="nil"/>
              <w:right w:val="nil"/>
            </w:tcBorders>
            <w:shd w:val="clear" w:color="auto" w:fill="auto"/>
            <w:noWrap/>
            <w:hideMark/>
          </w:tcPr>
          <w:p w14:paraId="0970995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1,136</w:t>
            </w:r>
          </w:p>
        </w:tc>
        <w:tc>
          <w:tcPr>
            <w:tcW w:w="1260" w:type="dxa"/>
            <w:tcBorders>
              <w:top w:val="nil"/>
              <w:left w:val="nil"/>
              <w:bottom w:val="nil"/>
              <w:right w:val="nil"/>
            </w:tcBorders>
            <w:shd w:val="clear" w:color="auto" w:fill="auto"/>
            <w:noWrap/>
            <w:hideMark/>
          </w:tcPr>
          <w:p w14:paraId="3FB75EA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1,485</w:t>
            </w:r>
          </w:p>
        </w:tc>
        <w:tc>
          <w:tcPr>
            <w:tcW w:w="1080" w:type="dxa"/>
            <w:tcBorders>
              <w:top w:val="nil"/>
              <w:left w:val="nil"/>
              <w:bottom w:val="nil"/>
              <w:right w:val="nil"/>
            </w:tcBorders>
            <w:shd w:val="clear" w:color="auto" w:fill="auto"/>
            <w:noWrap/>
            <w:hideMark/>
          </w:tcPr>
          <w:p w14:paraId="78B7AB9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w:t>
            </w:r>
          </w:p>
        </w:tc>
        <w:tc>
          <w:tcPr>
            <w:tcW w:w="1080" w:type="dxa"/>
            <w:tcBorders>
              <w:top w:val="nil"/>
              <w:left w:val="nil"/>
              <w:bottom w:val="nil"/>
              <w:right w:val="nil"/>
            </w:tcBorders>
            <w:shd w:val="clear" w:color="auto" w:fill="auto"/>
            <w:noWrap/>
            <w:hideMark/>
          </w:tcPr>
          <w:p w14:paraId="393DFDF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w:t>
            </w:r>
          </w:p>
        </w:tc>
      </w:tr>
      <w:tr w:rsidR="00A8698F" w:rsidRPr="00A8698F" w14:paraId="19EA9F42" w14:textId="77777777" w:rsidTr="00253B03">
        <w:trPr>
          <w:divId w:val="53744011"/>
          <w:trHeight w:hRule="exact" w:val="216"/>
        </w:trPr>
        <w:tc>
          <w:tcPr>
            <w:tcW w:w="200" w:type="dxa"/>
            <w:tcBorders>
              <w:top w:val="nil"/>
              <w:left w:val="nil"/>
              <w:bottom w:val="nil"/>
              <w:right w:val="nil"/>
            </w:tcBorders>
            <w:shd w:val="clear" w:color="auto" w:fill="auto"/>
            <w:noWrap/>
            <w:hideMark/>
          </w:tcPr>
          <w:p w14:paraId="05B4FAB5"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 </w:t>
            </w:r>
          </w:p>
        </w:tc>
        <w:tc>
          <w:tcPr>
            <w:tcW w:w="200" w:type="dxa"/>
            <w:tcBorders>
              <w:top w:val="nil"/>
              <w:left w:val="nil"/>
              <w:bottom w:val="nil"/>
              <w:right w:val="nil"/>
            </w:tcBorders>
            <w:shd w:val="clear" w:color="auto" w:fill="auto"/>
            <w:noWrap/>
            <w:hideMark/>
          </w:tcPr>
          <w:p w14:paraId="0B02B09F"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420" w:type="dxa"/>
            <w:tcBorders>
              <w:top w:val="nil"/>
              <w:left w:val="nil"/>
              <w:bottom w:val="nil"/>
              <w:right w:val="nil"/>
            </w:tcBorders>
            <w:shd w:val="clear" w:color="auto" w:fill="auto"/>
            <w:noWrap/>
            <w:hideMark/>
          </w:tcPr>
          <w:p w14:paraId="013E867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Supplies &amp; Materials</w:t>
            </w:r>
          </w:p>
        </w:tc>
        <w:tc>
          <w:tcPr>
            <w:tcW w:w="1520" w:type="dxa"/>
            <w:tcBorders>
              <w:top w:val="nil"/>
              <w:left w:val="nil"/>
              <w:bottom w:val="nil"/>
              <w:right w:val="nil"/>
            </w:tcBorders>
            <w:shd w:val="clear" w:color="auto" w:fill="auto"/>
            <w:noWrap/>
            <w:hideMark/>
          </w:tcPr>
          <w:p w14:paraId="56B8B69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260" w:type="dxa"/>
            <w:tcBorders>
              <w:top w:val="nil"/>
              <w:left w:val="nil"/>
              <w:bottom w:val="nil"/>
              <w:right w:val="nil"/>
            </w:tcBorders>
            <w:shd w:val="clear" w:color="auto" w:fill="auto"/>
            <w:noWrap/>
            <w:hideMark/>
          </w:tcPr>
          <w:p w14:paraId="07412C9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3,422</w:t>
            </w:r>
          </w:p>
        </w:tc>
        <w:tc>
          <w:tcPr>
            <w:tcW w:w="1260" w:type="dxa"/>
            <w:tcBorders>
              <w:top w:val="nil"/>
              <w:left w:val="nil"/>
              <w:bottom w:val="nil"/>
              <w:right w:val="nil"/>
            </w:tcBorders>
            <w:shd w:val="clear" w:color="auto" w:fill="auto"/>
            <w:noWrap/>
            <w:hideMark/>
          </w:tcPr>
          <w:p w14:paraId="6A57DC6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3,424</w:t>
            </w:r>
          </w:p>
        </w:tc>
        <w:tc>
          <w:tcPr>
            <w:tcW w:w="1260" w:type="dxa"/>
            <w:tcBorders>
              <w:top w:val="nil"/>
              <w:left w:val="nil"/>
              <w:bottom w:val="nil"/>
              <w:right w:val="nil"/>
            </w:tcBorders>
            <w:shd w:val="clear" w:color="auto" w:fill="auto"/>
            <w:noWrap/>
            <w:hideMark/>
          </w:tcPr>
          <w:p w14:paraId="47AFC69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2,968</w:t>
            </w:r>
          </w:p>
        </w:tc>
        <w:tc>
          <w:tcPr>
            <w:tcW w:w="1080" w:type="dxa"/>
            <w:tcBorders>
              <w:top w:val="nil"/>
              <w:left w:val="nil"/>
              <w:bottom w:val="nil"/>
              <w:right w:val="nil"/>
            </w:tcBorders>
            <w:shd w:val="clear" w:color="auto" w:fill="auto"/>
            <w:noWrap/>
            <w:hideMark/>
          </w:tcPr>
          <w:p w14:paraId="3D637BC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w:t>
            </w:r>
          </w:p>
        </w:tc>
        <w:tc>
          <w:tcPr>
            <w:tcW w:w="1080" w:type="dxa"/>
            <w:tcBorders>
              <w:top w:val="nil"/>
              <w:left w:val="nil"/>
              <w:bottom w:val="nil"/>
              <w:right w:val="nil"/>
            </w:tcBorders>
            <w:shd w:val="clear" w:color="auto" w:fill="auto"/>
            <w:noWrap/>
            <w:hideMark/>
          </w:tcPr>
          <w:p w14:paraId="2C8F8B9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0.0%</w:t>
            </w:r>
          </w:p>
        </w:tc>
      </w:tr>
      <w:tr w:rsidR="00A8698F" w:rsidRPr="00A8698F" w14:paraId="3CFFCD83"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58EC6F6E"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1620" w:type="dxa"/>
            <w:gridSpan w:val="2"/>
            <w:tcBorders>
              <w:top w:val="nil"/>
              <w:left w:val="nil"/>
              <w:bottom w:val="single" w:sz="4" w:space="0" w:color="C7CFD8"/>
              <w:right w:val="nil"/>
            </w:tcBorders>
            <w:shd w:val="clear" w:color="auto" w:fill="auto"/>
            <w:noWrap/>
            <w:hideMark/>
          </w:tcPr>
          <w:p w14:paraId="017BC19B"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520" w:type="dxa"/>
            <w:tcBorders>
              <w:top w:val="nil"/>
              <w:left w:val="nil"/>
              <w:bottom w:val="single" w:sz="4" w:space="0" w:color="C7CFD8"/>
              <w:right w:val="nil"/>
            </w:tcBorders>
            <w:shd w:val="clear" w:color="auto" w:fill="auto"/>
            <w:noWrap/>
            <w:hideMark/>
          </w:tcPr>
          <w:p w14:paraId="03BF075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260" w:type="dxa"/>
            <w:tcBorders>
              <w:top w:val="nil"/>
              <w:left w:val="nil"/>
              <w:bottom w:val="single" w:sz="4" w:space="0" w:color="C7CFD8"/>
              <w:right w:val="nil"/>
            </w:tcBorders>
            <w:shd w:val="clear" w:color="000000" w:fill="FFFFFF"/>
            <w:noWrap/>
            <w:hideMark/>
          </w:tcPr>
          <w:p w14:paraId="528958A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4,542</w:t>
            </w:r>
          </w:p>
        </w:tc>
        <w:tc>
          <w:tcPr>
            <w:tcW w:w="1260" w:type="dxa"/>
            <w:tcBorders>
              <w:top w:val="nil"/>
              <w:left w:val="nil"/>
              <w:bottom w:val="single" w:sz="4" w:space="0" w:color="C7CFD8"/>
              <w:right w:val="nil"/>
            </w:tcBorders>
            <w:shd w:val="clear" w:color="000000" w:fill="FFFFFF"/>
            <w:noWrap/>
            <w:hideMark/>
          </w:tcPr>
          <w:p w14:paraId="7A1A6E3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4,560</w:t>
            </w:r>
          </w:p>
        </w:tc>
        <w:tc>
          <w:tcPr>
            <w:tcW w:w="1260" w:type="dxa"/>
            <w:tcBorders>
              <w:top w:val="nil"/>
              <w:left w:val="nil"/>
              <w:bottom w:val="single" w:sz="4" w:space="0" w:color="C7CFD8"/>
              <w:right w:val="nil"/>
            </w:tcBorders>
            <w:shd w:val="clear" w:color="000000" w:fill="FFFFFF"/>
            <w:noWrap/>
            <w:hideMark/>
          </w:tcPr>
          <w:p w14:paraId="63031E6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4,453</w:t>
            </w:r>
          </w:p>
        </w:tc>
        <w:tc>
          <w:tcPr>
            <w:tcW w:w="1080" w:type="dxa"/>
            <w:tcBorders>
              <w:top w:val="nil"/>
              <w:left w:val="nil"/>
              <w:bottom w:val="single" w:sz="4" w:space="0" w:color="C7CFD8"/>
              <w:right w:val="nil"/>
            </w:tcBorders>
            <w:shd w:val="clear" w:color="auto" w:fill="auto"/>
            <w:noWrap/>
            <w:hideMark/>
          </w:tcPr>
          <w:p w14:paraId="09B1466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w:t>
            </w:r>
          </w:p>
        </w:tc>
        <w:tc>
          <w:tcPr>
            <w:tcW w:w="1080" w:type="dxa"/>
            <w:tcBorders>
              <w:top w:val="nil"/>
              <w:left w:val="nil"/>
              <w:bottom w:val="single" w:sz="4" w:space="0" w:color="C7CFD8"/>
              <w:right w:val="nil"/>
            </w:tcBorders>
            <w:shd w:val="clear" w:color="auto" w:fill="auto"/>
            <w:noWrap/>
            <w:hideMark/>
          </w:tcPr>
          <w:p w14:paraId="70E5DA9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-0.4%</w:t>
            </w:r>
          </w:p>
        </w:tc>
      </w:tr>
      <w:tr w:rsidR="00A8698F" w:rsidRPr="00A8698F" w14:paraId="1D10401D" w14:textId="77777777" w:rsidTr="00253B03">
        <w:trPr>
          <w:divId w:val="53744011"/>
          <w:trHeight w:hRule="exact" w:val="216"/>
        </w:trPr>
        <w:tc>
          <w:tcPr>
            <w:tcW w:w="200" w:type="dxa"/>
            <w:tcBorders>
              <w:top w:val="nil"/>
              <w:left w:val="nil"/>
              <w:bottom w:val="nil"/>
              <w:right w:val="nil"/>
            </w:tcBorders>
            <w:shd w:val="clear" w:color="auto" w:fill="auto"/>
            <w:noWrap/>
            <w:hideMark/>
          </w:tcPr>
          <w:p w14:paraId="3C7C01C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140" w:type="dxa"/>
            <w:gridSpan w:val="3"/>
            <w:tcBorders>
              <w:top w:val="nil"/>
              <w:left w:val="nil"/>
              <w:bottom w:val="nil"/>
              <w:right w:val="nil"/>
            </w:tcBorders>
            <w:shd w:val="clear" w:color="auto" w:fill="auto"/>
            <w:noWrap/>
            <w:hideMark/>
          </w:tcPr>
          <w:p w14:paraId="7C5C9A9C"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Sub-total, B. w/out Unalloc.</w:t>
            </w:r>
          </w:p>
        </w:tc>
        <w:tc>
          <w:tcPr>
            <w:tcW w:w="1260" w:type="dxa"/>
            <w:tcBorders>
              <w:top w:val="nil"/>
              <w:left w:val="nil"/>
              <w:bottom w:val="nil"/>
              <w:right w:val="nil"/>
            </w:tcBorders>
            <w:shd w:val="clear" w:color="auto" w:fill="auto"/>
            <w:noWrap/>
            <w:hideMark/>
          </w:tcPr>
          <w:p w14:paraId="07A44DC8"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342,532</w:t>
            </w:r>
          </w:p>
        </w:tc>
        <w:tc>
          <w:tcPr>
            <w:tcW w:w="1260" w:type="dxa"/>
            <w:tcBorders>
              <w:top w:val="nil"/>
              <w:left w:val="nil"/>
              <w:bottom w:val="nil"/>
              <w:right w:val="nil"/>
            </w:tcBorders>
            <w:shd w:val="clear" w:color="auto" w:fill="auto"/>
            <w:noWrap/>
            <w:hideMark/>
          </w:tcPr>
          <w:p w14:paraId="4548B5EA"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312,707</w:t>
            </w:r>
          </w:p>
        </w:tc>
        <w:tc>
          <w:tcPr>
            <w:tcW w:w="1260" w:type="dxa"/>
            <w:tcBorders>
              <w:top w:val="nil"/>
              <w:left w:val="nil"/>
              <w:bottom w:val="nil"/>
              <w:right w:val="nil"/>
            </w:tcBorders>
            <w:shd w:val="clear" w:color="auto" w:fill="auto"/>
            <w:noWrap/>
            <w:hideMark/>
          </w:tcPr>
          <w:p w14:paraId="1177BE0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320,752</w:t>
            </w:r>
          </w:p>
        </w:tc>
        <w:tc>
          <w:tcPr>
            <w:tcW w:w="1080" w:type="dxa"/>
            <w:tcBorders>
              <w:top w:val="nil"/>
              <w:left w:val="nil"/>
              <w:bottom w:val="nil"/>
              <w:right w:val="nil"/>
            </w:tcBorders>
            <w:shd w:val="clear" w:color="auto" w:fill="auto"/>
            <w:noWrap/>
            <w:hideMark/>
          </w:tcPr>
          <w:p w14:paraId="39C2F614"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29,825</w:t>
            </w:r>
          </w:p>
        </w:tc>
        <w:tc>
          <w:tcPr>
            <w:tcW w:w="1080" w:type="dxa"/>
            <w:tcBorders>
              <w:top w:val="nil"/>
              <w:left w:val="nil"/>
              <w:bottom w:val="nil"/>
              <w:right w:val="nil"/>
            </w:tcBorders>
            <w:shd w:val="clear" w:color="auto" w:fill="auto"/>
            <w:noWrap/>
            <w:hideMark/>
          </w:tcPr>
          <w:p w14:paraId="076732B0"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9.5%</w:t>
            </w:r>
          </w:p>
        </w:tc>
      </w:tr>
      <w:tr w:rsidR="00A8698F" w:rsidRPr="00A8698F" w14:paraId="5B7A029F" w14:textId="77777777" w:rsidTr="00253B03">
        <w:trPr>
          <w:divId w:val="53744011"/>
          <w:trHeight w:hRule="exact" w:val="216"/>
        </w:trPr>
        <w:tc>
          <w:tcPr>
            <w:tcW w:w="200" w:type="dxa"/>
            <w:tcBorders>
              <w:top w:val="nil"/>
              <w:left w:val="nil"/>
              <w:bottom w:val="single" w:sz="4" w:space="0" w:color="C7CFD8"/>
              <w:right w:val="nil"/>
            </w:tcBorders>
            <w:shd w:val="clear" w:color="auto" w:fill="auto"/>
            <w:noWrap/>
            <w:hideMark/>
          </w:tcPr>
          <w:p w14:paraId="13785887" w14:textId="77777777" w:rsidR="00A8698F" w:rsidRPr="00A8698F" w:rsidRDefault="00A8698F" w:rsidP="00A8698F">
            <w:pPr>
              <w:spacing w:after="0" w:line="240" w:lineRule="auto"/>
              <w:rPr>
                <w:rFonts w:ascii="Arial Narrow" w:eastAsia="Times New Roman" w:hAnsi="Arial Narrow" w:cs="Times New Roman"/>
                <w:b/>
                <w:bCs/>
                <w:color w:val="FFFFFF"/>
                <w:sz w:val="16"/>
                <w:szCs w:val="16"/>
                <w:lang w:val="en-US"/>
              </w:rPr>
            </w:pPr>
            <w:r w:rsidRPr="00A8698F">
              <w:rPr>
                <w:rFonts w:ascii="Arial Narrow" w:eastAsia="Times New Roman" w:hAnsi="Arial Narrow" w:cs="Times New Roman"/>
                <w:b/>
                <w:bCs/>
                <w:color w:val="FFFFFF"/>
                <w:sz w:val="16"/>
                <w:szCs w:val="16"/>
                <w:lang w:val="en-US"/>
              </w:rPr>
              <w:t xml:space="preserve"> </w:t>
            </w:r>
          </w:p>
        </w:tc>
        <w:tc>
          <w:tcPr>
            <w:tcW w:w="200" w:type="dxa"/>
            <w:tcBorders>
              <w:top w:val="nil"/>
              <w:left w:val="nil"/>
              <w:bottom w:val="single" w:sz="4" w:space="0" w:color="C7CFD8"/>
              <w:right w:val="nil"/>
            </w:tcBorders>
            <w:shd w:val="clear" w:color="auto" w:fill="auto"/>
            <w:noWrap/>
            <w:hideMark/>
          </w:tcPr>
          <w:p w14:paraId="0AE8EB2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2940" w:type="dxa"/>
            <w:gridSpan w:val="2"/>
            <w:tcBorders>
              <w:top w:val="nil"/>
              <w:left w:val="nil"/>
              <w:bottom w:val="single" w:sz="4" w:space="0" w:color="C7CFD8"/>
              <w:right w:val="nil"/>
            </w:tcBorders>
            <w:shd w:val="clear" w:color="auto" w:fill="auto"/>
            <w:noWrap/>
            <w:hideMark/>
          </w:tcPr>
          <w:p w14:paraId="249285F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Unallocated (Non-Personnel)</w:t>
            </w:r>
          </w:p>
        </w:tc>
        <w:tc>
          <w:tcPr>
            <w:tcW w:w="1260" w:type="dxa"/>
            <w:tcBorders>
              <w:top w:val="nil"/>
              <w:left w:val="nil"/>
              <w:bottom w:val="single" w:sz="4" w:space="0" w:color="C7CFD8"/>
              <w:right w:val="nil"/>
            </w:tcBorders>
            <w:shd w:val="clear" w:color="auto" w:fill="auto"/>
            <w:noWrap/>
            <w:hideMark/>
          </w:tcPr>
          <w:p w14:paraId="242A618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2,600</w:t>
            </w:r>
          </w:p>
        </w:tc>
        <w:tc>
          <w:tcPr>
            <w:tcW w:w="1260" w:type="dxa"/>
            <w:tcBorders>
              <w:top w:val="nil"/>
              <w:left w:val="nil"/>
              <w:bottom w:val="single" w:sz="4" w:space="0" w:color="C7CFD8"/>
              <w:right w:val="nil"/>
            </w:tcBorders>
            <w:shd w:val="clear" w:color="auto" w:fill="auto"/>
            <w:noWrap/>
            <w:hideMark/>
          </w:tcPr>
          <w:p w14:paraId="08EC10C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4,600</w:t>
            </w:r>
          </w:p>
        </w:tc>
        <w:tc>
          <w:tcPr>
            <w:tcW w:w="1260" w:type="dxa"/>
            <w:tcBorders>
              <w:top w:val="nil"/>
              <w:left w:val="nil"/>
              <w:bottom w:val="single" w:sz="4" w:space="0" w:color="C7CFD8"/>
              <w:right w:val="nil"/>
            </w:tcBorders>
            <w:shd w:val="clear" w:color="auto" w:fill="auto"/>
            <w:noWrap/>
            <w:hideMark/>
          </w:tcPr>
          <w:p w14:paraId="634C2D2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5,197</w:t>
            </w:r>
          </w:p>
        </w:tc>
        <w:tc>
          <w:tcPr>
            <w:tcW w:w="1080" w:type="dxa"/>
            <w:tcBorders>
              <w:top w:val="nil"/>
              <w:left w:val="nil"/>
              <w:bottom w:val="single" w:sz="4" w:space="0" w:color="C7CFD8"/>
              <w:right w:val="nil"/>
            </w:tcBorders>
            <w:shd w:val="clear" w:color="auto" w:fill="auto"/>
            <w:noWrap/>
            <w:hideMark/>
          </w:tcPr>
          <w:p w14:paraId="7C6D3E5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(2,000)</w:t>
            </w:r>
          </w:p>
        </w:tc>
        <w:tc>
          <w:tcPr>
            <w:tcW w:w="1080" w:type="dxa"/>
            <w:tcBorders>
              <w:top w:val="nil"/>
              <w:left w:val="nil"/>
              <w:bottom w:val="single" w:sz="4" w:space="0" w:color="C7CFD8"/>
              <w:right w:val="nil"/>
            </w:tcBorders>
            <w:shd w:val="clear" w:color="auto" w:fill="auto"/>
            <w:noWrap/>
            <w:hideMark/>
          </w:tcPr>
          <w:p w14:paraId="05FD24D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-43.5%</w:t>
            </w:r>
          </w:p>
        </w:tc>
      </w:tr>
      <w:tr w:rsidR="00A8698F" w:rsidRPr="00A8698F" w14:paraId="5193B378" w14:textId="77777777" w:rsidTr="00253B03">
        <w:trPr>
          <w:divId w:val="53744011"/>
          <w:trHeight w:hRule="exact" w:val="216"/>
        </w:trPr>
        <w:tc>
          <w:tcPr>
            <w:tcW w:w="200" w:type="dxa"/>
            <w:tcBorders>
              <w:top w:val="nil"/>
              <w:left w:val="nil"/>
              <w:bottom w:val="nil"/>
              <w:right w:val="nil"/>
            </w:tcBorders>
            <w:shd w:val="clear" w:color="auto" w:fill="auto"/>
            <w:noWrap/>
            <w:hideMark/>
          </w:tcPr>
          <w:p w14:paraId="72C37D6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620" w:type="dxa"/>
            <w:gridSpan w:val="2"/>
            <w:tcBorders>
              <w:top w:val="nil"/>
              <w:left w:val="nil"/>
              <w:bottom w:val="nil"/>
              <w:right w:val="nil"/>
            </w:tcBorders>
            <w:shd w:val="clear" w:color="auto" w:fill="auto"/>
            <w:noWrap/>
            <w:vAlign w:val="center"/>
            <w:hideMark/>
          </w:tcPr>
          <w:p w14:paraId="50AECAFC"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 B</w:t>
            </w:r>
          </w:p>
        </w:tc>
        <w:tc>
          <w:tcPr>
            <w:tcW w:w="1520" w:type="dxa"/>
            <w:tcBorders>
              <w:top w:val="nil"/>
              <w:left w:val="nil"/>
              <w:bottom w:val="nil"/>
              <w:right w:val="nil"/>
            </w:tcBorders>
            <w:shd w:val="clear" w:color="auto" w:fill="auto"/>
            <w:noWrap/>
            <w:hideMark/>
          </w:tcPr>
          <w:p w14:paraId="5CADF50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260" w:type="dxa"/>
            <w:tcBorders>
              <w:top w:val="nil"/>
              <w:left w:val="nil"/>
              <w:bottom w:val="nil"/>
              <w:right w:val="nil"/>
            </w:tcBorders>
            <w:shd w:val="clear" w:color="auto" w:fill="auto"/>
            <w:noWrap/>
            <w:vAlign w:val="center"/>
            <w:hideMark/>
          </w:tcPr>
          <w:p w14:paraId="189E9C7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345,132</w:t>
            </w:r>
          </w:p>
        </w:tc>
        <w:tc>
          <w:tcPr>
            <w:tcW w:w="1260" w:type="dxa"/>
            <w:tcBorders>
              <w:top w:val="nil"/>
              <w:left w:val="nil"/>
              <w:bottom w:val="nil"/>
              <w:right w:val="nil"/>
            </w:tcBorders>
            <w:shd w:val="clear" w:color="auto" w:fill="auto"/>
            <w:noWrap/>
            <w:vAlign w:val="center"/>
            <w:hideMark/>
          </w:tcPr>
          <w:p w14:paraId="17E613B2"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317,307</w:t>
            </w:r>
          </w:p>
        </w:tc>
        <w:tc>
          <w:tcPr>
            <w:tcW w:w="1260" w:type="dxa"/>
            <w:tcBorders>
              <w:top w:val="nil"/>
              <w:left w:val="nil"/>
              <w:bottom w:val="nil"/>
              <w:right w:val="nil"/>
            </w:tcBorders>
            <w:shd w:val="clear" w:color="auto" w:fill="auto"/>
            <w:noWrap/>
            <w:vAlign w:val="center"/>
            <w:hideMark/>
          </w:tcPr>
          <w:p w14:paraId="708E548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325,949</w:t>
            </w:r>
          </w:p>
        </w:tc>
        <w:tc>
          <w:tcPr>
            <w:tcW w:w="1080" w:type="dxa"/>
            <w:tcBorders>
              <w:top w:val="nil"/>
              <w:left w:val="nil"/>
              <w:bottom w:val="nil"/>
              <w:right w:val="nil"/>
            </w:tcBorders>
            <w:shd w:val="clear" w:color="auto" w:fill="auto"/>
            <w:noWrap/>
            <w:vAlign w:val="center"/>
            <w:hideMark/>
          </w:tcPr>
          <w:p w14:paraId="1F4E8A9A"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27,825</w:t>
            </w:r>
          </w:p>
        </w:tc>
        <w:tc>
          <w:tcPr>
            <w:tcW w:w="1080" w:type="dxa"/>
            <w:tcBorders>
              <w:top w:val="nil"/>
              <w:left w:val="nil"/>
              <w:bottom w:val="nil"/>
              <w:right w:val="nil"/>
            </w:tcBorders>
            <w:shd w:val="clear" w:color="auto" w:fill="auto"/>
            <w:noWrap/>
            <w:vAlign w:val="center"/>
            <w:hideMark/>
          </w:tcPr>
          <w:p w14:paraId="232806A5"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8.8%</w:t>
            </w:r>
          </w:p>
        </w:tc>
      </w:tr>
      <w:tr w:rsidR="00A8698F" w:rsidRPr="00A8698F" w14:paraId="2EED2488" w14:textId="77777777" w:rsidTr="00253B03">
        <w:trPr>
          <w:divId w:val="53744011"/>
          <w:trHeight w:hRule="exact" w:val="216"/>
        </w:trPr>
        <w:tc>
          <w:tcPr>
            <w:tcW w:w="200" w:type="dxa"/>
            <w:tcBorders>
              <w:top w:val="single" w:sz="8" w:space="0" w:color="C7CFD8"/>
              <w:left w:val="nil"/>
              <w:bottom w:val="single" w:sz="8" w:space="0" w:color="C7CFD8"/>
              <w:right w:val="nil"/>
            </w:tcBorders>
            <w:shd w:val="clear" w:color="auto" w:fill="auto"/>
            <w:noWrap/>
            <w:hideMark/>
          </w:tcPr>
          <w:p w14:paraId="2A58E008"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1620" w:type="dxa"/>
            <w:gridSpan w:val="2"/>
            <w:tcBorders>
              <w:top w:val="single" w:sz="8" w:space="0" w:color="C7CFD8"/>
              <w:left w:val="nil"/>
              <w:bottom w:val="single" w:sz="8" w:space="0" w:color="C7CFD8"/>
              <w:right w:val="nil"/>
            </w:tcBorders>
            <w:shd w:val="clear" w:color="auto" w:fill="auto"/>
            <w:noWrap/>
            <w:vAlign w:val="center"/>
            <w:hideMark/>
          </w:tcPr>
          <w:p w14:paraId="2E9759CA"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w:t>
            </w:r>
          </w:p>
        </w:tc>
        <w:tc>
          <w:tcPr>
            <w:tcW w:w="1520" w:type="dxa"/>
            <w:tcBorders>
              <w:top w:val="single" w:sz="8" w:space="0" w:color="C7CFD8"/>
              <w:left w:val="nil"/>
              <w:bottom w:val="single" w:sz="8" w:space="0" w:color="C7CFD8"/>
              <w:right w:val="nil"/>
            </w:tcBorders>
            <w:shd w:val="clear" w:color="auto" w:fill="auto"/>
            <w:noWrap/>
            <w:hideMark/>
          </w:tcPr>
          <w:p w14:paraId="7F5C6DC6"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1260" w:type="dxa"/>
            <w:tcBorders>
              <w:top w:val="single" w:sz="8" w:space="0" w:color="C7CFD8"/>
              <w:left w:val="nil"/>
              <w:bottom w:val="single" w:sz="8" w:space="0" w:color="C7CFD8"/>
              <w:right w:val="nil"/>
            </w:tcBorders>
            <w:shd w:val="clear" w:color="auto" w:fill="auto"/>
            <w:noWrap/>
            <w:vAlign w:val="center"/>
            <w:hideMark/>
          </w:tcPr>
          <w:p w14:paraId="17EC4B81"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857,300</w:t>
            </w:r>
          </w:p>
        </w:tc>
        <w:tc>
          <w:tcPr>
            <w:tcW w:w="1260" w:type="dxa"/>
            <w:tcBorders>
              <w:top w:val="single" w:sz="8" w:space="0" w:color="C7CFD8"/>
              <w:left w:val="nil"/>
              <w:bottom w:val="single" w:sz="8" w:space="0" w:color="C7CFD8"/>
              <w:right w:val="nil"/>
            </w:tcBorders>
            <w:shd w:val="clear" w:color="auto" w:fill="auto"/>
            <w:noWrap/>
            <w:vAlign w:val="center"/>
            <w:hideMark/>
          </w:tcPr>
          <w:p w14:paraId="5F195007"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793,792</w:t>
            </w:r>
          </w:p>
        </w:tc>
        <w:tc>
          <w:tcPr>
            <w:tcW w:w="1260" w:type="dxa"/>
            <w:tcBorders>
              <w:top w:val="single" w:sz="8" w:space="0" w:color="C7CFD8"/>
              <w:left w:val="nil"/>
              <w:bottom w:val="single" w:sz="8" w:space="0" w:color="C7CFD8"/>
              <w:right w:val="nil"/>
            </w:tcBorders>
            <w:shd w:val="clear" w:color="auto" w:fill="auto"/>
            <w:noWrap/>
            <w:vAlign w:val="center"/>
            <w:hideMark/>
          </w:tcPr>
          <w:p w14:paraId="69201746"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793,792</w:t>
            </w:r>
          </w:p>
        </w:tc>
        <w:tc>
          <w:tcPr>
            <w:tcW w:w="1080" w:type="dxa"/>
            <w:tcBorders>
              <w:top w:val="single" w:sz="8" w:space="0" w:color="C7CFD8"/>
              <w:left w:val="nil"/>
              <w:bottom w:val="single" w:sz="8" w:space="0" w:color="C7CFD8"/>
              <w:right w:val="nil"/>
            </w:tcBorders>
            <w:shd w:val="clear" w:color="auto" w:fill="auto"/>
            <w:noWrap/>
            <w:vAlign w:val="center"/>
            <w:hideMark/>
          </w:tcPr>
          <w:p w14:paraId="0F29C681"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63,508</w:t>
            </w:r>
          </w:p>
        </w:tc>
        <w:tc>
          <w:tcPr>
            <w:tcW w:w="1080" w:type="dxa"/>
            <w:tcBorders>
              <w:top w:val="single" w:sz="8" w:space="0" w:color="C7CFD8"/>
              <w:left w:val="nil"/>
              <w:bottom w:val="single" w:sz="8" w:space="0" w:color="C7CFD8"/>
              <w:right w:val="nil"/>
            </w:tcBorders>
            <w:shd w:val="clear" w:color="auto" w:fill="auto"/>
            <w:noWrap/>
            <w:vAlign w:val="center"/>
            <w:hideMark/>
          </w:tcPr>
          <w:p w14:paraId="50B0EFD2"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8.0%</w:t>
            </w:r>
          </w:p>
        </w:tc>
      </w:tr>
      <w:tr w:rsidR="00A8698F" w:rsidRPr="00A8698F" w14:paraId="28DBC1A9" w14:textId="77777777" w:rsidTr="00A8698F">
        <w:trPr>
          <w:divId w:val="53744011"/>
          <w:trHeight w:val="105"/>
        </w:trPr>
        <w:tc>
          <w:tcPr>
            <w:tcW w:w="9280" w:type="dxa"/>
            <w:gridSpan w:val="9"/>
            <w:tcBorders>
              <w:top w:val="nil"/>
              <w:left w:val="nil"/>
              <w:bottom w:val="nil"/>
              <w:right w:val="nil"/>
            </w:tcBorders>
            <w:shd w:val="clear" w:color="auto" w:fill="auto"/>
            <w:hideMark/>
          </w:tcPr>
          <w:p w14:paraId="5A9F35B2"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p>
        </w:tc>
      </w:tr>
      <w:tr w:rsidR="00A8698F" w:rsidRPr="00A8698F" w14:paraId="62E1C078" w14:textId="77777777" w:rsidTr="00A8698F">
        <w:trPr>
          <w:divId w:val="53744011"/>
          <w:trHeight w:val="255"/>
        </w:trPr>
        <w:tc>
          <w:tcPr>
            <w:tcW w:w="5860" w:type="dxa"/>
            <w:gridSpan w:val="6"/>
            <w:tcBorders>
              <w:top w:val="nil"/>
              <w:left w:val="nil"/>
              <w:bottom w:val="nil"/>
              <w:right w:val="nil"/>
            </w:tcBorders>
            <w:shd w:val="clear" w:color="auto" w:fill="auto"/>
            <w:noWrap/>
            <w:hideMark/>
          </w:tcPr>
          <w:p w14:paraId="11A13BA0"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Note: 2022/23 Budget after Transfers reflects transfers as at December 31, 2022.</w:t>
            </w:r>
          </w:p>
        </w:tc>
        <w:tc>
          <w:tcPr>
            <w:tcW w:w="1260" w:type="dxa"/>
            <w:tcBorders>
              <w:top w:val="nil"/>
              <w:left w:val="nil"/>
              <w:bottom w:val="nil"/>
              <w:right w:val="nil"/>
            </w:tcBorders>
            <w:shd w:val="clear" w:color="auto" w:fill="auto"/>
            <w:hideMark/>
          </w:tcPr>
          <w:p w14:paraId="71792AAF"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080" w:type="dxa"/>
            <w:tcBorders>
              <w:top w:val="nil"/>
              <w:left w:val="nil"/>
              <w:bottom w:val="nil"/>
              <w:right w:val="nil"/>
            </w:tcBorders>
            <w:shd w:val="clear" w:color="auto" w:fill="auto"/>
            <w:hideMark/>
          </w:tcPr>
          <w:p w14:paraId="5067794E"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hideMark/>
          </w:tcPr>
          <w:p w14:paraId="2CA57762"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r>
    </w:tbl>
    <w:p w14:paraId="1F5CF153" w14:textId="51FD8C7C" w:rsidR="00434007" w:rsidRPr="00DF3C57" w:rsidRDefault="00434007" w:rsidP="00434007">
      <w:pPr>
        <w:spacing w:after="120"/>
        <w:rPr>
          <w:lang w:val="en-US"/>
        </w:rPr>
      </w:pPr>
    </w:p>
    <w:p w14:paraId="4BA2C396" w14:textId="31BEB8B0" w:rsidR="00434007" w:rsidRDefault="00434007" w:rsidP="00BB606C">
      <w:pPr>
        <w:pStyle w:val="NormalNumb"/>
        <w:ind w:left="0"/>
      </w:pPr>
      <w:r>
        <w:t xml:space="preserve">The costs for “Internships and WIPO Fellowships” </w:t>
      </w:r>
      <w:r w:rsidR="001E7A58">
        <w:t>for 2024/25 has increased by 4</w:t>
      </w:r>
      <w:r>
        <w:t xml:space="preserve"> million Swiss francs, or 26.6 per cent, compared to the 2022/23 PoW&amp;B.  This reflects the continued emphasis on attracting young talent and providing </w:t>
      </w:r>
      <w:r>
        <w:lastRenderedPageBreak/>
        <w:t xml:space="preserve">them with a professional experience at WIPO.  Some of the fellowship positions are part of a new program targeted for young professionals from developing countries (YEPs). </w:t>
      </w:r>
    </w:p>
    <w:p w14:paraId="3E363872" w14:textId="33FE208E" w:rsidR="00434007" w:rsidRDefault="00A8698F" w:rsidP="00BB606C">
      <w:pPr>
        <w:pStyle w:val="NormalNumb"/>
        <w:ind w:left="0"/>
      </w:pPr>
      <w:r>
        <w:t>An increase of 2.3 million Swiss francs, or 8.6</w:t>
      </w:r>
      <w:r w:rsidR="00434007">
        <w:t xml:space="preserve"> per cent, compared to the 2022/23 PoW&amp;B, can be observed under “Travel, Training and Grants”.  This reflects the continued strong emphasis on skills and knowledge building, the Diplomatic Conferences planned for 2024 and a general travel cost increase, partially offset by the further embedding of virtual or hybrid delivery modalities.  The latter is resulting overall in a further reduction in the cost of “Staff Missions”. </w:t>
      </w:r>
    </w:p>
    <w:p w14:paraId="412036EB" w14:textId="5693FC9F" w:rsidR="00434007" w:rsidRDefault="00434007" w:rsidP="00BB606C">
      <w:pPr>
        <w:pStyle w:val="NormalNumb"/>
        <w:ind w:left="0"/>
      </w:pPr>
      <w:r>
        <w:t>The estimated cost for “Contractual Services” in 2024/25 has increased by 21.5 million Swiss francs, or 10.1 per cent, compared to the 2022/23 PoW&amp;B.  The increase is primarily driven by: (i) upgrading of our communication and publishing tools and content as well as advertising (e.g. Internet, Intranet, Digital Publishing Platform, Search Engine Optimization and Search Engine Advertising);  (ii) WIPO for Creators Platfor</w:t>
      </w:r>
      <w:r w:rsidR="001E7A58">
        <w:t>m;  (iii) strengthening of SME-</w:t>
      </w:r>
      <w:r>
        <w:t xml:space="preserve">related support (brand management and brand innovation, IP Management Clinics, IP </w:t>
      </w:r>
      <w:r w:rsidR="0026419C">
        <w:t>Entrepreneurship</w:t>
      </w:r>
      <w:r>
        <w:t xml:space="preserve"> Experience </w:t>
      </w:r>
      <w:r w:rsidR="0026419C">
        <w:t>training</w:t>
      </w:r>
      <w:r>
        <w:t xml:space="preserve"> program); (iv) strengthening the Academy’s skills and knowledge building programs, expansion of the national IP Training Institutions (IPTIs) and new joint Masters Program; (v) shifting the ECM platform to M365/Sharepoint; (vi) ICT system upgrade for AMC; (vii) transition to operations of the IP Portal; (viii) inflation-driven cost increases for ICT service providers</w:t>
      </w:r>
      <w:r w:rsidR="001E7A58">
        <w:t>,</w:t>
      </w:r>
      <w:r>
        <w:t xml:space="preserve"> and (ix) increase in conference related costs. </w:t>
      </w:r>
    </w:p>
    <w:p w14:paraId="0BE7B67B" w14:textId="77777777" w:rsidR="00434007" w:rsidRDefault="00434007" w:rsidP="00BB606C">
      <w:pPr>
        <w:pStyle w:val="NormalNumb"/>
        <w:ind w:left="0"/>
      </w:pPr>
      <w:r>
        <w:t xml:space="preserve">The estimated “Finance Costs” for 2024/25 have decreased by 2 million Swiss francs, or 80 per cent, compared to the 2022/23 PoW&amp;B.  The decrease is driven by higher interest rates and the related diminishing probability for the payment of negative interest rates on the Organization’s operating cash. </w:t>
      </w:r>
    </w:p>
    <w:p w14:paraId="53504FBE" w14:textId="33558863" w:rsidR="00434007" w:rsidRDefault="00434007" w:rsidP="00BB606C">
      <w:pPr>
        <w:pStyle w:val="NormalNumb"/>
        <w:ind w:left="0"/>
      </w:pPr>
      <w:r>
        <w:t xml:space="preserve">“Operating Expenses” for </w:t>
      </w:r>
      <w:r w:rsidR="00607486">
        <w:t>2024/25 show</w:t>
      </w:r>
      <w:r w:rsidR="00A8698F">
        <w:t xml:space="preserve"> an increase of 4.1</w:t>
      </w:r>
      <w:r>
        <w:t xml:space="preserve"> million Swiss francs, or </w:t>
      </w:r>
      <w:r w:rsidR="00A8698F">
        <w:t>7.9</w:t>
      </w:r>
      <w:r>
        <w:t xml:space="preserve"> per cent, compared to the 2022/23 PoW&amp;B. The increase is primarily driven by an increase in software licenses, audiovisual support for meetings and utilities.</w:t>
      </w:r>
    </w:p>
    <w:p w14:paraId="4B101BAB" w14:textId="77777777" w:rsidR="00434007" w:rsidRDefault="00434007" w:rsidP="00BB606C">
      <w:pPr>
        <w:pStyle w:val="NormalNumb"/>
        <w:ind w:left="0"/>
      </w:pPr>
      <w:r>
        <w:t>“Equipment and Supplies” for 2024/25 has remained stable as compared to the 2022/23 PoW&amp;B.</w:t>
      </w:r>
    </w:p>
    <w:p w14:paraId="44023B53" w14:textId="77777777" w:rsidR="00434007" w:rsidRPr="00356104" w:rsidRDefault="00434007" w:rsidP="00434007">
      <w:pPr>
        <w:pStyle w:val="Heading1NoNumb"/>
        <w:rPr>
          <w:lang w:val="en-US"/>
        </w:rPr>
      </w:pPr>
      <w:r w:rsidRPr="00356104">
        <w:rPr>
          <w:lang w:val="en-US"/>
        </w:rPr>
        <w:t>Personnel Costs</w:t>
      </w:r>
    </w:p>
    <w:p w14:paraId="24AAAE94" w14:textId="77777777" w:rsidR="00434007" w:rsidRPr="002934E0" w:rsidRDefault="00434007" w:rsidP="00434007">
      <w:pPr>
        <w:pStyle w:val="Heading2"/>
        <w:spacing w:before="239"/>
        <w:ind w:left="0"/>
        <w:rPr>
          <w:rFonts w:asciiTheme="minorHAnsi" w:hAnsiTheme="minorHAnsi" w:cstheme="minorHAnsi"/>
          <w:sz w:val="20"/>
          <w:szCs w:val="20"/>
        </w:rPr>
      </w:pPr>
      <w:r w:rsidRPr="002934E0">
        <w:rPr>
          <w:rFonts w:asciiTheme="minorHAnsi" w:hAnsiTheme="minorHAnsi" w:cstheme="minorHAnsi"/>
          <w:color w:val="005171"/>
          <w:sz w:val="20"/>
          <w:szCs w:val="20"/>
        </w:rPr>
        <w:t>Methodology</w:t>
      </w:r>
    </w:p>
    <w:p w14:paraId="42F82BEC" w14:textId="245830F6" w:rsidR="00434007" w:rsidRPr="00BB606C" w:rsidRDefault="00434007" w:rsidP="00BB606C">
      <w:pPr>
        <w:pStyle w:val="NormalNumb"/>
        <w:ind w:left="0"/>
      </w:pPr>
      <w:r w:rsidRPr="00BB606C">
        <w:t xml:space="preserve">The personnel costs for the biennium 2024/25 amount to 512.2 million Swiss francs.  They continue to be derived on the basis of actual costs </w:t>
      </w:r>
      <w:r w:rsidR="001E7A58">
        <w:t xml:space="preserve">for occupied positions </w:t>
      </w:r>
      <w:r w:rsidRPr="00BB606C">
        <w:t>supplemented by planning assumptions as outlined below.</w:t>
      </w:r>
      <w:r w:rsidR="001E7A58">
        <w:t xml:space="preserve">  For vacant positions, a standard cost is applied.</w:t>
      </w:r>
      <w:r w:rsidRPr="00BB606C">
        <w:t xml:space="preserve"> </w:t>
      </w:r>
    </w:p>
    <w:p w14:paraId="45B9D380" w14:textId="77777777" w:rsidR="00434007" w:rsidRPr="00BB606C" w:rsidRDefault="00434007" w:rsidP="00BB606C">
      <w:pPr>
        <w:pStyle w:val="NormalNumb"/>
        <w:ind w:left="0"/>
      </w:pPr>
      <w:r w:rsidRPr="00BB606C">
        <w:t xml:space="preserve">The actual costs are based on the latest available UN salary and pensionable remuneration scales for Professional and higher categories and General Service staff, existing data regarding dependencies, as well as applicable policies and entitlements for all other staff benefits. </w:t>
      </w:r>
    </w:p>
    <w:p w14:paraId="04F3BC61" w14:textId="77777777" w:rsidR="00434007" w:rsidRPr="00BB606C" w:rsidRDefault="00434007" w:rsidP="00BB606C">
      <w:pPr>
        <w:pStyle w:val="NormalNumb"/>
        <w:ind w:left="0"/>
      </w:pPr>
      <w:r w:rsidRPr="00BB606C">
        <w:t>The costing methodology incorporates several cost elements derived at position level, combined to provide an overall costing for personnel resources.</w:t>
      </w:r>
    </w:p>
    <w:p w14:paraId="158E97C7" w14:textId="77777777" w:rsidR="00434007" w:rsidRPr="002934E0" w:rsidRDefault="00434007" w:rsidP="00434007">
      <w:pPr>
        <w:pStyle w:val="Heading2"/>
        <w:rPr>
          <w:rFonts w:asciiTheme="minorHAnsi" w:hAnsiTheme="minorHAnsi" w:cstheme="minorHAnsi"/>
          <w:sz w:val="20"/>
          <w:szCs w:val="20"/>
        </w:rPr>
      </w:pPr>
      <w:r w:rsidRPr="002934E0">
        <w:rPr>
          <w:rFonts w:asciiTheme="minorHAnsi" w:hAnsiTheme="minorHAnsi" w:cstheme="minorHAnsi"/>
          <w:color w:val="005171"/>
          <w:sz w:val="20"/>
          <w:szCs w:val="20"/>
        </w:rPr>
        <w:t>Planning Assumptions</w:t>
      </w:r>
    </w:p>
    <w:p w14:paraId="1A616C29" w14:textId="26296A4A" w:rsidR="00434007" w:rsidRPr="00F470AF" w:rsidRDefault="00434007" w:rsidP="008407D7">
      <w:pPr>
        <w:pStyle w:val="ListParagraph"/>
        <w:widowControl w:val="0"/>
        <w:numPr>
          <w:ilvl w:val="1"/>
          <w:numId w:val="17"/>
        </w:numPr>
        <w:tabs>
          <w:tab w:val="left" w:pos="812"/>
          <w:tab w:val="left" w:pos="813"/>
        </w:tabs>
        <w:autoSpaceDE w:val="0"/>
        <w:autoSpaceDN w:val="0"/>
        <w:spacing w:before="185" w:line="254" w:lineRule="auto"/>
        <w:ind w:right="376"/>
        <w:contextualSpacing w:val="0"/>
        <w:rPr>
          <w:rFonts w:asciiTheme="minorHAnsi" w:hAnsiTheme="minorHAnsi" w:cstheme="minorHAnsi"/>
          <w:sz w:val="18"/>
          <w:szCs w:val="18"/>
        </w:rPr>
      </w:pPr>
      <w:r w:rsidRPr="00F470AF">
        <w:rPr>
          <w:rFonts w:asciiTheme="minorHAnsi" w:hAnsiTheme="minorHAnsi" w:cstheme="minorHAnsi"/>
          <w:sz w:val="18"/>
          <w:szCs w:val="18"/>
        </w:rPr>
        <w:t>For occupied positions, costing of salaries for 202</w:t>
      </w:r>
      <w:r>
        <w:rPr>
          <w:rFonts w:asciiTheme="minorHAnsi" w:hAnsiTheme="minorHAnsi" w:cstheme="minorHAnsi"/>
          <w:sz w:val="18"/>
          <w:szCs w:val="18"/>
        </w:rPr>
        <w:t>4</w:t>
      </w:r>
      <w:r w:rsidRPr="00F470AF">
        <w:rPr>
          <w:rFonts w:asciiTheme="minorHAnsi" w:hAnsiTheme="minorHAnsi" w:cstheme="minorHAnsi"/>
          <w:sz w:val="18"/>
          <w:szCs w:val="18"/>
        </w:rPr>
        <w:t>/2</w:t>
      </w:r>
      <w:r>
        <w:rPr>
          <w:rFonts w:asciiTheme="minorHAnsi" w:hAnsiTheme="minorHAnsi" w:cstheme="minorHAnsi"/>
          <w:sz w:val="18"/>
          <w:szCs w:val="18"/>
        </w:rPr>
        <w:t>5</w:t>
      </w:r>
      <w:r w:rsidRPr="00F470AF">
        <w:rPr>
          <w:rFonts w:asciiTheme="minorHAnsi" w:hAnsiTheme="minorHAnsi" w:cstheme="minorHAnsi"/>
          <w:position w:val="6"/>
          <w:sz w:val="18"/>
          <w:szCs w:val="18"/>
        </w:rPr>
        <w:t xml:space="preserve"> </w:t>
      </w:r>
      <w:r w:rsidRPr="00F470AF">
        <w:rPr>
          <w:rFonts w:asciiTheme="minorHAnsi" w:hAnsiTheme="minorHAnsi" w:cstheme="minorHAnsi"/>
          <w:sz w:val="18"/>
          <w:szCs w:val="18"/>
        </w:rPr>
        <w:t>takes into account the applicable ICSC scales and within-grade step increments, prorated for 202</w:t>
      </w:r>
      <w:r>
        <w:rPr>
          <w:rFonts w:asciiTheme="minorHAnsi" w:hAnsiTheme="minorHAnsi" w:cstheme="minorHAnsi"/>
          <w:sz w:val="18"/>
          <w:szCs w:val="18"/>
        </w:rPr>
        <w:t>4</w:t>
      </w:r>
      <w:r w:rsidRPr="00F470AF">
        <w:rPr>
          <w:rFonts w:asciiTheme="minorHAnsi" w:hAnsiTheme="minorHAnsi" w:cstheme="minorHAnsi"/>
          <w:sz w:val="18"/>
          <w:szCs w:val="18"/>
        </w:rPr>
        <w:t>/2</w:t>
      </w:r>
      <w:r>
        <w:rPr>
          <w:rFonts w:asciiTheme="minorHAnsi" w:hAnsiTheme="minorHAnsi" w:cstheme="minorHAnsi"/>
          <w:sz w:val="18"/>
          <w:szCs w:val="18"/>
        </w:rPr>
        <w:t>5</w:t>
      </w:r>
      <w:r w:rsidRPr="00F470AF">
        <w:rPr>
          <w:rFonts w:asciiTheme="minorHAnsi" w:hAnsiTheme="minorHAnsi" w:cstheme="minorHAnsi"/>
          <w:sz w:val="18"/>
          <w:szCs w:val="18"/>
        </w:rPr>
        <w:t xml:space="preserve">. </w:t>
      </w:r>
      <w:r>
        <w:rPr>
          <w:rFonts w:asciiTheme="minorHAnsi" w:hAnsiTheme="minorHAnsi" w:cstheme="minorHAnsi"/>
          <w:sz w:val="18"/>
          <w:szCs w:val="18"/>
        </w:rPr>
        <w:t xml:space="preserve"> </w:t>
      </w:r>
      <w:r w:rsidRPr="00C63171">
        <w:rPr>
          <w:rFonts w:asciiTheme="minorHAnsi" w:hAnsiTheme="minorHAnsi" w:cstheme="minorHAnsi"/>
          <w:sz w:val="18"/>
          <w:szCs w:val="18"/>
        </w:rPr>
        <w:t>The</w:t>
      </w:r>
      <w:r w:rsidRPr="00C63171">
        <w:rPr>
          <w:rFonts w:asciiTheme="minorHAnsi" w:hAnsiTheme="minorHAnsi" w:cstheme="minorHAnsi"/>
          <w:spacing w:val="-2"/>
          <w:sz w:val="18"/>
          <w:szCs w:val="18"/>
        </w:rPr>
        <w:t xml:space="preserve"> </w:t>
      </w:r>
      <w:r w:rsidRPr="00C63171">
        <w:rPr>
          <w:rFonts w:asciiTheme="minorHAnsi" w:hAnsiTheme="minorHAnsi" w:cstheme="minorHAnsi"/>
          <w:sz w:val="18"/>
          <w:szCs w:val="18"/>
        </w:rPr>
        <w:t>applicable</w:t>
      </w:r>
      <w:r w:rsidRPr="00C63171">
        <w:rPr>
          <w:rFonts w:asciiTheme="minorHAnsi" w:hAnsiTheme="minorHAnsi" w:cstheme="minorHAnsi"/>
          <w:spacing w:val="-3"/>
          <w:sz w:val="18"/>
          <w:szCs w:val="18"/>
        </w:rPr>
        <w:t xml:space="preserve"> </w:t>
      </w:r>
      <w:r w:rsidRPr="00C63171">
        <w:rPr>
          <w:rFonts w:asciiTheme="minorHAnsi" w:hAnsiTheme="minorHAnsi" w:cstheme="minorHAnsi"/>
          <w:sz w:val="18"/>
          <w:szCs w:val="18"/>
        </w:rPr>
        <w:t>ICSC</w:t>
      </w:r>
      <w:r w:rsidRPr="00C63171">
        <w:rPr>
          <w:rFonts w:asciiTheme="minorHAnsi" w:hAnsiTheme="minorHAnsi" w:cstheme="minorHAnsi"/>
          <w:spacing w:val="-5"/>
          <w:sz w:val="18"/>
          <w:szCs w:val="18"/>
        </w:rPr>
        <w:t xml:space="preserve"> </w:t>
      </w:r>
      <w:r w:rsidRPr="00C63171">
        <w:rPr>
          <w:rFonts w:asciiTheme="minorHAnsi" w:hAnsiTheme="minorHAnsi" w:cstheme="minorHAnsi"/>
          <w:sz w:val="18"/>
          <w:szCs w:val="18"/>
        </w:rPr>
        <w:t>scale for Professional and higher categories is as of January</w:t>
      </w:r>
      <w:r w:rsidRPr="005206DB">
        <w:rPr>
          <w:rFonts w:asciiTheme="minorHAnsi" w:hAnsiTheme="minorHAnsi" w:cstheme="minorHAnsi"/>
          <w:sz w:val="18"/>
          <w:szCs w:val="18"/>
        </w:rPr>
        <w:t xml:space="preserve"> 202</w:t>
      </w:r>
      <w:r w:rsidRPr="00C63171">
        <w:rPr>
          <w:rFonts w:asciiTheme="minorHAnsi" w:hAnsiTheme="minorHAnsi" w:cstheme="minorHAnsi"/>
          <w:sz w:val="18"/>
          <w:szCs w:val="18"/>
        </w:rPr>
        <w:t>3</w:t>
      </w:r>
      <w:r w:rsidRPr="005206DB">
        <w:rPr>
          <w:rFonts w:asciiTheme="minorHAnsi" w:hAnsiTheme="minorHAnsi" w:cstheme="minorHAnsi"/>
          <w:sz w:val="18"/>
          <w:szCs w:val="18"/>
        </w:rPr>
        <w:t>; for the General Service Category the September 20</w:t>
      </w:r>
      <w:r w:rsidRPr="00C63171">
        <w:rPr>
          <w:rFonts w:asciiTheme="minorHAnsi" w:hAnsiTheme="minorHAnsi" w:cstheme="minorHAnsi"/>
          <w:sz w:val="18"/>
          <w:szCs w:val="18"/>
        </w:rPr>
        <w:t>22</w:t>
      </w:r>
      <w:r w:rsidR="001E7A58">
        <w:rPr>
          <w:rFonts w:asciiTheme="minorHAnsi" w:hAnsiTheme="minorHAnsi" w:cstheme="minorHAnsi"/>
          <w:sz w:val="18"/>
          <w:szCs w:val="18"/>
        </w:rPr>
        <w:t xml:space="preserve"> scale has been applied</w:t>
      </w:r>
      <w:r>
        <w:rPr>
          <w:rFonts w:asciiTheme="minorHAnsi" w:hAnsiTheme="minorHAnsi" w:cstheme="minorHAnsi"/>
          <w:sz w:val="18"/>
          <w:szCs w:val="18"/>
        </w:rPr>
        <w:t>;</w:t>
      </w:r>
      <w:r w:rsidRPr="00B0509C">
        <w:rPr>
          <w:rFonts w:asciiTheme="minorHAnsi" w:hAnsiTheme="minorHAnsi" w:cstheme="minorHAnsi"/>
          <w:sz w:val="18"/>
          <w:szCs w:val="18"/>
        </w:rPr>
        <w:t xml:space="preserve"> </w:t>
      </w:r>
    </w:p>
    <w:p w14:paraId="267F2395" w14:textId="77777777" w:rsidR="00434007" w:rsidRPr="00F470AF" w:rsidRDefault="00434007" w:rsidP="008407D7">
      <w:pPr>
        <w:pStyle w:val="ListParagraph"/>
        <w:widowControl w:val="0"/>
        <w:numPr>
          <w:ilvl w:val="1"/>
          <w:numId w:val="17"/>
        </w:numPr>
        <w:tabs>
          <w:tab w:val="left" w:pos="812"/>
          <w:tab w:val="left" w:pos="813"/>
        </w:tabs>
        <w:autoSpaceDE w:val="0"/>
        <w:autoSpaceDN w:val="0"/>
        <w:spacing w:before="164"/>
        <w:contextualSpacing w:val="0"/>
        <w:rPr>
          <w:rFonts w:asciiTheme="minorHAnsi" w:hAnsiTheme="minorHAnsi" w:cstheme="minorHAnsi"/>
          <w:sz w:val="18"/>
          <w:szCs w:val="18"/>
        </w:rPr>
      </w:pPr>
      <w:r w:rsidRPr="00F470AF">
        <w:rPr>
          <w:rFonts w:asciiTheme="minorHAnsi" w:hAnsiTheme="minorHAnsi" w:cstheme="minorHAnsi"/>
          <w:sz w:val="18"/>
          <w:szCs w:val="18"/>
        </w:rPr>
        <w:t xml:space="preserve">The exchange rate and post adjustment multiplier (PAM) are applied as of </w:t>
      </w:r>
      <w:r>
        <w:rPr>
          <w:rFonts w:asciiTheme="minorHAnsi" w:hAnsiTheme="minorHAnsi" w:cstheme="minorHAnsi"/>
          <w:sz w:val="18"/>
          <w:szCs w:val="18"/>
        </w:rPr>
        <w:t xml:space="preserve">January </w:t>
      </w:r>
      <w:r w:rsidRPr="00F470AF">
        <w:rPr>
          <w:rFonts w:asciiTheme="minorHAnsi" w:hAnsiTheme="minorHAnsi" w:cstheme="minorHAnsi"/>
          <w:sz w:val="18"/>
          <w:szCs w:val="18"/>
        </w:rPr>
        <w:t>202</w:t>
      </w:r>
      <w:r>
        <w:rPr>
          <w:rFonts w:asciiTheme="minorHAnsi" w:hAnsiTheme="minorHAnsi" w:cstheme="minorHAnsi"/>
          <w:sz w:val="18"/>
          <w:szCs w:val="18"/>
        </w:rPr>
        <w:t>3</w:t>
      </w:r>
      <w:r w:rsidRPr="00F470AF">
        <w:rPr>
          <w:rFonts w:asciiTheme="minorHAnsi" w:hAnsiTheme="minorHAnsi" w:cstheme="minorHAnsi"/>
          <w:sz w:val="18"/>
          <w:szCs w:val="18"/>
        </w:rPr>
        <w:t>;</w:t>
      </w:r>
    </w:p>
    <w:p w14:paraId="7684D7ED" w14:textId="78F1AEB0" w:rsidR="00434007" w:rsidRPr="005206DB" w:rsidRDefault="00434007" w:rsidP="008407D7">
      <w:pPr>
        <w:pStyle w:val="ListParagraph"/>
        <w:widowControl w:val="0"/>
        <w:numPr>
          <w:ilvl w:val="1"/>
          <w:numId w:val="17"/>
        </w:numPr>
        <w:tabs>
          <w:tab w:val="left" w:pos="812"/>
          <w:tab w:val="left" w:pos="813"/>
        </w:tabs>
        <w:autoSpaceDE w:val="0"/>
        <w:autoSpaceDN w:val="0"/>
        <w:spacing w:before="181" w:line="254" w:lineRule="auto"/>
        <w:ind w:right="204"/>
        <w:contextualSpacing w:val="0"/>
        <w:rPr>
          <w:rFonts w:asciiTheme="minorHAnsi" w:hAnsiTheme="minorHAnsi" w:cstheme="minorHAnsi"/>
          <w:sz w:val="18"/>
          <w:szCs w:val="18"/>
        </w:rPr>
      </w:pPr>
      <w:r w:rsidRPr="005206DB">
        <w:rPr>
          <w:rFonts w:asciiTheme="minorHAnsi" w:hAnsiTheme="minorHAnsi" w:cstheme="minorHAnsi"/>
          <w:sz w:val="18"/>
          <w:szCs w:val="18"/>
        </w:rPr>
        <w:t>The</w:t>
      </w:r>
      <w:r w:rsidRPr="005206DB">
        <w:rPr>
          <w:rFonts w:asciiTheme="minorHAnsi" w:hAnsiTheme="minorHAnsi" w:cstheme="minorHAnsi"/>
          <w:spacing w:val="-3"/>
          <w:sz w:val="18"/>
          <w:szCs w:val="18"/>
        </w:rPr>
        <w:t xml:space="preserve"> </w:t>
      </w:r>
      <w:r w:rsidRPr="005206DB">
        <w:rPr>
          <w:rFonts w:asciiTheme="minorHAnsi" w:hAnsiTheme="minorHAnsi" w:cstheme="minorHAnsi"/>
          <w:sz w:val="18"/>
          <w:szCs w:val="18"/>
        </w:rPr>
        <w:t>USD/CHF</w:t>
      </w:r>
      <w:r w:rsidRPr="004F77B5">
        <w:rPr>
          <w:rFonts w:asciiTheme="minorHAnsi" w:hAnsiTheme="minorHAnsi" w:cstheme="minorHAnsi"/>
          <w:spacing w:val="-2"/>
          <w:sz w:val="18"/>
          <w:szCs w:val="18"/>
        </w:rPr>
        <w:t xml:space="preserve"> </w:t>
      </w:r>
      <w:r w:rsidRPr="004F77B5">
        <w:rPr>
          <w:rFonts w:asciiTheme="minorHAnsi" w:hAnsiTheme="minorHAnsi" w:cstheme="minorHAnsi"/>
          <w:sz w:val="18"/>
          <w:szCs w:val="18"/>
        </w:rPr>
        <w:t>exchange</w:t>
      </w:r>
      <w:r w:rsidRPr="004F77B5">
        <w:rPr>
          <w:rFonts w:asciiTheme="minorHAnsi" w:hAnsiTheme="minorHAnsi" w:cstheme="minorHAnsi"/>
          <w:spacing w:val="-2"/>
          <w:sz w:val="18"/>
          <w:szCs w:val="18"/>
        </w:rPr>
        <w:t xml:space="preserve"> </w:t>
      </w:r>
      <w:r w:rsidRPr="004F77B5">
        <w:rPr>
          <w:rFonts w:asciiTheme="minorHAnsi" w:hAnsiTheme="minorHAnsi" w:cstheme="minorHAnsi"/>
          <w:sz w:val="18"/>
          <w:szCs w:val="18"/>
        </w:rPr>
        <w:t>rate</w:t>
      </w:r>
      <w:r w:rsidRPr="00764063">
        <w:rPr>
          <w:rFonts w:asciiTheme="minorHAnsi" w:hAnsiTheme="minorHAnsi" w:cstheme="minorHAnsi"/>
          <w:spacing w:val="-5"/>
          <w:sz w:val="18"/>
          <w:szCs w:val="18"/>
        </w:rPr>
        <w:t xml:space="preserve"> </w:t>
      </w:r>
      <w:r w:rsidRPr="00764063">
        <w:rPr>
          <w:rFonts w:asciiTheme="minorHAnsi" w:hAnsiTheme="minorHAnsi" w:cstheme="minorHAnsi"/>
          <w:sz w:val="18"/>
          <w:szCs w:val="18"/>
        </w:rPr>
        <w:t>is</w:t>
      </w:r>
      <w:r w:rsidRPr="00764063">
        <w:rPr>
          <w:rFonts w:asciiTheme="minorHAnsi" w:hAnsiTheme="minorHAnsi" w:cstheme="minorHAnsi"/>
          <w:spacing w:val="-1"/>
          <w:sz w:val="18"/>
          <w:szCs w:val="18"/>
        </w:rPr>
        <w:t xml:space="preserve"> </w:t>
      </w:r>
      <w:r w:rsidRPr="00764063">
        <w:rPr>
          <w:rFonts w:asciiTheme="minorHAnsi" w:hAnsiTheme="minorHAnsi" w:cstheme="minorHAnsi"/>
          <w:sz w:val="18"/>
          <w:szCs w:val="18"/>
        </w:rPr>
        <w:t>applied</w:t>
      </w:r>
      <w:r w:rsidRPr="00764063">
        <w:rPr>
          <w:rFonts w:asciiTheme="minorHAnsi" w:hAnsiTheme="minorHAnsi" w:cstheme="minorHAnsi"/>
          <w:spacing w:val="-2"/>
          <w:sz w:val="18"/>
          <w:szCs w:val="18"/>
        </w:rPr>
        <w:t xml:space="preserve"> </w:t>
      </w:r>
      <w:r w:rsidRPr="00C63171">
        <w:rPr>
          <w:rFonts w:asciiTheme="minorHAnsi" w:hAnsiTheme="minorHAnsi" w:cstheme="minorHAnsi"/>
          <w:sz w:val="18"/>
          <w:szCs w:val="18"/>
        </w:rPr>
        <w:t>at</w:t>
      </w:r>
      <w:r w:rsidRPr="00C63171">
        <w:rPr>
          <w:rFonts w:asciiTheme="minorHAnsi" w:hAnsiTheme="minorHAnsi" w:cstheme="minorHAnsi"/>
          <w:spacing w:val="-4"/>
          <w:sz w:val="18"/>
          <w:szCs w:val="18"/>
        </w:rPr>
        <w:t xml:space="preserve"> </w:t>
      </w:r>
      <w:r w:rsidRPr="00C63171">
        <w:rPr>
          <w:rFonts w:asciiTheme="minorHAnsi" w:hAnsiTheme="minorHAnsi" w:cstheme="minorHAnsi"/>
          <w:sz w:val="18"/>
          <w:szCs w:val="18"/>
        </w:rPr>
        <w:t>a</w:t>
      </w:r>
      <w:r w:rsidRPr="00C63171">
        <w:rPr>
          <w:rFonts w:asciiTheme="minorHAnsi" w:hAnsiTheme="minorHAnsi" w:cstheme="minorHAnsi"/>
          <w:spacing w:val="-3"/>
          <w:sz w:val="18"/>
          <w:szCs w:val="18"/>
        </w:rPr>
        <w:t xml:space="preserve"> </w:t>
      </w:r>
      <w:r w:rsidRPr="00C63171">
        <w:rPr>
          <w:rFonts w:asciiTheme="minorHAnsi" w:hAnsiTheme="minorHAnsi" w:cstheme="minorHAnsi"/>
          <w:sz w:val="18"/>
          <w:szCs w:val="18"/>
        </w:rPr>
        <w:t>1:1.05</w:t>
      </w:r>
      <w:r w:rsidRPr="00C63171">
        <w:rPr>
          <w:rFonts w:asciiTheme="minorHAnsi" w:hAnsiTheme="minorHAnsi" w:cstheme="minorHAnsi"/>
          <w:spacing w:val="-2"/>
          <w:sz w:val="18"/>
          <w:szCs w:val="18"/>
        </w:rPr>
        <w:t xml:space="preserve"> </w:t>
      </w:r>
      <w:r w:rsidRPr="00C63171">
        <w:rPr>
          <w:rFonts w:asciiTheme="minorHAnsi" w:hAnsiTheme="minorHAnsi" w:cstheme="minorHAnsi"/>
          <w:sz w:val="18"/>
          <w:szCs w:val="18"/>
        </w:rPr>
        <w:t>ratio</w:t>
      </w:r>
      <w:r w:rsidRPr="00C63171">
        <w:rPr>
          <w:rFonts w:asciiTheme="minorHAnsi" w:hAnsiTheme="minorHAnsi" w:cstheme="minorHAnsi"/>
          <w:spacing w:val="-2"/>
          <w:sz w:val="18"/>
          <w:szCs w:val="18"/>
        </w:rPr>
        <w:t xml:space="preserve"> </w:t>
      </w:r>
      <w:r w:rsidRPr="00C63171">
        <w:rPr>
          <w:rFonts w:asciiTheme="minorHAnsi" w:hAnsiTheme="minorHAnsi" w:cstheme="minorHAnsi"/>
          <w:sz w:val="18"/>
          <w:szCs w:val="18"/>
        </w:rPr>
        <w:t>for</w:t>
      </w:r>
      <w:r w:rsidRPr="00C63171">
        <w:rPr>
          <w:rFonts w:asciiTheme="minorHAnsi" w:hAnsiTheme="minorHAnsi" w:cstheme="minorHAnsi"/>
          <w:spacing w:val="-3"/>
          <w:sz w:val="18"/>
          <w:szCs w:val="18"/>
        </w:rPr>
        <w:t xml:space="preserve"> </w:t>
      </w:r>
      <w:r w:rsidRPr="00C63171">
        <w:rPr>
          <w:rFonts w:asciiTheme="minorHAnsi" w:hAnsiTheme="minorHAnsi" w:cstheme="minorHAnsi"/>
          <w:sz w:val="18"/>
          <w:szCs w:val="18"/>
        </w:rPr>
        <w:t>pensionable</w:t>
      </w:r>
      <w:r w:rsidRPr="00C63171">
        <w:rPr>
          <w:rFonts w:asciiTheme="minorHAnsi" w:hAnsiTheme="minorHAnsi" w:cstheme="minorHAnsi"/>
          <w:spacing w:val="-2"/>
          <w:sz w:val="18"/>
          <w:szCs w:val="18"/>
        </w:rPr>
        <w:t xml:space="preserve"> </w:t>
      </w:r>
      <w:r w:rsidRPr="00C63171">
        <w:rPr>
          <w:rFonts w:asciiTheme="minorHAnsi" w:hAnsiTheme="minorHAnsi" w:cstheme="minorHAnsi"/>
          <w:sz w:val="18"/>
          <w:szCs w:val="18"/>
        </w:rPr>
        <w:t>remunerations.</w:t>
      </w:r>
      <w:r w:rsidRPr="00C63171">
        <w:rPr>
          <w:rFonts w:asciiTheme="minorHAnsi" w:hAnsiTheme="minorHAnsi" w:cstheme="minorHAnsi"/>
          <w:spacing w:val="-4"/>
          <w:sz w:val="18"/>
          <w:szCs w:val="18"/>
        </w:rPr>
        <w:t xml:space="preserve"> </w:t>
      </w:r>
      <w:r>
        <w:rPr>
          <w:rFonts w:asciiTheme="minorHAnsi" w:hAnsiTheme="minorHAnsi" w:cstheme="minorHAnsi"/>
          <w:spacing w:val="-4"/>
          <w:sz w:val="18"/>
          <w:szCs w:val="18"/>
        </w:rPr>
        <w:t xml:space="preserve"> The applicable ICSC pensionable remuneration scale </w:t>
      </w:r>
      <w:r w:rsidRPr="00C63171">
        <w:rPr>
          <w:rFonts w:asciiTheme="minorHAnsi" w:hAnsiTheme="minorHAnsi" w:cstheme="minorHAnsi"/>
          <w:sz w:val="18"/>
          <w:szCs w:val="18"/>
        </w:rPr>
        <w:t>for Professional and higher categories</w:t>
      </w:r>
      <w:r>
        <w:rPr>
          <w:rFonts w:asciiTheme="minorHAnsi" w:hAnsiTheme="minorHAnsi" w:cstheme="minorHAnsi"/>
          <w:spacing w:val="-4"/>
          <w:sz w:val="18"/>
          <w:szCs w:val="18"/>
        </w:rPr>
        <w:t xml:space="preserve"> is as of February 2022.  </w:t>
      </w:r>
      <w:r>
        <w:rPr>
          <w:rFonts w:asciiTheme="minorHAnsi" w:hAnsiTheme="minorHAnsi" w:cstheme="minorHAnsi"/>
          <w:sz w:val="18"/>
          <w:szCs w:val="18"/>
        </w:rPr>
        <w:t>F</w:t>
      </w:r>
      <w:r w:rsidRPr="005206DB">
        <w:rPr>
          <w:rFonts w:asciiTheme="minorHAnsi" w:hAnsiTheme="minorHAnsi" w:cstheme="minorHAnsi"/>
          <w:sz w:val="18"/>
          <w:szCs w:val="18"/>
        </w:rPr>
        <w:t>or the General Service Category the September 20</w:t>
      </w:r>
      <w:r w:rsidRPr="00C63171">
        <w:rPr>
          <w:rFonts w:asciiTheme="minorHAnsi" w:hAnsiTheme="minorHAnsi" w:cstheme="minorHAnsi"/>
          <w:sz w:val="18"/>
          <w:szCs w:val="18"/>
        </w:rPr>
        <w:t>22</w:t>
      </w:r>
      <w:r>
        <w:rPr>
          <w:rFonts w:asciiTheme="minorHAnsi" w:hAnsiTheme="minorHAnsi" w:cstheme="minorHAnsi"/>
          <w:sz w:val="18"/>
          <w:szCs w:val="18"/>
        </w:rPr>
        <w:t xml:space="preserve"> scale has been applied.  An additional</w:t>
      </w:r>
      <w:r>
        <w:rPr>
          <w:rFonts w:asciiTheme="minorHAnsi" w:hAnsiTheme="minorHAnsi" w:cstheme="minorHAnsi"/>
          <w:spacing w:val="-4"/>
          <w:sz w:val="18"/>
          <w:szCs w:val="18"/>
        </w:rPr>
        <w:t xml:space="preserve"> 2.8 per cent increase has been applied in anticipation of further changes to the</w:t>
      </w:r>
      <w:r w:rsidR="001E7A58">
        <w:rPr>
          <w:rFonts w:asciiTheme="minorHAnsi" w:hAnsiTheme="minorHAnsi" w:cstheme="minorHAnsi"/>
          <w:spacing w:val="-4"/>
          <w:sz w:val="18"/>
          <w:szCs w:val="18"/>
        </w:rPr>
        <w:t xml:space="preserve"> pensionable remuneration scale for the Professional and higher categories</w:t>
      </w:r>
      <w:r>
        <w:rPr>
          <w:rFonts w:asciiTheme="minorHAnsi" w:hAnsiTheme="minorHAnsi" w:cstheme="minorHAnsi"/>
          <w:spacing w:val="-4"/>
          <w:sz w:val="18"/>
          <w:szCs w:val="18"/>
        </w:rPr>
        <w:t xml:space="preserve"> in the upcoming biennium; </w:t>
      </w:r>
    </w:p>
    <w:p w14:paraId="615CA644" w14:textId="015BC01B" w:rsidR="00434007" w:rsidRPr="00F470AF" w:rsidRDefault="00434007" w:rsidP="008407D7">
      <w:pPr>
        <w:pStyle w:val="ListParagraph"/>
        <w:widowControl w:val="0"/>
        <w:numPr>
          <w:ilvl w:val="1"/>
          <w:numId w:val="17"/>
        </w:numPr>
        <w:tabs>
          <w:tab w:val="left" w:pos="812"/>
          <w:tab w:val="left" w:pos="813"/>
        </w:tabs>
        <w:autoSpaceDE w:val="0"/>
        <w:autoSpaceDN w:val="0"/>
        <w:spacing w:before="167" w:line="254" w:lineRule="auto"/>
        <w:ind w:right="420"/>
        <w:contextualSpacing w:val="0"/>
        <w:rPr>
          <w:rFonts w:asciiTheme="minorHAnsi" w:hAnsiTheme="minorHAnsi" w:cstheme="minorHAnsi"/>
          <w:sz w:val="18"/>
          <w:szCs w:val="18"/>
        </w:rPr>
      </w:pPr>
      <w:r w:rsidRPr="00F470AF">
        <w:rPr>
          <w:rFonts w:asciiTheme="minorHAnsi" w:hAnsiTheme="minorHAnsi" w:cstheme="minorHAnsi"/>
          <w:sz w:val="18"/>
          <w:szCs w:val="18"/>
        </w:rPr>
        <w:t xml:space="preserve">All applicable benefits and entitlements for occupied positions, including education grant and home leave, are estimated at position level, taking into account </w:t>
      </w:r>
      <w:r w:rsidR="001E7A58">
        <w:rPr>
          <w:rFonts w:asciiTheme="minorHAnsi" w:hAnsiTheme="minorHAnsi" w:cstheme="minorHAnsi"/>
          <w:sz w:val="18"/>
          <w:szCs w:val="18"/>
        </w:rPr>
        <w:t>the latest payroll information</w:t>
      </w:r>
      <w:r w:rsidRPr="00F470AF">
        <w:rPr>
          <w:rFonts w:asciiTheme="minorHAnsi" w:hAnsiTheme="minorHAnsi" w:cstheme="minorHAnsi"/>
          <w:sz w:val="18"/>
          <w:szCs w:val="18"/>
        </w:rPr>
        <w:t>;</w:t>
      </w:r>
    </w:p>
    <w:p w14:paraId="3A63729E" w14:textId="558E29A3" w:rsidR="00434007" w:rsidRPr="00F470AF" w:rsidRDefault="00434007" w:rsidP="008407D7">
      <w:pPr>
        <w:pStyle w:val="ListParagraph"/>
        <w:widowControl w:val="0"/>
        <w:numPr>
          <w:ilvl w:val="1"/>
          <w:numId w:val="17"/>
        </w:numPr>
        <w:tabs>
          <w:tab w:val="left" w:pos="812"/>
          <w:tab w:val="left" w:pos="813"/>
        </w:tabs>
        <w:autoSpaceDE w:val="0"/>
        <w:autoSpaceDN w:val="0"/>
        <w:spacing w:before="167" w:line="254" w:lineRule="auto"/>
        <w:ind w:right="420"/>
        <w:contextualSpacing w:val="0"/>
        <w:rPr>
          <w:rFonts w:asciiTheme="minorHAnsi" w:hAnsiTheme="minorHAnsi" w:cstheme="minorHAnsi"/>
          <w:sz w:val="18"/>
          <w:szCs w:val="18"/>
        </w:rPr>
      </w:pPr>
      <w:r w:rsidRPr="00F470AF">
        <w:rPr>
          <w:rFonts w:asciiTheme="minorHAnsi" w:hAnsiTheme="minorHAnsi" w:cstheme="minorHAnsi"/>
          <w:sz w:val="18"/>
          <w:szCs w:val="18"/>
        </w:rPr>
        <w:t xml:space="preserve">Medical contribution provisions have been increased to take into account </w:t>
      </w:r>
      <w:r w:rsidRPr="00667895">
        <w:rPr>
          <w:rFonts w:asciiTheme="minorHAnsi" w:hAnsiTheme="minorHAnsi" w:cstheme="minorHAnsi"/>
          <w:sz w:val="18"/>
          <w:szCs w:val="18"/>
        </w:rPr>
        <w:t>a 6.2</w:t>
      </w:r>
      <w:r>
        <w:rPr>
          <w:rFonts w:asciiTheme="minorHAnsi" w:hAnsiTheme="minorHAnsi" w:cstheme="minorHAnsi"/>
          <w:sz w:val="18"/>
          <w:szCs w:val="18"/>
        </w:rPr>
        <w:t xml:space="preserve"> per</w:t>
      </w:r>
      <w:r w:rsidR="00607486">
        <w:rPr>
          <w:rFonts w:asciiTheme="minorHAnsi" w:hAnsiTheme="minorHAnsi" w:cstheme="minorHAnsi"/>
          <w:sz w:val="18"/>
          <w:szCs w:val="18"/>
        </w:rPr>
        <w:t xml:space="preserve"> </w:t>
      </w:r>
      <w:r>
        <w:rPr>
          <w:rFonts w:asciiTheme="minorHAnsi" w:hAnsiTheme="minorHAnsi" w:cstheme="minorHAnsi"/>
          <w:sz w:val="18"/>
          <w:szCs w:val="18"/>
        </w:rPr>
        <w:t xml:space="preserve">cent increase in </w:t>
      </w:r>
      <w:r w:rsidRPr="00F470AF">
        <w:rPr>
          <w:rFonts w:asciiTheme="minorHAnsi" w:hAnsiTheme="minorHAnsi" w:cstheme="minorHAnsi"/>
          <w:sz w:val="18"/>
          <w:szCs w:val="18"/>
        </w:rPr>
        <w:t>insurance premium</w:t>
      </w:r>
      <w:r>
        <w:rPr>
          <w:rFonts w:asciiTheme="minorHAnsi" w:hAnsiTheme="minorHAnsi" w:cstheme="minorHAnsi"/>
          <w:sz w:val="18"/>
          <w:szCs w:val="18"/>
        </w:rPr>
        <w:t xml:space="preserve">s in 2022/23 </w:t>
      </w:r>
      <w:r w:rsidR="001E7A58">
        <w:rPr>
          <w:rFonts w:asciiTheme="minorHAnsi" w:hAnsiTheme="minorHAnsi" w:cstheme="minorHAnsi"/>
          <w:sz w:val="18"/>
          <w:szCs w:val="18"/>
        </w:rPr>
        <w:t>in addition</w:t>
      </w:r>
      <w:r>
        <w:rPr>
          <w:rFonts w:asciiTheme="minorHAnsi" w:hAnsiTheme="minorHAnsi" w:cstheme="minorHAnsi"/>
          <w:sz w:val="18"/>
          <w:szCs w:val="18"/>
        </w:rPr>
        <w:t xml:space="preserve"> to the </w:t>
      </w:r>
      <w:r w:rsidRPr="00F470AF">
        <w:rPr>
          <w:rFonts w:asciiTheme="minorHAnsi" w:hAnsiTheme="minorHAnsi" w:cstheme="minorHAnsi"/>
          <w:sz w:val="18"/>
          <w:szCs w:val="18"/>
        </w:rPr>
        <w:t xml:space="preserve">3.6 per cent increase </w:t>
      </w:r>
      <w:r>
        <w:rPr>
          <w:rFonts w:asciiTheme="minorHAnsi" w:hAnsiTheme="minorHAnsi" w:cstheme="minorHAnsi"/>
          <w:sz w:val="18"/>
          <w:szCs w:val="18"/>
        </w:rPr>
        <w:t>foreseen in the 2022/23 PoW&amp;B.  A further estimated 8 per cent annual increase in 2024/25 has been applied</w:t>
      </w:r>
      <w:r w:rsidRPr="00F470AF">
        <w:rPr>
          <w:rFonts w:asciiTheme="minorHAnsi" w:hAnsiTheme="minorHAnsi" w:cstheme="minorHAnsi"/>
          <w:sz w:val="18"/>
          <w:szCs w:val="18"/>
        </w:rPr>
        <w:t>;</w:t>
      </w:r>
    </w:p>
    <w:p w14:paraId="1430F12A" w14:textId="21D5DCF4" w:rsidR="00434007" w:rsidRPr="00F470AF" w:rsidRDefault="00434007" w:rsidP="008407D7">
      <w:pPr>
        <w:pStyle w:val="ListParagraph"/>
        <w:widowControl w:val="0"/>
        <w:numPr>
          <w:ilvl w:val="1"/>
          <w:numId w:val="17"/>
        </w:numPr>
        <w:tabs>
          <w:tab w:val="left" w:pos="812"/>
          <w:tab w:val="left" w:pos="813"/>
        </w:tabs>
        <w:autoSpaceDE w:val="0"/>
        <w:autoSpaceDN w:val="0"/>
        <w:spacing w:before="166" w:line="254" w:lineRule="auto"/>
        <w:ind w:right="205"/>
        <w:contextualSpacing w:val="0"/>
        <w:rPr>
          <w:rFonts w:asciiTheme="minorHAnsi" w:hAnsiTheme="minorHAnsi" w:cstheme="minorHAnsi"/>
          <w:sz w:val="18"/>
          <w:szCs w:val="18"/>
        </w:rPr>
      </w:pPr>
      <w:r>
        <w:rPr>
          <w:rFonts w:asciiTheme="minorHAnsi" w:hAnsiTheme="minorHAnsi" w:cstheme="minorHAnsi"/>
          <w:sz w:val="18"/>
          <w:szCs w:val="18"/>
        </w:rPr>
        <w:lastRenderedPageBreak/>
        <w:t>Thirteen flexibility posts</w:t>
      </w:r>
      <w:r w:rsidRPr="00F470AF">
        <w:rPr>
          <w:rFonts w:asciiTheme="minorHAnsi" w:hAnsiTheme="minorHAnsi" w:cstheme="minorHAnsi"/>
          <w:sz w:val="18"/>
          <w:szCs w:val="18"/>
        </w:rPr>
        <w:t xml:space="preserve"> created </w:t>
      </w:r>
      <w:r>
        <w:rPr>
          <w:rFonts w:asciiTheme="minorHAnsi" w:hAnsiTheme="minorHAnsi" w:cstheme="minorHAnsi"/>
          <w:sz w:val="18"/>
          <w:szCs w:val="18"/>
        </w:rPr>
        <w:t xml:space="preserve">in 2023 to cope with the increased workload in Madrid and the Hague have been baselined in 2024/25.  The total number of posts amount to 1,232. </w:t>
      </w:r>
      <w:r w:rsidR="001E7A58">
        <w:rPr>
          <w:rFonts w:asciiTheme="minorHAnsi" w:hAnsiTheme="minorHAnsi" w:cstheme="minorHAnsi"/>
          <w:sz w:val="18"/>
          <w:szCs w:val="18"/>
        </w:rPr>
        <w:t xml:space="preserve"> </w:t>
      </w:r>
      <w:r>
        <w:rPr>
          <w:rFonts w:asciiTheme="minorHAnsi" w:hAnsiTheme="minorHAnsi" w:cstheme="minorHAnsi"/>
          <w:sz w:val="18"/>
          <w:szCs w:val="18"/>
        </w:rPr>
        <w:t>In addition, a number of new temporary positions have been created to cater for the increased workload related to skills and knowledge development, TK, TCEs and GRs, DA projects and the planned Diplomatic Conferences;</w:t>
      </w:r>
    </w:p>
    <w:p w14:paraId="34A0A2F6" w14:textId="77777777" w:rsidR="00434007" w:rsidRPr="00F470AF" w:rsidRDefault="00434007" w:rsidP="008407D7">
      <w:pPr>
        <w:pStyle w:val="ListParagraph"/>
        <w:widowControl w:val="0"/>
        <w:numPr>
          <w:ilvl w:val="1"/>
          <w:numId w:val="17"/>
        </w:numPr>
        <w:tabs>
          <w:tab w:val="left" w:pos="812"/>
          <w:tab w:val="left" w:pos="813"/>
        </w:tabs>
        <w:autoSpaceDE w:val="0"/>
        <w:autoSpaceDN w:val="0"/>
        <w:spacing w:before="166" w:line="254" w:lineRule="auto"/>
        <w:ind w:right="205"/>
        <w:contextualSpacing w:val="0"/>
        <w:rPr>
          <w:rFonts w:asciiTheme="minorHAnsi" w:hAnsiTheme="minorHAnsi" w:cstheme="minorHAnsi"/>
          <w:sz w:val="18"/>
          <w:szCs w:val="18"/>
        </w:rPr>
      </w:pPr>
      <w:r w:rsidRPr="00F470AF">
        <w:rPr>
          <w:rFonts w:asciiTheme="minorHAnsi" w:hAnsiTheme="minorHAnsi" w:cstheme="minorHAnsi"/>
          <w:sz w:val="18"/>
          <w:szCs w:val="18"/>
        </w:rPr>
        <w:t>An overall vacancy rate assumption of 4 per cent has been applied to the overall costing of posts to take into account recruitment</w:t>
      </w:r>
      <w:r w:rsidRPr="00F470AF">
        <w:rPr>
          <w:rFonts w:asciiTheme="minorHAnsi" w:hAnsiTheme="minorHAnsi" w:cstheme="minorHAnsi"/>
          <w:spacing w:val="-18"/>
          <w:sz w:val="18"/>
          <w:szCs w:val="18"/>
        </w:rPr>
        <w:t xml:space="preserve"> </w:t>
      </w:r>
      <w:r w:rsidRPr="00F470AF">
        <w:rPr>
          <w:rFonts w:asciiTheme="minorHAnsi" w:hAnsiTheme="minorHAnsi" w:cstheme="minorHAnsi"/>
          <w:sz w:val="18"/>
          <w:szCs w:val="18"/>
        </w:rPr>
        <w:t>delays;</w:t>
      </w:r>
    </w:p>
    <w:p w14:paraId="119894E1" w14:textId="1E3906FB" w:rsidR="00434007" w:rsidRPr="00F470AF" w:rsidRDefault="00434007" w:rsidP="008407D7">
      <w:pPr>
        <w:pStyle w:val="ListParagraph"/>
        <w:widowControl w:val="0"/>
        <w:numPr>
          <w:ilvl w:val="1"/>
          <w:numId w:val="17"/>
        </w:numPr>
        <w:tabs>
          <w:tab w:val="left" w:pos="812"/>
          <w:tab w:val="left" w:pos="813"/>
        </w:tabs>
        <w:autoSpaceDE w:val="0"/>
        <w:autoSpaceDN w:val="0"/>
        <w:spacing w:before="168" w:line="254" w:lineRule="auto"/>
        <w:ind w:right="614"/>
        <w:contextualSpacing w:val="0"/>
        <w:rPr>
          <w:rFonts w:asciiTheme="minorHAnsi" w:hAnsiTheme="minorHAnsi" w:cstheme="minorHAnsi"/>
          <w:sz w:val="18"/>
          <w:szCs w:val="18"/>
        </w:rPr>
      </w:pPr>
      <w:r>
        <w:rPr>
          <w:rFonts w:asciiTheme="minorHAnsi" w:hAnsiTheme="minorHAnsi" w:cstheme="minorHAnsi"/>
          <w:sz w:val="18"/>
          <w:szCs w:val="18"/>
        </w:rPr>
        <w:t>Following approval by Member States in 2022, a 10</w:t>
      </w:r>
      <w:r w:rsidRPr="00F470AF">
        <w:rPr>
          <w:rFonts w:asciiTheme="minorHAnsi" w:hAnsiTheme="minorHAnsi" w:cstheme="minorHAnsi"/>
          <w:sz w:val="18"/>
          <w:szCs w:val="18"/>
        </w:rPr>
        <w:t xml:space="preserve"> per cent provision for After Service Health Insurance (ASHI) has b</w:t>
      </w:r>
      <w:r>
        <w:rPr>
          <w:rFonts w:asciiTheme="minorHAnsi" w:hAnsiTheme="minorHAnsi" w:cstheme="minorHAnsi"/>
          <w:sz w:val="18"/>
          <w:szCs w:val="18"/>
        </w:rPr>
        <w:t>een applied to fixed term posts</w:t>
      </w:r>
      <w:r w:rsidRPr="00F470AF">
        <w:rPr>
          <w:rFonts w:asciiTheme="minorHAnsi" w:hAnsiTheme="minorHAnsi" w:cstheme="minorHAnsi"/>
          <w:sz w:val="18"/>
          <w:szCs w:val="18"/>
        </w:rPr>
        <w:t>; a 2 per cent charge for separation has been applied to temporary</w:t>
      </w:r>
      <w:r w:rsidRPr="00F470AF">
        <w:rPr>
          <w:rFonts w:asciiTheme="minorHAnsi" w:hAnsiTheme="minorHAnsi" w:cstheme="minorHAnsi"/>
          <w:spacing w:val="-9"/>
          <w:sz w:val="18"/>
          <w:szCs w:val="18"/>
        </w:rPr>
        <w:t xml:space="preserve"> </w:t>
      </w:r>
      <w:r w:rsidRPr="00F470AF">
        <w:rPr>
          <w:rFonts w:asciiTheme="minorHAnsi" w:hAnsiTheme="minorHAnsi" w:cstheme="minorHAnsi"/>
          <w:sz w:val="18"/>
          <w:szCs w:val="18"/>
        </w:rPr>
        <w:t>positions</w:t>
      </w:r>
      <w:r>
        <w:rPr>
          <w:rFonts w:asciiTheme="minorHAnsi" w:hAnsiTheme="minorHAnsi" w:cstheme="minorHAnsi"/>
          <w:sz w:val="18"/>
          <w:szCs w:val="18"/>
        </w:rPr>
        <w:t xml:space="preserve">, the latter </w:t>
      </w:r>
      <w:r w:rsidR="0089750C">
        <w:rPr>
          <w:rFonts w:asciiTheme="minorHAnsi" w:hAnsiTheme="minorHAnsi" w:cstheme="minorHAnsi"/>
          <w:sz w:val="18"/>
          <w:szCs w:val="18"/>
        </w:rPr>
        <w:t xml:space="preserve">being </w:t>
      </w:r>
      <w:r>
        <w:rPr>
          <w:rFonts w:asciiTheme="minorHAnsi" w:hAnsiTheme="minorHAnsi" w:cstheme="minorHAnsi"/>
          <w:sz w:val="18"/>
          <w:szCs w:val="18"/>
        </w:rPr>
        <w:t>stable as compared to 2022/23</w:t>
      </w:r>
      <w:r w:rsidRPr="00F470AF">
        <w:rPr>
          <w:rFonts w:asciiTheme="minorHAnsi" w:hAnsiTheme="minorHAnsi" w:cstheme="minorHAnsi"/>
          <w:sz w:val="18"/>
          <w:szCs w:val="18"/>
        </w:rPr>
        <w:t>;</w:t>
      </w:r>
    </w:p>
    <w:p w14:paraId="25944997" w14:textId="77777777" w:rsidR="00434007" w:rsidRPr="00F470AF" w:rsidRDefault="00434007" w:rsidP="008407D7">
      <w:pPr>
        <w:pStyle w:val="ListParagraph"/>
        <w:widowControl w:val="0"/>
        <w:numPr>
          <w:ilvl w:val="1"/>
          <w:numId w:val="17"/>
        </w:numPr>
        <w:tabs>
          <w:tab w:val="left" w:pos="812"/>
          <w:tab w:val="left" w:pos="813"/>
        </w:tabs>
        <w:autoSpaceDE w:val="0"/>
        <w:autoSpaceDN w:val="0"/>
        <w:spacing w:before="167" w:line="254" w:lineRule="auto"/>
        <w:ind w:right="157"/>
        <w:contextualSpacing w:val="0"/>
        <w:rPr>
          <w:rFonts w:asciiTheme="minorHAnsi" w:hAnsiTheme="minorHAnsi" w:cstheme="minorHAnsi"/>
          <w:sz w:val="18"/>
          <w:szCs w:val="18"/>
        </w:rPr>
      </w:pPr>
      <w:r w:rsidRPr="00F470AF">
        <w:rPr>
          <w:rFonts w:asciiTheme="minorHAnsi" w:hAnsiTheme="minorHAnsi" w:cstheme="minorHAnsi"/>
          <w:sz w:val="18"/>
          <w:szCs w:val="18"/>
        </w:rPr>
        <w:t>Other Staff Costs include provisions for Professional Accident Insurance (PAI) (900,000 Swiss francs), the Closed Pension Fund (700,000 Swiss francs), litigation costs (400,000 Swiss francs) and the WIPO Rewards and Recognition Program (1,152,000 Swiss francs);</w:t>
      </w:r>
    </w:p>
    <w:p w14:paraId="44D7F521" w14:textId="77777777" w:rsidR="00434007" w:rsidRPr="00F470AF" w:rsidRDefault="00434007" w:rsidP="008407D7">
      <w:pPr>
        <w:pStyle w:val="ListParagraph"/>
        <w:widowControl w:val="0"/>
        <w:numPr>
          <w:ilvl w:val="1"/>
          <w:numId w:val="17"/>
        </w:numPr>
        <w:tabs>
          <w:tab w:val="left" w:pos="812"/>
          <w:tab w:val="left" w:pos="813"/>
        </w:tabs>
        <w:autoSpaceDE w:val="0"/>
        <w:autoSpaceDN w:val="0"/>
        <w:spacing w:before="168" w:line="254" w:lineRule="auto"/>
        <w:ind w:right="884"/>
        <w:contextualSpacing w:val="0"/>
        <w:rPr>
          <w:rFonts w:asciiTheme="minorHAnsi" w:hAnsiTheme="minorHAnsi" w:cstheme="minorHAnsi"/>
          <w:sz w:val="18"/>
          <w:szCs w:val="18"/>
        </w:rPr>
      </w:pPr>
      <w:r w:rsidRPr="00F470AF">
        <w:rPr>
          <w:rFonts w:asciiTheme="minorHAnsi" w:hAnsiTheme="minorHAnsi" w:cstheme="minorHAnsi"/>
          <w:sz w:val="18"/>
          <w:szCs w:val="18"/>
        </w:rPr>
        <w:t xml:space="preserve">The provision for reclassifications amounts to 4 million Swiss francs in “Unallocated (Personnel)” for the implementation of </w:t>
      </w:r>
      <w:r>
        <w:rPr>
          <w:rFonts w:asciiTheme="minorHAnsi" w:hAnsiTheme="minorHAnsi" w:cstheme="minorHAnsi"/>
          <w:sz w:val="18"/>
          <w:szCs w:val="18"/>
        </w:rPr>
        <w:t>changes in post grades</w:t>
      </w:r>
      <w:r w:rsidRPr="00F470AF">
        <w:rPr>
          <w:rFonts w:asciiTheme="minorHAnsi" w:hAnsiTheme="minorHAnsi" w:cstheme="minorHAnsi"/>
          <w:sz w:val="18"/>
          <w:szCs w:val="18"/>
        </w:rPr>
        <w:t>;</w:t>
      </w:r>
    </w:p>
    <w:p w14:paraId="2BE3D393" w14:textId="77777777" w:rsidR="00434007" w:rsidRPr="00F470AF" w:rsidRDefault="00434007" w:rsidP="008407D7">
      <w:pPr>
        <w:pStyle w:val="ListParagraph"/>
        <w:widowControl w:val="0"/>
        <w:numPr>
          <w:ilvl w:val="1"/>
          <w:numId w:val="17"/>
        </w:numPr>
        <w:tabs>
          <w:tab w:val="left" w:pos="812"/>
          <w:tab w:val="left" w:pos="813"/>
        </w:tabs>
        <w:autoSpaceDE w:val="0"/>
        <w:autoSpaceDN w:val="0"/>
        <w:spacing w:before="166" w:line="254" w:lineRule="auto"/>
        <w:ind w:right="188"/>
        <w:contextualSpacing w:val="0"/>
        <w:rPr>
          <w:rFonts w:asciiTheme="minorHAnsi" w:hAnsiTheme="minorHAnsi" w:cstheme="minorHAnsi"/>
          <w:sz w:val="18"/>
          <w:szCs w:val="18"/>
        </w:rPr>
      </w:pPr>
      <w:r w:rsidRPr="00F470AF">
        <w:rPr>
          <w:rFonts w:asciiTheme="minorHAnsi" w:hAnsiTheme="minorHAnsi" w:cstheme="minorHAnsi"/>
          <w:sz w:val="18"/>
          <w:szCs w:val="18"/>
        </w:rPr>
        <w:t xml:space="preserve">In view of the experiences gained from teleworking, the provision for overtime costs has been </w:t>
      </w:r>
      <w:r>
        <w:rPr>
          <w:rFonts w:asciiTheme="minorHAnsi" w:hAnsiTheme="minorHAnsi" w:cstheme="minorHAnsi"/>
          <w:sz w:val="18"/>
          <w:szCs w:val="18"/>
        </w:rPr>
        <w:t xml:space="preserve">further </w:t>
      </w:r>
      <w:r w:rsidRPr="00F470AF">
        <w:rPr>
          <w:rFonts w:asciiTheme="minorHAnsi" w:hAnsiTheme="minorHAnsi" w:cstheme="minorHAnsi"/>
          <w:sz w:val="18"/>
          <w:szCs w:val="18"/>
        </w:rPr>
        <w:t xml:space="preserve">decreased to </w:t>
      </w:r>
      <w:r>
        <w:rPr>
          <w:rFonts w:asciiTheme="minorHAnsi" w:hAnsiTheme="minorHAnsi" w:cstheme="minorHAnsi"/>
          <w:sz w:val="18"/>
          <w:szCs w:val="18"/>
        </w:rPr>
        <w:t>0.5</w:t>
      </w:r>
      <w:r w:rsidRPr="00F470AF">
        <w:rPr>
          <w:rFonts w:asciiTheme="minorHAnsi" w:hAnsiTheme="minorHAnsi" w:cstheme="minorHAnsi"/>
          <w:sz w:val="18"/>
          <w:szCs w:val="18"/>
        </w:rPr>
        <w:t xml:space="preserve"> million Swiss francs, in “Unallocated (Personnel)”</w:t>
      </w:r>
      <w:r>
        <w:rPr>
          <w:rFonts w:asciiTheme="minorHAnsi" w:hAnsiTheme="minorHAnsi" w:cstheme="minorHAnsi"/>
          <w:sz w:val="18"/>
          <w:szCs w:val="18"/>
        </w:rPr>
        <w:t xml:space="preserve"> as compared to 2 million Swiss francs in 2022/23</w:t>
      </w:r>
      <w:r w:rsidRPr="00F470AF">
        <w:rPr>
          <w:rFonts w:asciiTheme="minorHAnsi" w:hAnsiTheme="minorHAnsi" w:cstheme="minorHAnsi"/>
          <w:sz w:val="18"/>
          <w:szCs w:val="18"/>
        </w:rPr>
        <w:t xml:space="preserve">.  </w:t>
      </w:r>
    </w:p>
    <w:p w14:paraId="5E38670C" w14:textId="77777777" w:rsidR="00434007" w:rsidRPr="00F470AF" w:rsidRDefault="00434007" w:rsidP="00434007">
      <w:pPr>
        <w:pStyle w:val="BodyText"/>
        <w:spacing w:after="0"/>
        <w:rPr>
          <w:rFonts w:asciiTheme="minorHAnsi" w:hAnsiTheme="minorHAnsi" w:cstheme="minorHAnsi"/>
          <w:szCs w:val="18"/>
        </w:rPr>
      </w:pPr>
    </w:p>
    <w:p w14:paraId="34D61D7D" w14:textId="77777777" w:rsidR="00434007" w:rsidRPr="00BB606C" w:rsidRDefault="00434007" w:rsidP="00BB606C">
      <w:pPr>
        <w:pStyle w:val="NormalNumb"/>
        <w:ind w:left="0"/>
      </w:pPr>
      <w:r w:rsidRPr="00BB606C">
        <w:t>Based on the above planning assumptions, the increase in personnel costs for 2024/25 amounts to 35.7 million Swiss francs or 7.5 percent, as compared to the 2022/23 PoW&amp;B.  The share of budgeted personnel costs compared to the total budget has remained stable at 60 per cent in 2024/25 as compared to 2022/23.</w:t>
      </w:r>
    </w:p>
    <w:p w14:paraId="15360DFE" w14:textId="3E5EACCE" w:rsidR="00434007" w:rsidRPr="00940625" w:rsidRDefault="00434007" w:rsidP="00434007">
      <w:pPr>
        <w:pStyle w:val="Heading3"/>
        <w:spacing w:before="360"/>
        <w:ind w:left="1440" w:firstLine="720"/>
        <w:rPr>
          <w:rFonts w:cs="Arial"/>
          <w:i w:val="0"/>
          <w:color w:val="005171"/>
          <w:szCs w:val="20"/>
        </w:rPr>
      </w:pPr>
      <w:r w:rsidRPr="00940625">
        <w:rPr>
          <w:rFonts w:cs="Arial"/>
          <w:i w:val="0"/>
          <w:color w:val="005171"/>
          <w:szCs w:val="20"/>
        </w:rPr>
        <w:t>Chart 3:  202</w:t>
      </w:r>
      <w:r w:rsidR="0089750C">
        <w:rPr>
          <w:rFonts w:cs="Arial"/>
          <w:i w:val="0"/>
          <w:color w:val="005171"/>
          <w:szCs w:val="20"/>
        </w:rPr>
        <w:t>4</w:t>
      </w:r>
      <w:r w:rsidRPr="00940625">
        <w:rPr>
          <w:rFonts w:cs="Arial"/>
          <w:i w:val="0"/>
          <w:color w:val="005171"/>
          <w:szCs w:val="20"/>
        </w:rPr>
        <w:t>/2</w:t>
      </w:r>
      <w:r>
        <w:rPr>
          <w:rFonts w:cs="Arial"/>
          <w:i w:val="0"/>
          <w:color w:val="005171"/>
          <w:szCs w:val="20"/>
        </w:rPr>
        <w:t>5</w:t>
      </w:r>
      <w:r w:rsidRPr="00940625">
        <w:rPr>
          <w:rFonts w:cs="Arial"/>
          <w:i w:val="0"/>
          <w:color w:val="005171"/>
          <w:szCs w:val="20"/>
        </w:rPr>
        <w:t xml:space="preserve"> Share of Personnel and Non-Personnel</w:t>
      </w:r>
      <w:r w:rsidRPr="00940625">
        <w:rPr>
          <w:rFonts w:cs="Arial"/>
          <w:i w:val="0"/>
          <w:color w:val="005171"/>
          <w:spacing w:val="-14"/>
          <w:szCs w:val="20"/>
        </w:rPr>
        <w:t xml:space="preserve"> </w:t>
      </w:r>
      <w:r w:rsidRPr="00940625">
        <w:rPr>
          <w:rFonts w:cs="Arial"/>
          <w:i w:val="0"/>
          <w:color w:val="005171"/>
          <w:szCs w:val="20"/>
        </w:rPr>
        <w:t xml:space="preserve">Budget </w:t>
      </w:r>
    </w:p>
    <w:p w14:paraId="55C38AFC" w14:textId="4723EA8F" w:rsidR="00434007" w:rsidRPr="00CA0A77" w:rsidRDefault="00EF1894" w:rsidP="00EF1894">
      <w:pPr>
        <w:jc w:val="center"/>
      </w:pPr>
      <w:r>
        <w:rPr>
          <w:noProof/>
          <w:lang w:val="en-US"/>
        </w:rPr>
        <w:drawing>
          <wp:inline distT="0" distB="0" distL="0" distR="0" wp14:anchorId="47EA58B3" wp14:editId="382F3BD2">
            <wp:extent cx="3885565" cy="2369488"/>
            <wp:effectExtent l="0" t="0" r="635" b="0"/>
            <wp:docPr id="904" name="Chart 90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B7CADA" w14:textId="77777777" w:rsidR="00434007" w:rsidRPr="00D350B5" w:rsidRDefault="00434007" w:rsidP="00434007">
      <w:pPr>
        <w:pStyle w:val="Heading1NoNumb"/>
        <w:spacing w:before="160"/>
      </w:pPr>
      <w:r w:rsidRPr="00D350B5">
        <w:t>Development Activities and Development Agenda Resources</w:t>
      </w:r>
    </w:p>
    <w:p w14:paraId="2AEDD6DA" w14:textId="77777777" w:rsidR="00434007" w:rsidRPr="00D350B5" w:rsidRDefault="00434007" w:rsidP="00BB606C">
      <w:pPr>
        <w:pStyle w:val="NormalNumb"/>
        <w:ind w:left="0"/>
      </w:pPr>
      <w:r w:rsidRPr="00D350B5">
        <w:t>The Organization will continue in the 202</w:t>
      </w:r>
      <w:r>
        <w:t>4</w:t>
      </w:r>
      <w:r w:rsidRPr="00D350B5">
        <w:t>/2</w:t>
      </w:r>
      <w:r>
        <w:t>5</w:t>
      </w:r>
      <w:r w:rsidRPr="00D350B5">
        <w:t xml:space="preserve"> biennium to further strengthen the implementation of WIPO’s development-oriented activities guided by the WIPO DA Recommendations</w:t>
      </w:r>
      <w:r w:rsidRPr="00BB606C">
        <w:rPr>
          <w:vertAlign w:val="superscript"/>
        </w:rPr>
        <w:footnoteReference w:id="13"/>
      </w:r>
      <w:r w:rsidRPr="00BB606C">
        <w:t xml:space="preserve"> </w:t>
      </w:r>
      <w:r w:rsidRPr="00D350B5">
        <w:t xml:space="preserve">and the principles enshrined in the 2030 Agenda for Sustainable Development.  An outline of the </w:t>
      </w:r>
      <w:r>
        <w:t>SDGs</w:t>
      </w:r>
      <w:r w:rsidRPr="00D350B5">
        <w:t xml:space="preserve"> to which the Organization contributes is included i</w:t>
      </w:r>
      <w:r w:rsidRPr="008C41F1">
        <w:t>n Annex IX.</w:t>
      </w:r>
      <w:r w:rsidRPr="00D350B5">
        <w:t xml:space="preserve">  SDGs to which </w:t>
      </w:r>
      <w:r>
        <w:t>Sectors</w:t>
      </w:r>
      <w:r w:rsidRPr="00D350B5">
        <w:t xml:space="preserve"> contribute </w:t>
      </w:r>
      <w:r>
        <w:t>are</w:t>
      </w:r>
      <w:r w:rsidRPr="00D350B5">
        <w:t xml:space="preserve"> indicated in the </w:t>
      </w:r>
      <w:r>
        <w:t xml:space="preserve">Sector </w:t>
      </w:r>
      <w:r w:rsidRPr="00D350B5">
        <w:t xml:space="preserve">narratives.  </w:t>
      </w:r>
    </w:p>
    <w:p w14:paraId="015831E1" w14:textId="77777777" w:rsidR="00434007" w:rsidRPr="00D350B5" w:rsidRDefault="00434007" w:rsidP="00BB606C">
      <w:pPr>
        <w:pStyle w:val="NormalNumb"/>
        <w:ind w:left="0"/>
      </w:pPr>
      <w:r w:rsidRPr="00D350B5">
        <w:t>Development expenditure for the 202</w:t>
      </w:r>
      <w:r>
        <w:t>4</w:t>
      </w:r>
      <w:r w:rsidRPr="00D350B5">
        <w:t>/2</w:t>
      </w:r>
      <w:r>
        <w:t>5</w:t>
      </w:r>
      <w:r w:rsidRPr="00D350B5">
        <w:t xml:space="preserve"> biennium </w:t>
      </w:r>
      <w:r>
        <w:t xml:space="preserve">continues to be </w:t>
      </w:r>
      <w:r w:rsidRPr="00D350B5">
        <w:t>based on the revised definition of development expenditure approved by the Member States at the fifty-fifth session of the WIPO General Assembly</w:t>
      </w:r>
      <w:r w:rsidRPr="00BB606C">
        <w:rPr>
          <w:vertAlign w:val="superscript"/>
        </w:rPr>
        <w:footnoteReference w:id="14"/>
      </w:r>
      <w:r w:rsidRPr="00D350B5">
        <w:t xml:space="preserve">.  Expenditure is qualified as “development expenditure” when it is used to finance </w:t>
      </w:r>
      <w:r>
        <w:t xml:space="preserve">WIPO’s </w:t>
      </w:r>
      <w:r w:rsidRPr="00D350B5">
        <w:t xml:space="preserve">development-oriented activities </w:t>
      </w:r>
      <w:r>
        <w:t>for</w:t>
      </w:r>
      <w:r w:rsidRPr="00D350B5">
        <w:t xml:space="preserve"> developing countries</w:t>
      </w:r>
      <w:r>
        <w:t>,</w:t>
      </w:r>
      <w:r w:rsidRPr="00D350B5">
        <w:t xml:space="preserve"> LDCs</w:t>
      </w:r>
      <w:r>
        <w:t xml:space="preserve"> and </w:t>
      </w:r>
      <w:r w:rsidRPr="00D350B5">
        <w:t xml:space="preserve">countries with economies in transition, and the equivalent expenditure is not provided to developed countries.  </w:t>
      </w:r>
    </w:p>
    <w:p w14:paraId="2F7E3F8F" w14:textId="44AFDE64" w:rsidR="00434007" w:rsidRPr="00D350B5" w:rsidRDefault="00434007" w:rsidP="00BB606C">
      <w:pPr>
        <w:pStyle w:val="NormalNumb"/>
        <w:ind w:left="0"/>
      </w:pPr>
      <w:r w:rsidRPr="00D350B5">
        <w:lastRenderedPageBreak/>
        <w:t>The total development share of the 202</w:t>
      </w:r>
      <w:r>
        <w:t>4</w:t>
      </w:r>
      <w:r w:rsidRPr="00D350B5">
        <w:t>/2</w:t>
      </w:r>
      <w:r>
        <w:t>5</w:t>
      </w:r>
      <w:r w:rsidRPr="00D350B5">
        <w:t xml:space="preserve"> budget for the Organization amounts to </w:t>
      </w:r>
      <w:r>
        <w:t>183.5 million Swiss francs or 21.4 </w:t>
      </w:r>
      <w:r w:rsidRPr="00D350B5">
        <w:t>per cent.  Details of the development expenditure for 202</w:t>
      </w:r>
      <w:r>
        <w:t>4</w:t>
      </w:r>
      <w:r w:rsidRPr="00D350B5">
        <w:t>/2</w:t>
      </w:r>
      <w:r>
        <w:t>5</w:t>
      </w:r>
      <w:r w:rsidRPr="00D350B5">
        <w:t xml:space="preserve"> by </w:t>
      </w:r>
      <w:r>
        <w:t>Sector</w:t>
      </w:r>
      <w:r w:rsidRPr="00D350B5">
        <w:t xml:space="preserve"> are presented in Table </w:t>
      </w:r>
      <w:r>
        <w:t>7</w:t>
      </w:r>
      <w:r w:rsidRPr="00D350B5">
        <w:t xml:space="preserve"> below.</w:t>
      </w:r>
      <w:r>
        <w:t xml:space="preserve">  </w:t>
      </w:r>
      <w:r w:rsidR="00C85EA8">
        <w:t>D</w:t>
      </w:r>
      <w:r>
        <w:t>evelopment expenditure by Sector 2024/25 versus 2022/23 and a breakdown of development expenditure 2024/25 by Expected Result and Sector are included in Annex XI.</w:t>
      </w:r>
    </w:p>
    <w:p w14:paraId="19591AFB" w14:textId="77777777" w:rsidR="00434007" w:rsidRPr="00D350B5" w:rsidRDefault="00434007" w:rsidP="0000041D">
      <w:pPr>
        <w:pStyle w:val="NormalNumb"/>
        <w:spacing w:after="0"/>
        <w:ind w:left="0"/>
      </w:pPr>
      <w:r w:rsidRPr="00D350B5">
        <w:t xml:space="preserve">A total of </w:t>
      </w:r>
      <w:r>
        <w:t>3</w:t>
      </w:r>
      <w:r w:rsidRPr="00D350B5">
        <w:t xml:space="preserve"> million Swiss francs has been specifically earmarked within the 202</w:t>
      </w:r>
      <w:r>
        <w:t>4</w:t>
      </w:r>
      <w:r w:rsidRPr="00D350B5">
        <w:t>/2</w:t>
      </w:r>
      <w:r>
        <w:t>5</w:t>
      </w:r>
      <w:r w:rsidRPr="00D350B5">
        <w:t xml:space="preserve"> budget for the implementation of DA Projects (see Table </w:t>
      </w:r>
      <w:r>
        <w:t>8</w:t>
      </w:r>
      <w:r w:rsidRPr="00D350B5">
        <w:t xml:space="preserve"> below).</w:t>
      </w:r>
    </w:p>
    <w:p w14:paraId="0A6CDFD9" w14:textId="77777777" w:rsidR="00434007" w:rsidRPr="00D350B5" w:rsidRDefault="00434007" w:rsidP="0000041D">
      <w:pPr>
        <w:pStyle w:val="TableAndChartTitle"/>
        <w:spacing w:before="120" w:after="0" w:line="240" w:lineRule="auto"/>
      </w:pPr>
      <w:r>
        <w:t>Table 7</w:t>
      </w:r>
      <w:r w:rsidRPr="00D350B5">
        <w:t xml:space="preserve">:  Development </w:t>
      </w:r>
      <w:r>
        <w:t>Expenditure</w:t>
      </w:r>
      <w:r w:rsidRPr="00D350B5">
        <w:t xml:space="preserve"> in 202</w:t>
      </w:r>
      <w:r>
        <w:t>4/25</w:t>
      </w:r>
    </w:p>
    <w:p w14:paraId="63CE796F" w14:textId="609868E9" w:rsidR="005F77FD" w:rsidRPr="005F77FD" w:rsidRDefault="00434007" w:rsidP="005F77FD">
      <w:pPr>
        <w:pStyle w:val="TableAndChartTitleAddText"/>
        <w:spacing w:after="120" w:line="360" w:lineRule="auto"/>
        <w:rPr>
          <w:sz w:val="16"/>
        </w:rPr>
      </w:pPr>
      <w:r w:rsidRPr="00940625">
        <w:rPr>
          <w:sz w:val="16"/>
        </w:rPr>
        <w:t>(in thousands of Swiss francs)</w:t>
      </w:r>
    </w:p>
    <w:tbl>
      <w:tblPr>
        <w:tblW w:w="6898" w:type="dxa"/>
        <w:jc w:val="center"/>
        <w:tblLook w:val="04A0" w:firstRow="1" w:lastRow="0" w:firstColumn="1" w:lastColumn="0" w:noHBand="0" w:noVBand="1"/>
      </w:tblPr>
      <w:tblGrid>
        <w:gridCol w:w="3254"/>
        <w:gridCol w:w="253"/>
        <w:gridCol w:w="1131"/>
        <w:gridCol w:w="1131"/>
        <w:gridCol w:w="1131"/>
      </w:tblGrid>
      <w:tr w:rsidR="005F77FD" w:rsidRPr="005F77FD" w14:paraId="5A89EC72" w14:textId="77777777" w:rsidTr="005F77FD">
        <w:trPr>
          <w:divId w:val="155610911"/>
          <w:trHeight w:val="458"/>
          <w:jc w:val="center"/>
        </w:trPr>
        <w:tc>
          <w:tcPr>
            <w:tcW w:w="3254" w:type="dxa"/>
            <w:vMerge w:val="restart"/>
            <w:tcBorders>
              <w:top w:val="nil"/>
              <w:left w:val="nil"/>
              <w:bottom w:val="nil"/>
              <w:right w:val="nil"/>
            </w:tcBorders>
            <w:shd w:val="clear" w:color="000000" w:fill="C7CFD8"/>
            <w:noWrap/>
            <w:vAlign w:val="center"/>
            <w:hideMark/>
          </w:tcPr>
          <w:p w14:paraId="11435C3B" w14:textId="3EF8A493"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Sector</w:t>
            </w:r>
          </w:p>
        </w:tc>
        <w:tc>
          <w:tcPr>
            <w:tcW w:w="251" w:type="dxa"/>
            <w:tcBorders>
              <w:top w:val="nil"/>
              <w:left w:val="nil"/>
              <w:bottom w:val="nil"/>
              <w:right w:val="nil"/>
            </w:tcBorders>
            <w:shd w:val="clear" w:color="000000" w:fill="C7CFD8"/>
            <w:noWrap/>
            <w:vAlign w:val="center"/>
            <w:hideMark/>
          </w:tcPr>
          <w:p w14:paraId="6036037F" w14:textId="77777777" w:rsidR="005F77FD" w:rsidRPr="005F77FD" w:rsidRDefault="005F77FD" w:rsidP="005F77FD">
            <w:pPr>
              <w:spacing w:after="0" w:line="240" w:lineRule="auto"/>
              <w:jc w:val="center"/>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 </w:t>
            </w:r>
          </w:p>
        </w:tc>
        <w:tc>
          <w:tcPr>
            <w:tcW w:w="3393" w:type="dxa"/>
            <w:gridSpan w:val="3"/>
            <w:tcBorders>
              <w:top w:val="nil"/>
              <w:left w:val="nil"/>
              <w:bottom w:val="single" w:sz="4" w:space="0" w:color="748B9E"/>
              <w:right w:val="nil"/>
            </w:tcBorders>
            <w:shd w:val="clear" w:color="000000" w:fill="C7CFD8"/>
            <w:vAlign w:val="center"/>
            <w:hideMark/>
          </w:tcPr>
          <w:p w14:paraId="13310498" w14:textId="77777777" w:rsidR="005F77FD" w:rsidRPr="005F77FD" w:rsidRDefault="005F77FD" w:rsidP="005F77FD">
            <w:pPr>
              <w:spacing w:after="0" w:line="240" w:lineRule="auto"/>
              <w:jc w:val="center"/>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2024/25 Proposed Budget</w:t>
            </w:r>
          </w:p>
        </w:tc>
      </w:tr>
      <w:tr w:rsidR="005F77FD" w:rsidRPr="005F77FD" w14:paraId="0693C334" w14:textId="77777777" w:rsidTr="005F77FD">
        <w:trPr>
          <w:divId w:val="155610911"/>
          <w:trHeight w:val="458"/>
          <w:jc w:val="center"/>
        </w:trPr>
        <w:tc>
          <w:tcPr>
            <w:tcW w:w="3254" w:type="dxa"/>
            <w:vMerge/>
            <w:tcBorders>
              <w:top w:val="nil"/>
              <w:left w:val="nil"/>
              <w:bottom w:val="nil"/>
              <w:right w:val="nil"/>
            </w:tcBorders>
            <w:vAlign w:val="center"/>
            <w:hideMark/>
          </w:tcPr>
          <w:p w14:paraId="7840B836"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p>
        </w:tc>
        <w:tc>
          <w:tcPr>
            <w:tcW w:w="251" w:type="dxa"/>
            <w:tcBorders>
              <w:top w:val="nil"/>
              <w:left w:val="nil"/>
              <w:bottom w:val="nil"/>
              <w:right w:val="nil"/>
            </w:tcBorders>
            <w:shd w:val="clear" w:color="000000" w:fill="C7CFD8"/>
            <w:noWrap/>
            <w:vAlign w:val="center"/>
            <w:hideMark/>
          </w:tcPr>
          <w:p w14:paraId="65E7F7E9" w14:textId="77777777" w:rsidR="005F77FD" w:rsidRPr="005F77FD" w:rsidRDefault="005F77FD" w:rsidP="005F77FD">
            <w:pPr>
              <w:spacing w:after="0" w:line="240" w:lineRule="auto"/>
              <w:jc w:val="center"/>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 </w:t>
            </w:r>
          </w:p>
        </w:tc>
        <w:tc>
          <w:tcPr>
            <w:tcW w:w="1131" w:type="dxa"/>
            <w:tcBorders>
              <w:top w:val="nil"/>
              <w:left w:val="nil"/>
              <w:bottom w:val="nil"/>
              <w:right w:val="nil"/>
            </w:tcBorders>
            <w:shd w:val="clear" w:color="000000" w:fill="C7CFD8"/>
            <w:vAlign w:val="center"/>
            <w:hideMark/>
          </w:tcPr>
          <w:p w14:paraId="0F1E8F12"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Budget</w:t>
            </w:r>
          </w:p>
        </w:tc>
        <w:tc>
          <w:tcPr>
            <w:tcW w:w="1131" w:type="dxa"/>
            <w:tcBorders>
              <w:top w:val="nil"/>
              <w:left w:val="nil"/>
              <w:bottom w:val="nil"/>
              <w:right w:val="nil"/>
            </w:tcBorders>
            <w:shd w:val="clear" w:color="000000" w:fill="C7CFD8"/>
            <w:vAlign w:val="center"/>
            <w:hideMark/>
          </w:tcPr>
          <w:p w14:paraId="22636ED2"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DA</w:t>
            </w:r>
            <w:r w:rsidRPr="005F77FD">
              <w:rPr>
                <w:rFonts w:ascii="Arial Narrow" w:eastAsia="Times New Roman" w:hAnsi="Arial Narrow" w:cs="Times New Roman"/>
                <w:b/>
                <w:bCs/>
                <w:sz w:val="16"/>
                <w:szCs w:val="16"/>
                <w:lang w:val="en-US"/>
              </w:rPr>
              <w:br/>
              <w:t>Projects</w:t>
            </w:r>
          </w:p>
        </w:tc>
        <w:tc>
          <w:tcPr>
            <w:tcW w:w="1131" w:type="dxa"/>
            <w:tcBorders>
              <w:top w:val="nil"/>
              <w:left w:val="nil"/>
              <w:bottom w:val="nil"/>
              <w:right w:val="nil"/>
            </w:tcBorders>
            <w:shd w:val="clear" w:color="000000" w:fill="C7CFD8"/>
            <w:vAlign w:val="center"/>
            <w:hideMark/>
          </w:tcPr>
          <w:p w14:paraId="5B9F3A7D"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xml:space="preserve">Total w/DA Projects </w:t>
            </w:r>
          </w:p>
        </w:tc>
      </w:tr>
      <w:tr w:rsidR="005F77FD" w:rsidRPr="005F77FD" w14:paraId="083CB742" w14:textId="77777777" w:rsidTr="005F77FD">
        <w:trPr>
          <w:divId w:val="155610911"/>
          <w:trHeight w:val="315"/>
          <w:jc w:val="center"/>
        </w:trPr>
        <w:tc>
          <w:tcPr>
            <w:tcW w:w="3254" w:type="dxa"/>
            <w:tcBorders>
              <w:top w:val="nil"/>
              <w:left w:val="nil"/>
              <w:bottom w:val="nil"/>
              <w:right w:val="nil"/>
            </w:tcBorders>
            <w:shd w:val="clear" w:color="auto" w:fill="auto"/>
            <w:hideMark/>
          </w:tcPr>
          <w:p w14:paraId="6DB443AE"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Patents and Technology</w:t>
            </w:r>
          </w:p>
        </w:tc>
        <w:tc>
          <w:tcPr>
            <w:tcW w:w="251" w:type="dxa"/>
            <w:tcBorders>
              <w:top w:val="nil"/>
              <w:left w:val="nil"/>
              <w:bottom w:val="nil"/>
              <w:right w:val="nil"/>
            </w:tcBorders>
            <w:shd w:val="clear" w:color="auto" w:fill="auto"/>
            <w:hideMark/>
          </w:tcPr>
          <w:p w14:paraId="37956758"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79AA5BA1"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11,275</w:t>
            </w:r>
          </w:p>
        </w:tc>
        <w:tc>
          <w:tcPr>
            <w:tcW w:w="1131" w:type="dxa"/>
            <w:tcBorders>
              <w:top w:val="nil"/>
              <w:left w:val="nil"/>
              <w:bottom w:val="nil"/>
              <w:right w:val="nil"/>
            </w:tcBorders>
            <w:shd w:val="clear" w:color="auto" w:fill="auto"/>
            <w:noWrap/>
            <w:hideMark/>
          </w:tcPr>
          <w:p w14:paraId="178A2654"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w:t>
            </w:r>
          </w:p>
        </w:tc>
        <w:tc>
          <w:tcPr>
            <w:tcW w:w="1131" w:type="dxa"/>
            <w:tcBorders>
              <w:top w:val="nil"/>
              <w:left w:val="nil"/>
              <w:bottom w:val="nil"/>
              <w:right w:val="nil"/>
            </w:tcBorders>
            <w:shd w:val="clear" w:color="auto" w:fill="auto"/>
            <w:noWrap/>
            <w:hideMark/>
          </w:tcPr>
          <w:p w14:paraId="29ED1B4A"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11,275</w:t>
            </w:r>
          </w:p>
        </w:tc>
      </w:tr>
      <w:tr w:rsidR="005F77FD" w:rsidRPr="005F77FD" w14:paraId="087C3FDD" w14:textId="77777777" w:rsidTr="005F77FD">
        <w:trPr>
          <w:divId w:val="155610911"/>
          <w:trHeight w:val="315"/>
          <w:jc w:val="center"/>
        </w:trPr>
        <w:tc>
          <w:tcPr>
            <w:tcW w:w="3254" w:type="dxa"/>
            <w:tcBorders>
              <w:top w:val="nil"/>
              <w:left w:val="nil"/>
              <w:bottom w:val="nil"/>
              <w:right w:val="nil"/>
            </w:tcBorders>
            <w:shd w:val="clear" w:color="auto" w:fill="auto"/>
            <w:hideMark/>
          </w:tcPr>
          <w:p w14:paraId="1C4F1C7F"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Brands and Designs</w:t>
            </w:r>
          </w:p>
        </w:tc>
        <w:tc>
          <w:tcPr>
            <w:tcW w:w="251" w:type="dxa"/>
            <w:tcBorders>
              <w:top w:val="nil"/>
              <w:left w:val="nil"/>
              <w:bottom w:val="nil"/>
              <w:right w:val="nil"/>
            </w:tcBorders>
            <w:shd w:val="clear" w:color="auto" w:fill="auto"/>
            <w:hideMark/>
          </w:tcPr>
          <w:p w14:paraId="2204EC7C"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31F11B4D"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13,445</w:t>
            </w:r>
          </w:p>
        </w:tc>
        <w:tc>
          <w:tcPr>
            <w:tcW w:w="1131" w:type="dxa"/>
            <w:tcBorders>
              <w:top w:val="nil"/>
              <w:left w:val="nil"/>
              <w:bottom w:val="nil"/>
              <w:right w:val="nil"/>
            </w:tcBorders>
            <w:shd w:val="clear" w:color="auto" w:fill="auto"/>
            <w:noWrap/>
            <w:hideMark/>
          </w:tcPr>
          <w:p w14:paraId="09B1330A"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197</w:t>
            </w:r>
          </w:p>
        </w:tc>
        <w:tc>
          <w:tcPr>
            <w:tcW w:w="1131" w:type="dxa"/>
            <w:tcBorders>
              <w:top w:val="nil"/>
              <w:left w:val="nil"/>
              <w:bottom w:val="nil"/>
              <w:right w:val="nil"/>
            </w:tcBorders>
            <w:shd w:val="clear" w:color="auto" w:fill="auto"/>
            <w:noWrap/>
            <w:hideMark/>
          </w:tcPr>
          <w:p w14:paraId="6DFFC6D8"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13,643</w:t>
            </w:r>
          </w:p>
        </w:tc>
      </w:tr>
      <w:tr w:rsidR="005F77FD" w:rsidRPr="005F77FD" w14:paraId="2CC1EAA2" w14:textId="77777777" w:rsidTr="005F77FD">
        <w:trPr>
          <w:divId w:val="155610911"/>
          <w:trHeight w:val="315"/>
          <w:jc w:val="center"/>
        </w:trPr>
        <w:tc>
          <w:tcPr>
            <w:tcW w:w="3254" w:type="dxa"/>
            <w:tcBorders>
              <w:top w:val="nil"/>
              <w:left w:val="nil"/>
              <w:bottom w:val="nil"/>
              <w:right w:val="nil"/>
            </w:tcBorders>
            <w:shd w:val="clear" w:color="auto" w:fill="auto"/>
            <w:hideMark/>
          </w:tcPr>
          <w:p w14:paraId="21AAAA46"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Copyright and Creative Industries</w:t>
            </w:r>
          </w:p>
        </w:tc>
        <w:tc>
          <w:tcPr>
            <w:tcW w:w="251" w:type="dxa"/>
            <w:tcBorders>
              <w:top w:val="nil"/>
              <w:left w:val="nil"/>
              <w:bottom w:val="nil"/>
              <w:right w:val="nil"/>
            </w:tcBorders>
            <w:shd w:val="clear" w:color="auto" w:fill="auto"/>
            <w:hideMark/>
          </w:tcPr>
          <w:p w14:paraId="2B53009E"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2A4B884A"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20,395</w:t>
            </w:r>
          </w:p>
        </w:tc>
        <w:tc>
          <w:tcPr>
            <w:tcW w:w="1131" w:type="dxa"/>
            <w:tcBorders>
              <w:top w:val="nil"/>
              <w:left w:val="nil"/>
              <w:bottom w:val="nil"/>
              <w:right w:val="nil"/>
            </w:tcBorders>
            <w:shd w:val="clear" w:color="auto" w:fill="auto"/>
            <w:noWrap/>
            <w:hideMark/>
          </w:tcPr>
          <w:p w14:paraId="2EB83F06"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1,193</w:t>
            </w:r>
          </w:p>
        </w:tc>
        <w:tc>
          <w:tcPr>
            <w:tcW w:w="1131" w:type="dxa"/>
            <w:tcBorders>
              <w:top w:val="nil"/>
              <w:left w:val="nil"/>
              <w:bottom w:val="nil"/>
              <w:right w:val="nil"/>
            </w:tcBorders>
            <w:shd w:val="clear" w:color="auto" w:fill="auto"/>
            <w:noWrap/>
            <w:hideMark/>
          </w:tcPr>
          <w:p w14:paraId="6D568F3C"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21,588</w:t>
            </w:r>
          </w:p>
        </w:tc>
      </w:tr>
      <w:tr w:rsidR="005F77FD" w:rsidRPr="005F77FD" w14:paraId="067C49EF" w14:textId="77777777" w:rsidTr="005F77FD">
        <w:trPr>
          <w:divId w:val="155610911"/>
          <w:trHeight w:val="315"/>
          <w:jc w:val="center"/>
        </w:trPr>
        <w:tc>
          <w:tcPr>
            <w:tcW w:w="3254" w:type="dxa"/>
            <w:tcBorders>
              <w:top w:val="nil"/>
              <w:left w:val="nil"/>
              <w:bottom w:val="nil"/>
              <w:right w:val="nil"/>
            </w:tcBorders>
            <w:shd w:val="clear" w:color="auto" w:fill="auto"/>
            <w:hideMark/>
          </w:tcPr>
          <w:p w14:paraId="265309D1"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Regional and National Development</w:t>
            </w:r>
          </w:p>
        </w:tc>
        <w:tc>
          <w:tcPr>
            <w:tcW w:w="251" w:type="dxa"/>
            <w:tcBorders>
              <w:top w:val="nil"/>
              <w:left w:val="nil"/>
              <w:bottom w:val="nil"/>
              <w:right w:val="nil"/>
            </w:tcBorders>
            <w:shd w:val="clear" w:color="auto" w:fill="auto"/>
            <w:hideMark/>
          </w:tcPr>
          <w:p w14:paraId="5AAC5CE8"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21752326"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75,120</w:t>
            </w:r>
          </w:p>
        </w:tc>
        <w:tc>
          <w:tcPr>
            <w:tcW w:w="1131" w:type="dxa"/>
            <w:tcBorders>
              <w:top w:val="nil"/>
              <w:left w:val="nil"/>
              <w:bottom w:val="nil"/>
              <w:right w:val="nil"/>
            </w:tcBorders>
            <w:shd w:val="clear" w:color="auto" w:fill="auto"/>
            <w:noWrap/>
            <w:hideMark/>
          </w:tcPr>
          <w:p w14:paraId="25D22DBE"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980</w:t>
            </w:r>
          </w:p>
        </w:tc>
        <w:tc>
          <w:tcPr>
            <w:tcW w:w="1131" w:type="dxa"/>
            <w:tcBorders>
              <w:top w:val="nil"/>
              <w:left w:val="nil"/>
              <w:bottom w:val="nil"/>
              <w:right w:val="nil"/>
            </w:tcBorders>
            <w:shd w:val="clear" w:color="auto" w:fill="auto"/>
            <w:noWrap/>
            <w:hideMark/>
          </w:tcPr>
          <w:p w14:paraId="0B3189B3"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76,100</w:t>
            </w:r>
          </w:p>
        </w:tc>
      </w:tr>
      <w:tr w:rsidR="005F77FD" w:rsidRPr="005F77FD" w14:paraId="26E6DE7E" w14:textId="77777777" w:rsidTr="005F77FD">
        <w:trPr>
          <w:divId w:val="155610911"/>
          <w:trHeight w:val="315"/>
          <w:jc w:val="center"/>
        </w:trPr>
        <w:tc>
          <w:tcPr>
            <w:tcW w:w="3254" w:type="dxa"/>
            <w:tcBorders>
              <w:top w:val="nil"/>
              <w:left w:val="nil"/>
              <w:bottom w:val="nil"/>
              <w:right w:val="nil"/>
            </w:tcBorders>
            <w:shd w:val="clear" w:color="auto" w:fill="auto"/>
            <w:hideMark/>
          </w:tcPr>
          <w:p w14:paraId="692D0840"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Infrastructure and Platforms</w:t>
            </w:r>
          </w:p>
        </w:tc>
        <w:tc>
          <w:tcPr>
            <w:tcW w:w="251" w:type="dxa"/>
            <w:tcBorders>
              <w:top w:val="nil"/>
              <w:left w:val="nil"/>
              <w:bottom w:val="nil"/>
              <w:right w:val="nil"/>
            </w:tcBorders>
            <w:shd w:val="clear" w:color="auto" w:fill="auto"/>
            <w:hideMark/>
          </w:tcPr>
          <w:p w14:paraId="7FA26274"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13A7E8DD"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18,556</w:t>
            </w:r>
          </w:p>
        </w:tc>
        <w:tc>
          <w:tcPr>
            <w:tcW w:w="1131" w:type="dxa"/>
            <w:tcBorders>
              <w:top w:val="nil"/>
              <w:left w:val="nil"/>
              <w:bottom w:val="nil"/>
              <w:right w:val="nil"/>
            </w:tcBorders>
            <w:shd w:val="clear" w:color="auto" w:fill="auto"/>
            <w:noWrap/>
            <w:hideMark/>
          </w:tcPr>
          <w:p w14:paraId="2B9D2F58"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w:t>
            </w:r>
          </w:p>
        </w:tc>
        <w:tc>
          <w:tcPr>
            <w:tcW w:w="1131" w:type="dxa"/>
            <w:tcBorders>
              <w:top w:val="nil"/>
              <w:left w:val="nil"/>
              <w:bottom w:val="nil"/>
              <w:right w:val="nil"/>
            </w:tcBorders>
            <w:shd w:val="clear" w:color="auto" w:fill="auto"/>
            <w:noWrap/>
            <w:hideMark/>
          </w:tcPr>
          <w:p w14:paraId="482DFA44"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18,556</w:t>
            </w:r>
          </w:p>
        </w:tc>
      </w:tr>
      <w:tr w:rsidR="005F77FD" w:rsidRPr="005F77FD" w14:paraId="22530245" w14:textId="77777777" w:rsidTr="005F77FD">
        <w:trPr>
          <w:divId w:val="155610911"/>
          <w:trHeight w:val="315"/>
          <w:jc w:val="center"/>
        </w:trPr>
        <w:tc>
          <w:tcPr>
            <w:tcW w:w="3254" w:type="dxa"/>
            <w:tcBorders>
              <w:top w:val="nil"/>
              <w:left w:val="nil"/>
              <w:bottom w:val="nil"/>
              <w:right w:val="nil"/>
            </w:tcBorders>
            <w:shd w:val="clear" w:color="auto" w:fill="auto"/>
            <w:hideMark/>
          </w:tcPr>
          <w:p w14:paraId="01F24ECF"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Global Challenges and Partnerships</w:t>
            </w:r>
          </w:p>
        </w:tc>
        <w:tc>
          <w:tcPr>
            <w:tcW w:w="251" w:type="dxa"/>
            <w:tcBorders>
              <w:top w:val="nil"/>
              <w:left w:val="nil"/>
              <w:bottom w:val="nil"/>
              <w:right w:val="nil"/>
            </w:tcBorders>
            <w:shd w:val="clear" w:color="auto" w:fill="auto"/>
            <w:hideMark/>
          </w:tcPr>
          <w:p w14:paraId="47C6162B"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154D4798"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15,056</w:t>
            </w:r>
          </w:p>
        </w:tc>
        <w:tc>
          <w:tcPr>
            <w:tcW w:w="1131" w:type="dxa"/>
            <w:tcBorders>
              <w:top w:val="nil"/>
              <w:left w:val="nil"/>
              <w:bottom w:val="nil"/>
              <w:right w:val="nil"/>
            </w:tcBorders>
            <w:shd w:val="clear" w:color="auto" w:fill="auto"/>
            <w:noWrap/>
            <w:hideMark/>
          </w:tcPr>
          <w:p w14:paraId="50C03FC6"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247</w:t>
            </w:r>
          </w:p>
        </w:tc>
        <w:tc>
          <w:tcPr>
            <w:tcW w:w="1131" w:type="dxa"/>
            <w:tcBorders>
              <w:top w:val="nil"/>
              <w:left w:val="nil"/>
              <w:bottom w:val="nil"/>
              <w:right w:val="nil"/>
            </w:tcBorders>
            <w:shd w:val="clear" w:color="auto" w:fill="auto"/>
            <w:noWrap/>
            <w:hideMark/>
          </w:tcPr>
          <w:p w14:paraId="7A5B798D"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15,303</w:t>
            </w:r>
          </w:p>
        </w:tc>
      </w:tr>
      <w:tr w:rsidR="005F77FD" w:rsidRPr="005F77FD" w14:paraId="46C86527" w14:textId="77777777" w:rsidTr="005F77FD">
        <w:trPr>
          <w:divId w:val="155610911"/>
          <w:trHeight w:val="315"/>
          <w:jc w:val="center"/>
        </w:trPr>
        <w:tc>
          <w:tcPr>
            <w:tcW w:w="3254" w:type="dxa"/>
            <w:tcBorders>
              <w:top w:val="nil"/>
              <w:left w:val="nil"/>
              <w:bottom w:val="nil"/>
              <w:right w:val="nil"/>
            </w:tcBorders>
            <w:shd w:val="clear" w:color="auto" w:fill="auto"/>
            <w:hideMark/>
          </w:tcPr>
          <w:p w14:paraId="658AE835"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IP and Innovation Ecosystems</w:t>
            </w:r>
          </w:p>
        </w:tc>
        <w:tc>
          <w:tcPr>
            <w:tcW w:w="251" w:type="dxa"/>
            <w:tcBorders>
              <w:top w:val="nil"/>
              <w:left w:val="nil"/>
              <w:bottom w:val="nil"/>
              <w:right w:val="nil"/>
            </w:tcBorders>
            <w:shd w:val="clear" w:color="auto" w:fill="auto"/>
            <w:hideMark/>
          </w:tcPr>
          <w:p w14:paraId="1CFB1C9C"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688560F7"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26,560</w:t>
            </w:r>
          </w:p>
        </w:tc>
        <w:tc>
          <w:tcPr>
            <w:tcW w:w="1131" w:type="dxa"/>
            <w:tcBorders>
              <w:top w:val="nil"/>
              <w:left w:val="nil"/>
              <w:bottom w:val="nil"/>
              <w:right w:val="nil"/>
            </w:tcBorders>
            <w:shd w:val="clear" w:color="auto" w:fill="auto"/>
            <w:noWrap/>
            <w:hideMark/>
          </w:tcPr>
          <w:p w14:paraId="5FE5CAD5"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425</w:t>
            </w:r>
          </w:p>
        </w:tc>
        <w:tc>
          <w:tcPr>
            <w:tcW w:w="1131" w:type="dxa"/>
            <w:tcBorders>
              <w:top w:val="nil"/>
              <w:left w:val="nil"/>
              <w:bottom w:val="nil"/>
              <w:right w:val="nil"/>
            </w:tcBorders>
            <w:shd w:val="clear" w:color="auto" w:fill="auto"/>
            <w:noWrap/>
            <w:hideMark/>
          </w:tcPr>
          <w:p w14:paraId="0DA324D3"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26,985</w:t>
            </w:r>
          </w:p>
        </w:tc>
      </w:tr>
      <w:tr w:rsidR="005F77FD" w:rsidRPr="005F77FD" w14:paraId="03770F77" w14:textId="77777777" w:rsidTr="005F77FD">
        <w:trPr>
          <w:divId w:val="155610911"/>
          <w:trHeight w:val="315"/>
          <w:jc w:val="center"/>
        </w:trPr>
        <w:tc>
          <w:tcPr>
            <w:tcW w:w="3254" w:type="dxa"/>
            <w:tcBorders>
              <w:top w:val="single" w:sz="4" w:space="0" w:color="BFBFBF"/>
              <w:left w:val="nil"/>
              <w:bottom w:val="single" w:sz="8" w:space="0" w:color="BFBFBF"/>
              <w:right w:val="nil"/>
            </w:tcBorders>
            <w:shd w:val="clear" w:color="auto" w:fill="auto"/>
            <w:noWrap/>
            <w:vAlign w:val="center"/>
            <w:hideMark/>
          </w:tcPr>
          <w:p w14:paraId="10DD7358"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TOTAL</w:t>
            </w:r>
          </w:p>
        </w:tc>
        <w:tc>
          <w:tcPr>
            <w:tcW w:w="251" w:type="dxa"/>
            <w:tcBorders>
              <w:top w:val="single" w:sz="4" w:space="0" w:color="BFBFBF"/>
              <w:left w:val="nil"/>
              <w:bottom w:val="single" w:sz="8" w:space="0" w:color="BFBFBF"/>
              <w:right w:val="nil"/>
            </w:tcBorders>
            <w:shd w:val="clear" w:color="auto" w:fill="auto"/>
            <w:noWrap/>
            <w:vAlign w:val="center"/>
            <w:hideMark/>
          </w:tcPr>
          <w:p w14:paraId="1A9EB935"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c>
          <w:tcPr>
            <w:tcW w:w="1131" w:type="dxa"/>
            <w:tcBorders>
              <w:top w:val="single" w:sz="4" w:space="0" w:color="BFBFBF"/>
              <w:left w:val="nil"/>
              <w:bottom w:val="single" w:sz="8" w:space="0" w:color="BFBFBF"/>
              <w:right w:val="nil"/>
            </w:tcBorders>
            <w:shd w:val="clear" w:color="auto" w:fill="auto"/>
            <w:noWrap/>
            <w:vAlign w:val="center"/>
            <w:hideMark/>
          </w:tcPr>
          <w:p w14:paraId="5633EF9C"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180,406</w:t>
            </w:r>
          </w:p>
        </w:tc>
        <w:tc>
          <w:tcPr>
            <w:tcW w:w="1131" w:type="dxa"/>
            <w:tcBorders>
              <w:top w:val="single" w:sz="4" w:space="0" w:color="BFBFBF"/>
              <w:left w:val="nil"/>
              <w:bottom w:val="single" w:sz="8" w:space="0" w:color="BFBFBF"/>
              <w:right w:val="nil"/>
            </w:tcBorders>
            <w:shd w:val="clear" w:color="auto" w:fill="auto"/>
            <w:noWrap/>
            <w:vAlign w:val="center"/>
            <w:hideMark/>
          </w:tcPr>
          <w:p w14:paraId="217C06D8"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3,043</w:t>
            </w:r>
          </w:p>
        </w:tc>
        <w:tc>
          <w:tcPr>
            <w:tcW w:w="1131" w:type="dxa"/>
            <w:tcBorders>
              <w:top w:val="single" w:sz="4" w:space="0" w:color="BFBFBF"/>
              <w:left w:val="nil"/>
              <w:bottom w:val="single" w:sz="8" w:space="0" w:color="BFBFBF"/>
              <w:right w:val="nil"/>
            </w:tcBorders>
            <w:shd w:val="clear" w:color="auto" w:fill="auto"/>
            <w:noWrap/>
            <w:vAlign w:val="center"/>
            <w:hideMark/>
          </w:tcPr>
          <w:p w14:paraId="2E1F57C6"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183,449</w:t>
            </w:r>
          </w:p>
        </w:tc>
      </w:tr>
      <w:tr w:rsidR="005F77FD" w:rsidRPr="005F77FD" w14:paraId="05559800" w14:textId="77777777" w:rsidTr="005F77FD">
        <w:trPr>
          <w:divId w:val="155610911"/>
          <w:trHeight w:val="372"/>
          <w:jc w:val="center"/>
        </w:trPr>
        <w:tc>
          <w:tcPr>
            <w:tcW w:w="3505" w:type="dxa"/>
            <w:gridSpan w:val="2"/>
            <w:tcBorders>
              <w:top w:val="nil"/>
              <w:left w:val="nil"/>
              <w:bottom w:val="single" w:sz="8" w:space="0" w:color="BFBFBF"/>
              <w:right w:val="nil"/>
            </w:tcBorders>
            <w:shd w:val="clear" w:color="auto" w:fill="auto"/>
            <w:noWrap/>
            <w:vAlign w:val="center"/>
            <w:hideMark/>
          </w:tcPr>
          <w:p w14:paraId="0998F51E"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xml:space="preserve">Development Expenditure as </w:t>
            </w:r>
            <w:r w:rsidRPr="005F77FD">
              <w:rPr>
                <w:rFonts w:ascii="Arial Narrow" w:eastAsia="Times New Roman" w:hAnsi="Arial Narrow" w:cs="Times New Roman"/>
                <w:b/>
                <w:bCs/>
                <w:sz w:val="16"/>
                <w:szCs w:val="16"/>
                <w:lang w:val="en-US"/>
              </w:rPr>
              <w:br/>
              <w:t>% of total budget</w:t>
            </w:r>
          </w:p>
        </w:tc>
        <w:tc>
          <w:tcPr>
            <w:tcW w:w="1131" w:type="dxa"/>
            <w:tcBorders>
              <w:top w:val="nil"/>
              <w:left w:val="nil"/>
              <w:bottom w:val="single" w:sz="8" w:space="0" w:color="BFBFBF"/>
              <w:right w:val="nil"/>
            </w:tcBorders>
            <w:shd w:val="clear" w:color="auto" w:fill="auto"/>
            <w:noWrap/>
            <w:vAlign w:val="center"/>
            <w:hideMark/>
          </w:tcPr>
          <w:p w14:paraId="4C002BCE"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c>
          <w:tcPr>
            <w:tcW w:w="1131" w:type="dxa"/>
            <w:tcBorders>
              <w:top w:val="nil"/>
              <w:left w:val="nil"/>
              <w:bottom w:val="single" w:sz="8" w:space="0" w:color="BFBFBF"/>
              <w:right w:val="nil"/>
            </w:tcBorders>
            <w:shd w:val="clear" w:color="auto" w:fill="auto"/>
            <w:noWrap/>
            <w:vAlign w:val="center"/>
            <w:hideMark/>
          </w:tcPr>
          <w:p w14:paraId="3D9D689C"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c>
          <w:tcPr>
            <w:tcW w:w="1131" w:type="dxa"/>
            <w:tcBorders>
              <w:top w:val="nil"/>
              <w:left w:val="nil"/>
              <w:bottom w:val="single" w:sz="8" w:space="0" w:color="BFBFBF"/>
              <w:right w:val="single" w:sz="4" w:space="0" w:color="FFFFFF"/>
            </w:tcBorders>
            <w:shd w:val="clear" w:color="auto" w:fill="auto"/>
            <w:noWrap/>
            <w:vAlign w:val="center"/>
            <w:hideMark/>
          </w:tcPr>
          <w:p w14:paraId="5AC2FC4A" w14:textId="77777777" w:rsidR="005F77FD" w:rsidRPr="005F77FD" w:rsidRDefault="005F77FD" w:rsidP="005F77FD">
            <w:pPr>
              <w:spacing w:after="0" w:line="240" w:lineRule="auto"/>
              <w:jc w:val="right"/>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21.4%</w:t>
            </w:r>
          </w:p>
        </w:tc>
      </w:tr>
      <w:tr w:rsidR="005F77FD" w:rsidRPr="005F77FD" w14:paraId="6020BE88" w14:textId="77777777" w:rsidTr="005F77FD">
        <w:trPr>
          <w:divId w:val="155610911"/>
          <w:trHeight w:val="343"/>
          <w:jc w:val="center"/>
        </w:trPr>
        <w:tc>
          <w:tcPr>
            <w:tcW w:w="3254" w:type="dxa"/>
            <w:tcBorders>
              <w:top w:val="nil"/>
              <w:left w:val="nil"/>
              <w:bottom w:val="single" w:sz="8" w:space="0" w:color="BFBFBF"/>
              <w:right w:val="nil"/>
            </w:tcBorders>
            <w:shd w:val="clear" w:color="auto" w:fill="auto"/>
            <w:vAlign w:val="center"/>
            <w:hideMark/>
          </w:tcPr>
          <w:p w14:paraId="3FB4E7CE"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 xml:space="preserve">Funds-in-Trust </w:t>
            </w:r>
            <w:r w:rsidRPr="005F77FD">
              <w:rPr>
                <w:rFonts w:ascii="Arial Narrow" w:eastAsia="Times New Roman" w:hAnsi="Arial Narrow" w:cs="Times New Roman"/>
                <w:sz w:val="16"/>
                <w:szCs w:val="16"/>
                <w:vertAlign w:val="superscript"/>
                <w:lang w:val="en-US"/>
              </w:rPr>
              <w:t>1</w:t>
            </w:r>
          </w:p>
        </w:tc>
        <w:tc>
          <w:tcPr>
            <w:tcW w:w="251" w:type="dxa"/>
            <w:tcBorders>
              <w:top w:val="nil"/>
              <w:left w:val="nil"/>
              <w:bottom w:val="single" w:sz="8" w:space="0" w:color="BFBFBF"/>
              <w:right w:val="nil"/>
            </w:tcBorders>
            <w:shd w:val="clear" w:color="auto" w:fill="auto"/>
            <w:noWrap/>
            <w:hideMark/>
          </w:tcPr>
          <w:p w14:paraId="1A2D9F55"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c>
          <w:tcPr>
            <w:tcW w:w="1131" w:type="dxa"/>
            <w:tcBorders>
              <w:top w:val="nil"/>
              <w:left w:val="nil"/>
              <w:bottom w:val="single" w:sz="8" w:space="0" w:color="BFBFBF"/>
              <w:right w:val="nil"/>
            </w:tcBorders>
            <w:shd w:val="clear" w:color="auto" w:fill="auto"/>
            <w:noWrap/>
            <w:vAlign w:val="center"/>
            <w:hideMark/>
          </w:tcPr>
          <w:p w14:paraId="63463D05" w14:textId="77777777" w:rsidR="005F77FD" w:rsidRPr="005F77FD" w:rsidRDefault="005F77FD" w:rsidP="005F77FD">
            <w:pPr>
              <w:spacing w:after="0" w:line="240" w:lineRule="auto"/>
              <w:jc w:val="right"/>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lang w:val="en-US"/>
              </w:rPr>
              <w:t>37,585</w:t>
            </w:r>
          </w:p>
        </w:tc>
        <w:tc>
          <w:tcPr>
            <w:tcW w:w="1131" w:type="dxa"/>
            <w:tcBorders>
              <w:top w:val="nil"/>
              <w:left w:val="nil"/>
              <w:bottom w:val="single" w:sz="8" w:space="0" w:color="BFBFBF"/>
              <w:right w:val="nil"/>
            </w:tcBorders>
            <w:shd w:val="clear" w:color="auto" w:fill="auto"/>
            <w:noWrap/>
            <w:hideMark/>
          </w:tcPr>
          <w:p w14:paraId="189FCB0D"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c>
          <w:tcPr>
            <w:tcW w:w="1131" w:type="dxa"/>
            <w:tcBorders>
              <w:top w:val="nil"/>
              <w:left w:val="nil"/>
              <w:bottom w:val="single" w:sz="8" w:space="0" w:color="BFBFBF"/>
              <w:right w:val="nil"/>
            </w:tcBorders>
            <w:shd w:val="clear" w:color="auto" w:fill="auto"/>
            <w:noWrap/>
            <w:hideMark/>
          </w:tcPr>
          <w:p w14:paraId="453D6A38" w14:textId="77777777" w:rsidR="005F77FD" w:rsidRPr="005F77FD" w:rsidRDefault="005F77FD" w:rsidP="005F77FD">
            <w:pPr>
              <w:spacing w:after="0" w:line="240" w:lineRule="auto"/>
              <w:rPr>
                <w:rFonts w:ascii="Arial Narrow" w:eastAsia="Times New Roman" w:hAnsi="Arial Narrow" w:cs="Times New Roman"/>
                <w:b/>
                <w:bCs/>
                <w:sz w:val="16"/>
                <w:szCs w:val="16"/>
                <w:lang w:val="en-US"/>
              </w:rPr>
            </w:pPr>
            <w:r w:rsidRPr="005F77FD">
              <w:rPr>
                <w:rFonts w:ascii="Arial Narrow" w:eastAsia="Times New Roman" w:hAnsi="Arial Narrow" w:cs="Times New Roman"/>
                <w:b/>
                <w:bCs/>
                <w:sz w:val="16"/>
                <w:szCs w:val="16"/>
                <w:lang w:val="en-US"/>
              </w:rPr>
              <w:t> </w:t>
            </w:r>
          </w:p>
        </w:tc>
      </w:tr>
      <w:tr w:rsidR="005F77FD" w:rsidRPr="005F77FD" w14:paraId="3BF19BF4" w14:textId="77777777" w:rsidTr="005F77FD">
        <w:trPr>
          <w:divId w:val="155610911"/>
          <w:trHeight w:val="358"/>
          <w:jc w:val="center"/>
        </w:trPr>
        <w:tc>
          <w:tcPr>
            <w:tcW w:w="4636" w:type="dxa"/>
            <w:gridSpan w:val="3"/>
            <w:tcBorders>
              <w:top w:val="nil"/>
              <w:left w:val="nil"/>
              <w:bottom w:val="nil"/>
              <w:right w:val="nil"/>
            </w:tcBorders>
            <w:shd w:val="clear" w:color="auto" w:fill="auto"/>
            <w:noWrap/>
            <w:vAlign w:val="center"/>
            <w:hideMark/>
          </w:tcPr>
          <w:p w14:paraId="633A5F97" w14:textId="77777777" w:rsidR="005F77FD" w:rsidRPr="005F77FD" w:rsidRDefault="005F77FD" w:rsidP="005F77FD">
            <w:pPr>
              <w:spacing w:after="0" w:line="240" w:lineRule="auto"/>
              <w:rPr>
                <w:rFonts w:ascii="Arial Narrow" w:eastAsia="Times New Roman" w:hAnsi="Arial Narrow" w:cs="Times New Roman"/>
                <w:sz w:val="16"/>
                <w:szCs w:val="16"/>
                <w:lang w:val="en-US"/>
              </w:rPr>
            </w:pPr>
            <w:r w:rsidRPr="005F77FD">
              <w:rPr>
                <w:rFonts w:ascii="Arial Narrow" w:eastAsia="Times New Roman" w:hAnsi="Arial Narrow" w:cs="Times New Roman"/>
                <w:sz w:val="16"/>
                <w:szCs w:val="16"/>
                <w:vertAlign w:val="superscript"/>
                <w:lang w:val="en-US"/>
              </w:rPr>
              <w:t xml:space="preserve">1 </w:t>
            </w:r>
            <w:r w:rsidRPr="005F77FD">
              <w:rPr>
                <w:rFonts w:ascii="Arial Narrow" w:eastAsia="Times New Roman" w:hAnsi="Arial Narrow" w:cs="Times New Roman"/>
                <w:sz w:val="16"/>
                <w:szCs w:val="16"/>
                <w:lang w:val="en-US"/>
              </w:rPr>
              <w:t>Estimated amount available for programming in 2024/25.</w:t>
            </w:r>
          </w:p>
        </w:tc>
        <w:tc>
          <w:tcPr>
            <w:tcW w:w="1131" w:type="dxa"/>
            <w:tcBorders>
              <w:top w:val="nil"/>
              <w:left w:val="nil"/>
              <w:bottom w:val="nil"/>
              <w:right w:val="nil"/>
            </w:tcBorders>
            <w:shd w:val="clear" w:color="auto" w:fill="auto"/>
            <w:noWrap/>
            <w:hideMark/>
          </w:tcPr>
          <w:p w14:paraId="51720B2E" w14:textId="77777777" w:rsidR="005F77FD" w:rsidRPr="005F77FD" w:rsidRDefault="005F77FD" w:rsidP="005F77FD">
            <w:pPr>
              <w:spacing w:after="0" w:line="240" w:lineRule="auto"/>
              <w:rPr>
                <w:rFonts w:ascii="Arial Narrow" w:eastAsia="Times New Roman" w:hAnsi="Arial Narrow" w:cs="Times New Roman"/>
                <w:sz w:val="16"/>
                <w:szCs w:val="16"/>
                <w:lang w:val="en-US"/>
              </w:rPr>
            </w:pPr>
          </w:p>
        </w:tc>
        <w:tc>
          <w:tcPr>
            <w:tcW w:w="1131" w:type="dxa"/>
            <w:tcBorders>
              <w:top w:val="nil"/>
              <w:left w:val="nil"/>
              <w:bottom w:val="nil"/>
              <w:right w:val="nil"/>
            </w:tcBorders>
            <w:shd w:val="clear" w:color="auto" w:fill="auto"/>
            <w:noWrap/>
            <w:hideMark/>
          </w:tcPr>
          <w:p w14:paraId="1F23D00F" w14:textId="77777777" w:rsidR="005F77FD" w:rsidRPr="005F77FD" w:rsidRDefault="005F77FD" w:rsidP="005F77FD">
            <w:pPr>
              <w:spacing w:after="0" w:line="240" w:lineRule="auto"/>
              <w:jc w:val="right"/>
              <w:rPr>
                <w:rFonts w:ascii="Times New Roman" w:eastAsia="Times New Roman" w:hAnsi="Times New Roman" w:cs="Times New Roman"/>
                <w:sz w:val="20"/>
                <w:szCs w:val="20"/>
                <w:lang w:val="en-US"/>
              </w:rPr>
            </w:pPr>
          </w:p>
        </w:tc>
      </w:tr>
    </w:tbl>
    <w:p w14:paraId="497B1C01" w14:textId="77777777" w:rsidR="0089750C" w:rsidRDefault="0089750C" w:rsidP="00434007">
      <w:pPr>
        <w:spacing w:after="0" w:line="240" w:lineRule="auto"/>
        <w:rPr>
          <w:lang w:val="en-US"/>
        </w:rPr>
      </w:pPr>
    </w:p>
    <w:p w14:paraId="2F8BBF47" w14:textId="77777777" w:rsidR="00434007" w:rsidRPr="00D350B5" w:rsidRDefault="00434007" w:rsidP="00816075">
      <w:pPr>
        <w:pStyle w:val="TableAndChartTitle"/>
        <w:spacing w:before="120" w:after="0" w:line="240" w:lineRule="auto"/>
      </w:pPr>
      <w:r>
        <w:t>Table 8</w:t>
      </w:r>
      <w:r w:rsidRPr="00D350B5">
        <w:t>:  Development Agenda Projects in 202</w:t>
      </w:r>
      <w:r>
        <w:t>4/25</w:t>
      </w:r>
    </w:p>
    <w:p w14:paraId="305B56D4" w14:textId="77777777" w:rsidR="00C41F32" w:rsidRDefault="00434007" w:rsidP="004871C4">
      <w:pPr>
        <w:pStyle w:val="TableAndChartTitleAddText"/>
        <w:spacing w:after="0" w:line="240" w:lineRule="auto"/>
        <w:rPr>
          <w:sz w:val="16"/>
        </w:rPr>
      </w:pPr>
      <w:r w:rsidRPr="00940625">
        <w:rPr>
          <w:sz w:val="16"/>
        </w:rPr>
        <w:t>(in thousands of Swiss francs</w:t>
      </w:r>
      <w:r>
        <w:rPr>
          <w:sz w:val="16"/>
        </w:rPr>
        <w:t>)</w:t>
      </w:r>
    </w:p>
    <w:p w14:paraId="2FC5DD99" w14:textId="419BF2D7" w:rsidR="00DC421D" w:rsidRPr="00DC421D" w:rsidRDefault="00DC421D" w:rsidP="00DC421D">
      <w:pPr>
        <w:pStyle w:val="TableAndChartTitleAddText"/>
        <w:spacing w:after="0" w:line="240" w:lineRule="auto"/>
        <w:rPr>
          <w:sz w:val="16"/>
        </w:rPr>
      </w:pPr>
    </w:p>
    <w:tbl>
      <w:tblPr>
        <w:tblW w:w="9354" w:type="dxa"/>
        <w:tblLook w:val="04A0" w:firstRow="1" w:lastRow="0" w:firstColumn="1" w:lastColumn="0" w:noHBand="0" w:noVBand="1"/>
      </w:tblPr>
      <w:tblGrid>
        <w:gridCol w:w="5313"/>
        <w:gridCol w:w="902"/>
        <w:gridCol w:w="987"/>
        <w:gridCol w:w="1230"/>
        <w:gridCol w:w="922"/>
      </w:tblGrid>
      <w:tr w:rsidR="00DC421D" w:rsidRPr="00DC421D" w14:paraId="2ADAED2C" w14:textId="77777777" w:rsidTr="00034493">
        <w:trPr>
          <w:divId w:val="1424491708"/>
          <w:trHeight w:hRule="exact" w:val="288"/>
        </w:trPr>
        <w:tc>
          <w:tcPr>
            <w:tcW w:w="5313" w:type="dxa"/>
            <w:vMerge w:val="restart"/>
            <w:tcBorders>
              <w:top w:val="nil"/>
              <w:left w:val="nil"/>
              <w:bottom w:val="nil"/>
              <w:right w:val="nil"/>
            </w:tcBorders>
            <w:shd w:val="clear" w:color="FFFFFF" w:fill="C7CFD8"/>
            <w:noWrap/>
            <w:vAlign w:val="center"/>
            <w:hideMark/>
          </w:tcPr>
          <w:p w14:paraId="342F5300" w14:textId="2A4EE5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Projects</w:t>
            </w:r>
          </w:p>
        </w:tc>
        <w:tc>
          <w:tcPr>
            <w:tcW w:w="902" w:type="dxa"/>
            <w:vMerge w:val="restart"/>
            <w:tcBorders>
              <w:top w:val="nil"/>
              <w:left w:val="nil"/>
              <w:bottom w:val="nil"/>
              <w:right w:val="nil"/>
            </w:tcBorders>
            <w:shd w:val="clear" w:color="FFFFFF" w:fill="C7CFD8"/>
            <w:vAlign w:val="center"/>
            <w:hideMark/>
          </w:tcPr>
          <w:p w14:paraId="1690075C"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Sector</w:t>
            </w:r>
          </w:p>
        </w:tc>
        <w:tc>
          <w:tcPr>
            <w:tcW w:w="3139" w:type="dxa"/>
            <w:gridSpan w:val="3"/>
            <w:tcBorders>
              <w:top w:val="nil"/>
              <w:left w:val="nil"/>
              <w:bottom w:val="single" w:sz="4" w:space="0" w:color="748B9E"/>
              <w:right w:val="nil"/>
            </w:tcBorders>
            <w:shd w:val="clear" w:color="FFFFFF" w:fill="C7CFD8"/>
            <w:vAlign w:val="center"/>
            <w:hideMark/>
          </w:tcPr>
          <w:p w14:paraId="2E771E87"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2024/25 Proposed Budget</w:t>
            </w:r>
          </w:p>
        </w:tc>
      </w:tr>
      <w:tr w:rsidR="00DC421D" w:rsidRPr="00DC421D" w14:paraId="28E835F1" w14:textId="77777777" w:rsidTr="007C5188">
        <w:trPr>
          <w:divId w:val="1424491708"/>
          <w:trHeight w:hRule="exact" w:val="20"/>
        </w:trPr>
        <w:tc>
          <w:tcPr>
            <w:tcW w:w="5313" w:type="dxa"/>
            <w:vMerge/>
            <w:tcBorders>
              <w:top w:val="nil"/>
              <w:left w:val="nil"/>
              <w:bottom w:val="nil"/>
              <w:right w:val="nil"/>
            </w:tcBorders>
            <w:vAlign w:val="center"/>
            <w:hideMark/>
          </w:tcPr>
          <w:p w14:paraId="2BC97971"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c>
          <w:tcPr>
            <w:tcW w:w="902" w:type="dxa"/>
            <w:vMerge/>
            <w:tcBorders>
              <w:top w:val="nil"/>
              <w:left w:val="nil"/>
              <w:bottom w:val="nil"/>
              <w:right w:val="nil"/>
            </w:tcBorders>
            <w:vAlign w:val="center"/>
            <w:hideMark/>
          </w:tcPr>
          <w:p w14:paraId="6B44B053"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p>
        </w:tc>
        <w:tc>
          <w:tcPr>
            <w:tcW w:w="986" w:type="dxa"/>
            <w:vMerge w:val="restart"/>
            <w:tcBorders>
              <w:top w:val="nil"/>
              <w:left w:val="nil"/>
              <w:bottom w:val="nil"/>
              <w:right w:val="nil"/>
            </w:tcBorders>
            <w:shd w:val="clear" w:color="FFFFFF" w:fill="C7CFD8"/>
            <w:vAlign w:val="center"/>
            <w:hideMark/>
          </w:tcPr>
          <w:p w14:paraId="452D5CE8"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Personnel</w:t>
            </w:r>
          </w:p>
        </w:tc>
        <w:tc>
          <w:tcPr>
            <w:tcW w:w="1230" w:type="dxa"/>
            <w:vMerge w:val="restart"/>
            <w:tcBorders>
              <w:top w:val="nil"/>
              <w:left w:val="nil"/>
              <w:bottom w:val="nil"/>
              <w:right w:val="nil"/>
            </w:tcBorders>
            <w:shd w:val="clear" w:color="FFFFFF" w:fill="C7CFD8"/>
            <w:vAlign w:val="center"/>
            <w:hideMark/>
          </w:tcPr>
          <w:p w14:paraId="78521AC0"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Non-Personnel</w:t>
            </w:r>
          </w:p>
        </w:tc>
        <w:tc>
          <w:tcPr>
            <w:tcW w:w="922" w:type="dxa"/>
            <w:vMerge w:val="restart"/>
            <w:tcBorders>
              <w:top w:val="nil"/>
              <w:left w:val="nil"/>
              <w:bottom w:val="nil"/>
              <w:right w:val="nil"/>
            </w:tcBorders>
            <w:shd w:val="clear" w:color="FFFFFF" w:fill="C7CFD8"/>
            <w:vAlign w:val="center"/>
            <w:hideMark/>
          </w:tcPr>
          <w:p w14:paraId="00D93C3A" w14:textId="77777777" w:rsidR="00DC421D" w:rsidRPr="00DC421D" w:rsidRDefault="00DC421D" w:rsidP="0096174B">
            <w:pPr>
              <w:spacing w:after="0" w:line="240" w:lineRule="auto"/>
              <w:jc w:val="center"/>
              <w:rPr>
                <w:rFonts w:ascii="Arial Narrow" w:eastAsia="Times New Roman" w:hAnsi="Arial Narrow" w:cs="Times New Roman"/>
                <w:b/>
                <w:bCs/>
                <w:color w:val="000000"/>
                <w:sz w:val="16"/>
                <w:szCs w:val="16"/>
                <w:lang w:val="en-US"/>
              </w:rPr>
            </w:pPr>
            <w:r w:rsidRPr="00DC421D">
              <w:rPr>
                <w:rFonts w:ascii="Arial Narrow" w:eastAsia="Times New Roman" w:hAnsi="Arial Narrow" w:cs="Times New Roman"/>
                <w:b/>
                <w:bCs/>
                <w:color w:val="000000"/>
                <w:sz w:val="16"/>
                <w:szCs w:val="16"/>
                <w:lang w:val="en-US"/>
              </w:rPr>
              <w:t>Total</w:t>
            </w:r>
          </w:p>
        </w:tc>
      </w:tr>
      <w:tr w:rsidR="00DC421D" w:rsidRPr="00DC421D" w14:paraId="76E72C7B" w14:textId="77777777" w:rsidTr="0082559E">
        <w:trPr>
          <w:divId w:val="1424491708"/>
          <w:trHeight w:val="438"/>
        </w:trPr>
        <w:tc>
          <w:tcPr>
            <w:tcW w:w="5313" w:type="dxa"/>
            <w:vMerge/>
            <w:tcBorders>
              <w:top w:val="nil"/>
              <w:left w:val="nil"/>
              <w:bottom w:val="nil"/>
              <w:right w:val="nil"/>
            </w:tcBorders>
            <w:vAlign w:val="center"/>
            <w:hideMark/>
          </w:tcPr>
          <w:p w14:paraId="6F6A3338"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c>
          <w:tcPr>
            <w:tcW w:w="902" w:type="dxa"/>
            <w:vMerge/>
            <w:tcBorders>
              <w:top w:val="nil"/>
              <w:left w:val="nil"/>
              <w:bottom w:val="nil"/>
              <w:right w:val="nil"/>
            </w:tcBorders>
            <w:vAlign w:val="center"/>
            <w:hideMark/>
          </w:tcPr>
          <w:p w14:paraId="583BDA6C"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c>
          <w:tcPr>
            <w:tcW w:w="986" w:type="dxa"/>
            <w:vMerge/>
            <w:tcBorders>
              <w:top w:val="nil"/>
              <w:left w:val="nil"/>
              <w:bottom w:val="nil"/>
              <w:right w:val="nil"/>
            </w:tcBorders>
            <w:vAlign w:val="center"/>
            <w:hideMark/>
          </w:tcPr>
          <w:p w14:paraId="0B375933"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c>
          <w:tcPr>
            <w:tcW w:w="1230" w:type="dxa"/>
            <w:vMerge/>
            <w:tcBorders>
              <w:top w:val="nil"/>
              <w:left w:val="nil"/>
              <w:bottom w:val="nil"/>
              <w:right w:val="nil"/>
            </w:tcBorders>
            <w:vAlign w:val="center"/>
            <w:hideMark/>
          </w:tcPr>
          <w:p w14:paraId="6565A595"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c>
          <w:tcPr>
            <w:tcW w:w="922" w:type="dxa"/>
            <w:vMerge/>
            <w:tcBorders>
              <w:top w:val="nil"/>
              <w:left w:val="nil"/>
              <w:bottom w:val="nil"/>
              <w:right w:val="nil"/>
            </w:tcBorders>
            <w:vAlign w:val="center"/>
            <w:hideMark/>
          </w:tcPr>
          <w:p w14:paraId="078E3DD8" w14:textId="77777777" w:rsidR="00DC421D" w:rsidRPr="00DC421D" w:rsidRDefault="00DC421D" w:rsidP="00DC421D">
            <w:pPr>
              <w:spacing w:after="0" w:line="240" w:lineRule="auto"/>
              <w:rPr>
                <w:rFonts w:ascii="Arial Narrow" w:eastAsia="Times New Roman" w:hAnsi="Arial Narrow" w:cs="Times New Roman"/>
                <w:b/>
                <w:bCs/>
                <w:color w:val="000000"/>
                <w:sz w:val="16"/>
                <w:szCs w:val="16"/>
                <w:lang w:val="en-US"/>
              </w:rPr>
            </w:pPr>
          </w:p>
        </w:tc>
      </w:tr>
      <w:tr w:rsidR="00DC421D" w:rsidRPr="00DC421D" w14:paraId="5C026370" w14:textId="77777777" w:rsidTr="0096174B">
        <w:trPr>
          <w:divId w:val="1424491708"/>
          <w:trHeight w:val="438"/>
        </w:trPr>
        <w:tc>
          <w:tcPr>
            <w:tcW w:w="5313" w:type="dxa"/>
            <w:tcBorders>
              <w:top w:val="nil"/>
              <w:left w:val="nil"/>
              <w:bottom w:val="nil"/>
              <w:right w:val="nil"/>
            </w:tcBorders>
            <w:shd w:val="clear" w:color="auto" w:fill="auto"/>
            <w:vAlign w:val="center"/>
            <w:hideMark/>
          </w:tcPr>
          <w:p w14:paraId="1DA2608C"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Project on IP and Gastronomic Tourism in Peru and Other Developing Countries: Promoting the Development of Gastronomic Tourism through IP  – Phase II </w:t>
            </w:r>
            <w:r w:rsidRPr="00DC421D">
              <w:rPr>
                <w:rFonts w:ascii="Arial Narrow" w:eastAsia="Times New Roman" w:hAnsi="Arial Narrow" w:cs="Times New Roman"/>
                <w:sz w:val="16"/>
                <w:szCs w:val="16"/>
                <w:vertAlign w:val="superscript"/>
                <w:lang w:val="en-US"/>
              </w:rPr>
              <w:t>1</w:t>
            </w:r>
          </w:p>
        </w:tc>
        <w:tc>
          <w:tcPr>
            <w:tcW w:w="902" w:type="dxa"/>
            <w:tcBorders>
              <w:top w:val="nil"/>
              <w:left w:val="nil"/>
              <w:bottom w:val="nil"/>
              <w:right w:val="nil"/>
            </w:tcBorders>
            <w:shd w:val="clear" w:color="auto" w:fill="auto"/>
            <w:vAlign w:val="center"/>
            <w:hideMark/>
          </w:tcPr>
          <w:p w14:paraId="795EAA0E"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BD</w:t>
            </w:r>
          </w:p>
        </w:tc>
        <w:tc>
          <w:tcPr>
            <w:tcW w:w="986" w:type="dxa"/>
            <w:tcBorders>
              <w:top w:val="nil"/>
              <w:left w:val="nil"/>
              <w:bottom w:val="nil"/>
              <w:right w:val="nil"/>
            </w:tcBorders>
            <w:shd w:val="clear" w:color="auto" w:fill="auto"/>
            <w:vAlign w:val="center"/>
            <w:hideMark/>
          </w:tcPr>
          <w:p w14:paraId="3FAEDB10"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3216D7F2"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197 </w:t>
            </w:r>
          </w:p>
        </w:tc>
        <w:tc>
          <w:tcPr>
            <w:tcW w:w="922" w:type="dxa"/>
            <w:tcBorders>
              <w:top w:val="nil"/>
              <w:left w:val="nil"/>
              <w:bottom w:val="nil"/>
              <w:right w:val="nil"/>
            </w:tcBorders>
            <w:shd w:val="clear" w:color="auto" w:fill="auto"/>
            <w:vAlign w:val="center"/>
            <w:hideMark/>
          </w:tcPr>
          <w:p w14:paraId="31671E4E"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197 </w:t>
            </w:r>
          </w:p>
        </w:tc>
      </w:tr>
      <w:tr w:rsidR="00DC421D" w:rsidRPr="00DC421D" w14:paraId="0ACDF263" w14:textId="77777777" w:rsidTr="0096174B">
        <w:trPr>
          <w:divId w:val="1424491708"/>
          <w:trHeight w:val="558"/>
        </w:trPr>
        <w:tc>
          <w:tcPr>
            <w:tcW w:w="5313" w:type="dxa"/>
            <w:tcBorders>
              <w:top w:val="nil"/>
              <w:left w:val="nil"/>
              <w:bottom w:val="nil"/>
              <w:right w:val="nil"/>
            </w:tcBorders>
            <w:shd w:val="clear" w:color="auto" w:fill="auto"/>
            <w:vAlign w:val="center"/>
            <w:hideMark/>
          </w:tcPr>
          <w:p w14:paraId="62AD9601"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Development of the Music Sector and New Economic Models of Music in Burkina Faso and in Certain Countries of the West African Economic and Monetary Union (WAEMU)</w:t>
            </w:r>
          </w:p>
        </w:tc>
        <w:tc>
          <w:tcPr>
            <w:tcW w:w="902" w:type="dxa"/>
            <w:tcBorders>
              <w:top w:val="nil"/>
              <w:left w:val="nil"/>
              <w:bottom w:val="nil"/>
              <w:right w:val="nil"/>
            </w:tcBorders>
            <w:shd w:val="clear" w:color="auto" w:fill="auto"/>
            <w:vAlign w:val="center"/>
            <w:hideMark/>
          </w:tcPr>
          <w:p w14:paraId="386087CB"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CCI</w:t>
            </w:r>
          </w:p>
        </w:tc>
        <w:tc>
          <w:tcPr>
            <w:tcW w:w="986" w:type="dxa"/>
            <w:tcBorders>
              <w:top w:val="nil"/>
              <w:left w:val="nil"/>
              <w:bottom w:val="nil"/>
              <w:right w:val="nil"/>
            </w:tcBorders>
            <w:shd w:val="clear" w:color="auto" w:fill="auto"/>
            <w:vAlign w:val="center"/>
            <w:hideMark/>
          </w:tcPr>
          <w:p w14:paraId="6A465202"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57 </w:t>
            </w:r>
          </w:p>
        </w:tc>
        <w:tc>
          <w:tcPr>
            <w:tcW w:w="1230" w:type="dxa"/>
            <w:tcBorders>
              <w:top w:val="nil"/>
              <w:left w:val="nil"/>
              <w:bottom w:val="nil"/>
              <w:right w:val="nil"/>
            </w:tcBorders>
            <w:shd w:val="clear" w:color="auto" w:fill="auto"/>
            <w:vAlign w:val="center"/>
            <w:hideMark/>
          </w:tcPr>
          <w:p w14:paraId="26C4F9B5"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291 </w:t>
            </w:r>
          </w:p>
        </w:tc>
        <w:tc>
          <w:tcPr>
            <w:tcW w:w="922" w:type="dxa"/>
            <w:tcBorders>
              <w:top w:val="nil"/>
              <w:left w:val="nil"/>
              <w:bottom w:val="nil"/>
              <w:right w:val="nil"/>
            </w:tcBorders>
            <w:shd w:val="clear" w:color="auto" w:fill="auto"/>
            <w:vAlign w:val="center"/>
            <w:hideMark/>
          </w:tcPr>
          <w:p w14:paraId="6DAC6C91"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348 </w:t>
            </w:r>
          </w:p>
        </w:tc>
      </w:tr>
      <w:tr w:rsidR="00DC421D" w:rsidRPr="00DC421D" w14:paraId="10F52DDC" w14:textId="77777777" w:rsidTr="0096174B">
        <w:trPr>
          <w:divId w:val="1424491708"/>
          <w:trHeight w:val="438"/>
        </w:trPr>
        <w:tc>
          <w:tcPr>
            <w:tcW w:w="5313" w:type="dxa"/>
            <w:tcBorders>
              <w:top w:val="nil"/>
              <w:left w:val="nil"/>
              <w:bottom w:val="nil"/>
              <w:right w:val="nil"/>
            </w:tcBorders>
            <w:shd w:val="clear" w:color="auto" w:fill="auto"/>
            <w:vAlign w:val="center"/>
            <w:hideMark/>
          </w:tcPr>
          <w:p w14:paraId="19D86F3F"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Promoting the Use of Intellectual Property (IP) in Developing Countries in Creative Industries in the Digital Era</w:t>
            </w:r>
          </w:p>
        </w:tc>
        <w:tc>
          <w:tcPr>
            <w:tcW w:w="902" w:type="dxa"/>
            <w:tcBorders>
              <w:top w:val="nil"/>
              <w:left w:val="nil"/>
              <w:bottom w:val="nil"/>
              <w:right w:val="nil"/>
            </w:tcBorders>
            <w:shd w:val="clear" w:color="auto" w:fill="auto"/>
            <w:vAlign w:val="center"/>
            <w:hideMark/>
          </w:tcPr>
          <w:p w14:paraId="1F308EF8"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CCI</w:t>
            </w:r>
          </w:p>
        </w:tc>
        <w:tc>
          <w:tcPr>
            <w:tcW w:w="986" w:type="dxa"/>
            <w:tcBorders>
              <w:top w:val="nil"/>
              <w:left w:val="nil"/>
              <w:bottom w:val="nil"/>
              <w:right w:val="nil"/>
            </w:tcBorders>
            <w:shd w:val="clear" w:color="auto" w:fill="auto"/>
            <w:vAlign w:val="center"/>
            <w:hideMark/>
          </w:tcPr>
          <w:p w14:paraId="24E973B9"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2B093974"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377 </w:t>
            </w:r>
          </w:p>
        </w:tc>
        <w:tc>
          <w:tcPr>
            <w:tcW w:w="922" w:type="dxa"/>
            <w:tcBorders>
              <w:top w:val="nil"/>
              <w:left w:val="nil"/>
              <w:bottom w:val="nil"/>
              <w:right w:val="nil"/>
            </w:tcBorders>
            <w:shd w:val="clear" w:color="auto" w:fill="auto"/>
            <w:vAlign w:val="center"/>
            <w:hideMark/>
          </w:tcPr>
          <w:p w14:paraId="1BEDE84A"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377 </w:t>
            </w:r>
          </w:p>
        </w:tc>
      </w:tr>
      <w:tr w:rsidR="00DC421D" w:rsidRPr="00DC421D" w14:paraId="3F380BEB" w14:textId="77777777" w:rsidTr="0096174B">
        <w:trPr>
          <w:divId w:val="1424491708"/>
          <w:trHeight w:val="438"/>
        </w:trPr>
        <w:tc>
          <w:tcPr>
            <w:tcW w:w="5313" w:type="dxa"/>
            <w:tcBorders>
              <w:top w:val="nil"/>
              <w:left w:val="nil"/>
              <w:bottom w:val="nil"/>
              <w:right w:val="nil"/>
            </w:tcBorders>
            <w:shd w:val="clear" w:color="auto" w:fill="auto"/>
            <w:vAlign w:val="center"/>
            <w:hideMark/>
          </w:tcPr>
          <w:p w14:paraId="28ED15A2"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Text and Data Mining to Support Research and Innovation in Universities and Other Research-Oriented Institutions </w:t>
            </w:r>
            <w:r w:rsidRPr="00DC421D">
              <w:rPr>
                <w:rFonts w:ascii="Arial Narrow" w:eastAsia="Times New Roman" w:hAnsi="Arial Narrow" w:cs="Times New Roman"/>
                <w:sz w:val="16"/>
                <w:szCs w:val="16"/>
                <w:vertAlign w:val="superscript"/>
                <w:lang w:val="en-US"/>
              </w:rPr>
              <w:t>2</w:t>
            </w:r>
          </w:p>
        </w:tc>
        <w:tc>
          <w:tcPr>
            <w:tcW w:w="902" w:type="dxa"/>
            <w:tcBorders>
              <w:top w:val="nil"/>
              <w:left w:val="nil"/>
              <w:bottom w:val="nil"/>
              <w:right w:val="nil"/>
            </w:tcBorders>
            <w:shd w:val="clear" w:color="auto" w:fill="auto"/>
            <w:vAlign w:val="center"/>
            <w:hideMark/>
          </w:tcPr>
          <w:p w14:paraId="2A63B0FC"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CCI</w:t>
            </w:r>
          </w:p>
        </w:tc>
        <w:tc>
          <w:tcPr>
            <w:tcW w:w="986" w:type="dxa"/>
            <w:tcBorders>
              <w:top w:val="nil"/>
              <w:left w:val="nil"/>
              <w:bottom w:val="nil"/>
              <w:right w:val="nil"/>
            </w:tcBorders>
            <w:shd w:val="clear" w:color="auto" w:fill="auto"/>
            <w:vAlign w:val="center"/>
            <w:hideMark/>
          </w:tcPr>
          <w:p w14:paraId="4D8971D0"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2CE0103B"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468 </w:t>
            </w:r>
          </w:p>
        </w:tc>
        <w:tc>
          <w:tcPr>
            <w:tcW w:w="922" w:type="dxa"/>
            <w:tcBorders>
              <w:top w:val="nil"/>
              <w:left w:val="nil"/>
              <w:bottom w:val="nil"/>
              <w:right w:val="nil"/>
            </w:tcBorders>
            <w:shd w:val="clear" w:color="auto" w:fill="auto"/>
            <w:vAlign w:val="center"/>
            <w:hideMark/>
          </w:tcPr>
          <w:p w14:paraId="2ADB6ED8"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468 </w:t>
            </w:r>
          </w:p>
        </w:tc>
      </w:tr>
      <w:tr w:rsidR="00DC421D" w:rsidRPr="00DC421D" w14:paraId="52C63710" w14:textId="77777777" w:rsidTr="0096174B">
        <w:trPr>
          <w:divId w:val="1424491708"/>
          <w:trHeight w:val="438"/>
        </w:trPr>
        <w:tc>
          <w:tcPr>
            <w:tcW w:w="5313" w:type="dxa"/>
            <w:tcBorders>
              <w:top w:val="nil"/>
              <w:left w:val="nil"/>
              <w:bottom w:val="nil"/>
              <w:right w:val="nil"/>
            </w:tcBorders>
            <w:shd w:val="clear" w:color="auto" w:fill="auto"/>
            <w:vAlign w:val="center"/>
            <w:hideMark/>
          </w:tcPr>
          <w:p w14:paraId="642DF9BB"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Empowering Small Businesses Through IP: Developing Strategies for Supporting Geographical Indications or Collective Marks in the Post-registration Period</w:t>
            </w:r>
          </w:p>
        </w:tc>
        <w:tc>
          <w:tcPr>
            <w:tcW w:w="902" w:type="dxa"/>
            <w:tcBorders>
              <w:top w:val="nil"/>
              <w:left w:val="nil"/>
              <w:bottom w:val="nil"/>
              <w:right w:val="nil"/>
            </w:tcBorders>
            <w:shd w:val="clear" w:color="auto" w:fill="auto"/>
            <w:vAlign w:val="center"/>
            <w:hideMark/>
          </w:tcPr>
          <w:p w14:paraId="52D26016"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RND</w:t>
            </w:r>
          </w:p>
        </w:tc>
        <w:tc>
          <w:tcPr>
            <w:tcW w:w="986" w:type="dxa"/>
            <w:tcBorders>
              <w:top w:val="nil"/>
              <w:left w:val="nil"/>
              <w:bottom w:val="nil"/>
              <w:right w:val="nil"/>
            </w:tcBorders>
            <w:shd w:val="clear" w:color="auto" w:fill="auto"/>
            <w:vAlign w:val="center"/>
            <w:hideMark/>
          </w:tcPr>
          <w:p w14:paraId="6BBD0E12"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4ED1BFD3"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491 </w:t>
            </w:r>
          </w:p>
        </w:tc>
        <w:tc>
          <w:tcPr>
            <w:tcW w:w="922" w:type="dxa"/>
            <w:tcBorders>
              <w:top w:val="nil"/>
              <w:left w:val="nil"/>
              <w:bottom w:val="nil"/>
              <w:right w:val="nil"/>
            </w:tcBorders>
            <w:shd w:val="clear" w:color="auto" w:fill="auto"/>
            <w:vAlign w:val="center"/>
            <w:hideMark/>
          </w:tcPr>
          <w:p w14:paraId="5FB8E215"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491 </w:t>
            </w:r>
          </w:p>
        </w:tc>
      </w:tr>
      <w:tr w:rsidR="00DC421D" w:rsidRPr="00DC421D" w14:paraId="7A3F41B7" w14:textId="77777777" w:rsidTr="0096174B">
        <w:trPr>
          <w:divId w:val="1424491708"/>
          <w:trHeight w:val="462"/>
        </w:trPr>
        <w:tc>
          <w:tcPr>
            <w:tcW w:w="5313" w:type="dxa"/>
            <w:tcBorders>
              <w:top w:val="nil"/>
              <w:left w:val="nil"/>
              <w:bottom w:val="nil"/>
              <w:right w:val="nil"/>
            </w:tcBorders>
            <w:shd w:val="clear" w:color="auto" w:fill="auto"/>
            <w:vAlign w:val="center"/>
            <w:hideMark/>
          </w:tcPr>
          <w:p w14:paraId="193B4F2F"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Reducing Work-Related Accidents and Occupational Diseases through Innovation and Intellectual Property</w:t>
            </w:r>
          </w:p>
        </w:tc>
        <w:tc>
          <w:tcPr>
            <w:tcW w:w="902" w:type="dxa"/>
            <w:tcBorders>
              <w:top w:val="nil"/>
              <w:left w:val="nil"/>
              <w:bottom w:val="nil"/>
              <w:right w:val="nil"/>
            </w:tcBorders>
            <w:shd w:val="clear" w:color="auto" w:fill="auto"/>
            <w:vAlign w:val="center"/>
            <w:hideMark/>
          </w:tcPr>
          <w:p w14:paraId="135986E8"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RND</w:t>
            </w:r>
          </w:p>
        </w:tc>
        <w:tc>
          <w:tcPr>
            <w:tcW w:w="986" w:type="dxa"/>
            <w:tcBorders>
              <w:top w:val="nil"/>
              <w:left w:val="nil"/>
              <w:bottom w:val="nil"/>
              <w:right w:val="nil"/>
            </w:tcBorders>
            <w:shd w:val="clear" w:color="auto" w:fill="auto"/>
            <w:vAlign w:val="center"/>
            <w:hideMark/>
          </w:tcPr>
          <w:p w14:paraId="6C993B09"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4D7AB06B"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459 </w:t>
            </w:r>
          </w:p>
        </w:tc>
        <w:tc>
          <w:tcPr>
            <w:tcW w:w="922" w:type="dxa"/>
            <w:tcBorders>
              <w:top w:val="nil"/>
              <w:left w:val="nil"/>
              <w:bottom w:val="nil"/>
              <w:right w:val="nil"/>
            </w:tcBorders>
            <w:shd w:val="clear" w:color="auto" w:fill="auto"/>
            <w:vAlign w:val="center"/>
            <w:hideMark/>
          </w:tcPr>
          <w:p w14:paraId="76CEE54A"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459 </w:t>
            </w:r>
          </w:p>
        </w:tc>
      </w:tr>
      <w:tr w:rsidR="00DC421D" w:rsidRPr="00DC421D" w14:paraId="3B8A8273" w14:textId="77777777" w:rsidTr="0096174B">
        <w:trPr>
          <w:divId w:val="1424491708"/>
          <w:trHeight w:val="438"/>
        </w:trPr>
        <w:tc>
          <w:tcPr>
            <w:tcW w:w="5313" w:type="dxa"/>
            <w:tcBorders>
              <w:top w:val="nil"/>
              <w:left w:val="nil"/>
              <w:bottom w:val="nil"/>
              <w:right w:val="nil"/>
            </w:tcBorders>
            <w:shd w:val="clear" w:color="auto" w:fill="auto"/>
            <w:vAlign w:val="center"/>
            <w:hideMark/>
          </w:tcPr>
          <w:p w14:paraId="67C8F0CE"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Enhancing the use of Intellectual Property for Mobile Applications in the Software Sector - Phase II</w:t>
            </w:r>
          </w:p>
        </w:tc>
        <w:tc>
          <w:tcPr>
            <w:tcW w:w="902" w:type="dxa"/>
            <w:tcBorders>
              <w:top w:val="nil"/>
              <w:left w:val="nil"/>
              <w:bottom w:val="nil"/>
              <w:right w:val="nil"/>
            </w:tcBorders>
            <w:shd w:val="clear" w:color="auto" w:fill="auto"/>
            <w:vAlign w:val="center"/>
            <w:hideMark/>
          </w:tcPr>
          <w:p w14:paraId="22CAFB42"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RND</w:t>
            </w:r>
          </w:p>
        </w:tc>
        <w:tc>
          <w:tcPr>
            <w:tcW w:w="986" w:type="dxa"/>
            <w:tcBorders>
              <w:top w:val="nil"/>
              <w:left w:val="nil"/>
              <w:bottom w:val="nil"/>
              <w:right w:val="nil"/>
            </w:tcBorders>
            <w:shd w:val="clear" w:color="auto" w:fill="auto"/>
            <w:vAlign w:val="center"/>
            <w:hideMark/>
          </w:tcPr>
          <w:p w14:paraId="6015E672"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43368A97"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30 </w:t>
            </w:r>
          </w:p>
        </w:tc>
        <w:tc>
          <w:tcPr>
            <w:tcW w:w="922" w:type="dxa"/>
            <w:tcBorders>
              <w:top w:val="nil"/>
              <w:left w:val="nil"/>
              <w:bottom w:val="nil"/>
              <w:right w:val="nil"/>
            </w:tcBorders>
            <w:shd w:val="clear" w:color="auto" w:fill="auto"/>
            <w:vAlign w:val="center"/>
            <w:hideMark/>
          </w:tcPr>
          <w:p w14:paraId="1E6FA144"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30 </w:t>
            </w:r>
          </w:p>
        </w:tc>
      </w:tr>
      <w:tr w:rsidR="00DC421D" w:rsidRPr="00DC421D" w14:paraId="082F2A78" w14:textId="77777777" w:rsidTr="0096174B">
        <w:trPr>
          <w:divId w:val="1424491708"/>
          <w:trHeight w:val="474"/>
        </w:trPr>
        <w:tc>
          <w:tcPr>
            <w:tcW w:w="5313" w:type="dxa"/>
            <w:tcBorders>
              <w:top w:val="nil"/>
              <w:left w:val="nil"/>
              <w:bottom w:val="nil"/>
              <w:right w:val="nil"/>
            </w:tcBorders>
            <w:shd w:val="clear" w:color="auto" w:fill="auto"/>
            <w:vAlign w:val="center"/>
            <w:hideMark/>
          </w:tcPr>
          <w:p w14:paraId="4BBB39F6"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Development of Strategies and Tools to Address Online Copyright Piracy in the African Digital Market </w:t>
            </w:r>
            <w:r w:rsidRPr="00DC421D">
              <w:rPr>
                <w:rFonts w:ascii="Arial Narrow" w:eastAsia="Times New Roman" w:hAnsi="Arial Narrow" w:cs="Times New Roman"/>
                <w:sz w:val="16"/>
                <w:szCs w:val="16"/>
                <w:vertAlign w:val="superscript"/>
                <w:lang w:val="en-US"/>
              </w:rPr>
              <w:t>3</w:t>
            </w:r>
          </w:p>
        </w:tc>
        <w:tc>
          <w:tcPr>
            <w:tcW w:w="902" w:type="dxa"/>
            <w:tcBorders>
              <w:top w:val="nil"/>
              <w:left w:val="nil"/>
              <w:bottom w:val="nil"/>
              <w:right w:val="nil"/>
            </w:tcBorders>
            <w:shd w:val="clear" w:color="auto" w:fill="auto"/>
            <w:vAlign w:val="center"/>
            <w:hideMark/>
          </w:tcPr>
          <w:p w14:paraId="68AB7771"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GCP</w:t>
            </w:r>
          </w:p>
        </w:tc>
        <w:tc>
          <w:tcPr>
            <w:tcW w:w="986" w:type="dxa"/>
            <w:tcBorders>
              <w:top w:val="nil"/>
              <w:left w:val="nil"/>
              <w:bottom w:val="nil"/>
              <w:right w:val="nil"/>
            </w:tcBorders>
            <w:shd w:val="clear" w:color="auto" w:fill="auto"/>
            <w:vAlign w:val="center"/>
            <w:hideMark/>
          </w:tcPr>
          <w:p w14:paraId="15122B88"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751CAF15"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247 </w:t>
            </w:r>
          </w:p>
        </w:tc>
        <w:tc>
          <w:tcPr>
            <w:tcW w:w="922" w:type="dxa"/>
            <w:tcBorders>
              <w:top w:val="nil"/>
              <w:left w:val="nil"/>
              <w:bottom w:val="nil"/>
              <w:right w:val="nil"/>
            </w:tcBorders>
            <w:shd w:val="clear" w:color="auto" w:fill="auto"/>
            <w:vAlign w:val="center"/>
            <w:hideMark/>
          </w:tcPr>
          <w:p w14:paraId="6875BF0C"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247 </w:t>
            </w:r>
          </w:p>
        </w:tc>
      </w:tr>
      <w:tr w:rsidR="00DC421D" w:rsidRPr="00DC421D" w14:paraId="136382AE" w14:textId="77777777" w:rsidTr="0096174B">
        <w:trPr>
          <w:divId w:val="1424491708"/>
          <w:trHeight w:val="474"/>
        </w:trPr>
        <w:tc>
          <w:tcPr>
            <w:tcW w:w="5313" w:type="dxa"/>
            <w:tcBorders>
              <w:top w:val="nil"/>
              <w:left w:val="nil"/>
              <w:bottom w:val="nil"/>
              <w:right w:val="nil"/>
            </w:tcBorders>
            <w:shd w:val="clear" w:color="auto" w:fill="auto"/>
            <w:vAlign w:val="center"/>
            <w:hideMark/>
          </w:tcPr>
          <w:p w14:paraId="147D01C8"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Systematization of statistical data and the design and implementation of a methodology for developing impact assessments on the use of the intellectual property system</w:t>
            </w:r>
          </w:p>
        </w:tc>
        <w:tc>
          <w:tcPr>
            <w:tcW w:w="902" w:type="dxa"/>
            <w:tcBorders>
              <w:top w:val="nil"/>
              <w:left w:val="nil"/>
              <w:bottom w:val="nil"/>
              <w:right w:val="nil"/>
            </w:tcBorders>
            <w:shd w:val="clear" w:color="auto" w:fill="auto"/>
            <w:vAlign w:val="center"/>
            <w:hideMark/>
          </w:tcPr>
          <w:p w14:paraId="1ABA1460" w14:textId="77777777" w:rsidR="00DC421D" w:rsidRPr="00DC421D" w:rsidRDefault="00DC421D" w:rsidP="00DC421D">
            <w:pPr>
              <w:spacing w:after="0" w:line="240" w:lineRule="auto"/>
              <w:jc w:val="center"/>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IE</w:t>
            </w:r>
          </w:p>
        </w:tc>
        <w:tc>
          <w:tcPr>
            <w:tcW w:w="986" w:type="dxa"/>
            <w:tcBorders>
              <w:top w:val="nil"/>
              <w:left w:val="nil"/>
              <w:bottom w:val="nil"/>
              <w:right w:val="nil"/>
            </w:tcBorders>
            <w:shd w:val="clear" w:color="auto" w:fill="auto"/>
            <w:vAlign w:val="center"/>
            <w:hideMark/>
          </w:tcPr>
          <w:p w14:paraId="6FAC5B9F"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w:t>
            </w:r>
          </w:p>
        </w:tc>
        <w:tc>
          <w:tcPr>
            <w:tcW w:w="1230" w:type="dxa"/>
            <w:tcBorders>
              <w:top w:val="nil"/>
              <w:left w:val="nil"/>
              <w:bottom w:val="nil"/>
              <w:right w:val="nil"/>
            </w:tcBorders>
            <w:shd w:val="clear" w:color="auto" w:fill="auto"/>
            <w:vAlign w:val="center"/>
            <w:hideMark/>
          </w:tcPr>
          <w:p w14:paraId="4243DE2B"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425 </w:t>
            </w:r>
          </w:p>
        </w:tc>
        <w:tc>
          <w:tcPr>
            <w:tcW w:w="922" w:type="dxa"/>
            <w:tcBorders>
              <w:top w:val="nil"/>
              <w:left w:val="nil"/>
              <w:bottom w:val="nil"/>
              <w:right w:val="nil"/>
            </w:tcBorders>
            <w:shd w:val="clear" w:color="auto" w:fill="auto"/>
            <w:vAlign w:val="center"/>
            <w:hideMark/>
          </w:tcPr>
          <w:p w14:paraId="40AEF7C1"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xml:space="preserve">425 </w:t>
            </w:r>
          </w:p>
        </w:tc>
      </w:tr>
      <w:tr w:rsidR="00DC421D" w:rsidRPr="00DC421D" w14:paraId="66F7E35E" w14:textId="77777777" w:rsidTr="0096174B">
        <w:trPr>
          <w:divId w:val="1424491708"/>
          <w:trHeight w:val="295"/>
        </w:trPr>
        <w:tc>
          <w:tcPr>
            <w:tcW w:w="5313" w:type="dxa"/>
            <w:tcBorders>
              <w:top w:val="single" w:sz="4" w:space="0" w:color="C7CFD8"/>
              <w:left w:val="nil"/>
              <w:bottom w:val="single" w:sz="8" w:space="0" w:color="C7CFD8"/>
              <w:right w:val="single" w:sz="4" w:space="0" w:color="FFFFFF"/>
            </w:tcBorders>
            <w:shd w:val="clear" w:color="auto" w:fill="auto"/>
            <w:vAlign w:val="center"/>
            <w:hideMark/>
          </w:tcPr>
          <w:p w14:paraId="6B98FF56" w14:textId="77777777" w:rsidR="00DC421D" w:rsidRPr="00DC421D" w:rsidRDefault="00DC421D" w:rsidP="00DC421D">
            <w:pPr>
              <w:spacing w:after="0" w:line="240" w:lineRule="auto"/>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Total</w:t>
            </w:r>
          </w:p>
        </w:tc>
        <w:tc>
          <w:tcPr>
            <w:tcW w:w="902" w:type="dxa"/>
            <w:tcBorders>
              <w:top w:val="single" w:sz="4" w:space="0" w:color="C7CFD8"/>
              <w:left w:val="nil"/>
              <w:bottom w:val="single" w:sz="8" w:space="0" w:color="C7CFD8"/>
              <w:right w:val="single" w:sz="4" w:space="0" w:color="FFFFFF"/>
            </w:tcBorders>
            <w:shd w:val="clear" w:color="auto" w:fill="auto"/>
            <w:vAlign w:val="center"/>
            <w:hideMark/>
          </w:tcPr>
          <w:p w14:paraId="678873EF"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 </w:t>
            </w:r>
          </w:p>
        </w:tc>
        <w:tc>
          <w:tcPr>
            <w:tcW w:w="986" w:type="dxa"/>
            <w:tcBorders>
              <w:top w:val="single" w:sz="4" w:space="0" w:color="C7CFD8"/>
              <w:left w:val="nil"/>
              <w:bottom w:val="single" w:sz="8" w:space="0" w:color="C7CFD8"/>
              <w:right w:val="nil"/>
            </w:tcBorders>
            <w:shd w:val="clear" w:color="auto" w:fill="auto"/>
            <w:vAlign w:val="center"/>
            <w:hideMark/>
          </w:tcPr>
          <w:p w14:paraId="78D49507"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57 </w:t>
            </w:r>
          </w:p>
        </w:tc>
        <w:tc>
          <w:tcPr>
            <w:tcW w:w="1230" w:type="dxa"/>
            <w:tcBorders>
              <w:top w:val="single" w:sz="4" w:space="0" w:color="C7CFD8"/>
              <w:left w:val="nil"/>
              <w:bottom w:val="single" w:sz="8" w:space="0" w:color="C7CFD8"/>
              <w:right w:val="nil"/>
            </w:tcBorders>
            <w:shd w:val="clear" w:color="auto" w:fill="auto"/>
            <w:vAlign w:val="center"/>
            <w:hideMark/>
          </w:tcPr>
          <w:p w14:paraId="0E661B64"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2,986 </w:t>
            </w:r>
          </w:p>
        </w:tc>
        <w:tc>
          <w:tcPr>
            <w:tcW w:w="922" w:type="dxa"/>
            <w:tcBorders>
              <w:top w:val="single" w:sz="4" w:space="0" w:color="C7CFD8"/>
              <w:left w:val="nil"/>
              <w:bottom w:val="single" w:sz="8" w:space="0" w:color="C7CFD8"/>
              <w:right w:val="nil"/>
            </w:tcBorders>
            <w:shd w:val="clear" w:color="auto" w:fill="auto"/>
            <w:vAlign w:val="center"/>
            <w:hideMark/>
          </w:tcPr>
          <w:p w14:paraId="7E3589E4" w14:textId="77777777" w:rsidR="00DC421D" w:rsidRPr="00DC421D" w:rsidRDefault="00DC421D" w:rsidP="00DC421D">
            <w:pPr>
              <w:spacing w:after="0" w:line="240" w:lineRule="auto"/>
              <w:ind w:firstLineChars="100" w:firstLine="160"/>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3,043 </w:t>
            </w:r>
          </w:p>
        </w:tc>
      </w:tr>
      <w:tr w:rsidR="00DC421D" w:rsidRPr="00DC421D" w14:paraId="1151A4BD" w14:textId="77777777" w:rsidTr="00CA11DE">
        <w:trPr>
          <w:divId w:val="1424491708"/>
          <w:trHeight w:val="46"/>
        </w:trPr>
        <w:tc>
          <w:tcPr>
            <w:tcW w:w="5313" w:type="dxa"/>
            <w:tcBorders>
              <w:top w:val="nil"/>
              <w:left w:val="nil"/>
              <w:bottom w:val="nil"/>
              <w:right w:val="nil"/>
            </w:tcBorders>
            <w:shd w:val="clear" w:color="auto" w:fill="auto"/>
            <w:noWrap/>
            <w:hideMark/>
          </w:tcPr>
          <w:p w14:paraId="4EDA6A95" w14:textId="77777777" w:rsidR="00DC421D" w:rsidRPr="00CA11DE" w:rsidRDefault="00DC421D" w:rsidP="00DC421D">
            <w:pPr>
              <w:spacing w:after="0" w:line="240" w:lineRule="auto"/>
              <w:ind w:firstLineChars="100" w:firstLine="100"/>
              <w:jc w:val="right"/>
              <w:rPr>
                <w:rFonts w:ascii="Arial Narrow" w:eastAsia="Times New Roman" w:hAnsi="Arial Narrow" w:cs="Times New Roman"/>
                <w:b/>
                <w:bCs/>
                <w:sz w:val="10"/>
                <w:szCs w:val="16"/>
                <w:lang w:val="en-US"/>
              </w:rPr>
            </w:pPr>
          </w:p>
        </w:tc>
        <w:tc>
          <w:tcPr>
            <w:tcW w:w="902" w:type="dxa"/>
            <w:tcBorders>
              <w:top w:val="nil"/>
              <w:left w:val="nil"/>
              <w:bottom w:val="nil"/>
              <w:right w:val="nil"/>
            </w:tcBorders>
            <w:shd w:val="clear" w:color="auto" w:fill="auto"/>
            <w:noWrap/>
            <w:hideMark/>
          </w:tcPr>
          <w:p w14:paraId="2C37C360" w14:textId="77777777" w:rsidR="00DC421D" w:rsidRPr="00CA11DE" w:rsidRDefault="00DC421D" w:rsidP="00DC421D">
            <w:pPr>
              <w:spacing w:after="0" w:line="240" w:lineRule="auto"/>
              <w:rPr>
                <w:rFonts w:ascii="Times New Roman" w:eastAsia="Times New Roman" w:hAnsi="Times New Roman" w:cs="Times New Roman"/>
                <w:sz w:val="10"/>
                <w:szCs w:val="20"/>
                <w:lang w:val="en-US"/>
              </w:rPr>
            </w:pPr>
          </w:p>
        </w:tc>
        <w:tc>
          <w:tcPr>
            <w:tcW w:w="986" w:type="dxa"/>
            <w:tcBorders>
              <w:top w:val="nil"/>
              <w:left w:val="nil"/>
              <w:bottom w:val="nil"/>
              <w:right w:val="nil"/>
            </w:tcBorders>
            <w:shd w:val="clear" w:color="auto" w:fill="auto"/>
            <w:noWrap/>
            <w:hideMark/>
          </w:tcPr>
          <w:p w14:paraId="724F0D44" w14:textId="77777777" w:rsidR="00DC421D" w:rsidRPr="00CA11DE" w:rsidRDefault="00DC421D" w:rsidP="00DC421D">
            <w:pPr>
              <w:spacing w:after="0" w:line="240" w:lineRule="auto"/>
              <w:rPr>
                <w:rFonts w:ascii="Times New Roman" w:eastAsia="Times New Roman" w:hAnsi="Times New Roman" w:cs="Times New Roman"/>
                <w:sz w:val="10"/>
                <w:szCs w:val="20"/>
                <w:lang w:val="en-US"/>
              </w:rPr>
            </w:pPr>
          </w:p>
        </w:tc>
        <w:tc>
          <w:tcPr>
            <w:tcW w:w="1230" w:type="dxa"/>
            <w:tcBorders>
              <w:top w:val="nil"/>
              <w:left w:val="nil"/>
              <w:bottom w:val="nil"/>
              <w:right w:val="nil"/>
            </w:tcBorders>
            <w:shd w:val="clear" w:color="auto" w:fill="auto"/>
            <w:noWrap/>
            <w:hideMark/>
          </w:tcPr>
          <w:p w14:paraId="5DBCF046" w14:textId="77777777" w:rsidR="00DC421D" w:rsidRPr="00CA11DE" w:rsidRDefault="00DC421D" w:rsidP="00DC421D">
            <w:pPr>
              <w:spacing w:after="0" w:line="240" w:lineRule="auto"/>
              <w:rPr>
                <w:rFonts w:ascii="Times New Roman" w:eastAsia="Times New Roman" w:hAnsi="Times New Roman" w:cs="Times New Roman"/>
                <w:sz w:val="10"/>
                <w:szCs w:val="20"/>
                <w:lang w:val="en-US"/>
              </w:rPr>
            </w:pPr>
          </w:p>
        </w:tc>
        <w:tc>
          <w:tcPr>
            <w:tcW w:w="922" w:type="dxa"/>
            <w:tcBorders>
              <w:top w:val="nil"/>
              <w:left w:val="nil"/>
              <w:bottom w:val="nil"/>
              <w:right w:val="nil"/>
            </w:tcBorders>
            <w:shd w:val="clear" w:color="auto" w:fill="auto"/>
            <w:noWrap/>
            <w:hideMark/>
          </w:tcPr>
          <w:p w14:paraId="345A8FF6" w14:textId="77777777" w:rsidR="00DC421D" w:rsidRPr="00CA11DE" w:rsidRDefault="00DC421D" w:rsidP="00DC421D">
            <w:pPr>
              <w:spacing w:after="0" w:line="240" w:lineRule="auto"/>
              <w:rPr>
                <w:rFonts w:ascii="Times New Roman" w:eastAsia="Times New Roman" w:hAnsi="Times New Roman" w:cs="Times New Roman"/>
                <w:sz w:val="10"/>
                <w:szCs w:val="20"/>
                <w:lang w:val="en-US"/>
              </w:rPr>
            </w:pPr>
          </w:p>
        </w:tc>
      </w:tr>
      <w:tr w:rsidR="00DC421D" w:rsidRPr="00DC421D" w14:paraId="14BE2D09" w14:textId="77777777" w:rsidTr="0096174B">
        <w:trPr>
          <w:divId w:val="1424491708"/>
          <w:trHeight w:val="200"/>
        </w:trPr>
        <w:tc>
          <w:tcPr>
            <w:tcW w:w="7202" w:type="dxa"/>
            <w:gridSpan w:val="3"/>
            <w:tcBorders>
              <w:top w:val="nil"/>
              <w:left w:val="nil"/>
              <w:bottom w:val="nil"/>
              <w:right w:val="nil"/>
            </w:tcBorders>
            <w:shd w:val="clear" w:color="auto" w:fill="auto"/>
            <w:noWrap/>
            <w:hideMark/>
          </w:tcPr>
          <w:p w14:paraId="0429AE5F"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vertAlign w:val="superscript"/>
                <w:lang w:val="en-US"/>
              </w:rPr>
              <w:t xml:space="preserve">1 </w:t>
            </w:r>
            <w:r w:rsidRPr="00DC421D">
              <w:rPr>
                <w:rFonts w:ascii="Arial Narrow" w:eastAsia="Times New Roman" w:hAnsi="Arial Narrow" w:cs="Times New Roman"/>
                <w:sz w:val="16"/>
                <w:szCs w:val="16"/>
                <w:lang w:val="en-US"/>
              </w:rPr>
              <w:t>Subject to CDIP approval. Total project budget is 489,200 Swiss francs. Implementation timeframe: 2024-2026.</w:t>
            </w:r>
          </w:p>
        </w:tc>
        <w:tc>
          <w:tcPr>
            <w:tcW w:w="1230" w:type="dxa"/>
            <w:tcBorders>
              <w:top w:val="nil"/>
              <w:left w:val="nil"/>
              <w:bottom w:val="nil"/>
              <w:right w:val="nil"/>
            </w:tcBorders>
            <w:shd w:val="clear" w:color="auto" w:fill="auto"/>
            <w:noWrap/>
            <w:hideMark/>
          </w:tcPr>
          <w:p w14:paraId="4E131F78" w14:textId="77777777" w:rsidR="00DC421D" w:rsidRPr="00DC421D" w:rsidRDefault="00DC421D" w:rsidP="00DC421D">
            <w:pPr>
              <w:spacing w:after="0" w:line="240" w:lineRule="auto"/>
              <w:rPr>
                <w:rFonts w:ascii="Arial Narrow" w:eastAsia="Times New Roman" w:hAnsi="Arial Narrow" w:cs="Times New Roman"/>
                <w:sz w:val="16"/>
                <w:szCs w:val="16"/>
                <w:lang w:val="en-US"/>
              </w:rPr>
            </w:pPr>
          </w:p>
        </w:tc>
        <w:tc>
          <w:tcPr>
            <w:tcW w:w="922" w:type="dxa"/>
            <w:tcBorders>
              <w:top w:val="nil"/>
              <w:left w:val="nil"/>
              <w:bottom w:val="nil"/>
              <w:right w:val="nil"/>
            </w:tcBorders>
            <w:shd w:val="clear" w:color="auto" w:fill="auto"/>
            <w:noWrap/>
            <w:hideMark/>
          </w:tcPr>
          <w:p w14:paraId="4EAB17D5" w14:textId="77777777" w:rsidR="00DC421D" w:rsidRPr="00DC421D" w:rsidRDefault="00DC421D" w:rsidP="00DC421D">
            <w:pPr>
              <w:spacing w:after="0" w:line="240" w:lineRule="auto"/>
              <w:rPr>
                <w:rFonts w:ascii="Times New Roman" w:eastAsia="Times New Roman" w:hAnsi="Times New Roman" w:cs="Times New Roman"/>
                <w:sz w:val="20"/>
                <w:szCs w:val="20"/>
                <w:lang w:val="en-US"/>
              </w:rPr>
            </w:pPr>
          </w:p>
        </w:tc>
      </w:tr>
      <w:tr w:rsidR="00DC421D" w:rsidRPr="00DC421D" w14:paraId="5EF30083" w14:textId="77777777" w:rsidTr="0096174B">
        <w:trPr>
          <w:divId w:val="1424491708"/>
          <w:trHeight w:val="200"/>
        </w:trPr>
        <w:tc>
          <w:tcPr>
            <w:tcW w:w="7202" w:type="dxa"/>
            <w:gridSpan w:val="3"/>
            <w:tcBorders>
              <w:top w:val="nil"/>
              <w:left w:val="nil"/>
              <w:bottom w:val="nil"/>
              <w:right w:val="nil"/>
            </w:tcBorders>
            <w:shd w:val="clear" w:color="auto" w:fill="auto"/>
            <w:noWrap/>
            <w:hideMark/>
          </w:tcPr>
          <w:p w14:paraId="5ED25FE6"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vertAlign w:val="superscript"/>
                <w:lang w:val="en-US"/>
              </w:rPr>
              <w:t xml:space="preserve">2 </w:t>
            </w:r>
            <w:r w:rsidRPr="00DC421D">
              <w:rPr>
                <w:rFonts w:ascii="Arial Narrow" w:eastAsia="Times New Roman" w:hAnsi="Arial Narrow" w:cs="Times New Roman"/>
                <w:sz w:val="16"/>
                <w:szCs w:val="16"/>
                <w:lang w:val="en-US"/>
              </w:rPr>
              <w:t>Subject to CDIP approval. Based on the assumption that the implementation timeframe is 2024-2025.</w:t>
            </w:r>
          </w:p>
        </w:tc>
        <w:tc>
          <w:tcPr>
            <w:tcW w:w="1230" w:type="dxa"/>
            <w:tcBorders>
              <w:top w:val="nil"/>
              <w:left w:val="nil"/>
              <w:bottom w:val="nil"/>
              <w:right w:val="nil"/>
            </w:tcBorders>
            <w:shd w:val="clear" w:color="auto" w:fill="auto"/>
            <w:noWrap/>
            <w:hideMark/>
          </w:tcPr>
          <w:p w14:paraId="47B5EC25" w14:textId="77777777" w:rsidR="00DC421D" w:rsidRPr="00DC421D" w:rsidRDefault="00DC421D" w:rsidP="00DC421D">
            <w:pPr>
              <w:spacing w:after="0" w:line="240" w:lineRule="auto"/>
              <w:rPr>
                <w:rFonts w:ascii="Arial Narrow" w:eastAsia="Times New Roman" w:hAnsi="Arial Narrow" w:cs="Times New Roman"/>
                <w:sz w:val="16"/>
                <w:szCs w:val="16"/>
                <w:lang w:val="en-US"/>
              </w:rPr>
            </w:pPr>
          </w:p>
        </w:tc>
        <w:tc>
          <w:tcPr>
            <w:tcW w:w="922" w:type="dxa"/>
            <w:tcBorders>
              <w:top w:val="nil"/>
              <w:left w:val="nil"/>
              <w:bottom w:val="nil"/>
              <w:right w:val="nil"/>
            </w:tcBorders>
            <w:shd w:val="clear" w:color="auto" w:fill="auto"/>
            <w:noWrap/>
            <w:hideMark/>
          </w:tcPr>
          <w:p w14:paraId="29312F5E" w14:textId="77777777" w:rsidR="00DC421D" w:rsidRPr="00DC421D" w:rsidRDefault="00DC421D" w:rsidP="00DC421D">
            <w:pPr>
              <w:spacing w:after="0" w:line="240" w:lineRule="auto"/>
              <w:rPr>
                <w:rFonts w:ascii="Times New Roman" w:eastAsia="Times New Roman" w:hAnsi="Times New Roman" w:cs="Times New Roman"/>
                <w:sz w:val="20"/>
                <w:szCs w:val="20"/>
                <w:lang w:val="en-US"/>
              </w:rPr>
            </w:pPr>
          </w:p>
        </w:tc>
      </w:tr>
      <w:tr w:rsidR="00DC421D" w:rsidRPr="00DC421D" w14:paraId="2651C713" w14:textId="77777777" w:rsidTr="0096174B">
        <w:trPr>
          <w:divId w:val="1424491708"/>
          <w:trHeight w:val="200"/>
        </w:trPr>
        <w:tc>
          <w:tcPr>
            <w:tcW w:w="7202" w:type="dxa"/>
            <w:gridSpan w:val="3"/>
            <w:tcBorders>
              <w:top w:val="nil"/>
              <w:left w:val="nil"/>
              <w:bottom w:val="nil"/>
              <w:right w:val="nil"/>
            </w:tcBorders>
            <w:shd w:val="clear" w:color="auto" w:fill="auto"/>
            <w:noWrap/>
            <w:hideMark/>
          </w:tcPr>
          <w:p w14:paraId="2B6799DA" w14:textId="77777777" w:rsidR="00DC421D" w:rsidRPr="00DC421D" w:rsidRDefault="00DC421D" w:rsidP="00DC421D">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vertAlign w:val="superscript"/>
                <w:lang w:val="en-US"/>
              </w:rPr>
              <w:t xml:space="preserve">3 </w:t>
            </w:r>
            <w:r w:rsidRPr="00DC421D">
              <w:rPr>
                <w:rFonts w:ascii="Arial Narrow" w:eastAsia="Times New Roman" w:hAnsi="Arial Narrow" w:cs="Times New Roman"/>
                <w:sz w:val="16"/>
                <w:szCs w:val="16"/>
                <w:lang w:val="en-US"/>
              </w:rPr>
              <w:t>Subject to CDIP approval. Total project budget is 501,200 Swiss francs. Implementation timeframe: 2024-2026.</w:t>
            </w:r>
          </w:p>
        </w:tc>
        <w:tc>
          <w:tcPr>
            <w:tcW w:w="1230" w:type="dxa"/>
            <w:tcBorders>
              <w:top w:val="nil"/>
              <w:left w:val="nil"/>
              <w:bottom w:val="nil"/>
              <w:right w:val="nil"/>
            </w:tcBorders>
            <w:shd w:val="clear" w:color="auto" w:fill="auto"/>
            <w:noWrap/>
            <w:hideMark/>
          </w:tcPr>
          <w:p w14:paraId="40860820" w14:textId="77777777" w:rsidR="00DC421D" w:rsidRPr="00DC421D" w:rsidRDefault="00DC421D" w:rsidP="00DC421D">
            <w:pPr>
              <w:spacing w:after="0" w:line="240" w:lineRule="auto"/>
              <w:rPr>
                <w:rFonts w:ascii="Arial Narrow" w:eastAsia="Times New Roman" w:hAnsi="Arial Narrow" w:cs="Times New Roman"/>
                <w:sz w:val="16"/>
                <w:szCs w:val="16"/>
                <w:lang w:val="en-US"/>
              </w:rPr>
            </w:pPr>
          </w:p>
        </w:tc>
        <w:tc>
          <w:tcPr>
            <w:tcW w:w="922" w:type="dxa"/>
            <w:tcBorders>
              <w:top w:val="nil"/>
              <w:left w:val="nil"/>
              <w:bottom w:val="nil"/>
              <w:right w:val="nil"/>
            </w:tcBorders>
            <w:shd w:val="clear" w:color="auto" w:fill="auto"/>
            <w:noWrap/>
            <w:hideMark/>
          </w:tcPr>
          <w:p w14:paraId="70F29BD9" w14:textId="77777777" w:rsidR="00DC421D" w:rsidRPr="00DC421D" w:rsidRDefault="00DC421D" w:rsidP="00DC421D">
            <w:pPr>
              <w:spacing w:after="0" w:line="240" w:lineRule="auto"/>
              <w:rPr>
                <w:rFonts w:ascii="Times New Roman" w:eastAsia="Times New Roman" w:hAnsi="Times New Roman" w:cs="Times New Roman"/>
                <w:sz w:val="20"/>
                <w:szCs w:val="20"/>
                <w:lang w:val="en-US"/>
              </w:rPr>
            </w:pPr>
          </w:p>
        </w:tc>
      </w:tr>
    </w:tbl>
    <w:p w14:paraId="0CD578C7" w14:textId="4672EA86" w:rsidR="00CB1AF7" w:rsidRPr="007704E5" w:rsidRDefault="00CB1AF7" w:rsidP="007704E5">
      <w:pPr>
        <w:spacing w:after="200" w:line="276" w:lineRule="auto"/>
        <w:rPr>
          <w:color w:val="005172" w:themeColor="text2"/>
          <w:sz w:val="32"/>
          <w:lang w:val="en-US"/>
        </w:rPr>
        <w:sectPr w:rsidR="00CB1AF7" w:rsidRPr="007704E5" w:rsidSect="006525DA">
          <w:headerReference w:type="even" r:id="rId42"/>
          <w:headerReference w:type="default" r:id="rId43"/>
          <w:footerReference w:type="even" r:id="rId44"/>
          <w:footerReference w:type="default" r:id="rId45"/>
          <w:headerReference w:type="first" r:id="rId46"/>
          <w:footerReference w:type="first" r:id="rId47"/>
          <w:pgSz w:w="11906" w:h="16838"/>
          <w:pgMar w:top="1361" w:right="1134" w:bottom="1361" w:left="1134" w:header="567" w:footer="720" w:gutter="0"/>
          <w:cols w:space="708"/>
          <w:titlePg/>
          <w:docGrid w:linePitch="360"/>
        </w:sectPr>
      </w:pPr>
    </w:p>
    <w:p w14:paraId="2BE09D41" w14:textId="5AD1156C" w:rsidR="00B76AAF" w:rsidRPr="00D350B5" w:rsidRDefault="00564280" w:rsidP="001949B7">
      <w:pPr>
        <w:pStyle w:val="SectionTitleNumb"/>
        <w:rPr>
          <w:lang w:val="en-US"/>
        </w:rPr>
      </w:pPr>
      <w:bookmarkStart w:id="22" w:name="_Toc131175982"/>
      <w:r>
        <w:lastRenderedPageBreak/>
        <w:t>FINANCIAL AND RESULTS - By</w:t>
      </w:r>
      <w:r w:rsidR="002D1E39">
        <w:t xml:space="preserve"> </w:t>
      </w:r>
      <w:r w:rsidR="00756AD9">
        <w:t>Sector</w:t>
      </w:r>
      <w:bookmarkEnd w:id="22"/>
      <w:r w:rsidR="00574566" w:rsidRPr="00D350B5">
        <w:rPr>
          <w:lang w:val="en-US"/>
        </w:rPr>
        <w:t xml:space="preserve"> </w:t>
      </w:r>
    </w:p>
    <w:p w14:paraId="2CCC98A8" w14:textId="0BAF1B5F" w:rsidR="005B18FB" w:rsidRPr="00D350B5" w:rsidRDefault="00972877" w:rsidP="00802444">
      <w:pPr>
        <w:pStyle w:val="SectorTitle"/>
        <w:ind w:left="0" w:firstLine="0"/>
      </w:pPr>
      <w:bookmarkStart w:id="23" w:name="_Toc131175983"/>
      <w:r w:rsidRPr="00972877">
        <w:t>Patents and Technology</w:t>
      </w:r>
      <w:bookmarkEnd w:id="23"/>
    </w:p>
    <w:p w14:paraId="2448D43F" w14:textId="59235FC8" w:rsidR="000B2FCA" w:rsidRPr="00D350B5" w:rsidRDefault="009779B4" w:rsidP="005320C7">
      <w:pPr>
        <w:tabs>
          <w:tab w:val="left" w:pos="2685"/>
        </w:tabs>
        <w:rPr>
          <w:lang w:val="en-US"/>
        </w:rPr>
      </w:pPr>
      <w:r>
        <w:rPr>
          <w:noProof/>
          <w:lang w:val="en-US"/>
        </w:rPr>
        <w:drawing>
          <wp:inline distT="0" distB="0" distL="0" distR="0" wp14:anchorId="3D1E6528" wp14:editId="18DD4118">
            <wp:extent cx="731520" cy="365760"/>
            <wp:effectExtent l="0" t="0" r="0" b="0"/>
            <wp:docPr id="952" name="Picture 952"/>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31520" cy="365760"/>
                    </a:xfrm>
                    <a:prstGeom prst="rect">
                      <a:avLst/>
                    </a:prstGeom>
                    <a:noFill/>
                  </pic:spPr>
                </pic:pic>
              </a:graphicData>
            </a:graphic>
          </wp:inline>
        </w:drawing>
      </w:r>
      <w:r w:rsidR="005B18FB" w:rsidRPr="00D350B5">
        <w:rPr>
          <w:lang w:val="en-US"/>
        </w:rPr>
        <w:tab/>
      </w:r>
    </w:p>
    <w:p w14:paraId="14A01AAC" w14:textId="77777777" w:rsidR="00AF1120" w:rsidRPr="00D95649" w:rsidRDefault="00AF1120" w:rsidP="00AF1120">
      <w:pPr>
        <w:pStyle w:val="Heading1NoNumb"/>
        <w:rPr>
          <w:rFonts w:cs="Arial"/>
          <w:szCs w:val="32"/>
          <w:lang w:val="en-US"/>
        </w:rPr>
      </w:pPr>
      <w:r w:rsidRPr="00D95649">
        <w:rPr>
          <w:rFonts w:cs="Arial"/>
          <w:szCs w:val="32"/>
          <w:lang w:val="en-US"/>
        </w:rPr>
        <w:t>Implementation Strategies</w:t>
      </w:r>
    </w:p>
    <w:p w14:paraId="5D2C05F5" w14:textId="6989FE6E" w:rsidR="00AF1120" w:rsidRPr="00DB6CEF" w:rsidRDefault="00AF1120" w:rsidP="00AF1120">
      <w:pPr>
        <w:pStyle w:val="TableParagraph"/>
        <w:rPr>
          <w:rFonts w:ascii="Arial" w:eastAsiaTheme="minorEastAsia" w:hAnsi="Arial" w:cs="Arial"/>
          <w:sz w:val="18"/>
          <w:szCs w:val="18"/>
          <w:lang w:eastAsia="zh-CN"/>
        </w:rPr>
      </w:pPr>
      <w:r>
        <w:rPr>
          <w:rFonts w:ascii="Arial" w:eastAsiaTheme="minorEastAsia" w:hAnsi="Arial" w:cs="Arial"/>
          <w:noProof/>
          <w:sz w:val="18"/>
          <w:szCs w:val="18"/>
        </w:rPr>
        <w:drawing>
          <wp:anchor distT="0" distB="0" distL="114300" distR="114300" simplePos="0" relativeHeight="251827712" behindDoc="0" locked="0" layoutInCell="1" allowOverlap="1" wp14:anchorId="5C675E1B" wp14:editId="04922341">
            <wp:simplePos x="0" y="0"/>
            <wp:positionH relativeFrom="margin">
              <wp:align>right</wp:align>
            </wp:positionH>
            <wp:positionV relativeFrom="paragraph">
              <wp:posOffset>7620</wp:posOffset>
            </wp:positionV>
            <wp:extent cx="1436370" cy="2286000"/>
            <wp:effectExtent l="0" t="0" r="0" b="0"/>
            <wp:wrapSquare wrapText="bothSides"/>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36370" cy="2286000"/>
                    </a:xfrm>
                    <a:prstGeom prst="rect">
                      <a:avLst/>
                    </a:prstGeom>
                    <a:noFill/>
                  </pic:spPr>
                </pic:pic>
              </a:graphicData>
            </a:graphic>
          </wp:anchor>
        </w:drawing>
      </w:r>
      <w:r w:rsidRPr="00DB6CEF">
        <w:rPr>
          <w:rFonts w:ascii="Arial" w:eastAsiaTheme="minorEastAsia" w:hAnsi="Arial" w:cs="Arial"/>
          <w:sz w:val="18"/>
          <w:szCs w:val="18"/>
          <w:lang w:eastAsia="zh-CN"/>
        </w:rPr>
        <w:t xml:space="preserve">Organizations worldwide continuously operate in changing environments marked by a variety of disruptive forces. </w:t>
      </w:r>
      <w:r w:rsidR="00BB10DC">
        <w:rPr>
          <w:rFonts w:ascii="Arial" w:eastAsiaTheme="minorEastAsia" w:hAnsi="Arial" w:cs="Arial"/>
          <w:sz w:val="18"/>
          <w:szCs w:val="18"/>
          <w:lang w:eastAsia="zh-CN"/>
        </w:rPr>
        <w:t xml:space="preserve"> </w:t>
      </w:r>
      <w:r w:rsidRPr="00DB6CEF">
        <w:rPr>
          <w:rFonts w:ascii="Arial" w:eastAsiaTheme="minorEastAsia" w:hAnsi="Arial" w:cs="Arial"/>
          <w:sz w:val="18"/>
          <w:szCs w:val="18"/>
          <w:lang w:eastAsia="zh-CN"/>
        </w:rPr>
        <w:t xml:space="preserve">In this age of innovation, intellectual property (IP) is at the heart of many businesses.  In particular, patents represent an opportunity for competitive advantage, market share, licensing, partnerships, investors, and more. </w:t>
      </w:r>
      <w:r w:rsidR="00BB10DC">
        <w:rPr>
          <w:rFonts w:ascii="Arial" w:eastAsiaTheme="minorEastAsia" w:hAnsi="Arial" w:cs="Arial"/>
          <w:sz w:val="18"/>
          <w:szCs w:val="18"/>
          <w:lang w:eastAsia="zh-CN"/>
        </w:rPr>
        <w:t xml:space="preserve"> </w:t>
      </w:r>
      <w:r w:rsidRPr="00DB6CEF">
        <w:rPr>
          <w:rFonts w:ascii="Arial" w:eastAsiaTheme="minorEastAsia" w:hAnsi="Arial" w:cs="Arial"/>
          <w:sz w:val="18"/>
          <w:szCs w:val="18"/>
          <w:lang w:eastAsia="zh-CN"/>
        </w:rPr>
        <w:t>Notwithstanding the economic uncertainty stemming from more restrictive monetary policies, the global demand for patent filings is expected to continue to grow in the coming biennium.  Information technologies and the bio-medical fields will continue to lead the way, with the importance of mechanical engineering technologies declining.</w:t>
      </w:r>
    </w:p>
    <w:p w14:paraId="7CED8129" w14:textId="77777777" w:rsidR="00AF1120" w:rsidRPr="00DB6CEF" w:rsidRDefault="00AF1120" w:rsidP="00AF1120">
      <w:pPr>
        <w:pStyle w:val="TableParagraph"/>
        <w:rPr>
          <w:rFonts w:ascii="Arial" w:eastAsiaTheme="minorEastAsia" w:hAnsi="Arial" w:cs="Arial"/>
          <w:sz w:val="18"/>
          <w:szCs w:val="18"/>
          <w:lang w:eastAsia="zh-CN"/>
        </w:rPr>
      </w:pPr>
    </w:p>
    <w:p w14:paraId="3E80F715" w14:textId="77777777" w:rsidR="00AF1120" w:rsidRDefault="00AF1120" w:rsidP="00AF1120">
      <w:pPr>
        <w:pStyle w:val="TableParagraph"/>
        <w:rPr>
          <w:rFonts w:ascii="Arial" w:eastAsiaTheme="minorEastAsia" w:hAnsi="Arial" w:cs="Arial"/>
          <w:sz w:val="18"/>
          <w:szCs w:val="18"/>
          <w:lang w:eastAsia="zh-CN"/>
        </w:rPr>
      </w:pPr>
      <w:r w:rsidRPr="00DB6CEF">
        <w:rPr>
          <w:rFonts w:ascii="Arial" w:eastAsiaTheme="minorEastAsia" w:hAnsi="Arial" w:cs="Arial"/>
          <w:sz w:val="18"/>
          <w:szCs w:val="18"/>
          <w:lang w:eastAsia="zh-CN"/>
        </w:rPr>
        <w:t>In this context, the WIPO Patents and Technology Sector is responsible for several aspects of WIPO’s work.</w:t>
      </w:r>
    </w:p>
    <w:p w14:paraId="7493BDC3" w14:textId="77777777" w:rsidR="00AF1120" w:rsidRPr="00DB6CEF" w:rsidRDefault="00AF1120" w:rsidP="00AF1120">
      <w:pPr>
        <w:pStyle w:val="TableParagraph"/>
        <w:rPr>
          <w:rFonts w:ascii="Arial" w:eastAsiaTheme="minorEastAsia" w:hAnsi="Arial" w:cs="Arial"/>
          <w:sz w:val="18"/>
          <w:szCs w:val="18"/>
          <w:lang w:eastAsia="zh-CN"/>
        </w:rPr>
      </w:pPr>
    </w:p>
    <w:p w14:paraId="62E3D993" w14:textId="77777777" w:rsidR="00AF1120" w:rsidRPr="00DB6CEF" w:rsidRDefault="00AF1120" w:rsidP="00AF1120">
      <w:pPr>
        <w:pStyle w:val="TableParagraph"/>
        <w:rPr>
          <w:rFonts w:ascii="Arial" w:eastAsiaTheme="minorEastAsia" w:hAnsi="Arial" w:cs="Arial"/>
          <w:sz w:val="18"/>
          <w:szCs w:val="18"/>
          <w:lang w:eastAsia="zh-CN"/>
        </w:rPr>
      </w:pPr>
      <w:r w:rsidRPr="00DB6CEF">
        <w:rPr>
          <w:rFonts w:ascii="Arial" w:eastAsiaTheme="minorEastAsia" w:hAnsi="Arial" w:cs="Arial"/>
          <w:sz w:val="18"/>
          <w:szCs w:val="18"/>
          <w:lang w:eastAsia="zh-CN"/>
        </w:rPr>
        <w:t>First, a key part of its work under Expected Result 2.1 of the MTSP is to continue the development of balanced and effective international normative frameworks in the areas of patents and other forms of IP connected with technology.  As such, the Sector facilitates international cooperation under three WIPO treaties – the Patent Cooperation Treaty (PCT), the Patent Law Treaty, and the Budapest Treaty, in addition to the Paris Convention as it relates to patents – and supports the work of several WIPO bodies, including the Standing Committee on the Law of Patents (SCP) and the PCT Union Assembly.  As part of this work, under Expected Result 2.2, it also brings stakeholders together to discuss emerging issues and challenges to the global patent system arising from new technological, cultural, social, and economic trends.</w:t>
      </w:r>
    </w:p>
    <w:p w14:paraId="5A1EC06E" w14:textId="77777777" w:rsidR="00AF1120" w:rsidRPr="00DB6CEF" w:rsidRDefault="00AF1120" w:rsidP="00AF1120">
      <w:pPr>
        <w:pStyle w:val="TableParagraph"/>
        <w:rPr>
          <w:rFonts w:ascii="Arial" w:eastAsiaTheme="minorEastAsia" w:hAnsi="Arial" w:cs="Arial"/>
          <w:sz w:val="18"/>
          <w:szCs w:val="18"/>
          <w:lang w:eastAsia="zh-CN"/>
        </w:rPr>
      </w:pPr>
    </w:p>
    <w:p w14:paraId="68C9289B" w14:textId="77777777" w:rsidR="00AF1120" w:rsidRPr="00DB6CEF" w:rsidRDefault="00AF1120" w:rsidP="00AF1120">
      <w:pPr>
        <w:pStyle w:val="TableParagraph"/>
        <w:rPr>
          <w:rFonts w:ascii="Arial" w:eastAsiaTheme="minorEastAsia" w:hAnsi="Arial" w:cs="Arial"/>
          <w:sz w:val="18"/>
          <w:szCs w:val="18"/>
          <w:lang w:eastAsia="zh-CN"/>
        </w:rPr>
      </w:pPr>
      <w:r w:rsidRPr="00DB6CEF">
        <w:rPr>
          <w:rFonts w:ascii="Arial" w:eastAsiaTheme="minorEastAsia" w:hAnsi="Arial" w:cs="Arial"/>
          <w:sz w:val="18"/>
          <w:szCs w:val="18"/>
          <w:lang w:eastAsia="zh-CN"/>
        </w:rPr>
        <w:t>Second, under Expected Results 3.1 and 3.2, the Sector is the provider of a critical global service for the international protection of inventions through the PCT.</w:t>
      </w:r>
    </w:p>
    <w:p w14:paraId="0827AAB0" w14:textId="77777777" w:rsidR="00AF1120" w:rsidRPr="00DB6CEF" w:rsidRDefault="00AF1120" w:rsidP="00AF1120">
      <w:pPr>
        <w:pStyle w:val="TableParagraph"/>
        <w:rPr>
          <w:rFonts w:ascii="Arial" w:eastAsiaTheme="minorEastAsia" w:hAnsi="Arial" w:cs="Arial"/>
          <w:sz w:val="18"/>
          <w:szCs w:val="18"/>
          <w:lang w:eastAsia="zh-CN"/>
        </w:rPr>
      </w:pPr>
    </w:p>
    <w:p w14:paraId="74CBD662" w14:textId="77777777" w:rsidR="00AF1120" w:rsidRPr="00DB6CEF" w:rsidRDefault="00AF1120" w:rsidP="00AF1120">
      <w:pPr>
        <w:pStyle w:val="TableParagraph"/>
        <w:rPr>
          <w:rFonts w:ascii="Arial" w:eastAsiaTheme="minorEastAsia" w:hAnsi="Arial" w:cs="Arial"/>
          <w:sz w:val="18"/>
          <w:szCs w:val="18"/>
          <w:lang w:eastAsia="zh-CN"/>
        </w:rPr>
      </w:pPr>
      <w:r w:rsidRPr="00DB6CEF">
        <w:rPr>
          <w:rFonts w:ascii="Arial" w:eastAsiaTheme="minorEastAsia" w:hAnsi="Arial" w:cs="Arial"/>
          <w:sz w:val="18"/>
          <w:szCs w:val="18"/>
          <w:lang w:eastAsia="zh-CN"/>
        </w:rPr>
        <w:t>Third, as part of Expected Results 4.1, 4.2 and 4.3, the Sector also supports the use by Member States of patents and other forms of IP connected to technology by providing legislative and policy advice to the WIPO Member States and national IP Offices.  It also delivers user outreach and support, as well as training and capacity building for LDCs, developing countries, countries in transition, and developed countries.</w:t>
      </w:r>
    </w:p>
    <w:p w14:paraId="4AEC7380" w14:textId="77777777" w:rsidR="00AF1120" w:rsidRPr="00DB6CEF" w:rsidRDefault="00AF1120" w:rsidP="00AF1120">
      <w:pPr>
        <w:pStyle w:val="TableParagraph"/>
        <w:rPr>
          <w:rFonts w:ascii="Arial" w:eastAsiaTheme="minorEastAsia" w:hAnsi="Arial" w:cs="Arial"/>
          <w:sz w:val="18"/>
          <w:szCs w:val="18"/>
          <w:lang w:eastAsia="zh-CN"/>
        </w:rPr>
      </w:pPr>
    </w:p>
    <w:p w14:paraId="6C17BFC0" w14:textId="3F8835B6" w:rsidR="00AF1120" w:rsidRPr="00DB6CEF" w:rsidRDefault="00AF1120" w:rsidP="00AF1120">
      <w:pPr>
        <w:pStyle w:val="TableParagraph"/>
        <w:rPr>
          <w:rFonts w:ascii="Arial" w:eastAsiaTheme="minorEastAsia" w:hAnsi="Arial" w:cs="Arial"/>
          <w:sz w:val="18"/>
          <w:szCs w:val="18"/>
          <w:lang w:eastAsia="zh-CN"/>
        </w:rPr>
      </w:pPr>
      <w:r w:rsidRPr="006F1F81">
        <w:rPr>
          <w:rFonts w:ascii="Arial" w:eastAsiaTheme="minorEastAsia" w:hAnsi="Arial" w:cs="Arial"/>
          <w:sz w:val="18"/>
          <w:szCs w:val="18"/>
          <w:lang w:eastAsia="zh-CN"/>
        </w:rPr>
        <w:t>In addition to the above, the IP and Gender team within the Sector leads the implementation of the IP and Gender Action Plan working horizontally across all Sectors to build collaboration and communication to increase WIPO’s IP and gender-related activities and outreach, and to meet the needs and interests of Member States and other stakeholders.  In this area, the team will continue to develop and provide strategic policy and legislative advice for Member States to consider at the national and regional levels.  Gathering and anal</w:t>
      </w:r>
      <w:r w:rsidR="003E325C">
        <w:rPr>
          <w:rFonts w:ascii="Arial" w:eastAsiaTheme="minorEastAsia" w:hAnsi="Arial" w:cs="Arial"/>
          <w:sz w:val="18"/>
          <w:szCs w:val="18"/>
          <w:lang w:eastAsia="zh-CN"/>
        </w:rPr>
        <w:t>yz</w:t>
      </w:r>
      <w:r w:rsidRPr="006F1F81">
        <w:rPr>
          <w:rFonts w:ascii="Arial" w:eastAsiaTheme="minorEastAsia" w:hAnsi="Arial" w:cs="Arial"/>
          <w:sz w:val="18"/>
          <w:szCs w:val="18"/>
          <w:lang w:eastAsia="zh-CN"/>
        </w:rPr>
        <w:t xml:space="preserve">ing gender disaggregated data is also critical.  Working closely with the Department of Economics and Data Analytics and the Regional and National Development Sector, the team will strengthen WIPO’s leadership in data research and analysis regarding the role of women in the IP and innovation environment.  Through the coordination of cross-sectoral initiatives, the team will also develop new partnerships and build upon existing external collaborations to pilot new sustainable capacity-building projects and networking opportunities for women.  </w:t>
      </w:r>
      <w:r w:rsidR="00F56702" w:rsidRPr="00F56702">
        <w:rPr>
          <w:rFonts w:ascii="Arial" w:hAnsi="Arial" w:cs="Arial"/>
          <w:sz w:val="18"/>
          <w:szCs w:val="18"/>
          <w:lang w:val="en" w:eastAsia="en-GB"/>
        </w:rPr>
        <w:t>WIPO, as a United Nations specialized agency, is called upon to play a role on IP and gender with a view to build a more equitable world. The IP and Gender Action Plan and any future revisions should receive the attention and support across the Organization.</w:t>
      </w:r>
    </w:p>
    <w:p w14:paraId="6624292D" w14:textId="77777777" w:rsidR="00AF1120" w:rsidRDefault="00AF1120" w:rsidP="00AF1120">
      <w:pPr>
        <w:pStyle w:val="TableParagraph"/>
        <w:rPr>
          <w:rFonts w:ascii="Arial" w:hAnsi="Arial" w:cs="Arial"/>
          <w:sz w:val="18"/>
          <w:szCs w:val="18"/>
          <w:lang w:val="en-GB"/>
        </w:rPr>
      </w:pPr>
    </w:p>
    <w:p w14:paraId="144C8A14" w14:textId="77777777" w:rsidR="00AF1120" w:rsidRPr="00DB6CEF" w:rsidRDefault="00AF1120" w:rsidP="00AF1120">
      <w:pPr>
        <w:pStyle w:val="TableParagraph"/>
        <w:rPr>
          <w:rFonts w:ascii="Arial" w:hAnsi="Arial" w:cs="Arial"/>
          <w:sz w:val="18"/>
          <w:szCs w:val="18"/>
          <w:lang w:val="en-GB"/>
        </w:rPr>
      </w:pPr>
    </w:p>
    <w:p w14:paraId="5759D5DD" w14:textId="77777777" w:rsidR="00AF1120" w:rsidRDefault="00AF1120" w:rsidP="00AF1120">
      <w:pPr>
        <w:pStyle w:val="TableParagraph"/>
        <w:rPr>
          <w:rFonts w:ascii="Arial" w:hAnsi="Arial" w:cs="Arial"/>
          <w:color w:val="005172" w:themeColor="text2"/>
          <w:lang w:val="en-GB"/>
        </w:rPr>
      </w:pPr>
      <w:r w:rsidRPr="00DB6CEF">
        <w:rPr>
          <w:rFonts w:ascii="Arial" w:hAnsi="Arial" w:cs="Arial"/>
          <w:color w:val="005172" w:themeColor="text2"/>
          <w:lang w:val="en-GB"/>
        </w:rPr>
        <w:t>Patent and Technology Law</w:t>
      </w:r>
    </w:p>
    <w:p w14:paraId="2C6E6CC2" w14:textId="77777777" w:rsidR="00AF1120" w:rsidRPr="00DB6CEF" w:rsidRDefault="00AF1120" w:rsidP="00AF1120">
      <w:pPr>
        <w:pStyle w:val="TableParagraph"/>
        <w:rPr>
          <w:rFonts w:ascii="Arial" w:hAnsi="Arial" w:cs="Arial"/>
          <w:color w:val="005172" w:themeColor="text2"/>
          <w:lang w:val="en-GB"/>
        </w:rPr>
      </w:pPr>
    </w:p>
    <w:p w14:paraId="234F106A" w14:textId="77777777"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Over the course of the 2024/25 biennium, in the area of patent law, the Sector will continue to provide timely and reliable information to the Member State-driven normative process and support an environment conducive to engagement and dialogue among Member States.  Discussions among Member States on the identification of new issues that require multilateral attention and action will be further facilitated, with due regard given to changes in the overall technological, economic, and social context.</w:t>
      </w:r>
    </w:p>
    <w:p w14:paraId="2B35865B" w14:textId="77777777" w:rsidR="00AF1120" w:rsidRPr="00DB6CEF" w:rsidRDefault="00AF1120" w:rsidP="00AF1120">
      <w:pPr>
        <w:pStyle w:val="TableParagraph"/>
        <w:rPr>
          <w:rFonts w:ascii="Arial" w:hAnsi="Arial" w:cs="Arial"/>
          <w:sz w:val="18"/>
          <w:szCs w:val="18"/>
          <w:lang w:val="en-GB"/>
        </w:rPr>
      </w:pPr>
    </w:p>
    <w:p w14:paraId="3F700E5A" w14:textId="1E3849A4"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lastRenderedPageBreak/>
        <w:t>The Sector will strengthen its capacities in supporting the development of balanced and effective IP systems in Member States, particularly in view of the evolving global innovation ecosystem.  To this end, the ratification and full implementation of the Paris Convention, the Budapest Treaty, and the Patent Law Treaty will be further supported by providing tailored legal and practical information to Member States.  Furthermore, the Sector has refined its method of providing legislative and policy advice to beneficiary countries, being mindful of their priorities and special needs, the balanced rights and obligations that are inherent to the IP system, and the differing levels of development among Member States.  Such tailored advisory services will be provided to Member States using updated methods and enhanced coordination with other WIPO Sectors.</w:t>
      </w:r>
    </w:p>
    <w:p w14:paraId="48E35C80" w14:textId="77777777" w:rsidR="00AF1120" w:rsidRPr="00DB6CEF" w:rsidRDefault="00AF1120" w:rsidP="00AF1120">
      <w:pPr>
        <w:pStyle w:val="TableParagraph"/>
        <w:rPr>
          <w:rFonts w:ascii="Arial" w:hAnsi="Arial" w:cs="Arial"/>
          <w:sz w:val="18"/>
          <w:szCs w:val="18"/>
          <w:lang w:val="en-GB"/>
        </w:rPr>
      </w:pPr>
    </w:p>
    <w:p w14:paraId="5560711E" w14:textId="77777777" w:rsidR="00AF1120" w:rsidRPr="00DB6CEF" w:rsidRDefault="00AF1120" w:rsidP="00AF1120">
      <w:pPr>
        <w:pStyle w:val="TableParagraph"/>
        <w:rPr>
          <w:rFonts w:ascii="Arial" w:hAnsi="Arial" w:cs="Arial"/>
          <w:sz w:val="18"/>
          <w:szCs w:val="18"/>
          <w:lang w:val="en-GB"/>
        </w:rPr>
      </w:pPr>
      <w:r w:rsidRPr="00DB6CEF">
        <w:rPr>
          <w:rFonts w:ascii="Arial" w:hAnsi="Arial" w:cs="Arial"/>
          <w:sz w:val="18"/>
          <w:szCs w:val="18"/>
          <w:lang w:val="en-GB"/>
        </w:rPr>
        <w:t>The Sector will continue addressing patent law in the context of increasingly complex technology and globalized innovation and knowledge transfer mechanisms.  The contribution of other IP rights, such as utility models and the protection of confidential information, to those mechanisms, will be further explored, with a focus on the role of trade secrets in supporting innovation and knowledge transfer in a changing global environment.  The Sector will also continue to engage with Member States and external stakeholders to explore, identify, and address current issues stemming from areas such as the intersection of patents and technological standards.  The Sector will continue delivering accurate evidence-based empirical information assisting stakeholders in making informed decisions and choices relating to patents through reinforced cooperation with other WIPO Sectors.</w:t>
      </w:r>
    </w:p>
    <w:p w14:paraId="6FE064D6" w14:textId="77777777" w:rsidR="00AF1120" w:rsidRDefault="00AF1120" w:rsidP="00AF1120">
      <w:pPr>
        <w:pStyle w:val="TableParagraph"/>
        <w:rPr>
          <w:rFonts w:ascii="Arial" w:hAnsi="Arial" w:cs="Arial"/>
          <w:sz w:val="18"/>
          <w:szCs w:val="18"/>
          <w:lang w:val="en-GB"/>
        </w:rPr>
      </w:pPr>
    </w:p>
    <w:p w14:paraId="0E8956E3" w14:textId="77777777" w:rsidR="00AF1120" w:rsidRPr="00DB6CEF" w:rsidRDefault="00AF1120" w:rsidP="00AF1120">
      <w:pPr>
        <w:pStyle w:val="TableParagraph"/>
        <w:rPr>
          <w:rFonts w:ascii="Arial" w:hAnsi="Arial" w:cs="Arial"/>
          <w:sz w:val="18"/>
          <w:szCs w:val="18"/>
          <w:lang w:val="en-GB"/>
        </w:rPr>
      </w:pPr>
    </w:p>
    <w:p w14:paraId="45D700BB" w14:textId="77777777" w:rsidR="00AF1120" w:rsidRDefault="00AF1120" w:rsidP="00AF1120">
      <w:pPr>
        <w:pStyle w:val="TableParagraph"/>
        <w:rPr>
          <w:rFonts w:ascii="Arial" w:hAnsi="Arial" w:cs="Arial"/>
          <w:color w:val="005172" w:themeColor="text2"/>
          <w:lang w:val="en-GB"/>
        </w:rPr>
      </w:pPr>
      <w:r w:rsidRPr="00DB6CEF">
        <w:rPr>
          <w:rFonts w:ascii="Arial" w:hAnsi="Arial" w:cs="Arial"/>
          <w:color w:val="005172" w:themeColor="text2"/>
          <w:lang w:val="en-GB"/>
        </w:rPr>
        <w:t xml:space="preserve">Patent Cooperation Treaty </w:t>
      </w:r>
    </w:p>
    <w:p w14:paraId="6443DD99" w14:textId="77777777" w:rsidR="00AF1120" w:rsidRPr="00DB6CEF" w:rsidRDefault="00AF1120" w:rsidP="00AF1120">
      <w:pPr>
        <w:pStyle w:val="TableParagraph"/>
        <w:rPr>
          <w:rFonts w:ascii="Arial" w:hAnsi="Arial" w:cs="Arial"/>
          <w:color w:val="005172" w:themeColor="text2"/>
          <w:lang w:val="en-GB"/>
        </w:rPr>
      </w:pPr>
    </w:p>
    <w:p w14:paraId="1A99245B" w14:textId="443832CE"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 xml:space="preserve">In the area of administering the PCT, the Sector will study additional ways of improving the PCT system, while implementing specific measures already approved by Member States.  There will be improvements to the existing features of the PCT system aimed at increasing efficiency and ensuring that international phase processing effectively supports national phase processing.  In this regard, the Sector will promote effective cooperation between Offices, International Authorities, and the International Bureau to maximize the potential benefit of electronic tools, services, and data exchange.  The Sector will continue to support International Authorities in improving the quality and timeliness of their work products, including through the development of quality metrics and investigation of collaborative search and examination of PCT applications. </w:t>
      </w:r>
      <w:r w:rsidR="00BB10DC">
        <w:rPr>
          <w:rFonts w:ascii="Arial" w:hAnsi="Arial" w:cs="Arial"/>
          <w:sz w:val="18"/>
          <w:szCs w:val="18"/>
          <w:lang w:val="en-GB"/>
        </w:rPr>
        <w:t xml:space="preserve"> </w:t>
      </w:r>
      <w:r w:rsidRPr="00DB6CEF">
        <w:rPr>
          <w:rFonts w:ascii="Arial" w:hAnsi="Arial" w:cs="Arial"/>
          <w:sz w:val="18"/>
          <w:szCs w:val="18"/>
          <w:lang w:val="en-GB"/>
        </w:rPr>
        <w:t xml:space="preserve">Filing and exchange of full text or structured data in standardized formats will be promoted, aimed at enabling improved automation of validations and processing and delivery of high-quality, standardized data to applicants, designated Offices, and patent information users.  Furthermore, the Sector will support and develop services for processing and data exchange by the International Bureau, receiving Offices, and International Searching Authorities to ensure timely, accurate, high-quality, and consistent results using common or consistent tools. </w:t>
      </w:r>
    </w:p>
    <w:p w14:paraId="00146E82" w14:textId="77777777" w:rsidR="00AF1120" w:rsidRPr="00DB6CEF" w:rsidRDefault="00AF1120" w:rsidP="00AF1120">
      <w:pPr>
        <w:pStyle w:val="TableParagraph"/>
        <w:rPr>
          <w:rFonts w:ascii="Arial" w:hAnsi="Arial" w:cs="Arial"/>
          <w:sz w:val="18"/>
          <w:szCs w:val="18"/>
          <w:lang w:val="en-GB"/>
        </w:rPr>
      </w:pPr>
    </w:p>
    <w:p w14:paraId="2AE03497" w14:textId="77777777"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 xml:space="preserve">In line with its commitment to continuous quality improvement, the PCT areas within the Sector will continue to seek feedback from PCT users and stakeholders through surveys and other outreach, in order to identify needs and opportunities to improve PCT effectiveness and customer experience.  Training for users and potential users, including in-person training and through webinars and video content, will continue.  To provide enhanced customer experience, this tailored training will further include the PCT Prime and will be deployed as webinars and seminars as comprehensive capacity-building events all around the world, integrating the PCT with additional topics in cooperation with other areas of the Organization. </w:t>
      </w:r>
    </w:p>
    <w:p w14:paraId="764E43A5" w14:textId="77777777" w:rsidR="00AF1120" w:rsidRPr="00DB6CEF" w:rsidRDefault="00AF1120" w:rsidP="00AF1120">
      <w:pPr>
        <w:pStyle w:val="TableParagraph"/>
        <w:rPr>
          <w:rFonts w:ascii="Arial" w:hAnsi="Arial" w:cs="Arial"/>
          <w:sz w:val="18"/>
          <w:szCs w:val="18"/>
          <w:lang w:val="en-GB"/>
        </w:rPr>
      </w:pPr>
    </w:p>
    <w:p w14:paraId="338600A9" w14:textId="77777777"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While WIPO’s PCT-related activities exemplify a culture of excellent customer service, the PCT continues to seek even further improvement, notably through the new cross-Sectoral Customer Service Transformation Program, which will support all of WIPO’s services to improve their respective levels of customer service.  In collaboration with WIPO’s Customer Experience Section, the PCT will develop an enhanced marketing strategy that will help drive the PCT’s ability to provide the full benefits of our IP Services, including best-in-class customer service, to current and future PCT stakeholders.  In addition, the PCT will continue to update and refine applicant-facing tools such as the ePCT platform so that it better responds to the needs and expectations of its users.</w:t>
      </w:r>
    </w:p>
    <w:p w14:paraId="36D426A4" w14:textId="77777777" w:rsidR="00AF1120" w:rsidRPr="00DB6CEF" w:rsidRDefault="00AF1120" w:rsidP="00AF1120">
      <w:pPr>
        <w:pStyle w:val="TableParagraph"/>
        <w:rPr>
          <w:rFonts w:ascii="Arial" w:hAnsi="Arial" w:cs="Arial"/>
          <w:sz w:val="18"/>
          <w:szCs w:val="18"/>
          <w:lang w:val="en-GB"/>
        </w:rPr>
      </w:pPr>
    </w:p>
    <w:p w14:paraId="03DB33DA" w14:textId="61F40813"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 xml:space="preserve">The Sector will also seek to enhance technical assistance for national phase examination by developing and delivering tailored training activities for </w:t>
      </w:r>
      <w:r w:rsidR="00BB10DC">
        <w:rPr>
          <w:rFonts w:ascii="Arial" w:hAnsi="Arial" w:cs="Arial"/>
          <w:sz w:val="18"/>
          <w:szCs w:val="18"/>
          <w:lang w:val="en-GB"/>
        </w:rPr>
        <w:t xml:space="preserve">IP </w:t>
      </w:r>
      <w:r w:rsidRPr="00DB6CEF">
        <w:rPr>
          <w:rFonts w:ascii="Arial" w:hAnsi="Arial" w:cs="Arial"/>
          <w:sz w:val="18"/>
          <w:szCs w:val="18"/>
          <w:lang w:val="en-GB"/>
        </w:rPr>
        <w:t xml:space="preserve">Offices in LDCs, developing countries, and countries in transition on the utilization of examination work products from other national phases.  It will also develop concepts and tools for competency-based examiner training management and, in cooperation with the Regional and National Development Sector, assist Offices in LDCs, developing countries, and countries in transition in implementing these concepts and tools. </w:t>
      </w:r>
    </w:p>
    <w:p w14:paraId="0B60F69C" w14:textId="77777777" w:rsidR="00AF1120" w:rsidRPr="00DB6CEF" w:rsidRDefault="00AF1120" w:rsidP="00AF1120">
      <w:pPr>
        <w:pStyle w:val="TableParagraph"/>
        <w:rPr>
          <w:rFonts w:ascii="Arial" w:hAnsi="Arial" w:cs="Arial"/>
          <w:sz w:val="18"/>
          <w:szCs w:val="18"/>
          <w:lang w:val="en-GB"/>
        </w:rPr>
      </w:pPr>
    </w:p>
    <w:p w14:paraId="21E16BEE" w14:textId="0CD83435" w:rsidR="00AF1120" w:rsidRDefault="00AF1120" w:rsidP="00AF1120">
      <w:pPr>
        <w:pStyle w:val="TableParagraph"/>
        <w:rPr>
          <w:rFonts w:ascii="Arial" w:hAnsi="Arial" w:cs="Arial"/>
          <w:sz w:val="18"/>
          <w:szCs w:val="18"/>
          <w:lang w:val="en-GB"/>
        </w:rPr>
      </w:pPr>
      <w:r w:rsidRPr="00DB6CEF">
        <w:rPr>
          <w:rFonts w:ascii="Arial" w:hAnsi="Arial" w:cs="Arial"/>
          <w:sz w:val="18"/>
          <w:szCs w:val="18"/>
          <w:lang w:val="en-GB"/>
        </w:rPr>
        <w:t>Efforts to transform its services will continue through establishing and extending a best-in-class future organizational model under which staff will evolve beyond their current role acting as formalities checkers of PCT applications toward new roles as knowledge providers for WIPO PCT users.  Our goal remains to support more PCT staff moving into externally facing roles where they can proactively interact with users and offer expertise on the practical advantages and applications of the International Patent System while acting as informed, energetic WIPO brand ambassadors</w:t>
      </w:r>
      <w:r w:rsidRPr="00036B60">
        <w:rPr>
          <w:rFonts w:ascii="Arial" w:hAnsi="Arial" w:cs="Arial"/>
          <w:sz w:val="18"/>
          <w:szCs w:val="18"/>
          <w:lang w:val="en-GB"/>
        </w:rPr>
        <w:t>.</w:t>
      </w:r>
      <w:r w:rsidR="00BC12E5" w:rsidRPr="00036B60">
        <w:rPr>
          <w:rFonts w:ascii="Arial" w:hAnsi="Arial" w:cs="Arial"/>
          <w:sz w:val="18"/>
          <w:szCs w:val="18"/>
          <w:lang w:val="en-GB"/>
        </w:rPr>
        <w:t xml:space="preserve">  This shall have no bearing on the focus of PCT staff on technical patent examination, which is essential to the smooth functioning of the PCT system.</w:t>
      </w:r>
      <w:r w:rsidRPr="00DB6CEF">
        <w:rPr>
          <w:rFonts w:ascii="Arial" w:hAnsi="Arial" w:cs="Arial"/>
          <w:sz w:val="18"/>
          <w:szCs w:val="18"/>
          <w:lang w:val="en-GB"/>
        </w:rPr>
        <w:t xml:space="preserve">  Alongside this transformation, the Sector will further continue to align staff skill sets with needs, to take into account changing linguistic and geographical demands as well as technological developments.  To improve the productivity and service quality of PCT Operations, investments in the development of a PCT intelligent operations system will be undertaken along with streamlining processes and strengthening management skills.  These combined efforts will enable PCT Operations to maintain the existing high-quality PCT services while delivering </w:t>
      </w:r>
      <w:r w:rsidRPr="00DB6CEF">
        <w:rPr>
          <w:rFonts w:ascii="Arial" w:hAnsi="Arial" w:cs="Arial"/>
          <w:sz w:val="18"/>
          <w:szCs w:val="18"/>
          <w:lang w:val="en-GB"/>
        </w:rPr>
        <w:lastRenderedPageBreak/>
        <w:t>increased value to users, and enhancing productivity and efficiency in a cost-effective manner.</w:t>
      </w:r>
    </w:p>
    <w:p w14:paraId="5D577D0A" w14:textId="77777777" w:rsidR="00192F4C" w:rsidRPr="00DB6CEF" w:rsidRDefault="00192F4C" w:rsidP="00AF1120">
      <w:pPr>
        <w:pStyle w:val="TableParagraph"/>
        <w:rPr>
          <w:rFonts w:ascii="Arial" w:hAnsi="Arial" w:cs="Arial"/>
          <w:sz w:val="18"/>
          <w:szCs w:val="18"/>
          <w:lang w:val="en-GB"/>
        </w:rPr>
      </w:pPr>
    </w:p>
    <w:p w14:paraId="08A2E5CA" w14:textId="77777777" w:rsidR="00AF1120" w:rsidRPr="00DB6CEF" w:rsidRDefault="00AF1120" w:rsidP="00192F4C">
      <w:pPr>
        <w:pStyle w:val="TableParagraph"/>
        <w:rPr>
          <w:rFonts w:ascii="Arial" w:hAnsi="Arial" w:cs="Arial"/>
          <w:sz w:val="18"/>
          <w:szCs w:val="18"/>
          <w:lang w:val="en-GB"/>
        </w:rPr>
      </w:pPr>
      <w:r w:rsidRPr="00DB6CEF">
        <w:rPr>
          <w:rFonts w:ascii="Arial" w:hAnsi="Arial" w:cs="Arial"/>
          <w:sz w:val="18"/>
          <w:szCs w:val="18"/>
          <w:lang w:val="en-GB"/>
        </w:rPr>
        <w:t>In parallel, the Sector will continue to implement cost containment measures for translation, such as proactive procurement approaches, adoption of new technologies, and the introduction of innovative workflows, and enhance the resilience and security levels of the ICT infrastructure underlying the PCT business and information systems.</w:t>
      </w:r>
    </w:p>
    <w:p w14:paraId="0D92D8F4" w14:textId="77777777" w:rsidR="00AF1120" w:rsidRPr="006F1BC2" w:rsidRDefault="00AF1120"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9620" w:type="dxa"/>
        <w:tblInd w:w="10" w:type="dxa"/>
        <w:tblLayout w:type="fixed"/>
        <w:tblCellMar>
          <w:left w:w="0" w:type="dxa"/>
          <w:right w:w="0" w:type="dxa"/>
        </w:tblCellMar>
        <w:tblLook w:val="04A0" w:firstRow="1" w:lastRow="0" w:firstColumn="1" w:lastColumn="0" w:noHBand="0" w:noVBand="1"/>
      </w:tblPr>
      <w:tblGrid>
        <w:gridCol w:w="2258"/>
        <w:gridCol w:w="2257"/>
        <w:gridCol w:w="3575"/>
        <w:gridCol w:w="1530"/>
      </w:tblGrid>
      <w:tr w:rsidR="00AF1120" w:rsidRPr="00DB6CEF" w14:paraId="7C5F52E9" w14:textId="77777777" w:rsidTr="005B0AE9">
        <w:trPr>
          <w:trHeight w:val="279"/>
        </w:trPr>
        <w:tc>
          <w:tcPr>
            <w:tcW w:w="2258" w:type="dxa"/>
            <w:tcBorders>
              <w:right w:val="nil"/>
            </w:tcBorders>
            <w:shd w:val="clear" w:color="auto" w:fill="C6CFD7" w:themeFill="accent3" w:themeFillTint="66"/>
            <w:tcMar>
              <w:top w:w="0" w:type="dxa"/>
              <w:left w:w="108" w:type="dxa"/>
              <w:bottom w:w="0" w:type="dxa"/>
              <w:right w:w="108" w:type="dxa"/>
            </w:tcMar>
            <w:hideMark/>
          </w:tcPr>
          <w:p w14:paraId="5599C123" w14:textId="77777777" w:rsidR="00AF1120" w:rsidRPr="00DB6CEF" w:rsidRDefault="00AF1120" w:rsidP="00750B3E">
            <w:pPr>
              <w:autoSpaceDE w:val="0"/>
              <w:autoSpaceDN w:val="0"/>
              <w:spacing w:after="0" w:line="240" w:lineRule="auto"/>
              <w:outlineLvl w:val="2"/>
              <w:rPr>
                <w:rFonts w:ascii="Arial Narrow" w:eastAsia="Times New Roman" w:hAnsi="Arial Narrow" w:cs="Arial"/>
                <w:b/>
                <w:bCs/>
                <w:sz w:val="16"/>
                <w:szCs w:val="16"/>
                <w:lang w:val="en-US"/>
              </w:rPr>
            </w:pPr>
            <w:r w:rsidRPr="00DB6CEF">
              <w:rPr>
                <w:rFonts w:ascii="Arial Narrow" w:eastAsia="Times New Roman" w:hAnsi="Arial Narrow" w:cs="Arial"/>
                <w:b/>
                <w:bCs/>
                <w:sz w:val="16"/>
                <w:szCs w:val="16"/>
                <w:lang w:val="en-US"/>
              </w:rPr>
              <w:t xml:space="preserve">Expected Result </w:t>
            </w:r>
          </w:p>
        </w:tc>
        <w:tc>
          <w:tcPr>
            <w:tcW w:w="2257" w:type="dxa"/>
            <w:tcBorders>
              <w:left w:val="nil"/>
              <w:right w:val="nil"/>
            </w:tcBorders>
            <w:shd w:val="clear" w:color="auto" w:fill="C6CFD7" w:themeFill="accent3" w:themeFillTint="66"/>
            <w:tcMar>
              <w:top w:w="0" w:type="dxa"/>
              <w:left w:w="108" w:type="dxa"/>
              <w:bottom w:w="0" w:type="dxa"/>
              <w:right w:w="108" w:type="dxa"/>
            </w:tcMar>
            <w:hideMark/>
          </w:tcPr>
          <w:p w14:paraId="069333E9" w14:textId="77777777" w:rsidR="00AF1120" w:rsidRPr="00DB6CEF" w:rsidRDefault="00AF1120" w:rsidP="00750B3E">
            <w:pPr>
              <w:autoSpaceDE w:val="0"/>
              <w:autoSpaceDN w:val="0"/>
              <w:spacing w:after="0" w:line="240" w:lineRule="auto"/>
              <w:outlineLvl w:val="2"/>
              <w:rPr>
                <w:rFonts w:ascii="Arial Narrow" w:eastAsia="Times New Roman" w:hAnsi="Arial Narrow" w:cs="Arial"/>
                <w:b/>
                <w:bCs/>
                <w:sz w:val="16"/>
                <w:szCs w:val="16"/>
                <w:lang w:val="en-US"/>
              </w:rPr>
            </w:pPr>
            <w:r w:rsidRPr="00DB6CEF">
              <w:rPr>
                <w:rFonts w:ascii="Arial Narrow" w:eastAsia="Times New Roman" w:hAnsi="Arial Narrow" w:cs="Arial"/>
                <w:b/>
                <w:bCs/>
                <w:sz w:val="16"/>
                <w:szCs w:val="16"/>
                <w:lang w:val="en-US"/>
              </w:rPr>
              <w:t>Risk</w:t>
            </w:r>
          </w:p>
        </w:tc>
        <w:tc>
          <w:tcPr>
            <w:tcW w:w="3575" w:type="dxa"/>
            <w:tcBorders>
              <w:left w:val="nil"/>
              <w:right w:val="nil"/>
            </w:tcBorders>
            <w:shd w:val="clear" w:color="auto" w:fill="C6CFD7" w:themeFill="accent3" w:themeFillTint="66"/>
            <w:tcMar>
              <w:top w:w="0" w:type="dxa"/>
              <w:left w:w="108" w:type="dxa"/>
              <w:bottom w:w="0" w:type="dxa"/>
              <w:right w:w="108" w:type="dxa"/>
            </w:tcMar>
            <w:hideMark/>
          </w:tcPr>
          <w:p w14:paraId="583B1D1A" w14:textId="77777777" w:rsidR="00AF1120" w:rsidRPr="00DB6CEF" w:rsidRDefault="00AF1120" w:rsidP="00750B3E">
            <w:pPr>
              <w:autoSpaceDE w:val="0"/>
              <w:autoSpaceDN w:val="0"/>
              <w:spacing w:after="0" w:line="240" w:lineRule="auto"/>
              <w:outlineLvl w:val="2"/>
              <w:rPr>
                <w:rFonts w:ascii="Arial Narrow" w:eastAsia="Times New Roman" w:hAnsi="Arial Narrow" w:cs="Arial"/>
                <w:b/>
                <w:bCs/>
                <w:sz w:val="16"/>
                <w:szCs w:val="16"/>
                <w:lang w:val="en-US"/>
              </w:rPr>
            </w:pPr>
            <w:r w:rsidRPr="00DB6CEF">
              <w:rPr>
                <w:rFonts w:ascii="Arial Narrow" w:eastAsia="Times New Roman" w:hAnsi="Arial Narrow" w:cs="Arial"/>
                <w:b/>
                <w:bCs/>
                <w:sz w:val="16"/>
                <w:szCs w:val="16"/>
                <w:lang w:val="en-US"/>
              </w:rPr>
              <w:t>Risk Response</w:t>
            </w:r>
          </w:p>
        </w:tc>
        <w:tc>
          <w:tcPr>
            <w:tcW w:w="1530" w:type="dxa"/>
            <w:tcBorders>
              <w:left w:val="nil"/>
            </w:tcBorders>
            <w:shd w:val="clear" w:color="auto" w:fill="C6CFD7" w:themeFill="accent3" w:themeFillTint="66"/>
            <w:tcMar>
              <w:top w:w="0" w:type="dxa"/>
              <w:left w:w="108" w:type="dxa"/>
              <w:bottom w:w="0" w:type="dxa"/>
              <w:right w:w="108" w:type="dxa"/>
            </w:tcMar>
            <w:hideMark/>
          </w:tcPr>
          <w:p w14:paraId="6ED855C5" w14:textId="77777777" w:rsidR="00AF1120" w:rsidRPr="00DB6CEF" w:rsidRDefault="00AF1120" w:rsidP="00750B3E">
            <w:pPr>
              <w:autoSpaceDE w:val="0"/>
              <w:autoSpaceDN w:val="0"/>
              <w:spacing w:after="0" w:line="240" w:lineRule="auto"/>
              <w:outlineLvl w:val="2"/>
              <w:rPr>
                <w:rFonts w:ascii="Arial Narrow" w:eastAsia="Times New Roman" w:hAnsi="Arial Narrow" w:cs="Arial"/>
                <w:b/>
                <w:bCs/>
                <w:sz w:val="16"/>
                <w:szCs w:val="16"/>
                <w:lang w:val="en-US"/>
              </w:rPr>
            </w:pPr>
            <w:r w:rsidRPr="00DB6CEF">
              <w:rPr>
                <w:rFonts w:ascii="Arial Narrow" w:eastAsia="Times New Roman" w:hAnsi="Arial Narrow" w:cs="Arial"/>
                <w:b/>
                <w:bCs/>
                <w:color w:val="000000"/>
                <w:sz w:val="16"/>
                <w:szCs w:val="16"/>
                <w:lang w:val="en-US"/>
              </w:rPr>
              <w:t xml:space="preserve">Target Residual Risk </w:t>
            </w:r>
          </w:p>
        </w:tc>
      </w:tr>
      <w:tr w:rsidR="00AF1120" w:rsidRPr="00CD5CF9" w14:paraId="7D05EC01" w14:textId="77777777" w:rsidTr="005B0AE9">
        <w:trPr>
          <w:trHeight w:val="250"/>
        </w:trPr>
        <w:tc>
          <w:tcPr>
            <w:tcW w:w="9620" w:type="dxa"/>
            <w:gridSpan w:val="4"/>
            <w:shd w:val="clear" w:color="auto" w:fill="EDF0F3" w:themeFill="accent4" w:themeFillTint="33"/>
            <w:tcMar>
              <w:top w:w="0" w:type="dxa"/>
              <w:left w:w="108" w:type="dxa"/>
              <w:bottom w:w="0" w:type="dxa"/>
              <w:right w:w="108" w:type="dxa"/>
            </w:tcMar>
            <w:hideMark/>
          </w:tcPr>
          <w:tbl>
            <w:tblPr>
              <w:tblW w:w="8977" w:type="dxa"/>
              <w:tblLayout w:type="fixed"/>
              <w:tblCellMar>
                <w:left w:w="0" w:type="dxa"/>
                <w:right w:w="0" w:type="dxa"/>
              </w:tblCellMar>
              <w:tblLook w:val="04A0" w:firstRow="1" w:lastRow="0" w:firstColumn="1" w:lastColumn="0" w:noHBand="0" w:noVBand="1"/>
            </w:tblPr>
            <w:tblGrid>
              <w:gridCol w:w="1162"/>
              <w:gridCol w:w="7815"/>
            </w:tblGrid>
            <w:tr w:rsidR="00AF1120" w:rsidRPr="00CD5CF9" w14:paraId="2F43D371" w14:textId="77777777" w:rsidTr="00750B3E">
              <w:trPr>
                <w:trHeight w:val="432"/>
              </w:trPr>
              <w:tc>
                <w:tcPr>
                  <w:tcW w:w="1162" w:type="dxa"/>
                  <w:tcMar>
                    <w:top w:w="0" w:type="dxa"/>
                    <w:left w:w="108" w:type="dxa"/>
                    <w:bottom w:w="0" w:type="dxa"/>
                    <w:right w:w="108" w:type="dxa"/>
                  </w:tcMar>
                  <w:hideMark/>
                </w:tcPr>
                <w:p w14:paraId="6FFCA7A8" w14:textId="77777777" w:rsidR="00AF1120" w:rsidRPr="00CD5CF9" w:rsidRDefault="00AF1120" w:rsidP="00750B3E">
                  <w:pPr>
                    <w:widowControl w:val="0"/>
                    <w:autoSpaceDE w:val="0"/>
                    <w:autoSpaceDN w:val="0"/>
                    <w:spacing w:after="0" w:line="240" w:lineRule="auto"/>
                    <w:ind w:hanging="360"/>
                    <w:rPr>
                      <w:rFonts w:ascii="Arial Narrow" w:eastAsia="Calibri" w:hAnsi="Arial Narrow" w:cs="Arial Narrow"/>
                      <w:color w:val="005171"/>
                      <w:sz w:val="16"/>
                      <w:szCs w:val="16"/>
                      <w:lang w:val="en-US" w:bidi="en-US"/>
                    </w:rPr>
                  </w:pPr>
                  <w:r w:rsidRPr="00CD5CF9">
                    <w:rPr>
                      <w:rFonts w:ascii="Arial Narrow" w:eastAsia="Arial Narrow" w:hAnsi="Arial Narrow" w:cs="Arial Narrow"/>
                      <w:i/>
                      <w:iCs/>
                      <w:color w:val="005171"/>
                      <w:sz w:val="16"/>
                      <w:szCs w:val="16"/>
                      <w:lang w:val="en-US" w:bidi="en-US"/>
                    </w:rPr>
                    <w:t xml:space="preserve">StraStrategic Pillar 3 </w:t>
                  </w:r>
                </w:p>
              </w:tc>
              <w:tc>
                <w:tcPr>
                  <w:tcW w:w="7815" w:type="dxa"/>
                  <w:tcMar>
                    <w:top w:w="0" w:type="dxa"/>
                    <w:left w:w="108" w:type="dxa"/>
                    <w:bottom w:w="0" w:type="dxa"/>
                    <w:right w:w="108" w:type="dxa"/>
                  </w:tcMar>
                  <w:hideMark/>
                </w:tcPr>
                <w:p w14:paraId="4AB8D157" w14:textId="77777777" w:rsidR="00AF1120" w:rsidRPr="00CD5CF9" w:rsidRDefault="00AF1120" w:rsidP="00750B3E">
                  <w:pPr>
                    <w:widowControl w:val="0"/>
                    <w:autoSpaceDE w:val="0"/>
                    <w:autoSpaceDN w:val="0"/>
                    <w:spacing w:after="0" w:line="240" w:lineRule="auto"/>
                    <w:jc w:val="center"/>
                    <w:rPr>
                      <w:rFonts w:ascii="Arial Narrow" w:eastAsia="Arial Narrow" w:hAnsi="Arial Narrow" w:cs="Arial Narrow"/>
                      <w:color w:val="005171"/>
                      <w:sz w:val="16"/>
                      <w:szCs w:val="16"/>
                      <w:lang w:val="en-US" w:bidi="en-US"/>
                    </w:rPr>
                  </w:pPr>
                  <w:r w:rsidRPr="00CD5CF9">
                    <w:rPr>
                      <w:rFonts w:ascii="Arial Narrow" w:eastAsia="Arial Narrow" w:hAnsi="Arial Narrow" w:cs="Arial Narrow"/>
                      <w:i/>
                      <w:iCs/>
                      <w:color w:val="005171"/>
                      <w:sz w:val="16"/>
                      <w:szCs w:val="16"/>
                      <w:lang w:val="en-US" w:bidi="en-US"/>
                    </w:rPr>
                    <w:t xml:space="preserve">Provide high quality intellectual property services, knowledge and data that deliver value to users around the world </w:t>
                  </w:r>
                </w:p>
              </w:tc>
            </w:tr>
          </w:tbl>
          <w:p w14:paraId="581371E9" w14:textId="77777777" w:rsidR="00AF1120" w:rsidRPr="00CD5CF9" w:rsidRDefault="00AF1120" w:rsidP="00750B3E">
            <w:pPr>
              <w:widowControl w:val="0"/>
              <w:autoSpaceDE w:val="0"/>
              <w:autoSpaceDN w:val="0"/>
              <w:spacing w:after="0" w:line="240" w:lineRule="auto"/>
              <w:rPr>
                <w:rFonts w:ascii="Times New Roman" w:eastAsia="Times New Roman" w:hAnsi="Times New Roman" w:cs="Times New Roman"/>
                <w:sz w:val="20"/>
                <w:szCs w:val="20"/>
                <w:lang w:val="en-US" w:bidi="en-US"/>
              </w:rPr>
            </w:pPr>
          </w:p>
        </w:tc>
      </w:tr>
      <w:tr w:rsidR="00AF1120" w:rsidRPr="00CD5CF9" w14:paraId="0D479695" w14:textId="77777777" w:rsidTr="005B0AE9">
        <w:trPr>
          <w:trHeight w:val="887"/>
        </w:trPr>
        <w:tc>
          <w:tcPr>
            <w:tcW w:w="2258" w:type="dxa"/>
            <w:shd w:val="clear" w:color="auto" w:fill="FFFFFF"/>
            <w:tcMar>
              <w:top w:w="0" w:type="dxa"/>
              <w:left w:w="108" w:type="dxa"/>
              <w:bottom w:w="0" w:type="dxa"/>
              <w:right w:w="108" w:type="dxa"/>
            </w:tcMar>
            <w:hideMark/>
          </w:tcPr>
          <w:p w14:paraId="673BE5EF" w14:textId="6D1E171D" w:rsidR="00AF1120" w:rsidRPr="00CD5CF9" w:rsidRDefault="00AF1120" w:rsidP="00750B3E">
            <w:pPr>
              <w:autoSpaceDE w:val="0"/>
              <w:autoSpaceDN w:val="0"/>
              <w:spacing w:before="89" w:after="0" w:line="240" w:lineRule="auto"/>
              <w:rPr>
                <w:rFonts w:ascii="Arial Narrow" w:eastAsia="Calibri" w:hAnsi="Arial Narrow" w:cs="Times New Roman"/>
                <w:b/>
                <w:bCs/>
                <w:color w:val="000000"/>
                <w:sz w:val="16"/>
                <w:szCs w:val="16"/>
                <w:lang w:val="en-US"/>
              </w:rPr>
            </w:pPr>
            <w:r w:rsidRPr="00CD5CF9">
              <w:rPr>
                <w:rFonts w:ascii="Arial Narrow" w:eastAsia="Calibri" w:hAnsi="Arial Narrow" w:cs="Times New Roman"/>
                <w:color w:val="005171"/>
                <w:sz w:val="16"/>
                <w:szCs w:val="16"/>
                <w:lang w:val="en-US"/>
              </w:rPr>
              <w:t xml:space="preserve">3.1 </w:t>
            </w:r>
            <w:r w:rsidR="00F639BD">
              <w:rPr>
                <w:rFonts w:ascii="Arial Narrow" w:eastAsia="Calibri" w:hAnsi="Arial Narrow" w:cs="Times New Roman"/>
                <w:color w:val="005171"/>
                <w:sz w:val="16"/>
                <w:szCs w:val="16"/>
                <w:lang w:val="en-US"/>
              </w:rPr>
              <w:t xml:space="preserve"> </w:t>
            </w:r>
            <w:r w:rsidRPr="00CD5CF9">
              <w:rPr>
                <w:rFonts w:ascii="Arial Narrow" w:eastAsia="Calibri" w:hAnsi="Arial Narrow" w:cs="Times New Roman"/>
                <w:color w:val="000000"/>
                <w:sz w:val="16"/>
                <w:szCs w:val="16"/>
                <w:lang w:val="en-US"/>
              </w:rPr>
              <w:t>Wider and more effective use of WIPO’s global IP systems, services, knowledge and data</w:t>
            </w:r>
          </w:p>
          <w:p w14:paraId="7FF10086" w14:textId="77777777" w:rsidR="00AF1120" w:rsidRPr="00CD5CF9" w:rsidRDefault="00AF1120" w:rsidP="00750B3E">
            <w:pPr>
              <w:autoSpaceDE w:val="0"/>
              <w:autoSpaceDN w:val="0"/>
              <w:spacing w:after="0" w:line="240" w:lineRule="auto"/>
              <w:outlineLvl w:val="2"/>
              <w:rPr>
                <w:rFonts w:ascii="Arial Narrow" w:eastAsia="Times New Roman" w:hAnsi="Arial Narrow" w:cs="Arial"/>
                <w:b/>
                <w:bCs/>
                <w:i/>
                <w:iCs/>
                <w:sz w:val="32"/>
                <w:szCs w:val="32"/>
                <w:lang w:val="en-US"/>
              </w:rPr>
            </w:pPr>
            <w:r w:rsidRPr="00CD5CF9">
              <w:rPr>
                <w:rFonts w:ascii="Arial Narrow" w:eastAsia="Times New Roman" w:hAnsi="Arial Narrow" w:cs="Arial"/>
                <w:b/>
                <w:bCs/>
                <w:i/>
                <w:iCs/>
                <w:sz w:val="16"/>
                <w:szCs w:val="16"/>
                <w:lang w:val="en-US"/>
              </w:rPr>
              <w:t>Medium risk appetite</w:t>
            </w:r>
          </w:p>
        </w:tc>
        <w:tc>
          <w:tcPr>
            <w:tcW w:w="2257" w:type="dxa"/>
            <w:shd w:val="clear" w:color="auto" w:fill="FFFFFF"/>
            <w:tcMar>
              <w:top w:w="0" w:type="dxa"/>
              <w:left w:w="108" w:type="dxa"/>
              <w:bottom w:w="0" w:type="dxa"/>
              <w:right w:w="108" w:type="dxa"/>
            </w:tcMar>
            <w:hideMark/>
          </w:tcPr>
          <w:p w14:paraId="5BAE1ACD" w14:textId="77777777" w:rsidR="00AF1120" w:rsidRPr="00CD5CF9" w:rsidRDefault="00AF1120" w:rsidP="00750B3E">
            <w:pPr>
              <w:autoSpaceDE w:val="0"/>
              <w:autoSpaceDN w:val="0"/>
              <w:spacing w:before="89" w:after="0" w:line="240" w:lineRule="auto"/>
              <w:outlineLvl w:val="2"/>
              <w:rPr>
                <w:rFonts w:ascii="Arial Narrow" w:eastAsia="Times New Roman" w:hAnsi="Arial Narrow" w:cs="Arial"/>
                <w:sz w:val="32"/>
                <w:szCs w:val="32"/>
                <w:lang w:val="en-US"/>
              </w:rPr>
            </w:pPr>
            <w:r w:rsidRPr="00CD5CF9">
              <w:rPr>
                <w:rFonts w:ascii="Arial Narrow" w:eastAsia="Times New Roman" w:hAnsi="Arial Narrow" w:cs="Arial"/>
                <w:sz w:val="16"/>
                <w:szCs w:val="16"/>
                <w:lang w:val="en-US"/>
              </w:rPr>
              <w:t>Decrease in PCT filings, in absolute terms or relative to Paris route filings.</w:t>
            </w:r>
          </w:p>
        </w:tc>
        <w:tc>
          <w:tcPr>
            <w:tcW w:w="3575" w:type="dxa"/>
            <w:shd w:val="clear" w:color="auto" w:fill="FFFFFF"/>
            <w:tcMar>
              <w:top w:w="0" w:type="dxa"/>
              <w:left w:w="108" w:type="dxa"/>
              <w:bottom w:w="0" w:type="dxa"/>
              <w:right w:w="108" w:type="dxa"/>
            </w:tcMar>
            <w:hideMark/>
          </w:tcPr>
          <w:p w14:paraId="414709B5" w14:textId="77777777" w:rsidR="00AF1120" w:rsidRPr="00CD5CF9" w:rsidRDefault="00AF1120" w:rsidP="00750B3E">
            <w:pPr>
              <w:autoSpaceDE w:val="0"/>
              <w:autoSpaceDN w:val="0"/>
              <w:spacing w:before="89" w:after="0" w:line="240" w:lineRule="auto"/>
              <w:outlineLvl w:val="2"/>
              <w:rPr>
                <w:rFonts w:ascii="Arial Narrow" w:eastAsia="Times New Roman" w:hAnsi="Arial Narrow" w:cs="Arial"/>
                <w:sz w:val="16"/>
                <w:szCs w:val="16"/>
                <w:lang w:val="en-US"/>
              </w:rPr>
            </w:pPr>
            <w:r w:rsidRPr="00CD5CF9">
              <w:rPr>
                <w:rFonts w:ascii="Arial Narrow" w:eastAsia="Times New Roman" w:hAnsi="Arial Narrow" w:cs="Arial"/>
                <w:sz w:val="16"/>
                <w:szCs w:val="16"/>
                <w:lang w:val="en-US"/>
              </w:rPr>
              <w:t>Continued improvement of PCT international phase services and promotion of the system to current and potential users.</w:t>
            </w:r>
          </w:p>
        </w:tc>
        <w:tc>
          <w:tcPr>
            <w:tcW w:w="1530" w:type="dxa"/>
            <w:shd w:val="clear" w:color="auto" w:fill="FFFFFF"/>
            <w:tcMar>
              <w:top w:w="0" w:type="dxa"/>
              <w:left w:w="108" w:type="dxa"/>
              <w:bottom w:w="0" w:type="dxa"/>
              <w:right w:w="108" w:type="dxa"/>
            </w:tcMar>
            <w:hideMark/>
          </w:tcPr>
          <w:p w14:paraId="5D4C396C" w14:textId="7668A65F" w:rsidR="00AF1120" w:rsidRDefault="00AF1120" w:rsidP="00EF3B0C">
            <w:pPr>
              <w:autoSpaceDE w:val="0"/>
              <w:autoSpaceDN w:val="0"/>
              <w:spacing w:before="89" w:after="0" w:line="240" w:lineRule="auto"/>
              <w:ind w:right="-290"/>
              <w:outlineLvl w:val="2"/>
              <w:rPr>
                <w:rFonts w:ascii="Arial Narrow" w:eastAsia="Times New Roman" w:hAnsi="Arial Narrow" w:cs="Arial"/>
                <w:sz w:val="16"/>
                <w:szCs w:val="16"/>
                <w:lang w:val="en-US"/>
              </w:rPr>
            </w:pPr>
            <w:r w:rsidRPr="00CD5CF9">
              <w:rPr>
                <w:rFonts w:ascii="Arial Narrow" w:eastAsia="Times New Roman" w:hAnsi="Arial Narrow" w:cs="Arial"/>
                <w:sz w:val="16"/>
                <w:szCs w:val="16"/>
                <w:lang w:val="en-US"/>
              </w:rPr>
              <w:t xml:space="preserve">Medium </w:t>
            </w:r>
            <w:r w:rsidR="00EB4125">
              <w:rPr>
                <w:rFonts w:ascii="Arial Narrow" w:eastAsia="Times New Roman" w:hAnsi="Arial Narrow" w:cs="Arial"/>
                <w:sz w:val="16"/>
                <w:szCs w:val="16"/>
                <w:lang w:val="en-US"/>
              </w:rPr>
              <w:t xml:space="preserve">– </w:t>
            </w:r>
          </w:p>
          <w:p w14:paraId="5043C7D0" w14:textId="69E9BEBE" w:rsidR="00AF1120" w:rsidRPr="00CD5CF9" w:rsidRDefault="00EB4125" w:rsidP="00EF3B0C">
            <w:pPr>
              <w:autoSpaceDE w:val="0"/>
              <w:autoSpaceDN w:val="0"/>
              <w:spacing w:after="0" w:line="240"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00AF1120" w:rsidRPr="00CD5CF9">
              <w:rPr>
                <w:rFonts w:ascii="Arial Narrow" w:eastAsia="Times New Roman" w:hAnsi="Arial Narrow" w:cs="Arial"/>
                <w:sz w:val="16"/>
                <w:szCs w:val="16"/>
                <w:lang w:val="en-US"/>
              </w:rPr>
              <w:t>n line with risk appetite</w:t>
            </w:r>
          </w:p>
          <w:p w14:paraId="53555FC3" w14:textId="77777777" w:rsidR="00AF1120" w:rsidRPr="00CD5CF9" w:rsidRDefault="00AF1120" w:rsidP="00750B3E">
            <w:pPr>
              <w:autoSpaceDE w:val="0"/>
              <w:autoSpaceDN w:val="0"/>
              <w:spacing w:after="0" w:line="240" w:lineRule="auto"/>
              <w:outlineLvl w:val="2"/>
              <w:rPr>
                <w:rFonts w:ascii="Arial Narrow" w:eastAsia="Times New Roman" w:hAnsi="Arial Narrow" w:cs="Arial"/>
                <w:sz w:val="16"/>
                <w:szCs w:val="16"/>
                <w:lang w:val="en-US"/>
              </w:rPr>
            </w:pPr>
          </w:p>
        </w:tc>
      </w:tr>
      <w:tr w:rsidR="00AF1120" w:rsidRPr="00CD5CF9" w14:paraId="41C20180" w14:textId="77777777" w:rsidTr="005B0AE9">
        <w:trPr>
          <w:trHeight w:val="1186"/>
        </w:trPr>
        <w:tc>
          <w:tcPr>
            <w:tcW w:w="2258" w:type="dxa"/>
            <w:tcBorders>
              <w:bottom w:val="single" w:sz="4" w:space="0" w:color="CBD4DB" w:themeColor="accent4" w:themeTint="99"/>
            </w:tcBorders>
            <w:shd w:val="clear" w:color="auto" w:fill="FFFFFF"/>
            <w:tcMar>
              <w:top w:w="0" w:type="dxa"/>
              <w:left w:w="108" w:type="dxa"/>
              <w:bottom w:w="0" w:type="dxa"/>
              <w:right w:w="108" w:type="dxa"/>
            </w:tcMar>
            <w:hideMark/>
          </w:tcPr>
          <w:p w14:paraId="0E688456" w14:textId="40412428" w:rsidR="00AF1120" w:rsidRPr="00CD5CF9" w:rsidRDefault="00AF1120" w:rsidP="00750B3E">
            <w:pPr>
              <w:autoSpaceDE w:val="0"/>
              <w:autoSpaceDN w:val="0"/>
              <w:spacing w:before="89" w:after="0" w:line="240" w:lineRule="auto"/>
              <w:rPr>
                <w:rFonts w:ascii="Arial Narrow" w:eastAsia="Calibri" w:hAnsi="Arial Narrow" w:cs="Times New Roman"/>
                <w:b/>
                <w:bCs/>
                <w:color w:val="000000"/>
                <w:sz w:val="16"/>
                <w:szCs w:val="16"/>
                <w:lang w:val="en-US"/>
              </w:rPr>
            </w:pPr>
            <w:r w:rsidRPr="00CD5CF9">
              <w:rPr>
                <w:rFonts w:ascii="Arial Narrow" w:eastAsia="Calibri" w:hAnsi="Arial Narrow" w:cs="Times New Roman"/>
                <w:color w:val="005171"/>
                <w:sz w:val="16"/>
                <w:szCs w:val="16"/>
                <w:lang w:val="en-US"/>
              </w:rPr>
              <w:t xml:space="preserve">3.2 </w:t>
            </w:r>
            <w:r w:rsidR="006D0039">
              <w:rPr>
                <w:rFonts w:ascii="Arial Narrow" w:eastAsia="Calibri" w:hAnsi="Arial Narrow" w:cs="Times New Roman"/>
                <w:color w:val="005171"/>
                <w:sz w:val="16"/>
                <w:szCs w:val="16"/>
                <w:lang w:val="en-US"/>
              </w:rPr>
              <w:t xml:space="preserve"> </w:t>
            </w:r>
            <w:r w:rsidRPr="00CD5CF9">
              <w:rPr>
                <w:rFonts w:ascii="Arial Narrow" w:eastAsia="Calibri" w:hAnsi="Arial Narrow" w:cs="Times New Roman"/>
                <w:color w:val="000000"/>
                <w:sz w:val="16"/>
                <w:szCs w:val="16"/>
                <w:lang w:val="en-US"/>
              </w:rPr>
              <w:t xml:space="preserve">Improved productivity and service quality of WIPO’s global IP systems, services, knowledge and data </w:t>
            </w:r>
          </w:p>
          <w:p w14:paraId="5AA97F2D" w14:textId="77777777" w:rsidR="00AF1120" w:rsidRPr="00CD5CF9" w:rsidRDefault="00AF1120" w:rsidP="00750B3E">
            <w:pPr>
              <w:autoSpaceDE w:val="0"/>
              <w:autoSpaceDN w:val="0"/>
              <w:spacing w:after="0" w:line="240" w:lineRule="auto"/>
              <w:outlineLvl w:val="2"/>
              <w:rPr>
                <w:rFonts w:ascii="Arial Narrow" w:eastAsia="Times New Roman" w:hAnsi="Arial Narrow" w:cs="Arial"/>
                <w:b/>
                <w:bCs/>
                <w:i/>
                <w:iCs/>
                <w:sz w:val="32"/>
                <w:szCs w:val="32"/>
                <w:lang w:val="en-US"/>
              </w:rPr>
            </w:pPr>
            <w:r w:rsidRPr="00CD5CF9">
              <w:rPr>
                <w:rFonts w:ascii="Arial Narrow" w:eastAsia="Times New Roman" w:hAnsi="Arial Narrow" w:cs="Arial"/>
                <w:b/>
                <w:bCs/>
                <w:i/>
                <w:iCs/>
                <w:sz w:val="16"/>
                <w:szCs w:val="16"/>
                <w:lang w:val="en-US"/>
              </w:rPr>
              <w:t>Low risk appetite</w:t>
            </w:r>
          </w:p>
        </w:tc>
        <w:tc>
          <w:tcPr>
            <w:tcW w:w="2257" w:type="dxa"/>
            <w:tcBorders>
              <w:bottom w:val="single" w:sz="4" w:space="0" w:color="CBD4DB" w:themeColor="accent4" w:themeTint="99"/>
            </w:tcBorders>
            <w:shd w:val="clear" w:color="auto" w:fill="FFFFFF"/>
            <w:tcMar>
              <w:top w:w="0" w:type="dxa"/>
              <w:left w:w="108" w:type="dxa"/>
              <w:bottom w:w="0" w:type="dxa"/>
              <w:right w:w="108" w:type="dxa"/>
            </w:tcMar>
            <w:hideMark/>
          </w:tcPr>
          <w:p w14:paraId="3380DA6F" w14:textId="77777777" w:rsidR="00AF1120" w:rsidRPr="00CD5CF9" w:rsidRDefault="00AF1120" w:rsidP="00750B3E">
            <w:pPr>
              <w:autoSpaceDE w:val="0"/>
              <w:autoSpaceDN w:val="0"/>
              <w:spacing w:before="89" w:after="0" w:line="240" w:lineRule="auto"/>
              <w:outlineLvl w:val="2"/>
              <w:rPr>
                <w:rFonts w:ascii="Arial Narrow" w:eastAsia="Times New Roman" w:hAnsi="Arial Narrow" w:cs="Arial"/>
                <w:sz w:val="32"/>
                <w:szCs w:val="32"/>
                <w:lang w:val="en-US"/>
              </w:rPr>
            </w:pPr>
            <w:r w:rsidRPr="00CD5CF9">
              <w:rPr>
                <w:rFonts w:ascii="Arial Narrow" w:eastAsia="Times New Roman" w:hAnsi="Arial Narrow" w:cs="Arial"/>
                <w:sz w:val="16"/>
                <w:szCs w:val="16"/>
                <w:lang w:val="en-US"/>
              </w:rPr>
              <w:t>Regression in quality of international work products.</w:t>
            </w:r>
          </w:p>
        </w:tc>
        <w:tc>
          <w:tcPr>
            <w:tcW w:w="3575" w:type="dxa"/>
            <w:tcBorders>
              <w:bottom w:val="single" w:sz="4" w:space="0" w:color="CBD4DB" w:themeColor="accent4" w:themeTint="99"/>
            </w:tcBorders>
            <w:shd w:val="clear" w:color="auto" w:fill="FFFFFF"/>
            <w:tcMar>
              <w:top w:w="0" w:type="dxa"/>
              <w:left w:w="108" w:type="dxa"/>
              <w:bottom w:w="0" w:type="dxa"/>
              <w:right w:w="108" w:type="dxa"/>
            </w:tcMar>
            <w:hideMark/>
          </w:tcPr>
          <w:p w14:paraId="71489C2E" w14:textId="77777777" w:rsidR="00AF1120" w:rsidRPr="00CD5CF9" w:rsidRDefault="00AF1120" w:rsidP="00750B3E">
            <w:pPr>
              <w:autoSpaceDE w:val="0"/>
              <w:autoSpaceDN w:val="0"/>
              <w:spacing w:before="89" w:after="0" w:line="240" w:lineRule="auto"/>
              <w:outlineLvl w:val="2"/>
              <w:rPr>
                <w:rFonts w:ascii="Arial Narrow" w:eastAsia="Times New Roman" w:hAnsi="Arial Narrow" w:cs="Arial"/>
                <w:sz w:val="16"/>
                <w:szCs w:val="16"/>
                <w:lang w:val="en-US"/>
              </w:rPr>
            </w:pPr>
            <w:r w:rsidRPr="00CD5CF9">
              <w:rPr>
                <w:rFonts w:ascii="Arial Narrow" w:eastAsia="Times New Roman" w:hAnsi="Arial Narrow" w:cs="Arial"/>
                <w:sz w:val="16"/>
                <w:szCs w:val="16"/>
                <w:lang w:val="en-US"/>
              </w:rPr>
              <w:t>Continued encouragement of process and quality assurance</w:t>
            </w:r>
            <w:r>
              <w:rPr>
                <w:rFonts w:ascii="Arial Narrow" w:eastAsia="Times New Roman" w:hAnsi="Arial Narrow" w:cs="Arial"/>
                <w:sz w:val="16"/>
                <w:szCs w:val="16"/>
                <w:lang w:val="en-US"/>
              </w:rPr>
              <w:t xml:space="preserve">. </w:t>
            </w:r>
            <w:r w:rsidRPr="00CD5CF9">
              <w:rPr>
                <w:rFonts w:ascii="Arial Narrow" w:eastAsia="Times New Roman" w:hAnsi="Arial Narrow" w:cs="Arial"/>
                <w:sz w:val="16"/>
                <w:szCs w:val="16"/>
                <w:lang w:val="en-US"/>
              </w:rPr>
              <w:t xml:space="preserve">Improvements at national Offices, particularly those acting as International Authorities, and continued strengthening of quality control procedures at the International Bureau. </w:t>
            </w:r>
          </w:p>
        </w:tc>
        <w:tc>
          <w:tcPr>
            <w:tcW w:w="1530" w:type="dxa"/>
            <w:tcBorders>
              <w:bottom w:val="single" w:sz="4" w:space="0" w:color="CBD4DB" w:themeColor="accent4" w:themeTint="99"/>
            </w:tcBorders>
            <w:shd w:val="clear" w:color="auto" w:fill="FFFFFF"/>
            <w:tcMar>
              <w:top w:w="0" w:type="dxa"/>
              <w:left w:w="108" w:type="dxa"/>
              <w:bottom w:w="0" w:type="dxa"/>
              <w:right w:w="108" w:type="dxa"/>
            </w:tcMar>
            <w:hideMark/>
          </w:tcPr>
          <w:p w14:paraId="48BDCC0C" w14:textId="53EBD678" w:rsidR="00EB4125" w:rsidRDefault="00EB4125" w:rsidP="00750B3E">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Low – </w:t>
            </w:r>
            <w:r w:rsidR="00AF1120" w:rsidRPr="00CD5CF9">
              <w:rPr>
                <w:rFonts w:ascii="Arial Narrow" w:eastAsia="Times New Roman" w:hAnsi="Arial Narrow" w:cs="Arial"/>
                <w:sz w:val="16"/>
                <w:szCs w:val="16"/>
                <w:lang w:val="en-US"/>
              </w:rPr>
              <w:t xml:space="preserve"> </w:t>
            </w:r>
          </w:p>
          <w:p w14:paraId="099C71F9" w14:textId="2FA0D951" w:rsidR="00AF1120" w:rsidRPr="00CD5CF9" w:rsidRDefault="00AF1120" w:rsidP="00EF3B0C">
            <w:pPr>
              <w:autoSpaceDE w:val="0"/>
              <w:autoSpaceDN w:val="0"/>
              <w:spacing w:after="0" w:line="240" w:lineRule="auto"/>
              <w:ind w:right="-110"/>
              <w:outlineLvl w:val="2"/>
              <w:rPr>
                <w:rFonts w:ascii="Arial Narrow" w:eastAsia="Times New Roman" w:hAnsi="Arial Narrow" w:cs="Arial"/>
                <w:sz w:val="16"/>
                <w:szCs w:val="16"/>
                <w:lang w:val="en-US"/>
              </w:rPr>
            </w:pPr>
            <w:r w:rsidRPr="00CD5CF9">
              <w:rPr>
                <w:rFonts w:ascii="Arial Narrow" w:eastAsia="Times New Roman" w:hAnsi="Arial Narrow" w:cs="Arial"/>
                <w:sz w:val="16"/>
                <w:szCs w:val="16"/>
                <w:lang w:val="en-US"/>
              </w:rPr>
              <w:t>in line with risk appetite</w:t>
            </w:r>
          </w:p>
          <w:p w14:paraId="51CD083E" w14:textId="77777777" w:rsidR="00AF1120" w:rsidRPr="00CD5CF9" w:rsidRDefault="00AF1120" w:rsidP="00750B3E">
            <w:pPr>
              <w:autoSpaceDE w:val="0"/>
              <w:autoSpaceDN w:val="0"/>
              <w:spacing w:after="0" w:line="240" w:lineRule="auto"/>
              <w:outlineLvl w:val="2"/>
              <w:rPr>
                <w:rFonts w:ascii="Arial Narrow" w:eastAsia="Times New Roman" w:hAnsi="Arial Narrow" w:cs="Arial"/>
                <w:sz w:val="16"/>
                <w:szCs w:val="16"/>
                <w:lang w:val="en-US"/>
              </w:rPr>
            </w:pPr>
          </w:p>
        </w:tc>
      </w:tr>
    </w:tbl>
    <w:p w14:paraId="4AC05035" w14:textId="77777777" w:rsidR="00AF1120" w:rsidRDefault="00AF1120" w:rsidP="00AF1120">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611"/>
        <w:gridCol w:w="2612"/>
        <w:gridCol w:w="2612"/>
        <w:gridCol w:w="1804"/>
      </w:tblGrid>
      <w:tr w:rsidR="00AF1120" w:rsidRPr="00D350B5" w14:paraId="1361F6EF" w14:textId="77777777" w:rsidTr="00750B3E">
        <w:trPr>
          <w:cantSplit/>
          <w:trHeight w:val="288"/>
          <w:tblHeader/>
        </w:trPr>
        <w:tc>
          <w:tcPr>
            <w:tcW w:w="2611" w:type="dxa"/>
            <w:shd w:val="clear" w:color="auto" w:fill="C6CFD7" w:themeFill="accent3" w:themeFillTint="66"/>
          </w:tcPr>
          <w:p w14:paraId="4ED1F0BF" w14:textId="77777777" w:rsidR="00AF1120" w:rsidRPr="00D350B5" w:rsidRDefault="00AF1120" w:rsidP="00750B3E">
            <w:pPr>
              <w:pStyle w:val="TableHeading"/>
              <w:rPr>
                <w:lang w:val="en-US"/>
              </w:rPr>
            </w:pPr>
            <w:r w:rsidRPr="00D350B5">
              <w:rPr>
                <w:lang w:val="en-US"/>
              </w:rPr>
              <w:t>Expected Result</w:t>
            </w:r>
          </w:p>
        </w:tc>
        <w:tc>
          <w:tcPr>
            <w:tcW w:w="2612" w:type="dxa"/>
            <w:shd w:val="clear" w:color="auto" w:fill="C6CFD7" w:themeFill="accent3" w:themeFillTint="66"/>
          </w:tcPr>
          <w:p w14:paraId="670DB403" w14:textId="77777777" w:rsidR="00AF1120" w:rsidRPr="00D350B5" w:rsidRDefault="00AF1120" w:rsidP="00750B3E">
            <w:pPr>
              <w:pStyle w:val="TableHeading"/>
              <w:rPr>
                <w:lang w:val="en-US"/>
              </w:rPr>
            </w:pPr>
            <w:r w:rsidRPr="00D350B5">
              <w:rPr>
                <w:lang w:val="en-US"/>
              </w:rPr>
              <w:t>Performance Indicators</w:t>
            </w:r>
          </w:p>
        </w:tc>
        <w:tc>
          <w:tcPr>
            <w:tcW w:w="2612" w:type="dxa"/>
            <w:shd w:val="clear" w:color="auto" w:fill="C6CFD7" w:themeFill="accent3" w:themeFillTint="66"/>
          </w:tcPr>
          <w:p w14:paraId="13BFD51F" w14:textId="77777777" w:rsidR="00AF1120" w:rsidRPr="00D350B5" w:rsidRDefault="00AF1120" w:rsidP="00750B3E">
            <w:pPr>
              <w:pStyle w:val="TableHeading"/>
              <w:rPr>
                <w:lang w:val="en-US"/>
              </w:rPr>
            </w:pPr>
            <w:r w:rsidRPr="00D350B5">
              <w:rPr>
                <w:lang w:val="en-US"/>
              </w:rPr>
              <w:t>Baselines</w:t>
            </w:r>
          </w:p>
        </w:tc>
        <w:tc>
          <w:tcPr>
            <w:tcW w:w="1804" w:type="dxa"/>
            <w:shd w:val="clear" w:color="auto" w:fill="C6CFD7" w:themeFill="accent3" w:themeFillTint="66"/>
          </w:tcPr>
          <w:p w14:paraId="415FCDAB" w14:textId="77777777" w:rsidR="00AF1120" w:rsidRPr="00D350B5" w:rsidRDefault="00AF1120" w:rsidP="00750B3E">
            <w:pPr>
              <w:pStyle w:val="TableHeading"/>
              <w:rPr>
                <w:lang w:val="en-US"/>
              </w:rPr>
            </w:pPr>
            <w:r w:rsidRPr="00D350B5">
              <w:rPr>
                <w:lang w:val="en-US"/>
              </w:rPr>
              <w:t>Targets</w:t>
            </w:r>
          </w:p>
        </w:tc>
      </w:tr>
      <w:tr w:rsidR="00AF1120" w:rsidRPr="007B17FF" w14:paraId="3475C527" w14:textId="77777777" w:rsidTr="00750B3E">
        <w:trPr>
          <w:cantSplit/>
          <w:trHeight w:val="288"/>
        </w:trPr>
        <w:tc>
          <w:tcPr>
            <w:tcW w:w="2611" w:type="dxa"/>
            <w:shd w:val="clear" w:color="auto" w:fill="EDF0F3" w:themeFill="accent4" w:themeFillTint="33"/>
          </w:tcPr>
          <w:p w14:paraId="304AF230"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2</w:t>
            </w:r>
          </w:p>
        </w:tc>
        <w:tc>
          <w:tcPr>
            <w:tcW w:w="7028" w:type="dxa"/>
            <w:gridSpan w:val="3"/>
            <w:shd w:val="clear" w:color="auto" w:fill="EDF0F3" w:themeFill="accent4" w:themeFillTint="33"/>
          </w:tcPr>
          <w:p w14:paraId="4639DA3A"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Bring people together and partner with stakeholders to shape the future of the global intellectual property ecosystem</w:t>
            </w:r>
          </w:p>
        </w:tc>
      </w:tr>
      <w:tr w:rsidR="00AF1120" w:rsidRPr="00D350B5" w14:paraId="28C75BFE" w14:textId="77777777" w:rsidTr="004150FE">
        <w:trPr>
          <w:cantSplit/>
          <w:trHeight w:val="735"/>
        </w:trPr>
        <w:tc>
          <w:tcPr>
            <w:tcW w:w="2611" w:type="dxa"/>
            <w:shd w:val="clear" w:color="auto" w:fill="auto"/>
          </w:tcPr>
          <w:p w14:paraId="25193A18" w14:textId="1936C1DE" w:rsidR="00AF1120" w:rsidRDefault="00AF1120" w:rsidP="00750B3E">
            <w:pPr>
              <w:pStyle w:val="TableTextBold"/>
              <w:rPr>
                <w:lang w:val="en-US"/>
              </w:rPr>
            </w:pPr>
            <w:r>
              <w:rPr>
                <w:rStyle w:val="charColoured"/>
                <w:lang w:val="en-US"/>
              </w:rPr>
              <w:t>2</w:t>
            </w:r>
            <w:r w:rsidRPr="00D350B5">
              <w:rPr>
                <w:rStyle w:val="charColoured"/>
                <w:lang w:val="en-US"/>
              </w:rPr>
              <w:t>.1</w:t>
            </w:r>
            <w:r>
              <w:rPr>
                <w:rStyle w:val="charColoured"/>
                <w:lang w:val="en-US"/>
              </w:rPr>
              <w:t xml:space="preserve"> </w:t>
            </w:r>
            <w:r w:rsidRPr="00D350B5">
              <w:rPr>
                <w:color w:val="005694"/>
                <w:lang w:val="en-US"/>
              </w:rPr>
              <w:t xml:space="preserve"> </w:t>
            </w:r>
            <w:r w:rsidRPr="008E4FDE">
              <w:rPr>
                <w:lang w:val="en-US"/>
              </w:rPr>
              <w:t xml:space="preserve">Development of </w:t>
            </w:r>
            <w:r w:rsidRPr="001A78EF">
              <w:rPr>
                <w:lang w:val="en-US"/>
              </w:rPr>
              <w:t>balanced and</w:t>
            </w:r>
            <w:r w:rsidRPr="008E4FDE">
              <w:rPr>
                <w:lang w:val="en-US"/>
              </w:rPr>
              <w:t xml:space="preserve"> effective international normative frameworks for IP</w:t>
            </w:r>
          </w:p>
          <w:p w14:paraId="53D664CA" w14:textId="77777777" w:rsidR="00AF1120" w:rsidRPr="00D350B5" w:rsidRDefault="00AF1120" w:rsidP="00750B3E">
            <w:pPr>
              <w:pStyle w:val="TableTextBold"/>
              <w:rPr>
                <w:lang w:val="en-US"/>
              </w:rPr>
            </w:pPr>
          </w:p>
        </w:tc>
        <w:tc>
          <w:tcPr>
            <w:tcW w:w="2612" w:type="dxa"/>
            <w:shd w:val="clear" w:color="auto" w:fill="auto"/>
          </w:tcPr>
          <w:p w14:paraId="62E56A74" w14:textId="77777777" w:rsidR="00AF1120" w:rsidRPr="00D350B5" w:rsidRDefault="00AF1120" w:rsidP="00750B3E">
            <w:pPr>
              <w:pStyle w:val="TableText"/>
              <w:rPr>
                <w:lang w:val="en-US"/>
              </w:rPr>
            </w:pPr>
            <w:r w:rsidRPr="006A7B71">
              <w:rPr>
                <w:lang w:val="en-US"/>
              </w:rPr>
              <w:t>Progress on the implementation of agreed work in accordance with the agenda of the Committee</w:t>
            </w:r>
          </w:p>
        </w:tc>
        <w:tc>
          <w:tcPr>
            <w:tcW w:w="2612" w:type="dxa"/>
            <w:shd w:val="clear" w:color="auto" w:fill="auto"/>
          </w:tcPr>
          <w:p w14:paraId="1631D283" w14:textId="77777777" w:rsidR="00AF1120" w:rsidRPr="00D350B5" w:rsidRDefault="00AF1120" w:rsidP="00750B3E">
            <w:pPr>
              <w:pStyle w:val="TableText"/>
              <w:rPr>
                <w:lang w:val="en-US"/>
              </w:rPr>
            </w:pPr>
            <w:r w:rsidRPr="00070F26">
              <w:rPr>
                <w:szCs w:val="16"/>
              </w:rPr>
              <w:t>Summary by the Chair of SCP/3</w:t>
            </w:r>
            <w:r>
              <w:rPr>
                <w:szCs w:val="16"/>
              </w:rPr>
              <w:t>5</w:t>
            </w:r>
            <w:r w:rsidRPr="00070F26">
              <w:rPr>
                <w:szCs w:val="16"/>
              </w:rPr>
              <w:t xml:space="preserve"> of substantive agenda items to be taken up by the Committee</w:t>
            </w:r>
          </w:p>
        </w:tc>
        <w:tc>
          <w:tcPr>
            <w:tcW w:w="1804" w:type="dxa"/>
            <w:shd w:val="clear" w:color="auto" w:fill="auto"/>
          </w:tcPr>
          <w:p w14:paraId="1065B46C" w14:textId="77777777" w:rsidR="00AF1120" w:rsidRPr="00D350B5" w:rsidRDefault="00AF1120" w:rsidP="00750B3E">
            <w:pPr>
              <w:pStyle w:val="TableText"/>
              <w:rPr>
                <w:lang w:val="en-US"/>
              </w:rPr>
            </w:pPr>
            <w:r w:rsidRPr="00070F26">
              <w:rPr>
                <w:szCs w:val="16"/>
                <w:lang w:val="en-US"/>
              </w:rPr>
              <w:t>Implementation of agreed work in accordance with the SCP agenda</w:t>
            </w:r>
          </w:p>
        </w:tc>
      </w:tr>
      <w:tr w:rsidR="00AF1120" w:rsidRPr="007B17FF" w14:paraId="49FAC6BE" w14:textId="77777777" w:rsidTr="004150FE">
        <w:trPr>
          <w:cantSplit/>
          <w:trHeight w:val="288"/>
        </w:trPr>
        <w:tc>
          <w:tcPr>
            <w:tcW w:w="2611" w:type="dxa"/>
            <w:shd w:val="clear" w:color="auto" w:fill="EDF0F3" w:themeFill="accent4" w:themeFillTint="33"/>
          </w:tcPr>
          <w:p w14:paraId="0320E111"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3</w:t>
            </w:r>
          </w:p>
        </w:tc>
        <w:tc>
          <w:tcPr>
            <w:tcW w:w="7028" w:type="dxa"/>
            <w:gridSpan w:val="3"/>
            <w:shd w:val="clear" w:color="auto" w:fill="EDF0F3" w:themeFill="accent4" w:themeFillTint="33"/>
          </w:tcPr>
          <w:p w14:paraId="1F66E8B9"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Provide high quality intellectual property services, knowledge and data that deliver value to users around the world</w:t>
            </w:r>
          </w:p>
        </w:tc>
      </w:tr>
      <w:tr w:rsidR="00AF1120" w:rsidRPr="00D350B5" w14:paraId="503F01C0" w14:textId="77777777" w:rsidTr="00750B3E">
        <w:trPr>
          <w:cantSplit/>
          <w:trHeight w:val="375"/>
        </w:trPr>
        <w:tc>
          <w:tcPr>
            <w:tcW w:w="2611" w:type="dxa"/>
            <w:vMerge w:val="restart"/>
            <w:shd w:val="clear" w:color="auto" w:fill="auto"/>
          </w:tcPr>
          <w:p w14:paraId="34A74715" w14:textId="77777777" w:rsidR="00AF1120" w:rsidRDefault="00AF1120" w:rsidP="00750B3E">
            <w:pPr>
              <w:pStyle w:val="TableTextBold"/>
              <w:rPr>
                <w:rStyle w:val="charColoured"/>
                <w:lang w:val="en-US"/>
              </w:rPr>
            </w:pPr>
            <w:r>
              <w:rPr>
                <w:rStyle w:val="charColoured"/>
                <w:lang w:val="en-US"/>
              </w:rPr>
              <w:t>3.1</w:t>
            </w:r>
            <w:r w:rsidRPr="00D350B5">
              <w:rPr>
                <w:color w:val="005694"/>
                <w:lang w:val="en-US"/>
              </w:rPr>
              <w:t xml:space="preserve"> </w:t>
            </w:r>
            <w:r>
              <w:rPr>
                <w:color w:val="005694"/>
                <w:lang w:val="en-US"/>
              </w:rPr>
              <w:t xml:space="preserve"> </w:t>
            </w:r>
            <w:r w:rsidRPr="007F1A58">
              <w:rPr>
                <w:lang w:val="en-US"/>
              </w:rPr>
              <w:t>Wider and more effective use of WIPO’s global IP systems, services, knowledge and data</w:t>
            </w:r>
          </w:p>
        </w:tc>
        <w:tc>
          <w:tcPr>
            <w:tcW w:w="2612" w:type="dxa"/>
            <w:vMerge w:val="restart"/>
            <w:shd w:val="clear" w:color="auto" w:fill="auto"/>
          </w:tcPr>
          <w:p w14:paraId="105EC53A" w14:textId="77777777" w:rsidR="00AF1120" w:rsidRDefault="00AF1120" w:rsidP="00750B3E">
            <w:pPr>
              <w:pStyle w:val="TableText"/>
              <w:rPr>
                <w:lang w:val="en-US"/>
              </w:rPr>
            </w:pPr>
            <w:r w:rsidRPr="007F1A58">
              <w:rPr>
                <w:lang w:val="en-US"/>
              </w:rPr>
              <w:t>Level of satisfaction of Offices with WIPO global cooperative and assistance activities delivered by the International Bureau</w:t>
            </w:r>
          </w:p>
        </w:tc>
        <w:tc>
          <w:tcPr>
            <w:tcW w:w="2612" w:type="dxa"/>
            <w:shd w:val="clear" w:color="auto" w:fill="auto"/>
          </w:tcPr>
          <w:p w14:paraId="1EC0F852" w14:textId="77777777" w:rsidR="00AF1120" w:rsidRDefault="00AF1120" w:rsidP="00750B3E">
            <w:pPr>
              <w:pStyle w:val="TableText"/>
              <w:rPr>
                <w:lang w:val="en-US"/>
              </w:rPr>
            </w:pPr>
            <w:r w:rsidRPr="00B04169">
              <w:rPr>
                <w:szCs w:val="16"/>
                <w:lang w:val="en-US"/>
              </w:rPr>
              <w:t>Cooperative activities: 96% (2020/21</w:t>
            </w:r>
            <w:r>
              <w:rPr>
                <w:szCs w:val="16"/>
                <w:lang w:val="en-US"/>
              </w:rPr>
              <w:t> </w:t>
            </w:r>
            <w:r w:rsidRPr="00B04169">
              <w:rPr>
                <w:szCs w:val="16"/>
                <w:lang w:val="en-US"/>
              </w:rPr>
              <w:t>survey)</w:t>
            </w:r>
          </w:p>
        </w:tc>
        <w:tc>
          <w:tcPr>
            <w:tcW w:w="1804" w:type="dxa"/>
            <w:shd w:val="clear" w:color="auto" w:fill="auto"/>
          </w:tcPr>
          <w:p w14:paraId="6C0328BE" w14:textId="77777777" w:rsidR="00AF1120" w:rsidRPr="00254E54" w:rsidRDefault="00AF1120" w:rsidP="00750B3E">
            <w:pPr>
              <w:pStyle w:val="TableText"/>
              <w:rPr>
                <w:szCs w:val="16"/>
              </w:rPr>
            </w:pPr>
            <w:r w:rsidRPr="00B04169">
              <w:rPr>
                <w:szCs w:val="16"/>
              </w:rPr>
              <w:t>≥ 90% satisfied or very satisfied</w:t>
            </w:r>
          </w:p>
        </w:tc>
      </w:tr>
      <w:tr w:rsidR="00AF1120" w:rsidRPr="00D350B5" w14:paraId="041312A8" w14:textId="77777777" w:rsidTr="004150FE">
        <w:trPr>
          <w:cantSplit/>
          <w:trHeight w:val="375"/>
        </w:trPr>
        <w:tc>
          <w:tcPr>
            <w:tcW w:w="2611" w:type="dxa"/>
            <w:vMerge/>
            <w:tcBorders>
              <w:bottom w:val="single" w:sz="4" w:space="0" w:color="CBD4DB" w:themeColor="accent4" w:themeTint="99"/>
            </w:tcBorders>
            <w:shd w:val="clear" w:color="auto" w:fill="auto"/>
          </w:tcPr>
          <w:p w14:paraId="1C32FEFD" w14:textId="77777777" w:rsidR="00AF1120" w:rsidRDefault="00AF1120" w:rsidP="00750B3E">
            <w:pPr>
              <w:pStyle w:val="TableTextBold"/>
              <w:rPr>
                <w:rStyle w:val="charColoured"/>
                <w:lang w:val="en-US"/>
              </w:rPr>
            </w:pPr>
          </w:p>
        </w:tc>
        <w:tc>
          <w:tcPr>
            <w:tcW w:w="2612" w:type="dxa"/>
            <w:vMerge/>
            <w:tcBorders>
              <w:bottom w:val="single" w:sz="4" w:space="0" w:color="CBD4DB" w:themeColor="accent4" w:themeTint="99"/>
            </w:tcBorders>
            <w:shd w:val="clear" w:color="auto" w:fill="auto"/>
          </w:tcPr>
          <w:p w14:paraId="6B6CFA63" w14:textId="77777777" w:rsidR="00AF1120" w:rsidRPr="007F1A58" w:rsidRDefault="00AF1120" w:rsidP="00750B3E">
            <w:pPr>
              <w:pStyle w:val="TableText"/>
              <w:rPr>
                <w:lang w:val="en-US"/>
              </w:rPr>
            </w:pPr>
          </w:p>
        </w:tc>
        <w:tc>
          <w:tcPr>
            <w:tcW w:w="2612" w:type="dxa"/>
            <w:tcBorders>
              <w:bottom w:val="single" w:sz="4" w:space="0" w:color="CBD4DB" w:themeColor="accent4" w:themeTint="99"/>
            </w:tcBorders>
            <w:shd w:val="clear" w:color="auto" w:fill="auto"/>
          </w:tcPr>
          <w:p w14:paraId="4ECE96EF" w14:textId="77777777" w:rsidR="00AF1120" w:rsidRPr="008270E3" w:rsidRDefault="00AF1120" w:rsidP="00750B3E">
            <w:pPr>
              <w:pStyle w:val="TableText"/>
              <w:rPr>
                <w:szCs w:val="16"/>
                <w:lang w:val="en-US"/>
              </w:rPr>
            </w:pPr>
            <w:r w:rsidRPr="008270E3">
              <w:rPr>
                <w:szCs w:val="16"/>
                <w:lang w:val="en-US"/>
              </w:rPr>
              <w:t>Patent examination-related activities: 98% (2020/21 survey)</w:t>
            </w:r>
          </w:p>
        </w:tc>
        <w:tc>
          <w:tcPr>
            <w:tcW w:w="1804" w:type="dxa"/>
            <w:tcBorders>
              <w:bottom w:val="single" w:sz="4" w:space="0" w:color="CBD4DB" w:themeColor="accent4" w:themeTint="99"/>
            </w:tcBorders>
            <w:shd w:val="clear" w:color="auto" w:fill="auto"/>
          </w:tcPr>
          <w:p w14:paraId="6681291C" w14:textId="77777777" w:rsidR="00AF1120" w:rsidRPr="008270E3" w:rsidRDefault="00AF1120" w:rsidP="00750B3E">
            <w:pPr>
              <w:pStyle w:val="TableText"/>
              <w:rPr>
                <w:szCs w:val="16"/>
              </w:rPr>
            </w:pPr>
            <w:r w:rsidRPr="008270E3">
              <w:rPr>
                <w:szCs w:val="16"/>
              </w:rPr>
              <w:t>≥ 95% satisfied or very satisfied</w:t>
            </w:r>
          </w:p>
        </w:tc>
      </w:tr>
      <w:tr w:rsidR="00AF1120" w:rsidRPr="00D350B5" w14:paraId="1A48A1C7" w14:textId="77777777" w:rsidTr="004150FE">
        <w:trPr>
          <w:cantSplit/>
          <w:trHeight w:val="552"/>
        </w:trPr>
        <w:tc>
          <w:tcPr>
            <w:tcW w:w="2611" w:type="dxa"/>
            <w:vMerge w:val="restart"/>
            <w:tcBorders>
              <w:top w:val="single" w:sz="4" w:space="0" w:color="CBD4DB" w:themeColor="accent4" w:themeTint="99"/>
            </w:tcBorders>
            <w:shd w:val="clear" w:color="auto" w:fill="auto"/>
          </w:tcPr>
          <w:p w14:paraId="6ABF77B1" w14:textId="77777777" w:rsidR="00AF1120" w:rsidRPr="00D350B5" w:rsidRDefault="00AF1120" w:rsidP="00750B3E">
            <w:pPr>
              <w:pStyle w:val="TableTextBold"/>
              <w:rPr>
                <w:lang w:val="en-US"/>
              </w:rPr>
            </w:pPr>
            <w:r>
              <w:rPr>
                <w:rStyle w:val="charColoured"/>
                <w:lang w:val="en-US"/>
              </w:rPr>
              <w:t xml:space="preserve">3.2 </w:t>
            </w:r>
            <w:r w:rsidRPr="00D350B5">
              <w:rPr>
                <w:color w:val="005694"/>
                <w:lang w:val="en-US"/>
              </w:rPr>
              <w:t xml:space="preserve"> </w:t>
            </w:r>
            <w:r w:rsidRPr="008E4FDE">
              <w:rPr>
                <w:lang w:val="en-US"/>
              </w:rPr>
              <w:t>Improved productivity and service quality of WIPO’s global IP systems, services, knowledge and data</w:t>
            </w:r>
          </w:p>
        </w:tc>
        <w:tc>
          <w:tcPr>
            <w:tcW w:w="2612" w:type="dxa"/>
            <w:tcBorders>
              <w:top w:val="single" w:sz="4" w:space="0" w:color="CBD4DB" w:themeColor="accent4" w:themeTint="99"/>
            </w:tcBorders>
            <w:shd w:val="clear" w:color="auto" w:fill="auto"/>
          </w:tcPr>
          <w:p w14:paraId="4E5FB823" w14:textId="77777777" w:rsidR="00AF1120" w:rsidRPr="00D350B5" w:rsidRDefault="00AF1120" w:rsidP="00750B3E">
            <w:pPr>
              <w:pStyle w:val="TableText"/>
              <w:rPr>
                <w:lang w:val="en-US"/>
              </w:rPr>
            </w:pPr>
            <w:r w:rsidRPr="007F1A58">
              <w:rPr>
                <w:lang w:val="en-US"/>
              </w:rPr>
              <w:t>Level of satisfaction of WIPO global IP system users with International Bureau Services</w:t>
            </w:r>
          </w:p>
        </w:tc>
        <w:tc>
          <w:tcPr>
            <w:tcW w:w="2612" w:type="dxa"/>
            <w:tcBorders>
              <w:top w:val="single" w:sz="4" w:space="0" w:color="CBD4DB" w:themeColor="accent4" w:themeTint="99"/>
            </w:tcBorders>
            <w:shd w:val="clear" w:color="auto" w:fill="auto"/>
          </w:tcPr>
          <w:p w14:paraId="4927F3B3" w14:textId="50F1DA45" w:rsidR="00AF1120" w:rsidRPr="00D350B5" w:rsidRDefault="00AF1120" w:rsidP="00BB10DC">
            <w:pPr>
              <w:pStyle w:val="TableText"/>
              <w:rPr>
                <w:lang w:val="en-US"/>
              </w:rPr>
            </w:pPr>
            <w:r w:rsidRPr="00B04169">
              <w:rPr>
                <w:szCs w:val="16"/>
              </w:rPr>
              <w:t>87%</w:t>
            </w:r>
            <w:r w:rsidR="00BB10DC">
              <w:rPr>
                <w:szCs w:val="16"/>
              </w:rPr>
              <w:t xml:space="preserve"> </w:t>
            </w:r>
            <w:r w:rsidRPr="00B04169">
              <w:rPr>
                <w:szCs w:val="16"/>
              </w:rPr>
              <w:t>(2020/21 survey)</w:t>
            </w:r>
          </w:p>
        </w:tc>
        <w:tc>
          <w:tcPr>
            <w:tcW w:w="1804" w:type="dxa"/>
            <w:tcBorders>
              <w:top w:val="single" w:sz="4" w:space="0" w:color="CBD4DB" w:themeColor="accent4" w:themeTint="99"/>
            </w:tcBorders>
            <w:shd w:val="clear" w:color="auto" w:fill="auto"/>
          </w:tcPr>
          <w:p w14:paraId="1CBD03D4" w14:textId="77777777" w:rsidR="00AF1120" w:rsidRPr="00D350B5" w:rsidRDefault="00AF1120" w:rsidP="00750B3E">
            <w:pPr>
              <w:pStyle w:val="TableText"/>
              <w:rPr>
                <w:lang w:val="en-US"/>
              </w:rPr>
            </w:pPr>
            <w:r w:rsidRPr="00B04169">
              <w:rPr>
                <w:szCs w:val="16"/>
              </w:rPr>
              <w:t>≥ 90% satisfied or very satisfied</w:t>
            </w:r>
          </w:p>
        </w:tc>
      </w:tr>
      <w:tr w:rsidR="00AF1120" w:rsidRPr="0037132A" w14:paraId="714B83B6" w14:textId="77777777" w:rsidTr="004150FE">
        <w:trPr>
          <w:cantSplit/>
          <w:trHeight w:val="285"/>
        </w:trPr>
        <w:tc>
          <w:tcPr>
            <w:tcW w:w="2611" w:type="dxa"/>
            <w:vMerge/>
            <w:shd w:val="clear" w:color="auto" w:fill="auto"/>
          </w:tcPr>
          <w:p w14:paraId="6F7306E3" w14:textId="77777777" w:rsidR="00AF1120" w:rsidRDefault="00AF1120" w:rsidP="00750B3E">
            <w:pPr>
              <w:pStyle w:val="TableTextBold"/>
              <w:rPr>
                <w:rStyle w:val="charColoured"/>
                <w:lang w:val="en-US"/>
              </w:rPr>
            </w:pPr>
          </w:p>
        </w:tc>
        <w:tc>
          <w:tcPr>
            <w:tcW w:w="2612" w:type="dxa"/>
            <w:shd w:val="clear" w:color="auto" w:fill="auto"/>
          </w:tcPr>
          <w:p w14:paraId="2ADC2A20" w14:textId="77777777" w:rsidR="00AF1120" w:rsidRPr="007F1A58" w:rsidRDefault="00AF1120" w:rsidP="00750B3E">
            <w:pPr>
              <w:pStyle w:val="TableText"/>
              <w:rPr>
                <w:lang w:val="en-US"/>
              </w:rPr>
            </w:pPr>
            <w:r>
              <w:rPr>
                <w:lang w:val="en-US"/>
              </w:rPr>
              <w:t>Unit Cost</w:t>
            </w:r>
          </w:p>
        </w:tc>
        <w:tc>
          <w:tcPr>
            <w:tcW w:w="2612" w:type="dxa"/>
            <w:shd w:val="clear" w:color="auto" w:fill="auto"/>
          </w:tcPr>
          <w:p w14:paraId="5B48EA9C" w14:textId="77777777" w:rsidR="00AF1120" w:rsidRPr="007F1A58" w:rsidRDefault="00AF1120" w:rsidP="00750B3E">
            <w:pPr>
              <w:pStyle w:val="TableText"/>
              <w:rPr>
                <w:lang w:val="en-US"/>
              </w:rPr>
            </w:pPr>
            <w:r>
              <w:rPr>
                <w:szCs w:val="16"/>
              </w:rPr>
              <w:t>Application: 546</w:t>
            </w:r>
            <w:r w:rsidRPr="00B04169">
              <w:rPr>
                <w:szCs w:val="16"/>
              </w:rPr>
              <w:t xml:space="preserve"> CHF</w:t>
            </w:r>
            <w:r>
              <w:rPr>
                <w:szCs w:val="16"/>
              </w:rPr>
              <w:t xml:space="preserve"> (2022)</w:t>
            </w:r>
          </w:p>
        </w:tc>
        <w:tc>
          <w:tcPr>
            <w:tcW w:w="1804" w:type="dxa"/>
            <w:shd w:val="clear" w:color="auto" w:fill="auto"/>
          </w:tcPr>
          <w:p w14:paraId="175D4C79" w14:textId="44457D1C" w:rsidR="00AF1120" w:rsidRPr="0037132A" w:rsidRDefault="00AF1120" w:rsidP="00D87183">
            <w:pPr>
              <w:pStyle w:val="TableText"/>
              <w:rPr>
                <w:color w:val="FF0000"/>
                <w:szCs w:val="16"/>
              </w:rPr>
            </w:pPr>
            <w:r w:rsidRPr="00BB10DC">
              <w:rPr>
                <w:rStyle w:val="ui-provider"/>
              </w:rPr>
              <w:t xml:space="preserve">Application: </w:t>
            </w:r>
            <w:r w:rsidR="00D87183">
              <w:rPr>
                <w:rStyle w:val="ui-provider"/>
              </w:rPr>
              <w:t>565</w:t>
            </w:r>
            <w:r w:rsidR="00BB10DC" w:rsidRPr="00BB10DC">
              <w:rPr>
                <w:rStyle w:val="ui-provider"/>
              </w:rPr>
              <w:t xml:space="preserve"> CHF</w:t>
            </w:r>
          </w:p>
        </w:tc>
      </w:tr>
      <w:tr w:rsidR="00AF1120" w:rsidRPr="007B17FF" w14:paraId="54845C0F" w14:textId="77777777" w:rsidTr="00750B3E">
        <w:trPr>
          <w:cantSplit/>
          <w:trHeight w:val="432"/>
        </w:trPr>
        <w:tc>
          <w:tcPr>
            <w:tcW w:w="2611" w:type="dxa"/>
            <w:shd w:val="clear" w:color="auto" w:fill="EDF0F3" w:themeFill="accent4" w:themeFillTint="33"/>
          </w:tcPr>
          <w:p w14:paraId="7908E170"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4</w:t>
            </w:r>
          </w:p>
        </w:tc>
        <w:tc>
          <w:tcPr>
            <w:tcW w:w="7028" w:type="dxa"/>
            <w:gridSpan w:val="3"/>
            <w:shd w:val="clear" w:color="auto" w:fill="EDF0F3" w:themeFill="accent4" w:themeFillTint="33"/>
          </w:tcPr>
          <w:p w14:paraId="64BD7D7F" w14:textId="77777777" w:rsidR="00AF1120" w:rsidRPr="007B17FF" w:rsidRDefault="00AF1120" w:rsidP="00750B3E">
            <w:pPr>
              <w:pStyle w:val="TableHeading"/>
              <w:rPr>
                <w:b w:val="0"/>
                <w:i/>
                <w:color w:val="005172" w:themeColor="text2"/>
                <w:lang w:val="en-US"/>
              </w:rPr>
            </w:pPr>
            <w:r w:rsidRPr="007B17FF">
              <w:rPr>
                <w:b w:val="0"/>
                <w:i/>
                <w:color w:val="005172" w:themeColor="text2"/>
                <w:lang w:val="en-US"/>
              </w:rPr>
              <w:t>Support governments, enterprises, communities and individuals to use intellectual property as a tool for growth and sustainable development</w:t>
            </w:r>
          </w:p>
        </w:tc>
      </w:tr>
      <w:tr w:rsidR="00AF1120" w:rsidRPr="00D350B5" w14:paraId="1C2AF703" w14:textId="77777777" w:rsidTr="00750B3E">
        <w:trPr>
          <w:cantSplit/>
          <w:trHeight w:val="535"/>
        </w:trPr>
        <w:tc>
          <w:tcPr>
            <w:tcW w:w="2611" w:type="dxa"/>
            <w:tcBorders>
              <w:bottom w:val="single" w:sz="4" w:space="0" w:color="C6CFD7" w:themeColor="accent3" w:themeTint="66"/>
            </w:tcBorders>
            <w:shd w:val="clear" w:color="auto" w:fill="auto"/>
          </w:tcPr>
          <w:p w14:paraId="74CC8D01" w14:textId="5FA030D9" w:rsidR="00AF1120" w:rsidRDefault="00AF1120" w:rsidP="009B0455">
            <w:pPr>
              <w:pStyle w:val="TableTextBold"/>
              <w:rPr>
                <w:rStyle w:val="charColoured"/>
                <w:lang w:val="en-US"/>
              </w:rPr>
            </w:pPr>
            <w:r>
              <w:rPr>
                <w:rStyle w:val="charColoured"/>
                <w:lang w:val="en-US"/>
              </w:rPr>
              <w:t xml:space="preserve">4.1  </w:t>
            </w:r>
            <w:r w:rsidRPr="0070015D">
              <w:t xml:space="preserve">More effective use of </w:t>
            </w:r>
            <w:r w:rsidR="009B0455">
              <w:t xml:space="preserve">a balanced </w:t>
            </w:r>
            <w:r w:rsidRPr="0070015D">
              <w:t>IP</w:t>
            </w:r>
            <w:r w:rsidR="004D3DAB">
              <w:t xml:space="preserve"> </w:t>
            </w:r>
            <w:r w:rsidR="009B0455">
              <w:t xml:space="preserve">system </w:t>
            </w:r>
            <w:r w:rsidRPr="0070015D">
              <w:t>to support growth and development of all Member States and their relevant regions and sub-regions, including through the mainstreaming of the Development Agenda recommendations</w:t>
            </w:r>
          </w:p>
        </w:tc>
        <w:tc>
          <w:tcPr>
            <w:tcW w:w="2612" w:type="dxa"/>
            <w:tcBorders>
              <w:bottom w:val="single" w:sz="4" w:space="0" w:color="C6CFD7" w:themeColor="accent3" w:themeTint="66"/>
            </w:tcBorders>
            <w:shd w:val="clear" w:color="auto" w:fill="auto"/>
          </w:tcPr>
          <w:p w14:paraId="664A4C3B" w14:textId="77777777" w:rsidR="00AF1120" w:rsidRPr="00A540AE" w:rsidRDefault="00AF1120" w:rsidP="00750B3E">
            <w:pPr>
              <w:pStyle w:val="TableText"/>
              <w:rPr>
                <w:lang w:val="en-US"/>
              </w:rPr>
            </w:pPr>
            <w:r>
              <w:rPr>
                <w:lang w:val="en-US"/>
              </w:rPr>
              <w:t>No. of national, sub-regional and regional projects, including those implemented through partnership frameworks, that have achieved their expected benefits or completed important milestones</w:t>
            </w:r>
          </w:p>
        </w:tc>
        <w:tc>
          <w:tcPr>
            <w:tcW w:w="2612" w:type="dxa"/>
            <w:tcBorders>
              <w:bottom w:val="single" w:sz="4" w:space="0" w:color="C6CFD7" w:themeColor="accent3" w:themeTint="66"/>
            </w:tcBorders>
            <w:shd w:val="clear" w:color="auto" w:fill="auto"/>
          </w:tcPr>
          <w:p w14:paraId="4B5B70CA" w14:textId="77777777" w:rsidR="00AF1120" w:rsidRPr="00367509" w:rsidRDefault="00AF1120" w:rsidP="00750B3E">
            <w:pPr>
              <w:pStyle w:val="TableText"/>
              <w:rPr>
                <w:color w:val="FF0000"/>
                <w:lang w:val="en-US"/>
              </w:rPr>
            </w:pPr>
            <w:r w:rsidRPr="00FF3FB1">
              <w:rPr>
                <w:lang w:val="en-US"/>
              </w:rPr>
              <w:t>tbd</w:t>
            </w:r>
          </w:p>
        </w:tc>
        <w:tc>
          <w:tcPr>
            <w:tcW w:w="1804" w:type="dxa"/>
            <w:tcBorders>
              <w:bottom w:val="single" w:sz="4" w:space="0" w:color="C6CFD7" w:themeColor="accent3" w:themeTint="66"/>
            </w:tcBorders>
            <w:shd w:val="clear" w:color="auto" w:fill="auto"/>
          </w:tcPr>
          <w:p w14:paraId="0E02CACE" w14:textId="77777777" w:rsidR="00AF1120" w:rsidRPr="009B40E0" w:rsidRDefault="00AF1120" w:rsidP="00750B3E">
            <w:pPr>
              <w:pStyle w:val="TableText"/>
              <w:rPr>
                <w:szCs w:val="16"/>
              </w:rPr>
            </w:pPr>
            <w:r w:rsidRPr="00FF3FB1">
              <w:rPr>
                <w:szCs w:val="16"/>
              </w:rPr>
              <w:t>4</w:t>
            </w:r>
          </w:p>
        </w:tc>
      </w:tr>
      <w:tr w:rsidR="00AF1120" w:rsidRPr="00D350B5" w14:paraId="4F00E99E" w14:textId="77777777" w:rsidTr="00750B3E">
        <w:trPr>
          <w:cantSplit/>
          <w:trHeight w:val="672"/>
        </w:trPr>
        <w:tc>
          <w:tcPr>
            <w:tcW w:w="2611" w:type="dxa"/>
            <w:shd w:val="clear" w:color="auto" w:fill="auto"/>
          </w:tcPr>
          <w:p w14:paraId="3752EE14" w14:textId="77777777" w:rsidR="00AF1120" w:rsidRPr="00D350B5" w:rsidRDefault="00AF1120" w:rsidP="00750B3E">
            <w:pPr>
              <w:pStyle w:val="TableTextBold"/>
              <w:rPr>
                <w:lang w:val="en-US"/>
              </w:rPr>
            </w:pPr>
            <w:r>
              <w:rPr>
                <w:rStyle w:val="charColoured"/>
                <w:lang w:val="en-US"/>
              </w:rPr>
              <w:t xml:space="preserve">4.2  </w:t>
            </w:r>
            <w:r w:rsidRPr="00220454">
              <w:rPr>
                <w:lang w:val="en-US"/>
              </w:rPr>
              <w:t>Development of balanced and effective IP, innovation and creative ecosystems in Member States</w:t>
            </w:r>
          </w:p>
        </w:tc>
        <w:tc>
          <w:tcPr>
            <w:tcW w:w="2612" w:type="dxa"/>
            <w:tcBorders>
              <w:bottom w:val="single" w:sz="4" w:space="0" w:color="C6CFD7" w:themeColor="accent3" w:themeTint="66"/>
            </w:tcBorders>
            <w:shd w:val="clear" w:color="auto" w:fill="auto"/>
          </w:tcPr>
          <w:p w14:paraId="038453C1" w14:textId="77777777" w:rsidR="00AF1120" w:rsidRDefault="00AF1120" w:rsidP="00750B3E">
            <w:pPr>
              <w:pStyle w:val="TableText"/>
              <w:rPr>
                <w:lang w:val="en-US"/>
              </w:rPr>
            </w:pPr>
            <w:r w:rsidRPr="00A540AE">
              <w:rPr>
                <w:lang w:val="en-US"/>
              </w:rPr>
              <w:t>No. and % of Member States satisfied with the legislative and policy advice provided</w:t>
            </w:r>
          </w:p>
          <w:p w14:paraId="068DC877" w14:textId="77777777" w:rsidR="00AF1120" w:rsidRPr="00D350B5" w:rsidRDefault="00AF1120" w:rsidP="00750B3E">
            <w:pPr>
              <w:pStyle w:val="TableText"/>
              <w:ind w:left="0"/>
              <w:rPr>
                <w:lang w:val="en-US"/>
              </w:rPr>
            </w:pPr>
          </w:p>
        </w:tc>
        <w:tc>
          <w:tcPr>
            <w:tcW w:w="2612" w:type="dxa"/>
            <w:tcBorders>
              <w:bottom w:val="single" w:sz="4" w:space="0" w:color="C6CFD7" w:themeColor="accent3" w:themeTint="66"/>
            </w:tcBorders>
            <w:shd w:val="clear" w:color="auto" w:fill="auto"/>
          </w:tcPr>
          <w:p w14:paraId="08503D4C" w14:textId="77777777" w:rsidR="00AF1120" w:rsidRPr="00D350B5" w:rsidRDefault="00AF1120" w:rsidP="00750B3E">
            <w:pPr>
              <w:pStyle w:val="TableText"/>
              <w:rPr>
                <w:lang w:val="en-US"/>
              </w:rPr>
            </w:pPr>
            <w:r w:rsidRPr="00B0501D">
              <w:rPr>
                <w:szCs w:val="16"/>
              </w:rPr>
              <w:t xml:space="preserve">88% </w:t>
            </w:r>
          </w:p>
        </w:tc>
        <w:tc>
          <w:tcPr>
            <w:tcW w:w="1804" w:type="dxa"/>
            <w:tcBorders>
              <w:bottom w:val="single" w:sz="4" w:space="0" w:color="C6CFD7" w:themeColor="accent3" w:themeTint="66"/>
            </w:tcBorders>
            <w:shd w:val="clear" w:color="auto" w:fill="auto"/>
          </w:tcPr>
          <w:p w14:paraId="094C4BB4" w14:textId="77777777" w:rsidR="00AF1120" w:rsidRPr="00D350B5" w:rsidRDefault="00AF1120" w:rsidP="00750B3E">
            <w:pPr>
              <w:pStyle w:val="TableText"/>
              <w:rPr>
                <w:lang w:val="en-US"/>
              </w:rPr>
            </w:pPr>
            <w:r w:rsidRPr="00B04169">
              <w:rPr>
                <w:szCs w:val="16"/>
              </w:rPr>
              <w:t>≥ 90% satisfied or very satisfied</w:t>
            </w:r>
          </w:p>
        </w:tc>
      </w:tr>
      <w:tr w:rsidR="00AF1120" w:rsidRPr="00D350B5" w14:paraId="4F9ECC18" w14:textId="77777777" w:rsidTr="00750B3E">
        <w:trPr>
          <w:cantSplit/>
          <w:trHeight w:val="561"/>
        </w:trPr>
        <w:tc>
          <w:tcPr>
            <w:tcW w:w="2611" w:type="dxa"/>
            <w:tcBorders>
              <w:top w:val="single" w:sz="4" w:space="0" w:color="C6CFD7" w:themeColor="accent3" w:themeTint="66"/>
              <w:bottom w:val="single" w:sz="4" w:space="0" w:color="C6CFD7" w:themeColor="accent3" w:themeTint="66"/>
            </w:tcBorders>
            <w:shd w:val="clear" w:color="auto" w:fill="auto"/>
          </w:tcPr>
          <w:p w14:paraId="710F3933" w14:textId="77777777" w:rsidR="00AF1120" w:rsidRPr="00D350B5" w:rsidRDefault="00AF1120" w:rsidP="00750B3E">
            <w:pPr>
              <w:pStyle w:val="TableTextBold"/>
              <w:rPr>
                <w:lang w:val="en-US"/>
              </w:rPr>
            </w:pPr>
            <w:r>
              <w:rPr>
                <w:rStyle w:val="charColoured"/>
              </w:rPr>
              <w:t xml:space="preserve">4.3  </w:t>
            </w:r>
            <w:r w:rsidRPr="00220454">
              <w:rPr>
                <w:lang w:val="en-US"/>
              </w:rPr>
              <w:t>Increased IP knowledge and skills in all Member States</w:t>
            </w:r>
          </w:p>
        </w:tc>
        <w:tc>
          <w:tcPr>
            <w:tcW w:w="2612" w:type="dxa"/>
            <w:tcBorders>
              <w:top w:val="single" w:sz="4" w:space="0" w:color="C6CFD7" w:themeColor="accent3" w:themeTint="66"/>
              <w:bottom w:val="single" w:sz="4" w:space="0" w:color="C6CFD7" w:themeColor="accent3" w:themeTint="66"/>
            </w:tcBorders>
            <w:shd w:val="clear" w:color="auto" w:fill="auto"/>
          </w:tcPr>
          <w:p w14:paraId="70123B75" w14:textId="77777777" w:rsidR="00AF1120" w:rsidRPr="00D350B5" w:rsidRDefault="00AF1120" w:rsidP="00750B3E">
            <w:pPr>
              <w:pStyle w:val="TableText"/>
              <w:rPr>
                <w:lang w:val="en-US"/>
              </w:rPr>
            </w:pPr>
            <w:r w:rsidRPr="00A540AE">
              <w:rPr>
                <w:lang w:val="en-US"/>
              </w:rPr>
              <w:t>Level of satisfaction of participants in capacity building an</w:t>
            </w:r>
            <w:r>
              <w:rPr>
                <w:lang w:val="en-US"/>
              </w:rPr>
              <w:t>d training activities on patent law</w:t>
            </w:r>
            <w:r w:rsidRPr="00A540AE">
              <w:rPr>
                <w:lang w:val="en-US"/>
              </w:rPr>
              <w:t xml:space="preserve"> and related matters</w:t>
            </w:r>
          </w:p>
        </w:tc>
        <w:tc>
          <w:tcPr>
            <w:tcW w:w="2612" w:type="dxa"/>
            <w:tcBorders>
              <w:top w:val="single" w:sz="4" w:space="0" w:color="C6CFD7" w:themeColor="accent3" w:themeTint="66"/>
              <w:bottom w:val="single" w:sz="4" w:space="0" w:color="C6CFD7" w:themeColor="accent3" w:themeTint="66"/>
            </w:tcBorders>
            <w:shd w:val="clear" w:color="auto" w:fill="auto"/>
          </w:tcPr>
          <w:p w14:paraId="067FE0EF" w14:textId="77777777" w:rsidR="00AF1120" w:rsidRPr="00D350B5" w:rsidRDefault="00AF1120" w:rsidP="00750B3E">
            <w:pPr>
              <w:pStyle w:val="TableText"/>
              <w:rPr>
                <w:lang w:val="en-US"/>
              </w:rPr>
            </w:pPr>
            <w:r>
              <w:rPr>
                <w:szCs w:val="16"/>
              </w:rPr>
              <w:t xml:space="preserve">88% </w:t>
            </w:r>
          </w:p>
        </w:tc>
        <w:tc>
          <w:tcPr>
            <w:tcW w:w="1804" w:type="dxa"/>
            <w:tcBorders>
              <w:top w:val="single" w:sz="4" w:space="0" w:color="C6CFD7" w:themeColor="accent3" w:themeTint="66"/>
              <w:bottom w:val="single" w:sz="4" w:space="0" w:color="C6CFD7" w:themeColor="accent3" w:themeTint="66"/>
            </w:tcBorders>
            <w:shd w:val="clear" w:color="auto" w:fill="auto"/>
          </w:tcPr>
          <w:p w14:paraId="72E4D3D0" w14:textId="77777777" w:rsidR="00AF1120" w:rsidRPr="00D350B5" w:rsidRDefault="00AF1120" w:rsidP="00750B3E">
            <w:pPr>
              <w:pStyle w:val="TableText"/>
              <w:rPr>
                <w:lang w:val="en-US"/>
              </w:rPr>
            </w:pPr>
            <w:r w:rsidRPr="00B04169">
              <w:rPr>
                <w:szCs w:val="16"/>
              </w:rPr>
              <w:t>≥ 95% satisfied or very satisfied</w:t>
            </w:r>
          </w:p>
        </w:tc>
      </w:tr>
    </w:tbl>
    <w:p w14:paraId="58E9AC3C" w14:textId="77777777" w:rsidR="00AF1120" w:rsidRDefault="00AF1120" w:rsidP="00AF1120">
      <w:pPr>
        <w:spacing w:after="200" w:line="276" w:lineRule="auto"/>
        <w:rPr>
          <w:color w:val="005172" w:themeColor="text2"/>
          <w:sz w:val="32"/>
          <w:lang w:val="en-US"/>
        </w:rPr>
      </w:pPr>
      <w:r>
        <w:rPr>
          <w:lang w:val="en-US"/>
        </w:rPr>
        <w:br w:type="page"/>
      </w:r>
    </w:p>
    <w:p w14:paraId="17816B2B" w14:textId="77777777" w:rsidR="00AF1120" w:rsidRDefault="00AF1120" w:rsidP="00B76804">
      <w:pPr>
        <w:pStyle w:val="Heading1NoNumb"/>
        <w:spacing w:before="480" w:after="0"/>
        <w:rPr>
          <w:lang w:val="en-US"/>
        </w:rPr>
      </w:pPr>
      <w:r>
        <w:rPr>
          <w:lang w:val="en-US"/>
        </w:rPr>
        <w:lastRenderedPageBreak/>
        <w:t>Resources</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AF1120" w:rsidRPr="00192178" w14:paraId="1D197086" w14:textId="77777777" w:rsidTr="00750B3E">
        <w:trPr>
          <w:trHeight w:val="80"/>
        </w:trPr>
        <w:tc>
          <w:tcPr>
            <w:tcW w:w="9638" w:type="dxa"/>
          </w:tcPr>
          <w:p w14:paraId="5AF8FD47" w14:textId="77777777" w:rsidR="00AF1120" w:rsidRPr="00034525" w:rsidRDefault="00AF1120" w:rsidP="00EF3B0C">
            <w:pPr>
              <w:spacing w:after="60" w:line="240" w:lineRule="auto"/>
              <w:jc w:val="center"/>
              <w:rPr>
                <w:rFonts w:cs="Arial"/>
                <w:b/>
                <w:bCs/>
                <w:color w:val="005172"/>
                <w:sz w:val="16"/>
                <w:szCs w:val="16"/>
              </w:rPr>
            </w:pPr>
            <w:r w:rsidRPr="0064680C">
              <w:rPr>
                <w:rFonts w:eastAsia="SimHei" w:cs="Arial"/>
                <w:b/>
                <w:bCs/>
                <w:color w:val="005172"/>
                <w:szCs w:val="18"/>
                <w:lang w:val="en-US" w:eastAsia="zh-CN"/>
              </w:rPr>
              <w:t>Patents and Technology</w:t>
            </w:r>
            <w:r>
              <w:rPr>
                <w:rFonts w:cs="Arial"/>
                <w:b/>
                <w:bCs/>
                <w:color w:val="005172"/>
                <w:szCs w:val="16"/>
              </w:rPr>
              <w:t xml:space="preserve">: </w:t>
            </w:r>
            <w:r w:rsidRPr="00034525">
              <w:rPr>
                <w:rFonts w:cs="Arial"/>
                <w:b/>
                <w:bCs/>
                <w:color w:val="005172"/>
                <w:szCs w:val="16"/>
              </w:rPr>
              <w:t>Resources by Cost Category</w:t>
            </w:r>
          </w:p>
        </w:tc>
      </w:tr>
      <w:tr w:rsidR="00AF1120" w:rsidRPr="00192178" w14:paraId="22BA279B" w14:textId="77777777" w:rsidTr="00750B3E">
        <w:trPr>
          <w:trHeight w:val="15"/>
        </w:trPr>
        <w:tc>
          <w:tcPr>
            <w:tcW w:w="9638" w:type="dxa"/>
          </w:tcPr>
          <w:p w14:paraId="08B855A4" w14:textId="4120D8AC" w:rsidR="00AF1120" w:rsidRPr="00034525" w:rsidRDefault="00AF1120" w:rsidP="005B0AE9">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05DC3A05" w14:textId="46D3CD2C" w:rsidR="007704E5" w:rsidRDefault="007704E5" w:rsidP="00792A58">
      <w:pPr>
        <w:spacing w:after="0"/>
        <w:rPr>
          <w:rFonts w:asciiTheme="minorHAnsi" w:hAnsiTheme="minorHAnsi"/>
          <w:sz w:val="22"/>
        </w:rPr>
      </w:pPr>
    </w:p>
    <w:tbl>
      <w:tblPr>
        <w:tblW w:w="8760" w:type="dxa"/>
        <w:jc w:val="center"/>
        <w:tblLook w:val="04A0" w:firstRow="1" w:lastRow="0" w:firstColumn="1" w:lastColumn="0" w:noHBand="0" w:noVBand="1"/>
      </w:tblPr>
      <w:tblGrid>
        <w:gridCol w:w="253"/>
        <w:gridCol w:w="222"/>
        <w:gridCol w:w="2996"/>
        <w:gridCol w:w="253"/>
        <w:gridCol w:w="1060"/>
        <w:gridCol w:w="1180"/>
        <w:gridCol w:w="1180"/>
        <w:gridCol w:w="1060"/>
        <w:gridCol w:w="1060"/>
      </w:tblGrid>
      <w:tr w:rsidR="007704E5" w:rsidRPr="007704E5" w14:paraId="0F8EAFAC" w14:textId="77777777" w:rsidTr="005A1D34">
        <w:trPr>
          <w:divId w:val="776488070"/>
          <w:trHeight w:val="420"/>
          <w:jc w:val="center"/>
        </w:trPr>
        <w:tc>
          <w:tcPr>
            <w:tcW w:w="3220" w:type="dxa"/>
            <w:gridSpan w:val="4"/>
            <w:vMerge w:val="restart"/>
            <w:tcBorders>
              <w:top w:val="nil"/>
              <w:left w:val="nil"/>
              <w:bottom w:val="nil"/>
              <w:right w:val="nil"/>
            </w:tcBorders>
            <w:shd w:val="clear" w:color="000000" w:fill="C7CFD8"/>
            <w:hideMark/>
          </w:tcPr>
          <w:p w14:paraId="6FE93662" w14:textId="2D392F66" w:rsidR="007704E5" w:rsidRPr="007704E5" w:rsidRDefault="007704E5" w:rsidP="007704E5">
            <w:pPr>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60D837C6"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2024/25 </w:t>
            </w:r>
            <w:r w:rsidRPr="007704E5">
              <w:rPr>
                <w:rFonts w:ascii="Arial Narrow" w:eastAsia="Times New Roman" w:hAnsi="Arial Narrow" w:cs="Times New Roman"/>
                <w:b/>
                <w:bCs/>
                <w:sz w:val="16"/>
                <w:szCs w:val="16"/>
                <w:lang w:val="en-US"/>
              </w:rPr>
              <w:br/>
              <w:t>Proposed</w:t>
            </w:r>
            <w:r w:rsidRPr="007704E5">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61E08F9A"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2022/23</w:t>
            </w:r>
            <w:r w:rsidRPr="007704E5">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7EF1FDA1"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2022/23 </w:t>
            </w:r>
            <w:r w:rsidRPr="007704E5">
              <w:rPr>
                <w:rFonts w:ascii="Arial Narrow" w:eastAsia="Times New Roman" w:hAnsi="Arial Narrow" w:cs="Times New Roman"/>
                <w:b/>
                <w:bCs/>
                <w:sz w:val="16"/>
                <w:szCs w:val="16"/>
                <w:lang w:val="en-US"/>
              </w:rPr>
              <w:br/>
              <w:t>Budget after</w:t>
            </w:r>
            <w:r w:rsidRPr="007704E5">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249BFEE7" w14:textId="77777777" w:rsidR="007704E5" w:rsidRPr="007704E5" w:rsidRDefault="007704E5" w:rsidP="007704E5">
            <w:pPr>
              <w:spacing w:after="0" w:line="240" w:lineRule="auto"/>
              <w:jc w:val="center"/>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2024/25 </w:t>
            </w:r>
            <w:r w:rsidRPr="007704E5">
              <w:rPr>
                <w:rFonts w:ascii="Arial Narrow" w:eastAsia="Times New Roman" w:hAnsi="Arial Narrow" w:cs="Times New Roman"/>
                <w:b/>
                <w:bCs/>
                <w:sz w:val="16"/>
                <w:szCs w:val="16"/>
                <w:lang w:val="en-US"/>
              </w:rPr>
              <w:br/>
              <w:t xml:space="preserve">vs. 2022/23 PoW&amp;B </w:t>
            </w:r>
          </w:p>
        </w:tc>
      </w:tr>
      <w:tr w:rsidR="007704E5" w:rsidRPr="007704E5" w14:paraId="07527626" w14:textId="77777777" w:rsidTr="005A1D34">
        <w:trPr>
          <w:divId w:val="776488070"/>
          <w:trHeight w:val="315"/>
          <w:jc w:val="center"/>
        </w:trPr>
        <w:tc>
          <w:tcPr>
            <w:tcW w:w="3220" w:type="dxa"/>
            <w:gridSpan w:val="4"/>
            <w:vMerge/>
            <w:tcBorders>
              <w:top w:val="nil"/>
              <w:left w:val="nil"/>
              <w:bottom w:val="nil"/>
              <w:right w:val="nil"/>
            </w:tcBorders>
            <w:vAlign w:val="center"/>
            <w:hideMark/>
          </w:tcPr>
          <w:p w14:paraId="6FF62576"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vMerge/>
            <w:tcBorders>
              <w:top w:val="nil"/>
              <w:left w:val="nil"/>
              <w:bottom w:val="nil"/>
              <w:right w:val="nil"/>
            </w:tcBorders>
            <w:vAlign w:val="center"/>
            <w:hideMark/>
          </w:tcPr>
          <w:p w14:paraId="510800C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3B119A58"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2D5AFE95"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16E56117" w14:textId="77777777" w:rsidR="007704E5" w:rsidRPr="007704E5" w:rsidRDefault="007704E5" w:rsidP="007704E5">
            <w:pPr>
              <w:spacing w:after="0" w:line="240" w:lineRule="auto"/>
              <w:ind w:firstLineChars="100" w:firstLine="160"/>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78CA635A" w14:textId="77777777" w:rsidR="007704E5" w:rsidRPr="007704E5" w:rsidRDefault="007704E5" w:rsidP="007704E5">
            <w:pPr>
              <w:spacing w:after="0" w:line="240" w:lineRule="auto"/>
              <w:ind w:firstLineChars="200" w:firstLine="320"/>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w:t>
            </w:r>
          </w:p>
        </w:tc>
      </w:tr>
      <w:tr w:rsidR="007704E5" w:rsidRPr="007704E5" w14:paraId="6DFE9C24" w14:textId="77777777" w:rsidTr="00253B03">
        <w:trPr>
          <w:divId w:val="776488070"/>
          <w:trHeight w:hRule="exact" w:val="216"/>
          <w:jc w:val="center"/>
        </w:trPr>
        <w:tc>
          <w:tcPr>
            <w:tcW w:w="3220" w:type="dxa"/>
            <w:gridSpan w:val="4"/>
            <w:tcBorders>
              <w:top w:val="nil"/>
              <w:left w:val="nil"/>
              <w:bottom w:val="nil"/>
              <w:right w:val="nil"/>
            </w:tcBorders>
            <w:shd w:val="clear" w:color="auto" w:fill="auto"/>
            <w:noWrap/>
            <w:hideMark/>
          </w:tcPr>
          <w:p w14:paraId="018B4C6D"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r w:rsidRPr="007704E5">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57FFA30D"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051EFF12"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12C1036"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276A3B5"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C734A84"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r>
      <w:tr w:rsidR="007704E5" w:rsidRPr="007704E5" w14:paraId="4B35EEE4"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5BB90A6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64D054C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27521856"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Posts</w:t>
            </w:r>
          </w:p>
        </w:tc>
        <w:tc>
          <w:tcPr>
            <w:tcW w:w="103" w:type="dxa"/>
            <w:tcBorders>
              <w:top w:val="nil"/>
              <w:left w:val="nil"/>
              <w:bottom w:val="nil"/>
              <w:right w:val="nil"/>
            </w:tcBorders>
            <w:shd w:val="clear" w:color="auto" w:fill="auto"/>
            <w:noWrap/>
            <w:hideMark/>
          </w:tcPr>
          <w:p w14:paraId="137C693F"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6DE4CB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126,744</w:t>
            </w:r>
          </w:p>
        </w:tc>
        <w:tc>
          <w:tcPr>
            <w:tcW w:w="1180" w:type="dxa"/>
            <w:tcBorders>
              <w:top w:val="nil"/>
              <w:left w:val="nil"/>
              <w:bottom w:val="nil"/>
              <w:right w:val="nil"/>
            </w:tcBorders>
            <w:shd w:val="clear" w:color="auto" w:fill="auto"/>
            <w:noWrap/>
            <w:hideMark/>
          </w:tcPr>
          <w:p w14:paraId="3932A0A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132,859</w:t>
            </w:r>
          </w:p>
        </w:tc>
        <w:tc>
          <w:tcPr>
            <w:tcW w:w="1180" w:type="dxa"/>
            <w:tcBorders>
              <w:top w:val="nil"/>
              <w:left w:val="nil"/>
              <w:bottom w:val="nil"/>
              <w:right w:val="nil"/>
            </w:tcBorders>
            <w:shd w:val="clear" w:color="auto" w:fill="auto"/>
            <w:noWrap/>
            <w:hideMark/>
          </w:tcPr>
          <w:p w14:paraId="66496CF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126,356</w:t>
            </w:r>
          </w:p>
        </w:tc>
        <w:tc>
          <w:tcPr>
            <w:tcW w:w="1060" w:type="dxa"/>
            <w:tcBorders>
              <w:top w:val="nil"/>
              <w:left w:val="nil"/>
              <w:bottom w:val="nil"/>
              <w:right w:val="nil"/>
            </w:tcBorders>
            <w:shd w:val="clear" w:color="auto" w:fill="auto"/>
            <w:noWrap/>
            <w:hideMark/>
          </w:tcPr>
          <w:p w14:paraId="29E66B8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(6,116)</w:t>
            </w:r>
          </w:p>
        </w:tc>
        <w:tc>
          <w:tcPr>
            <w:tcW w:w="1060" w:type="dxa"/>
            <w:tcBorders>
              <w:top w:val="nil"/>
              <w:left w:val="nil"/>
              <w:bottom w:val="nil"/>
              <w:right w:val="nil"/>
            </w:tcBorders>
            <w:shd w:val="clear" w:color="auto" w:fill="auto"/>
            <w:noWrap/>
            <w:hideMark/>
          </w:tcPr>
          <w:p w14:paraId="07B87A3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w:t>
            </w:r>
          </w:p>
        </w:tc>
      </w:tr>
      <w:tr w:rsidR="007704E5" w:rsidRPr="007704E5" w14:paraId="1AF72FCD"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6F1A894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8114A9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7A66C4E3"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Temporary Staff</w:t>
            </w:r>
          </w:p>
        </w:tc>
        <w:tc>
          <w:tcPr>
            <w:tcW w:w="103" w:type="dxa"/>
            <w:tcBorders>
              <w:top w:val="nil"/>
              <w:left w:val="nil"/>
              <w:bottom w:val="nil"/>
              <w:right w:val="nil"/>
            </w:tcBorders>
            <w:shd w:val="clear" w:color="auto" w:fill="auto"/>
            <w:noWrap/>
            <w:hideMark/>
          </w:tcPr>
          <w:p w14:paraId="539C3059"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9F7B82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1,385</w:t>
            </w:r>
          </w:p>
        </w:tc>
        <w:tc>
          <w:tcPr>
            <w:tcW w:w="1180" w:type="dxa"/>
            <w:tcBorders>
              <w:top w:val="nil"/>
              <w:left w:val="nil"/>
              <w:bottom w:val="nil"/>
              <w:right w:val="nil"/>
            </w:tcBorders>
            <w:shd w:val="clear" w:color="auto" w:fill="auto"/>
            <w:noWrap/>
            <w:hideMark/>
          </w:tcPr>
          <w:p w14:paraId="1F60604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1,485</w:t>
            </w:r>
          </w:p>
        </w:tc>
        <w:tc>
          <w:tcPr>
            <w:tcW w:w="1180" w:type="dxa"/>
            <w:tcBorders>
              <w:top w:val="nil"/>
              <w:left w:val="nil"/>
              <w:bottom w:val="nil"/>
              <w:right w:val="nil"/>
            </w:tcBorders>
            <w:shd w:val="clear" w:color="auto" w:fill="auto"/>
            <w:noWrap/>
            <w:hideMark/>
          </w:tcPr>
          <w:p w14:paraId="4F5A286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4,362</w:t>
            </w:r>
          </w:p>
        </w:tc>
        <w:tc>
          <w:tcPr>
            <w:tcW w:w="1060" w:type="dxa"/>
            <w:tcBorders>
              <w:top w:val="nil"/>
              <w:left w:val="nil"/>
              <w:bottom w:val="nil"/>
              <w:right w:val="nil"/>
            </w:tcBorders>
            <w:shd w:val="clear" w:color="auto" w:fill="auto"/>
            <w:noWrap/>
            <w:hideMark/>
          </w:tcPr>
          <w:p w14:paraId="50CDFD5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(101)</w:t>
            </w:r>
          </w:p>
        </w:tc>
        <w:tc>
          <w:tcPr>
            <w:tcW w:w="1060" w:type="dxa"/>
            <w:tcBorders>
              <w:top w:val="nil"/>
              <w:left w:val="nil"/>
              <w:bottom w:val="nil"/>
              <w:right w:val="nil"/>
            </w:tcBorders>
            <w:shd w:val="clear" w:color="auto" w:fill="auto"/>
            <w:noWrap/>
            <w:hideMark/>
          </w:tcPr>
          <w:p w14:paraId="097CFCB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w:t>
            </w:r>
          </w:p>
        </w:tc>
      </w:tr>
      <w:tr w:rsidR="007704E5" w:rsidRPr="007704E5" w14:paraId="73D5B009"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17F19DF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B460C69"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3956DF67"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Other Staff Costs</w:t>
            </w:r>
          </w:p>
        </w:tc>
        <w:tc>
          <w:tcPr>
            <w:tcW w:w="103" w:type="dxa"/>
            <w:tcBorders>
              <w:top w:val="nil"/>
              <w:left w:val="nil"/>
              <w:bottom w:val="nil"/>
              <w:right w:val="nil"/>
            </w:tcBorders>
            <w:shd w:val="clear" w:color="auto" w:fill="auto"/>
            <w:noWrap/>
            <w:hideMark/>
          </w:tcPr>
          <w:p w14:paraId="54C5424A"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E8D02D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2B3233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5D5B9DE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EC63A9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35C2236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2622E21C" w14:textId="77777777" w:rsidTr="00253B03">
        <w:trPr>
          <w:divId w:val="776488070"/>
          <w:trHeight w:hRule="exact" w:val="216"/>
          <w:jc w:val="center"/>
        </w:trPr>
        <w:tc>
          <w:tcPr>
            <w:tcW w:w="104" w:type="dxa"/>
            <w:tcBorders>
              <w:top w:val="single" w:sz="4" w:space="0" w:color="C7CFD8"/>
              <w:left w:val="nil"/>
              <w:bottom w:val="single" w:sz="8" w:space="0" w:color="C7CFD8"/>
              <w:right w:val="nil"/>
            </w:tcBorders>
            <w:shd w:val="clear" w:color="auto" w:fill="auto"/>
            <w:noWrap/>
            <w:hideMark/>
          </w:tcPr>
          <w:p w14:paraId="67CF463F"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3013" w:type="dxa"/>
            <w:gridSpan w:val="2"/>
            <w:tcBorders>
              <w:top w:val="single" w:sz="4" w:space="0" w:color="C7CFD8"/>
              <w:left w:val="nil"/>
              <w:bottom w:val="single" w:sz="8" w:space="0" w:color="C7CFD8"/>
              <w:right w:val="nil"/>
            </w:tcBorders>
            <w:shd w:val="clear" w:color="auto" w:fill="auto"/>
            <w:noWrap/>
            <w:vAlign w:val="center"/>
            <w:hideMark/>
          </w:tcPr>
          <w:p w14:paraId="15C6DE31"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 A</w:t>
            </w:r>
          </w:p>
        </w:tc>
        <w:tc>
          <w:tcPr>
            <w:tcW w:w="103" w:type="dxa"/>
            <w:tcBorders>
              <w:top w:val="single" w:sz="4" w:space="0" w:color="C7CFD8"/>
              <w:left w:val="nil"/>
              <w:bottom w:val="single" w:sz="8" w:space="0" w:color="C7CFD8"/>
              <w:right w:val="nil"/>
            </w:tcBorders>
            <w:shd w:val="clear" w:color="auto" w:fill="auto"/>
            <w:noWrap/>
            <w:hideMark/>
          </w:tcPr>
          <w:p w14:paraId="0946C895"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7B89BA3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128,128</w:t>
            </w:r>
          </w:p>
        </w:tc>
        <w:tc>
          <w:tcPr>
            <w:tcW w:w="1180" w:type="dxa"/>
            <w:tcBorders>
              <w:top w:val="single" w:sz="4" w:space="0" w:color="C7CFD8"/>
              <w:left w:val="nil"/>
              <w:bottom w:val="single" w:sz="8" w:space="0" w:color="C7CFD8"/>
              <w:right w:val="nil"/>
            </w:tcBorders>
            <w:shd w:val="clear" w:color="auto" w:fill="auto"/>
            <w:noWrap/>
            <w:vAlign w:val="center"/>
            <w:hideMark/>
          </w:tcPr>
          <w:p w14:paraId="6DBACC9D"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134,345</w:t>
            </w:r>
          </w:p>
        </w:tc>
        <w:tc>
          <w:tcPr>
            <w:tcW w:w="1180" w:type="dxa"/>
            <w:tcBorders>
              <w:top w:val="single" w:sz="4" w:space="0" w:color="C7CFD8"/>
              <w:left w:val="nil"/>
              <w:bottom w:val="single" w:sz="8" w:space="0" w:color="C7CFD8"/>
              <w:right w:val="nil"/>
            </w:tcBorders>
            <w:shd w:val="clear" w:color="auto" w:fill="auto"/>
            <w:noWrap/>
            <w:vAlign w:val="center"/>
            <w:hideMark/>
          </w:tcPr>
          <w:p w14:paraId="3248990C"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130,718</w:t>
            </w:r>
          </w:p>
        </w:tc>
        <w:tc>
          <w:tcPr>
            <w:tcW w:w="1060" w:type="dxa"/>
            <w:tcBorders>
              <w:top w:val="single" w:sz="4" w:space="0" w:color="C7CFD8"/>
              <w:left w:val="nil"/>
              <w:bottom w:val="single" w:sz="8" w:space="0" w:color="C7CFD8"/>
              <w:right w:val="nil"/>
            </w:tcBorders>
            <w:shd w:val="clear" w:color="auto" w:fill="auto"/>
            <w:noWrap/>
            <w:vAlign w:val="center"/>
            <w:hideMark/>
          </w:tcPr>
          <w:p w14:paraId="26243E7F"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(6,216)</w:t>
            </w:r>
          </w:p>
        </w:tc>
        <w:tc>
          <w:tcPr>
            <w:tcW w:w="1060" w:type="dxa"/>
            <w:tcBorders>
              <w:top w:val="single" w:sz="4" w:space="0" w:color="C7CFD8"/>
              <w:left w:val="nil"/>
              <w:bottom w:val="single" w:sz="8" w:space="0" w:color="C7CFD8"/>
              <w:right w:val="nil"/>
            </w:tcBorders>
            <w:shd w:val="clear" w:color="auto" w:fill="auto"/>
            <w:noWrap/>
            <w:vAlign w:val="center"/>
            <w:hideMark/>
          </w:tcPr>
          <w:p w14:paraId="577E5F82"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-5%</w:t>
            </w:r>
          </w:p>
        </w:tc>
      </w:tr>
      <w:tr w:rsidR="007704E5" w:rsidRPr="007704E5" w14:paraId="472DA97F" w14:textId="77777777" w:rsidTr="00253B03">
        <w:trPr>
          <w:divId w:val="776488070"/>
          <w:trHeight w:hRule="exact" w:val="216"/>
          <w:jc w:val="center"/>
        </w:trPr>
        <w:tc>
          <w:tcPr>
            <w:tcW w:w="3220" w:type="dxa"/>
            <w:gridSpan w:val="4"/>
            <w:tcBorders>
              <w:top w:val="nil"/>
              <w:left w:val="nil"/>
              <w:bottom w:val="nil"/>
              <w:right w:val="nil"/>
            </w:tcBorders>
            <w:shd w:val="clear" w:color="auto" w:fill="auto"/>
            <w:noWrap/>
            <w:hideMark/>
          </w:tcPr>
          <w:p w14:paraId="23490485"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r w:rsidRPr="007704E5">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433F2C92"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699DB71A"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2864705"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45F7E34"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E79869A"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2D99B46D"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3DCC482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116" w:type="dxa"/>
            <w:gridSpan w:val="3"/>
            <w:tcBorders>
              <w:top w:val="nil"/>
              <w:left w:val="nil"/>
              <w:bottom w:val="nil"/>
              <w:right w:val="nil"/>
            </w:tcBorders>
            <w:shd w:val="clear" w:color="auto" w:fill="auto"/>
            <w:noWrap/>
            <w:hideMark/>
          </w:tcPr>
          <w:p w14:paraId="60F9B46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668B7769"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0F70F1BB"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AF64CB3"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5E970F4"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79F1947"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2252B598"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7CAB8858"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5B9A948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543FC82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Internships</w:t>
            </w:r>
          </w:p>
        </w:tc>
        <w:tc>
          <w:tcPr>
            <w:tcW w:w="103" w:type="dxa"/>
            <w:tcBorders>
              <w:top w:val="nil"/>
              <w:left w:val="nil"/>
              <w:bottom w:val="nil"/>
              <w:right w:val="nil"/>
            </w:tcBorders>
            <w:shd w:val="clear" w:color="auto" w:fill="auto"/>
            <w:noWrap/>
            <w:hideMark/>
          </w:tcPr>
          <w:p w14:paraId="2DEDFE85"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E4A0E4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A13A5F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ED2060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5A3F62C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CBDA43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54CAAFEF"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5A0D3E3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4919A8F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7872E5E9"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WIPO Fellowships</w:t>
            </w:r>
          </w:p>
        </w:tc>
        <w:tc>
          <w:tcPr>
            <w:tcW w:w="103" w:type="dxa"/>
            <w:tcBorders>
              <w:top w:val="nil"/>
              <w:left w:val="nil"/>
              <w:bottom w:val="nil"/>
              <w:right w:val="nil"/>
            </w:tcBorders>
            <w:shd w:val="clear" w:color="auto" w:fill="auto"/>
            <w:noWrap/>
            <w:hideMark/>
          </w:tcPr>
          <w:p w14:paraId="6AEB1CF8"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58C343B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3,767</w:t>
            </w:r>
          </w:p>
        </w:tc>
        <w:tc>
          <w:tcPr>
            <w:tcW w:w="1180" w:type="dxa"/>
            <w:tcBorders>
              <w:top w:val="nil"/>
              <w:left w:val="nil"/>
              <w:bottom w:val="nil"/>
              <w:right w:val="nil"/>
            </w:tcBorders>
            <w:shd w:val="clear" w:color="auto" w:fill="auto"/>
            <w:noWrap/>
            <w:hideMark/>
          </w:tcPr>
          <w:p w14:paraId="5609936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3,751</w:t>
            </w:r>
          </w:p>
        </w:tc>
        <w:tc>
          <w:tcPr>
            <w:tcW w:w="1180" w:type="dxa"/>
            <w:tcBorders>
              <w:top w:val="nil"/>
              <w:left w:val="nil"/>
              <w:bottom w:val="nil"/>
              <w:right w:val="nil"/>
            </w:tcBorders>
            <w:shd w:val="clear" w:color="auto" w:fill="auto"/>
            <w:noWrap/>
            <w:hideMark/>
          </w:tcPr>
          <w:p w14:paraId="4869B58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3,965</w:t>
            </w:r>
          </w:p>
        </w:tc>
        <w:tc>
          <w:tcPr>
            <w:tcW w:w="1060" w:type="dxa"/>
            <w:tcBorders>
              <w:top w:val="nil"/>
              <w:left w:val="nil"/>
              <w:bottom w:val="nil"/>
              <w:right w:val="nil"/>
            </w:tcBorders>
            <w:shd w:val="clear" w:color="auto" w:fill="auto"/>
            <w:noWrap/>
            <w:hideMark/>
          </w:tcPr>
          <w:p w14:paraId="1A6602B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16</w:t>
            </w:r>
          </w:p>
        </w:tc>
        <w:tc>
          <w:tcPr>
            <w:tcW w:w="1060" w:type="dxa"/>
            <w:tcBorders>
              <w:top w:val="nil"/>
              <w:left w:val="nil"/>
              <w:bottom w:val="nil"/>
              <w:right w:val="nil"/>
            </w:tcBorders>
            <w:shd w:val="clear" w:color="auto" w:fill="auto"/>
            <w:noWrap/>
            <w:hideMark/>
          </w:tcPr>
          <w:p w14:paraId="5682036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0%</w:t>
            </w:r>
          </w:p>
        </w:tc>
      </w:tr>
      <w:tr w:rsidR="007704E5" w:rsidRPr="007704E5" w14:paraId="7C85B12B"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7ECC5244"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7F7CF0DD"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731395B"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367247A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3,767</w:t>
            </w:r>
          </w:p>
        </w:tc>
        <w:tc>
          <w:tcPr>
            <w:tcW w:w="1180" w:type="dxa"/>
            <w:tcBorders>
              <w:top w:val="nil"/>
              <w:left w:val="nil"/>
              <w:bottom w:val="single" w:sz="4" w:space="0" w:color="C7CFD8"/>
              <w:right w:val="nil"/>
            </w:tcBorders>
            <w:shd w:val="clear" w:color="auto" w:fill="auto"/>
            <w:noWrap/>
            <w:hideMark/>
          </w:tcPr>
          <w:p w14:paraId="5932B0C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3,751</w:t>
            </w:r>
          </w:p>
        </w:tc>
        <w:tc>
          <w:tcPr>
            <w:tcW w:w="1180" w:type="dxa"/>
            <w:tcBorders>
              <w:top w:val="nil"/>
              <w:left w:val="nil"/>
              <w:bottom w:val="single" w:sz="4" w:space="0" w:color="C7CFD8"/>
              <w:right w:val="nil"/>
            </w:tcBorders>
            <w:shd w:val="clear" w:color="auto" w:fill="auto"/>
            <w:noWrap/>
            <w:hideMark/>
          </w:tcPr>
          <w:p w14:paraId="08B55CA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3,965</w:t>
            </w:r>
          </w:p>
        </w:tc>
        <w:tc>
          <w:tcPr>
            <w:tcW w:w="1060" w:type="dxa"/>
            <w:tcBorders>
              <w:top w:val="nil"/>
              <w:left w:val="nil"/>
              <w:bottom w:val="single" w:sz="4" w:space="0" w:color="C7CFD8"/>
              <w:right w:val="nil"/>
            </w:tcBorders>
            <w:shd w:val="clear" w:color="auto" w:fill="auto"/>
            <w:noWrap/>
            <w:hideMark/>
          </w:tcPr>
          <w:p w14:paraId="30AF29C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16</w:t>
            </w:r>
          </w:p>
        </w:tc>
        <w:tc>
          <w:tcPr>
            <w:tcW w:w="1060" w:type="dxa"/>
            <w:tcBorders>
              <w:top w:val="nil"/>
              <w:left w:val="nil"/>
              <w:bottom w:val="single" w:sz="4" w:space="0" w:color="C7CFD8"/>
              <w:right w:val="nil"/>
            </w:tcBorders>
            <w:shd w:val="clear" w:color="auto" w:fill="auto"/>
            <w:noWrap/>
            <w:hideMark/>
          </w:tcPr>
          <w:p w14:paraId="4AE2DEA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0%</w:t>
            </w:r>
          </w:p>
        </w:tc>
      </w:tr>
      <w:tr w:rsidR="007704E5" w:rsidRPr="007704E5" w14:paraId="66851253"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2FEAB76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116" w:type="dxa"/>
            <w:gridSpan w:val="3"/>
            <w:tcBorders>
              <w:top w:val="nil"/>
              <w:left w:val="nil"/>
              <w:bottom w:val="nil"/>
              <w:right w:val="nil"/>
            </w:tcBorders>
            <w:shd w:val="clear" w:color="auto" w:fill="auto"/>
            <w:noWrap/>
            <w:hideMark/>
          </w:tcPr>
          <w:p w14:paraId="5A8AE32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1D38345E"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103DC9A7"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D6DB46E"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4AFB29B"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363CB8F"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34C4ACD6"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1A1CF124"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635BB6A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507A6CC5"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Staff Missions</w:t>
            </w:r>
          </w:p>
        </w:tc>
        <w:tc>
          <w:tcPr>
            <w:tcW w:w="103" w:type="dxa"/>
            <w:tcBorders>
              <w:top w:val="nil"/>
              <w:left w:val="nil"/>
              <w:bottom w:val="nil"/>
              <w:right w:val="nil"/>
            </w:tcBorders>
            <w:shd w:val="clear" w:color="auto" w:fill="auto"/>
            <w:noWrap/>
            <w:hideMark/>
          </w:tcPr>
          <w:p w14:paraId="03ABAE71"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C4FD59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1,456</w:t>
            </w:r>
          </w:p>
        </w:tc>
        <w:tc>
          <w:tcPr>
            <w:tcW w:w="1180" w:type="dxa"/>
            <w:tcBorders>
              <w:top w:val="nil"/>
              <w:left w:val="nil"/>
              <w:bottom w:val="nil"/>
              <w:right w:val="nil"/>
            </w:tcBorders>
            <w:shd w:val="clear" w:color="auto" w:fill="auto"/>
            <w:noWrap/>
            <w:hideMark/>
          </w:tcPr>
          <w:p w14:paraId="4DC269C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1,704</w:t>
            </w:r>
          </w:p>
        </w:tc>
        <w:tc>
          <w:tcPr>
            <w:tcW w:w="1180" w:type="dxa"/>
            <w:tcBorders>
              <w:top w:val="nil"/>
              <w:left w:val="nil"/>
              <w:bottom w:val="nil"/>
              <w:right w:val="nil"/>
            </w:tcBorders>
            <w:shd w:val="clear" w:color="auto" w:fill="auto"/>
            <w:noWrap/>
            <w:hideMark/>
          </w:tcPr>
          <w:p w14:paraId="3660183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1,050</w:t>
            </w:r>
          </w:p>
        </w:tc>
        <w:tc>
          <w:tcPr>
            <w:tcW w:w="1060" w:type="dxa"/>
            <w:tcBorders>
              <w:top w:val="nil"/>
              <w:left w:val="nil"/>
              <w:bottom w:val="nil"/>
              <w:right w:val="nil"/>
            </w:tcBorders>
            <w:shd w:val="clear" w:color="auto" w:fill="auto"/>
            <w:noWrap/>
            <w:hideMark/>
          </w:tcPr>
          <w:p w14:paraId="1F8D963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(247)</w:t>
            </w:r>
          </w:p>
        </w:tc>
        <w:tc>
          <w:tcPr>
            <w:tcW w:w="1060" w:type="dxa"/>
            <w:tcBorders>
              <w:top w:val="nil"/>
              <w:left w:val="nil"/>
              <w:bottom w:val="nil"/>
              <w:right w:val="nil"/>
            </w:tcBorders>
            <w:shd w:val="clear" w:color="auto" w:fill="auto"/>
            <w:noWrap/>
            <w:hideMark/>
          </w:tcPr>
          <w:p w14:paraId="15C8006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-15%</w:t>
            </w:r>
          </w:p>
        </w:tc>
      </w:tr>
      <w:tr w:rsidR="007704E5" w:rsidRPr="007704E5" w14:paraId="05D5D1CF"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78276EC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BD1846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4FD0978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Third-party Travel</w:t>
            </w:r>
          </w:p>
        </w:tc>
        <w:tc>
          <w:tcPr>
            <w:tcW w:w="103" w:type="dxa"/>
            <w:tcBorders>
              <w:top w:val="nil"/>
              <w:left w:val="nil"/>
              <w:bottom w:val="nil"/>
              <w:right w:val="nil"/>
            </w:tcBorders>
            <w:shd w:val="clear" w:color="auto" w:fill="auto"/>
            <w:noWrap/>
            <w:hideMark/>
          </w:tcPr>
          <w:p w14:paraId="10517CB8"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12A698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3,267</w:t>
            </w:r>
          </w:p>
        </w:tc>
        <w:tc>
          <w:tcPr>
            <w:tcW w:w="1180" w:type="dxa"/>
            <w:tcBorders>
              <w:top w:val="nil"/>
              <w:left w:val="nil"/>
              <w:bottom w:val="nil"/>
              <w:right w:val="nil"/>
            </w:tcBorders>
            <w:shd w:val="clear" w:color="auto" w:fill="auto"/>
            <w:noWrap/>
            <w:hideMark/>
          </w:tcPr>
          <w:p w14:paraId="731FFD5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2,877</w:t>
            </w:r>
          </w:p>
        </w:tc>
        <w:tc>
          <w:tcPr>
            <w:tcW w:w="1180" w:type="dxa"/>
            <w:tcBorders>
              <w:top w:val="nil"/>
              <w:left w:val="nil"/>
              <w:bottom w:val="nil"/>
              <w:right w:val="nil"/>
            </w:tcBorders>
            <w:shd w:val="clear" w:color="auto" w:fill="auto"/>
            <w:noWrap/>
            <w:hideMark/>
          </w:tcPr>
          <w:p w14:paraId="2D47F35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2,933</w:t>
            </w:r>
          </w:p>
        </w:tc>
        <w:tc>
          <w:tcPr>
            <w:tcW w:w="1060" w:type="dxa"/>
            <w:tcBorders>
              <w:top w:val="nil"/>
              <w:left w:val="nil"/>
              <w:bottom w:val="nil"/>
              <w:right w:val="nil"/>
            </w:tcBorders>
            <w:shd w:val="clear" w:color="auto" w:fill="auto"/>
            <w:noWrap/>
            <w:hideMark/>
          </w:tcPr>
          <w:p w14:paraId="3C50062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389</w:t>
            </w:r>
          </w:p>
        </w:tc>
        <w:tc>
          <w:tcPr>
            <w:tcW w:w="1060" w:type="dxa"/>
            <w:tcBorders>
              <w:top w:val="nil"/>
              <w:left w:val="nil"/>
              <w:bottom w:val="nil"/>
              <w:right w:val="nil"/>
            </w:tcBorders>
            <w:shd w:val="clear" w:color="auto" w:fill="auto"/>
            <w:noWrap/>
            <w:hideMark/>
          </w:tcPr>
          <w:p w14:paraId="65082DE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w:t>
            </w:r>
          </w:p>
        </w:tc>
      </w:tr>
      <w:tr w:rsidR="007704E5" w:rsidRPr="007704E5" w14:paraId="2BB4B26B"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76DEB256"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586C79AA"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484424D"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70F0721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4,723</w:t>
            </w:r>
          </w:p>
        </w:tc>
        <w:tc>
          <w:tcPr>
            <w:tcW w:w="1180" w:type="dxa"/>
            <w:tcBorders>
              <w:top w:val="nil"/>
              <w:left w:val="nil"/>
              <w:bottom w:val="single" w:sz="4" w:space="0" w:color="C7CFD8"/>
              <w:right w:val="nil"/>
            </w:tcBorders>
            <w:shd w:val="clear" w:color="auto" w:fill="auto"/>
            <w:noWrap/>
            <w:hideMark/>
          </w:tcPr>
          <w:p w14:paraId="5356C33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4,581</w:t>
            </w:r>
          </w:p>
        </w:tc>
        <w:tc>
          <w:tcPr>
            <w:tcW w:w="1180" w:type="dxa"/>
            <w:tcBorders>
              <w:top w:val="nil"/>
              <w:left w:val="nil"/>
              <w:bottom w:val="single" w:sz="4" w:space="0" w:color="C7CFD8"/>
              <w:right w:val="nil"/>
            </w:tcBorders>
            <w:shd w:val="clear" w:color="auto" w:fill="auto"/>
            <w:noWrap/>
            <w:hideMark/>
          </w:tcPr>
          <w:p w14:paraId="428ADDA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3,983</w:t>
            </w:r>
          </w:p>
        </w:tc>
        <w:tc>
          <w:tcPr>
            <w:tcW w:w="1060" w:type="dxa"/>
            <w:tcBorders>
              <w:top w:val="nil"/>
              <w:left w:val="nil"/>
              <w:bottom w:val="single" w:sz="4" w:space="0" w:color="C7CFD8"/>
              <w:right w:val="nil"/>
            </w:tcBorders>
            <w:shd w:val="clear" w:color="auto" w:fill="auto"/>
            <w:noWrap/>
            <w:hideMark/>
          </w:tcPr>
          <w:p w14:paraId="6465577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142</w:t>
            </w:r>
          </w:p>
        </w:tc>
        <w:tc>
          <w:tcPr>
            <w:tcW w:w="1060" w:type="dxa"/>
            <w:tcBorders>
              <w:top w:val="nil"/>
              <w:left w:val="nil"/>
              <w:bottom w:val="single" w:sz="4" w:space="0" w:color="C7CFD8"/>
              <w:right w:val="nil"/>
            </w:tcBorders>
            <w:shd w:val="clear" w:color="auto" w:fill="auto"/>
            <w:noWrap/>
            <w:hideMark/>
          </w:tcPr>
          <w:p w14:paraId="1ED9FC6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w:t>
            </w:r>
          </w:p>
        </w:tc>
      </w:tr>
      <w:tr w:rsidR="007704E5" w:rsidRPr="007704E5" w14:paraId="4E2F94D5"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4E2D72C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116" w:type="dxa"/>
            <w:gridSpan w:val="3"/>
            <w:tcBorders>
              <w:top w:val="nil"/>
              <w:left w:val="nil"/>
              <w:bottom w:val="nil"/>
              <w:right w:val="nil"/>
            </w:tcBorders>
            <w:shd w:val="clear" w:color="auto" w:fill="auto"/>
            <w:noWrap/>
            <w:hideMark/>
          </w:tcPr>
          <w:p w14:paraId="40996089"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5719479A"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7FDCC4FE"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37E539C"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305A73F2"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91ED073"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23455144"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126D8D0B"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0FC8946C"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1CF2BA45"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Conferences</w:t>
            </w:r>
          </w:p>
        </w:tc>
        <w:tc>
          <w:tcPr>
            <w:tcW w:w="103" w:type="dxa"/>
            <w:tcBorders>
              <w:top w:val="nil"/>
              <w:left w:val="nil"/>
              <w:bottom w:val="nil"/>
              <w:right w:val="nil"/>
            </w:tcBorders>
            <w:shd w:val="clear" w:color="auto" w:fill="auto"/>
            <w:noWrap/>
            <w:hideMark/>
          </w:tcPr>
          <w:p w14:paraId="26E0A409"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301C53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923</w:t>
            </w:r>
          </w:p>
        </w:tc>
        <w:tc>
          <w:tcPr>
            <w:tcW w:w="1180" w:type="dxa"/>
            <w:tcBorders>
              <w:top w:val="nil"/>
              <w:left w:val="nil"/>
              <w:bottom w:val="nil"/>
              <w:right w:val="nil"/>
            </w:tcBorders>
            <w:shd w:val="clear" w:color="auto" w:fill="auto"/>
            <w:noWrap/>
            <w:hideMark/>
          </w:tcPr>
          <w:p w14:paraId="45F8721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966</w:t>
            </w:r>
          </w:p>
        </w:tc>
        <w:tc>
          <w:tcPr>
            <w:tcW w:w="1180" w:type="dxa"/>
            <w:tcBorders>
              <w:top w:val="nil"/>
              <w:left w:val="nil"/>
              <w:bottom w:val="nil"/>
              <w:right w:val="nil"/>
            </w:tcBorders>
            <w:shd w:val="clear" w:color="auto" w:fill="auto"/>
            <w:noWrap/>
            <w:hideMark/>
          </w:tcPr>
          <w:p w14:paraId="673D369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820</w:t>
            </w:r>
          </w:p>
        </w:tc>
        <w:tc>
          <w:tcPr>
            <w:tcW w:w="1060" w:type="dxa"/>
            <w:tcBorders>
              <w:top w:val="nil"/>
              <w:left w:val="nil"/>
              <w:bottom w:val="nil"/>
              <w:right w:val="nil"/>
            </w:tcBorders>
            <w:shd w:val="clear" w:color="auto" w:fill="auto"/>
            <w:noWrap/>
            <w:hideMark/>
          </w:tcPr>
          <w:p w14:paraId="32642A1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(43)</w:t>
            </w:r>
          </w:p>
        </w:tc>
        <w:tc>
          <w:tcPr>
            <w:tcW w:w="1060" w:type="dxa"/>
            <w:tcBorders>
              <w:top w:val="nil"/>
              <w:left w:val="nil"/>
              <w:bottom w:val="nil"/>
              <w:right w:val="nil"/>
            </w:tcBorders>
            <w:shd w:val="clear" w:color="auto" w:fill="auto"/>
            <w:noWrap/>
            <w:hideMark/>
          </w:tcPr>
          <w:p w14:paraId="47AF185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w:t>
            </w:r>
          </w:p>
        </w:tc>
      </w:tr>
      <w:tr w:rsidR="007704E5" w:rsidRPr="007704E5" w14:paraId="17DDEE76"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354B761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AFF43A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1DD22C17"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Publishing</w:t>
            </w:r>
          </w:p>
        </w:tc>
        <w:tc>
          <w:tcPr>
            <w:tcW w:w="103" w:type="dxa"/>
            <w:tcBorders>
              <w:top w:val="nil"/>
              <w:left w:val="nil"/>
              <w:bottom w:val="nil"/>
              <w:right w:val="nil"/>
            </w:tcBorders>
            <w:shd w:val="clear" w:color="auto" w:fill="auto"/>
            <w:noWrap/>
            <w:hideMark/>
          </w:tcPr>
          <w:p w14:paraId="22F23577"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0F9D82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BE6BD7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w:t>
            </w:r>
          </w:p>
        </w:tc>
        <w:tc>
          <w:tcPr>
            <w:tcW w:w="1180" w:type="dxa"/>
            <w:tcBorders>
              <w:top w:val="nil"/>
              <w:left w:val="nil"/>
              <w:bottom w:val="nil"/>
              <w:right w:val="nil"/>
            </w:tcBorders>
            <w:shd w:val="clear" w:color="auto" w:fill="auto"/>
            <w:noWrap/>
            <w:hideMark/>
          </w:tcPr>
          <w:p w14:paraId="6DFF61E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18</w:t>
            </w:r>
          </w:p>
        </w:tc>
        <w:tc>
          <w:tcPr>
            <w:tcW w:w="1060" w:type="dxa"/>
            <w:tcBorders>
              <w:top w:val="nil"/>
              <w:left w:val="nil"/>
              <w:bottom w:val="nil"/>
              <w:right w:val="nil"/>
            </w:tcBorders>
            <w:shd w:val="clear" w:color="auto" w:fill="auto"/>
            <w:noWrap/>
            <w:hideMark/>
          </w:tcPr>
          <w:p w14:paraId="795B0B4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w:t>
            </w:r>
          </w:p>
        </w:tc>
        <w:tc>
          <w:tcPr>
            <w:tcW w:w="1060" w:type="dxa"/>
            <w:tcBorders>
              <w:top w:val="nil"/>
              <w:left w:val="nil"/>
              <w:bottom w:val="nil"/>
              <w:right w:val="nil"/>
            </w:tcBorders>
            <w:shd w:val="clear" w:color="auto" w:fill="auto"/>
            <w:noWrap/>
            <w:hideMark/>
          </w:tcPr>
          <w:p w14:paraId="34CC2CC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-100%</w:t>
            </w:r>
          </w:p>
        </w:tc>
      </w:tr>
      <w:tr w:rsidR="007704E5" w:rsidRPr="007704E5" w14:paraId="4E4D41F5"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3811F27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390AC82"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noWrap/>
            <w:hideMark/>
          </w:tcPr>
          <w:p w14:paraId="0036BDD0"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4F1C8C1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9,483</w:t>
            </w:r>
          </w:p>
        </w:tc>
        <w:tc>
          <w:tcPr>
            <w:tcW w:w="1180" w:type="dxa"/>
            <w:tcBorders>
              <w:top w:val="nil"/>
              <w:left w:val="nil"/>
              <w:bottom w:val="nil"/>
              <w:right w:val="nil"/>
            </w:tcBorders>
            <w:shd w:val="clear" w:color="auto" w:fill="auto"/>
            <w:noWrap/>
            <w:hideMark/>
          </w:tcPr>
          <w:p w14:paraId="1536F25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10,385</w:t>
            </w:r>
          </w:p>
        </w:tc>
        <w:tc>
          <w:tcPr>
            <w:tcW w:w="1180" w:type="dxa"/>
            <w:tcBorders>
              <w:top w:val="nil"/>
              <w:left w:val="nil"/>
              <w:bottom w:val="nil"/>
              <w:right w:val="nil"/>
            </w:tcBorders>
            <w:shd w:val="clear" w:color="auto" w:fill="auto"/>
            <w:noWrap/>
            <w:hideMark/>
          </w:tcPr>
          <w:p w14:paraId="77FB233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10,088</w:t>
            </w:r>
          </w:p>
        </w:tc>
        <w:tc>
          <w:tcPr>
            <w:tcW w:w="1060" w:type="dxa"/>
            <w:tcBorders>
              <w:top w:val="nil"/>
              <w:left w:val="nil"/>
              <w:bottom w:val="nil"/>
              <w:right w:val="nil"/>
            </w:tcBorders>
            <w:shd w:val="clear" w:color="auto" w:fill="auto"/>
            <w:noWrap/>
            <w:hideMark/>
          </w:tcPr>
          <w:p w14:paraId="788285E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(902)</w:t>
            </w:r>
          </w:p>
        </w:tc>
        <w:tc>
          <w:tcPr>
            <w:tcW w:w="1060" w:type="dxa"/>
            <w:tcBorders>
              <w:top w:val="nil"/>
              <w:left w:val="nil"/>
              <w:bottom w:val="nil"/>
              <w:right w:val="nil"/>
            </w:tcBorders>
            <w:shd w:val="clear" w:color="auto" w:fill="auto"/>
            <w:noWrap/>
            <w:hideMark/>
          </w:tcPr>
          <w:p w14:paraId="42583DF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w:t>
            </w:r>
          </w:p>
        </w:tc>
      </w:tr>
      <w:tr w:rsidR="007704E5" w:rsidRPr="007704E5" w14:paraId="68F45A7C"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04E8341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5B221E68"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noWrap/>
            <w:hideMark/>
          </w:tcPr>
          <w:p w14:paraId="46F5586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4D4CE1A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66,372</w:t>
            </w:r>
          </w:p>
        </w:tc>
        <w:tc>
          <w:tcPr>
            <w:tcW w:w="1180" w:type="dxa"/>
            <w:tcBorders>
              <w:top w:val="nil"/>
              <w:left w:val="nil"/>
              <w:bottom w:val="nil"/>
              <w:right w:val="nil"/>
            </w:tcBorders>
            <w:shd w:val="clear" w:color="auto" w:fill="auto"/>
            <w:noWrap/>
            <w:hideMark/>
          </w:tcPr>
          <w:p w14:paraId="197977A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73,821</w:t>
            </w:r>
          </w:p>
        </w:tc>
        <w:tc>
          <w:tcPr>
            <w:tcW w:w="1180" w:type="dxa"/>
            <w:tcBorders>
              <w:top w:val="nil"/>
              <w:left w:val="nil"/>
              <w:bottom w:val="nil"/>
              <w:right w:val="nil"/>
            </w:tcBorders>
            <w:shd w:val="clear" w:color="auto" w:fill="auto"/>
            <w:noWrap/>
            <w:hideMark/>
          </w:tcPr>
          <w:p w14:paraId="63F0B73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75,379</w:t>
            </w:r>
          </w:p>
        </w:tc>
        <w:tc>
          <w:tcPr>
            <w:tcW w:w="1060" w:type="dxa"/>
            <w:tcBorders>
              <w:top w:val="nil"/>
              <w:left w:val="nil"/>
              <w:bottom w:val="nil"/>
              <w:right w:val="nil"/>
            </w:tcBorders>
            <w:shd w:val="clear" w:color="auto" w:fill="auto"/>
            <w:noWrap/>
            <w:hideMark/>
          </w:tcPr>
          <w:p w14:paraId="24B14F2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(7,449)</w:t>
            </w:r>
          </w:p>
        </w:tc>
        <w:tc>
          <w:tcPr>
            <w:tcW w:w="1060" w:type="dxa"/>
            <w:tcBorders>
              <w:top w:val="nil"/>
              <w:left w:val="nil"/>
              <w:bottom w:val="nil"/>
              <w:right w:val="nil"/>
            </w:tcBorders>
            <w:shd w:val="clear" w:color="auto" w:fill="auto"/>
            <w:noWrap/>
            <w:hideMark/>
          </w:tcPr>
          <w:p w14:paraId="4136A8B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w:t>
            </w:r>
          </w:p>
        </w:tc>
      </w:tr>
      <w:tr w:rsidR="007704E5" w:rsidRPr="007704E5" w14:paraId="55560910"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0140429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1947FBF1"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99918E7"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015D3EC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76,778</w:t>
            </w:r>
          </w:p>
        </w:tc>
        <w:tc>
          <w:tcPr>
            <w:tcW w:w="1180" w:type="dxa"/>
            <w:tcBorders>
              <w:top w:val="nil"/>
              <w:left w:val="nil"/>
              <w:bottom w:val="single" w:sz="4" w:space="0" w:color="C7CFD8"/>
              <w:right w:val="nil"/>
            </w:tcBorders>
            <w:shd w:val="clear" w:color="auto" w:fill="auto"/>
            <w:noWrap/>
            <w:hideMark/>
          </w:tcPr>
          <w:p w14:paraId="713E4D4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85,209</w:t>
            </w:r>
          </w:p>
        </w:tc>
        <w:tc>
          <w:tcPr>
            <w:tcW w:w="1180" w:type="dxa"/>
            <w:tcBorders>
              <w:top w:val="nil"/>
              <w:left w:val="nil"/>
              <w:bottom w:val="single" w:sz="4" w:space="0" w:color="C7CFD8"/>
              <w:right w:val="nil"/>
            </w:tcBorders>
            <w:shd w:val="clear" w:color="auto" w:fill="auto"/>
            <w:noWrap/>
            <w:hideMark/>
          </w:tcPr>
          <w:p w14:paraId="7E26A53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86,306</w:t>
            </w:r>
          </w:p>
        </w:tc>
        <w:tc>
          <w:tcPr>
            <w:tcW w:w="1060" w:type="dxa"/>
            <w:tcBorders>
              <w:top w:val="nil"/>
              <w:left w:val="nil"/>
              <w:bottom w:val="single" w:sz="4" w:space="0" w:color="C7CFD8"/>
              <w:right w:val="nil"/>
            </w:tcBorders>
            <w:shd w:val="clear" w:color="auto" w:fill="auto"/>
            <w:noWrap/>
            <w:hideMark/>
          </w:tcPr>
          <w:p w14:paraId="2B9CCB8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(8,431)</w:t>
            </w:r>
          </w:p>
        </w:tc>
        <w:tc>
          <w:tcPr>
            <w:tcW w:w="1060" w:type="dxa"/>
            <w:tcBorders>
              <w:top w:val="nil"/>
              <w:left w:val="nil"/>
              <w:bottom w:val="single" w:sz="4" w:space="0" w:color="C7CFD8"/>
              <w:right w:val="nil"/>
            </w:tcBorders>
            <w:shd w:val="clear" w:color="auto" w:fill="auto"/>
            <w:noWrap/>
            <w:hideMark/>
          </w:tcPr>
          <w:p w14:paraId="3938DBD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w:t>
            </w:r>
          </w:p>
        </w:tc>
      </w:tr>
      <w:tr w:rsidR="007704E5" w:rsidRPr="007704E5" w14:paraId="25EAD62B"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60A69BB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013" w:type="dxa"/>
            <w:gridSpan w:val="2"/>
            <w:tcBorders>
              <w:top w:val="nil"/>
              <w:left w:val="nil"/>
              <w:bottom w:val="nil"/>
              <w:right w:val="nil"/>
            </w:tcBorders>
            <w:shd w:val="clear" w:color="auto" w:fill="auto"/>
            <w:noWrap/>
            <w:hideMark/>
          </w:tcPr>
          <w:p w14:paraId="72B12481"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Finance Costs</w:t>
            </w:r>
          </w:p>
        </w:tc>
        <w:tc>
          <w:tcPr>
            <w:tcW w:w="103" w:type="dxa"/>
            <w:tcBorders>
              <w:top w:val="nil"/>
              <w:left w:val="nil"/>
              <w:bottom w:val="nil"/>
              <w:right w:val="nil"/>
            </w:tcBorders>
            <w:shd w:val="clear" w:color="auto" w:fill="auto"/>
            <w:noWrap/>
            <w:hideMark/>
          </w:tcPr>
          <w:p w14:paraId="10D26553"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7285C96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18BC99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AC050A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EE42C5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2857BC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2D6C88E7"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3D26E4A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181F650A"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07740036"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0838C75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05446FD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2D840C3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3DD448E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13FEB4D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1B3D9011"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37CCD5D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013" w:type="dxa"/>
            <w:gridSpan w:val="2"/>
            <w:tcBorders>
              <w:top w:val="nil"/>
              <w:left w:val="nil"/>
              <w:bottom w:val="nil"/>
              <w:right w:val="nil"/>
            </w:tcBorders>
            <w:shd w:val="clear" w:color="auto" w:fill="auto"/>
            <w:noWrap/>
            <w:hideMark/>
          </w:tcPr>
          <w:p w14:paraId="48357838"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Operating Expenses</w:t>
            </w:r>
          </w:p>
        </w:tc>
        <w:tc>
          <w:tcPr>
            <w:tcW w:w="103" w:type="dxa"/>
            <w:tcBorders>
              <w:top w:val="nil"/>
              <w:left w:val="nil"/>
              <w:bottom w:val="nil"/>
              <w:right w:val="nil"/>
            </w:tcBorders>
            <w:shd w:val="clear" w:color="auto" w:fill="auto"/>
            <w:noWrap/>
            <w:hideMark/>
          </w:tcPr>
          <w:p w14:paraId="4651DCA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4D89CFA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AEEFD6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D7B13F4"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5B96DCD"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5B63C8B"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5A631FB8"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23CCA169"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C590CB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noWrap/>
            <w:hideMark/>
          </w:tcPr>
          <w:p w14:paraId="7F48AA1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21B1C21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448</w:t>
            </w:r>
          </w:p>
        </w:tc>
        <w:tc>
          <w:tcPr>
            <w:tcW w:w="1180" w:type="dxa"/>
            <w:tcBorders>
              <w:top w:val="nil"/>
              <w:left w:val="nil"/>
              <w:bottom w:val="nil"/>
              <w:right w:val="nil"/>
            </w:tcBorders>
            <w:shd w:val="clear" w:color="auto" w:fill="auto"/>
            <w:noWrap/>
            <w:hideMark/>
          </w:tcPr>
          <w:p w14:paraId="3B6EE94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1,520</w:t>
            </w:r>
          </w:p>
        </w:tc>
        <w:tc>
          <w:tcPr>
            <w:tcW w:w="1180" w:type="dxa"/>
            <w:tcBorders>
              <w:top w:val="nil"/>
              <w:left w:val="nil"/>
              <w:bottom w:val="nil"/>
              <w:right w:val="nil"/>
            </w:tcBorders>
            <w:shd w:val="clear" w:color="auto" w:fill="auto"/>
            <w:noWrap/>
            <w:hideMark/>
          </w:tcPr>
          <w:p w14:paraId="28F93B1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1,190</w:t>
            </w:r>
          </w:p>
        </w:tc>
        <w:tc>
          <w:tcPr>
            <w:tcW w:w="1060" w:type="dxa"/>
            <w:tcBorders>
              <w:top w:val="nil"/>
              <w:left w:val="nil"/>
              <w:bottom w:val="nil"/>
              <w:right w:val="nil"/>
            </w:tcBorders>
            <w:shd w:val="clear" w:color="auto" w:fill="auto"/>
            <w:noWrap/>
            <w:hideMark/>
          </w:tcPr>
          <w:p w14:paraId="7C5CAE7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(1,072)</w:t>
            </w:r>
          </w:p>
        </w:tc>
        <w:tc>
          <w:tcPr>
            <w:tcW w:w="1060" w:type="dxa"/>
            <w:tcBorders>
              <w:top w:val="nil"/>
              <w:left w:val="nil"/>
              <w:bottom w:val="nil"/>
              <w:right w:val="nil"/>
            </w:tcBorders>
            <w:shd w:val="clear" w:color="auto" w:fill="auto"/>
            <w:noWrap/>
            <w:hideMark/>
          </w:tcPr>
          <w:p w14:paraId="0A9D94D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-70%</w:t>
            </w:r>
          </w:p>
        </w:tc>
      </w:tr>
      <w:tr w:rsidR="007704E5" w:rsidRPr="007704E5" w14:paraId="208C1579"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27C4B11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3FCB3BCA"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72C18C32"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Communication</w:t>
            </w:r>
          </w:p>
        </w:tc>
        <w:tc>
          <w:tcPr>
            <w:tcW w:w="103" w:type="dxa"/>
            <w:tcBorders>
              <w:top w:val="nil"/>
              <w:left w:val="nil"/>
              <w:bottom w:val="nil"/>
              <w:right w:val="nil"/>
            </w:tcBorders>
            <w:shd w:val="clear" w:color="auto" w:fill="auto"/>
            <w:noWrap/>
            <w:hideMark/>
          </w:tcPr>
          <w:p w14:paraId="062C55E0"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DE721A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w:t>
            </w:r>
          </w:p>
        </w:tc>
        <w:tc>
          <w:tcPr>
            <w:tcW w:w="1180" w:type="dxa"/>
            <w:tcBorders>
              <w:top w:val="nil"/>
              <w:left w:val="nil"/>
              <w:bottom w:val="nil"/>
              <w:right w:val="nil"/>
            </w:tcBorders>
            <w:shd w:val="clear" w:color="auto" w:fill="auto"/>
            <w:noWrap/>
            <w:hideMark/>
          </w:tcPr>
          <w:p w14:paraId="5702F51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258</w:t>
            </w:r>
          </w:p>
        </w:tc>
        <w:tc>
          <w:tcPr>
            <w:tcW w:w="1180" w:type="dxa"/>
            <w:tcBorders>
              <w:top w:val="nil"/>
              <w:left w:val="nil"/>
              <w:bottom w:val="nil"/>
              <w:right w:val="nil"/>
            </w:tcBorders>
            <w:shd w:val="clear" w:color="auto" w:fill="auto"/>
            <w:noWrap/>
            <w:hideMark/>
          </w:tcPr>
          <w:p w14:paraId="27820D5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133</w:t>
            </w:r>
          </w:p>
        </w:tc>
        <w:tc>
          <w:tcPr>
            <w:tcW w:w="1060" w:type="dxa"/>
            <w:tcBorders>
              <w:top w:val="nil"/>
              <w:left w:val="nil"/>
              <w:bottom w:val="nil"/>
              <w:right w:val="nil"/>
            </w:tcBorders>
            <w:shd w:val="clear" w:color="auto" w:fill="auto"/>
            <w:noWrap/>
            <w:hideMark/>
          </w:tcPr>
          <w:p w14:paraId="43457D3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(248)</w:t>
            </w:r>
          </w:p>
        </w:tc>
        <w:tc>
          <w:tcPr>
            <w:tcW w:w="1060" w:type="dxa"/>
            <w:tcBorders>
              <w:top w:val="nil"/>
              <w:left w:val="nil"/>
              <w:bottom w:val="nil"/>
              <w:right w:val="nil"/>
            </w:tcBorders>
            <w:shd w:val="clear" w:color="auto" w:fill="auto"/>
            <w:noWrap/>
            <w:hideMark/>
          </w:tcPr>
          <w:p w14:paraId="5BE2A2C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-96%</w:t>
            </w:r>
          </w:p>
        </w:tc>
      </w:tr>
      <w:tr w:rsidR="007704E5" w:rsidRPr="007704E5" w14:paraId="4E53FCBD"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392080A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EF34069"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hideMark/>
          </w:tcPr>
          <w:p w14:paraId="44FABE28"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625DDF5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106</w:t>
            </w:r>
          </w:p>
        </w:tc>
        <w:tc>
          <w:tcPr>
            <w:tcW w:w="1180" w:type="dxa"/>
            <w:tcBorders>
              <w:top w:val="nil"/>
              <w:left w:val="nil"/>
              <w:bottom w:val="nil"/>
              <w:right w:val="nil"/>
            </w:tcBorders>
            <w:shd w:val="clear" w:color="auto" w:fill="auto"/>
            <w:noWrap/>
            <w:hideMark/>
          </w:tcPr>
          <w:p w14:paraId="464E128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w:t>
            </w:r>
          </w:p>
        </w:tc>
        <w:tc>
          <w:tcPr>
            <w:tcW w:w="1180" w:type="dxa"/>
            <w:tcBorders>
              <w:top w:val="nil"/>
              <w:left w:val="nil"/>
              <w:bottom w:val="nil"/>
              <w:right w:val="nil"/>
            </w:tcBorders>
            <w:shd w:val="clear" w:color="auto" w:fill="auto"/>
            <w:noWrap/>
            <w:hideMark/>
          </w:tcPr>
          <w:p w14:paraId="3C28A90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35</w:t>
            </w:r>
          </w:p>
        </w:tc>
        <w:tc>
          <w:tcPr>
            <w:tcW w:w="1060" w:type="dxa"/>
            <w:tcBorders>
              <w:top w:val="nil"/>
              <w:left w:val="nil"/>
              <w:bottom w:val="nil"/>
              <w:right w:val="nil"/>
            </w:tcBorders>
            <w:shd w:val="clear" w:color="auto" w:fill="auto"/>
            <w:noWrap/>
            <w:hideMark/>
          </w:tcPr>
          <w:p w14:paraId="7EE9DE1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99</w:t>
            </w:r>
          </w:p>
        </w:tc>
        <w:tc>
          <w:tcPr>
            <w:tcW w:w="1060" w:type="dxa"/>
            <w:tcBorders>
              <w:top w:val="nil"/>
              <w:left w:val="nil"/>
              <w:bottom w:val="nil"/>
              <w:right w:val="nil"/>
            </w:tcBorders>
            <w:shd w:val="clear" w:color="auto" w:fill="auto"/>
            <w:noWrap/>
            <w:hideMark/>
          </w:tcPr>
          <w:p w14:paraId="6CFA030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+100%</w:t>
            </w:r>
          </w:p>
        </w:tc>
      </w:tr>
      <w:tr w:rsidR="007704E5" w:rsidRPr="007704E5" w14:paraId="42CE0671"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0713B19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991641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96" w:type="dxa"/>
            <w:tcBorders>
              <w:top w:val="nil"/>
              <w:left w:val="nil"/>
              <w:bottom w:val="nil"/>
              <w:right w:val="nil"/>
            </w:tcBorders>
            <w:shd w:val="clear" w:color="auto" w:fill="auto"/>
            <w:noWrap/>
            <w:hideMark/>
          </w:tcPr>
          <w:p w14:paraId="79B8DB6E"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UN Joint Services</w:t>
            </w:r>
          </w:p>
        </w:tc>
        <w:tc>
          <w:tcPr>
            <w:tcW w:w="103" w:type="dxa"/>
            <w:tcBorders>
              <w:top w:val="nil"/>
              <w:left w:val="nil"/>
              <w:bottom w:val="nil"/>
              <w:right w:val="nil"/>
            </w:tcBorders>
            <w:shd w:val="clear" w:color="auto" w:fill="auto"/>
            <w:noWrap/>
            <w:hideMark/>
          </w:tcPr>
          <w:p w14:paraId="43C70372"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4DC094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85BB81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1B2FE8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ADBAAF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83B378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6892B27B"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74D9F311"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684EC118"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3052A18B"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6D0C139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565</w:t>
            </w:r>
          </w:p>
        </w:tc>
        <w:tc>
          <w:tcPr>
            <w:tcW w:w="1180" w:type="dxa"/>
            <w:tcBorders>
              <w:top w:val="nil"/>
              <w:left w:val="nil"/>
              <w:bottom w:val="single" w:sz="4" w:space="0" w:color="C7CFD8"/>
              <w:right w:val="nil"/>
            </w:tcBorders>
            <w:shd w:val="clear" w:color="auto" w:fill="auto"/>
            <w:noWrap/>
            <w:hideMark/>
          </w:tcPr>
          <w:p w14:paraId="03581CE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1,785</w:t>
            </w:r>
          </w:p>
        </w:tc>
        <w:tc>
          <w:tcPr>
            <w:tcW w:w="1180" w:type="dxa"/>
            <w:tcBorders>
              <w:top w:val="nil"/>
              <w:left w:val="nil"/>
              <w:bottom w:val="single" w:sz="4" w:space="0" w:color="C7CFD8"/>
              <w:right w:val="nil"/>
            </w:tcBorders>
            <w:shd w:val="clear" w:color="auto" w:fill="auto"/>
            <w:noWrap/>
            <w:hideMark/>
          </w:tcPr>
          <w:p w14:paraId="6659F22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1,358</w:t>
            </w:r>
          </w:p>
        </w:tc>
        <w:tc>
          <w:tcPr>
            <w:tcW w:w="1060" w:type="dxa"/>
            <w:tcBorders>
              <w:top w:val="nil"/>
              <w:left w:val="nil"/>
              <w:bottom w:val="single" w:sz="4" w:space="0" w:color="C7CFD8"/>
              <w:right w:val="nil"/>
            </w:tcBorders>
            <w:shd w:val="clear" w:color="auto" w:fill="auto"/>
            <w:noWrap/>
            <w:hideMark/>
          </w:tcPr>
          <w:p w14:paraId="23AAD3E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(1,220)</w:t>
            </w:r>
          </w:p>
        </w:tc>
        <w:tc>
          <w:tcPr>
            <w:tcW w:w="1060" w:type="dxa"/>
            <w:tcBorders>
              <w:top w:val="nil"/>
              <w:left w:val="nil"/>
              <w:bottom w:val="single" w:sz="4" w:space="0" w:color="C7CFD8"/>
              <w:right w:val="nil"/>
            </w:tcBorders>
            <w:shd w:val="clear" w:color="auto" w:fill="auto"/>
            <w:noWrap/>
            <w:hideMark/>
          </w:tcPr>
          <w:p w14:paraId="6B8F03D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-68%</w:t>
            </w:r>
          </w:p>
        </w:tc>
      </w:tr>
      <w:tr w:rsidR="007704E5" w:rsidRPr="007704E5" w14:paraId="07B39FD9"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5ED60A3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116" w:type="dxa"/>
            <w:gridSpan w:val="3"/>
            <w:tcBorders>
              <w:top w:val="nil"/>
              <w:left w:val="nil"/>
              <w:bottom w:val="nil"/>
              <w:right w:val="nil"/>
            </w:tcBorders>
            <w:shd w:val="clear" w:color="auto" w:fill="auto"/>
            <w:noWrap/>
            <w:hideMark/>
          </w:tcPr>
          <w:p w14:paraId="5452277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6EC19B88"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1478A84B"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3DD10B2"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2D6798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8FFC849"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47A42906"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1107EDA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835AEE8"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noWrap/>
            <w:hideMark/>
          </w:tcPr>
          <w:p w14:paraId="3E83E8CD"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6586D75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0FF05E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90</w:t>
            </w:r>
          </w:p>
        </w:tc>
        <w:tc>
          <w:tcPr>
            <w:tcW w:w="1180" w:type="dxa"/>
            <w:tcBorders>
              <w:top w:val="nil"/>
              <w:left w:val="nil"/>
              <w:bottom w:val="nil"/>
              <w:right w:val="nil"/>
            </w:tcBorders>
            <w:shd w:val="clear" w:color="auto" w:fill="auto"/>
            <w:noWrap/>
            <w:hideMark/>
          </w:tcPr>
          <w:p w14:paraId="52927A0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24</w:t>
            </w:r>
          </w:p>
        </w:tc>
        <w:tc>
          <w:tcPr>
            <w:tcW w:w="1060" w:type="dxa"/>
            <w:tcBorders>
              <w:top w:val="nil"/>
              <w:left w:val="nil"/>
              <w:bottom w:val="nil"/>
              <w:right w:val="nil"/>
            </w:tcBorders>
            <w:shd w:val="clear" w:color="auto" w:fill="auto"/>
            <w:noWrap/>
            <w:hideMark/>
          </w:tcPr>
          <w:p w14:paraId="5861770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(90)</w:t>
            </w:r>
          </w:p>
        </w:tc>
        <w:tc>
          <w:tcPr>
            <w:tcW w:w="1060" w:type="dxa"/>
            <w:tcBorders>
              <w:top w:val="nil"/>
              <w:left w:val="nil"/>
              <w:bottom w:val="nil"/>
              <w:right w:val="nil"/>
            </w:tcBorders>
            <w:shd w:val="clear" w:color="auto" w:fill="auto"/>
            <w:noWrap/>
            <w:hideMark/>
          </w:tcPr>
          <w:p w14:paraId="2E211EB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-100%</w:t>
            </w:r>
          </w:p>
        </w:tc>
      </w:tr>
      <w:tr w:rsidR="007704E5" w:rsidRPr="007704E5" w14:paraId="520CFB68" w14:textId="77777777" w:rsidTr="00253B03">
        <w:trPr>
          <w:divId w:val="776488070"/>
          <w:trHeight w:hRule="exact" w:val="216"/>
          <w:jc w:val="center"/>
        </w:trPr>
        <w:tc>
          <w:tcPr>
            <w:tcW w:w="104" w:type="dxa"/>
            <w:tcBorders>
              <w:top w:val="nil"/>
              <w:left w:val="nil"/>
              <w:bottom w:val="nil"/>
              <w:right w:val="nil"/>
            </w:tcBorders>
            <w:shd w:val="clear" w:color="auto" w:fill="auto"/>
            <w:noWrap/>
            <w:hideMark/>
          </w:tcPr>
          <w:p w14:paraId="7FC69D2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187B012"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9" w:type="dxa"/>
            <w:gridSpan w:val="2"/>
            <w:tcBorders>
              <w:top w:val="nil"/>
              <w:left w:val="nil"/>
              <w:bottom w:val="nil"/>
              <w:right w:val="nil"/>
            </w:tcBorders>
            <w:shd w:val="clear" w:color="auto" w:fill="auto"/>
            <w:noWrap/>
            <w:hideMark/>
          </w:tcPr>
          <w:p w14:paraId="4D7A605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6ACF574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75</w:t>
            </w:r>
          </w:p>
        </w:tc>
        <w:tc>
          <w:tcPr>
            <w:tcW w:w="1180" w:type="dxa"/>
            <w:tcBorders>
              <w:top w:val="nil"/>
              <w:left w:val="nil"/>
              <w:bottom w:val="nil"/>
              <w:right w:val="nil"/>
            </w:tcBorders>
            <w:shd w:val="clear" w:color="auto" w:fill="auto"/>
            <w:noWrap/>
            <w:hideMark/>
          </w:tcPr>
          <w:p w14:paraId="2F542A6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613</w:t>
            </w:r>
          </w:p>
        </w:tc>
        <w:tc>
          <w:tcPr>
            <w:tcW w:w="1180" w:type="dxa"/>
            <w:tcBorders>
              <w:top w:val="nil"/>
              <w:left w:val="nil"/>
              <w:bottom w:val="nil"/>
              <w:right w:val="nil"/>
            </w:tcBorders>
            <w:shd w:val="clear" w:color="auto" w:fill="auto"/>
            <w:noWrap/>
            <w:hideMark/>
          </w:tcPr>
          <w:p w14:paraId="4AEB11D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416</w:t>
            </w:r>
          </w:p>
        </w:tc>
        <w:tc>
          <w:tcPr>
            <w:tcW w:w="1060" w:type="dxa"/>
            <w:tcBorders>
              <w:top w:val="nil"/>
              <w:left w:val="nil"/>
              <w:bottom w:val="nil"/>
              <w:right w:val="nil"/>
            </w:tcBorders>
            <w:shd w:val="clear" w:color="auto" w:fill="auto"/>
            <w:noWrap/>
            <w:hideMark/>
          </w:tcPr>
          <w:p w14:paraId="3719862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(539)</w:t>
            </w:r>
          </w:p>
        </w:tc>
        <w:tc>
          <w:tcPr>
            <w:tcW w:w="1060" w:type="dxa"/>
            <w:tcBorders>
              <w:top w:val="nil"/>
              <w:left w:val="nil"/>
              <w:bottom w:val="nil"/>
              <w:right w:val="nil"/>
            </w:tcBorders>
            <w:shd w:val="clear" w:color="auto" w:fill="auto"/>
            <w:noWrap/>
            <w:hideMark/>
          </w:tcPr>
          <w:p w14:paraId="693C86D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-88%</w:t>
            </w:r>
          </w:p>
        </w:tc>
      </w:tr>
      <w:tr w:rsidR="007704E5" w:rsidRPr="007704E5" w14:paraId="65A5C51D" w14:textId="77777777" w:rsidTr="00253B03">
        <w:trPr>
          <w:divId w:val="776488070"/>
          <w:trHeight w:hRule="exact" w:val="216"/>
          <w:jc w:val="center"/>
        </w:trPr>
        <w:tc>
          <w:tcPr>
            <w:tcW w:w="104" w:type="dxa"/>
            <w:tcBorders>
              <w:top w:val="nil"/>
              <w:left w:val="nil"/>
              <w:bottom w:val="single" w:sz="4" w:space="0" w:color="C7CFD8"/>
              <w:right w:val="nil"/>
            </w:tcBorders>
            <w:shd w:val="clear" w:color="auto" w:fill="auto"/>
            <w:noWrap/>
            <w:hideMark/>
          </w:tcPr>
          <w:p w14:paraId="5715ABCE"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nil"/>
              <w:left w:val="nil"/>
              <w:bottom w:val="single" w:sz="4" w:space="0" w:color="C7CFD8"/>
              <w:right w:val="nil"/>
            </w:tcBorders>
            <w:shd w:val="clear" w:color="auto" w:fill="auto"/>
            <w:noWrap/>
            <w:hideMark/>
          </w:tcPr>
          <w:p w14:paraId="756CF4AB"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6FF34778"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6309B07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75</w:t>
            </w:r>
          </w:p>
        </w:tc>
        <w:tc>
          <w:tcPr>
            <w:tcW w:w="1180" w:type="dxa"/>
            <w:tcBorders>
              <w:top w:val="nil"/>
              <w:left w:val="nil"/>
              <w:bottom w:val="single" w:sz="4" w:space="0" w:color="C7CFD8"/>
              <w:right w:val="nil"/>
            </w:tcBorders>
            <w:shd w:val="clear" w:color="auto" w:fill="auto"/>
            <w:noWrap/>
            <w:hideMark/>
          </w:tcPr>
          <w:p w14:paraId="05C3B86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703</w:t>
            </w:r>
          </w:p>
        </w:tc>
        <w:tc>
          <w:tcPr>
            <w:tcW w:w="1180" w:type="dxa"/>
            <w:tcBorders>
              <w:top w:val="nil"/>
              <w:left w:val="nil"/>
              <w:bottom w:val="single" w:sz="4" w:space="0" w:color="C7CFD8"/>
              <w:right w:val="nil"/>
            </w:tcBorders>
            <w:shd w:val="clear" w:color="auto" w:fill="auto"/>
            <w:noWrap/>
            <w:hideMark/>
          </w:tcPr>
          <w:p w14:paraId="4085DB8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440</w:t>
            </w:r>
          </w:p>
        </w:tc>
        <w:tc>
          <w:tcPr>
            <w:tcW w:w="1060" w:type="dxa"/>
            <w:tcBorders>
              <w:top w:val="nil"/>
              <w:left w:val="nil"/>
              <w:bottom w:val="single" w:sz="4" w:space="0" w:color="C7CFD8"/>
              <w:right w:val="nil"/>
            </w:tcBorders>
            <w:shd w:val="clear" w:color="auto" w:fill="auto"/>
            <w:noWrap/>
            <w:hideMark/>
          </w:tcPr>
          <w:p w14:paraId="6A428B0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(629)</w:t>
            </w:r>
          </w:p>
        </w:tc>
        <w:tc>
          <w:tcPr>
            <w:tcW w:w="1060" w:type="dxa"/>
            <w:tcBorders>
              <w:top w:val="nil"/>
              <w:left w:val="nil"/>
              <w:bottom w:val="single" w:sz="4" w:space="0" w:color="C7CFD8"/>
              <w:right w:val="nil"/>
            </w:tcBorders>
            <w:shd w:val="clear" w:color="auto" w:fill="auto"/>
            <w:noWrap/>
            <w:hideMark/>
          </w:tcPr>
          <w:p w14:paraId="15DD4B7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-89%</w:t>
            </w:r>
          </w:p>
        </w:tc>
      </w:tr>
      <w:tr w:rsidR="007704E5" w:rsidRPr="007704E5" w14:paraId="09735FA4" w14:textId="77777777" w:rsidTr="00253B03">
        <w:trPr>
          <w:divId w:val="776488070"/>
          <w:trHeight w:hRule="exact" w:val="216"/>
          <w:jc w:val="center"/>
        </w:trPr>
        <w:tc>
          <w:tcPr>
            <w:tcW w:w="104" w:type="dxa"/>
            <w:tcBorders>
              <w:top w:val="nil"/>
              <w:left w:val="nil"/>
              <w:bottom w:val="single" w:sz="8" w:space="0" w:color="C7CFD8"/>
              <w:right w:val="nil"/>
            </w:tcBorders>
            <w:shd w:val="clear" w:color="auto" w:fill="auto"/>
            <w:noWrap/>
            <w:hideMark/>
          </w:tcPr>
          <w:p w14:paraId="2387C70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single" w:sz="4" w:space="0" w:color="C7CFD8"/>
              <w:left w:val="nil"/>
              <w:bottom w:val="single" w:sz="8" w:space="0" w:color="C7CFD8"/>
              <w:right w:val="nil"/>
            </w:tcBorders>
            <w:shd w:val="clear" w:color="auto" w:fill="auto"/>
            <w:noWrap/>
            <w:vAlign w:val="center"/>
            <w:hideMark/>
          </w:tcPr>
          <w:p w14:paraId="2AEBE536"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 B</w:t>
            </w:r>
          </w:p>
        </w:tc>
        <w:tc>
          <w:tcPr>
            <w:tcW w:w="103" w:type="dxa"/>
            <w:tcBorders>
              <w:top w:val="nil"/>
              <w:left w:val="nil"/>
              <w:bottom w:val="single" w:sz="8" w:space="0" w:color="C7CFD8"/>
              <w:right w:val="nil"/>
            </w:tcBorders>
            <w:shd w:val="clear" w:color="auto" w:fill="auto"/>
            <w:noWrap/>
            <w:hideMark/>
          </w:tcPr>
          <w:p w14:paraId="36C517E4"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42326669"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85,907</w:t>
            </w:r>
          </w:p>
        </w:tc>
        <w:tc>
          <w:tcPr>
            <w:tcW w:w="1180" w:type="dxa"/>
            <w:tcBorders>
              <w:top w:val="nil"/>
              <w:left w:val="nil"/>
              <w:bottom w:val="single" w:sz="8" w:space="0" w:color="C7CFD8"/>
              <w:right w:val="nil"/>
            </w:tcBorders>
            <w:shd w:val="clear" w:color="auto" w:fill="auto"/>
            <w:noWrap/>
            <w:vAlign w:val="center"/>
            <w:hideMark/>
          </w:tcPr>
          <w:p w14:paraId="228FA928"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96,030</w:t>
            </w:r>
          </w:p>
        </w:tc>
        <w:tc>
          <w:tcPr>
            <w:tcW w:w="1180" w:type="dxa"/>
            <w:tcBorders>
              <w:top w:val="nil"/>
              <w:left w:val="nil"/>
              <w:bottom w:val="single" w:sz="8" w:space="0" w:color="C7CFD8"/>
              <w:right w:val="nil"/>
            </w:tcBorders>
            <w:shd w:val="clear" w:color="auto" w:fill="auto"/>
            <w:noWrap/>
            <w:vAlign w:val="center"/>
            <w:hideMark/>
          </w:tcPr>
          <w:p w14:paraId="7C59234B"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96,052</w:t>
            </w:r>
          </w:p>
        </w:tc>
        <w:tc>
          <w:tcPr>
            <w:tcW w:w="1060" w:type="dxa"/>
            <w:tcBorders>
              <w:top w:val="nil"/>
              <w:left w:val="nil"/>
              <w:bottom w:val="single" w:sz="8" w:space="0" w:color="C7CFD8"/>
              <w:right w:val="nil"/>
            </w:tcBorders>
            <w:shd w:val="clear" w:color="auto" w:fill="auto"/>
            <w:noWrap/>
            <w:vAlign w:val="center"/>
            <w:hideMark/>
          </w:tcPr>
          <w:p w14:paraId="02ABE431"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(10,122)</w:t>
            </w:r>
          </w:p>
        </w:tc>
        <w:tc>
          <w:tcPr>
            <w:tcW w:w="1060" w:type="dxa"/>
            <w:tcBorders>
              <w:top w:val="nil"/>
              <w:left w:val="nil"/>
              <w:bottom w:val="single" w:sz="8" w:space="0" w:color="C7CFD8"/>
              <w:right w:val="nil"/>
            </w:tcBorders>
            <w:shd w:val="clear" w:color="auto" w:fill="auto"/>
            <w:noWrap/>
            <w:vAlign w:val="center"/>
            <w:hideMark/>
          </w:tcPr>
          <w:p w14:paraId="175DEDAA"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-11%</w:t>
            </w:r>
          </w:p>
        </w:tc>
      </w:tr>
      <w:tr w:rsidR="007704E5" w:rsidRPr="007704E5" w14:paraId="158BBF5E" w14:textId="77777777" w:rsidTr="00253B03">
        <w:trPr>
          <w:divId w:val="776488070"/>
          <w:trHeight w:hRule="exact" w:val="216"/>
          <w:jc w:val="center"/>
        </w:trPr>
        <w:tc>
          <w:tcPr>
            <w:tcW w:w="104" w:type="dxa"/>
            <w:tcBorders>
              <w:top w:val="nil"/>
              <w:left w:val="nil"/>
              <w:bottom w:val="single" w:sz="8" w:space="0" w:color="C7CFD8"/>
              <w:right w:val="nil"/>
            </w:tcBorders>
            <w:shd w:val="clear" w:color="auto" w:fill="auto"/>
            <w:noWrap/>
            <w:hideMark/>
          </w:tcPr>
          <w:p w14:paraId="2A28C8A2"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13" w:type="dxa"/>
            <w:gridSpan w:val="2"/>
            <w:tcBorders>
              <w:top w:val="single" w:sz="8" w:space="0" w:color="C7CFD8"/>
              <w:left w:val="nil"/>
              <w:bottom w:val="single" w:sz="8" w:space="0" w:color="C7CFD8"/>
              <w:right w:val="nil"/>
            </w:tcBorders>
            <w:shd w:val="clear" w:color="auto" w:fill="auto"/>
            <w:noWrap/>
            <w:vAlign w:val="center"/>
            <w:hideMark/>
          </w:tcPr>
          <w:p w14:paraId="79A5AF36"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w:t>
            </w:r>
          </w:p>
        </w:tc>
        <w:tc>
          <w:tcPr>
            <w:tcW w:w="103" w:type="dxa"/>
            <w:tcBorders>
              <w:top w:val="nil"/>
              <w:left w:val="nil"/>
              <w:bottom w:val="single" w:sz="8" w:space="0" w:color="C7CFD8"/>
              <w:right w:val="nil"/>
            </w:tcBorders>
            <w:shd w:val="clear" w:color="auto" w:fill="auto"/>
            <w:noWrap/>
            <w:hideMark/>
          </w:tcPr>
          <w:p w14:paraId="643FABF1" w14:textId="77777777" w:rsidR="007704E5" w:rsidRPr="007704E5" w:rsidRDefault="007704E5" w:rsidP="007704E5">
            <w:pPr>
              <w:spacing w:after="0" w:line="240" w:lineRule="auto"/>
              <w:jc w:val="center"/>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79B42A2B"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214,036</w:t>
            </w:r>
          </w:p>
        </w:tc>
        <w:tc>
          <w:tcPr>
            <w:tcW w:w="1180" w:type="dxa"/>
            <w:tcBorders>
              <w:top w:val="nil"/>
              <w:left w:val="nil"/>
              <w:bottom w:val="single" w:sz="8" w:space="0" w:color="C7CFD8"/>
              <w:right w:val="nil"/>
            </w:tcBorders>
            <w:shd w:val="clear" w:color="auto" w:fill="auto"/>
            <w:noWrap/>
            <w:vAlign w:val="center"/>
            <w:hideMark/>
          </w:tcPr>
          <w:p w14:paraId="0FC2A9DC"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230,374</w:t>
            </w:r>
          </w:p>
        </w:tc>
        <w:tc>
          <w:tcPr>
            <w:tcW w:w="1180" w:type="dxa"/>
            <w:tcBorders>
              <w:top w:val="nil"/>
              <w:left w:val="nil"/>
              <w:bottom w:val="single" w:sz="8" w:space="0" w:color="C7CFD8"/>
              <w:right w:val="nil"/>
            </w:tcBorders>
            <w:shd w:val="clear" w:color="auto" w:fill="auto"/>
            <w:noWrap/>
            <w:vAlign w:val="center"/>
            <w:hideMark/>
          </w:tcPr>
          <w:p w14:paraId="39FB28AD"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226,770</w:t>
            </w:r>
          </w:p>
        </w:tc>
        <w:tc>
          <w:tcPr>
            <w:tcW w:w="1060" w:type="dxa"/>
            <w:tcBorders>
              <w:top w:val="nil"/>
              <w:left w:val="nil"/>
              <w:bottom w:val="single" w:sz="8" w:space="0" w:color="C7CFD8"/>
              <w:right w:val="nil"/>
            </w:tcBorders>
            <w:shd w:val="clear" w:color="auto" w:fill="auto"/>
            <w:noWrap/>
            <w:vAlign w:val="center"/>
            <w:hideMark/>
          </w:tcPr>
          <w:p w14:paraId="735440D2"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(16,339)</w:t>
            </w:r>
          </w:p>
        </w:tc>
        <w:tc>
          <w:tcPr>
            <w:tcW w:w="1060" w:type="dxa"/>
            <w:tcBorders>
              <w:top w:val="nil"/>
              <w:left w:val="nil"/>
              <w:bottom w:val="single" w:sz="8" w:space="0" w:color="C7CFD8"/>
              <w:right w:val="nil"/>
            </w:tcBorders>
            <w:shd w:val="clear" w:color="auto" w:fill="auto"/>
            <w:noWrap/>
            <w:vAlign w:val="center"/>
            <w:hideMark/>
          </w:tcPr>
          <w:p w14:paraId="0247BF8A"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-7%</w:t>
            </w:r>
          </w:p>
        </w:tc>
      </w:tr>
    </w:tbl>
    <w:p w14:paraId="5D28E93C" w14:textId="7E60135D" w:rsidR="00AF1120" w:rsidRPr="00B76804" w:rsidRDefault="00AF1120" w:rsidP="00B76804">
      <w:pPr>
        <w:spacing w:after="0"/>
        <w:rPr>
          <w:rFonts w:cs="Arial"/>
          <w:sz w:val="16"/>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2"/>
      </w:tblGrid>
      <w:tr w:rsidR="00AF1120" w:rsidRPr="00034525" w14:paraId="050A6AC4" w14:textId="77777777" w:rsidTr="00750B3E">
        <w:trPr>
          <w:trHeight w:val="72"/>
        </w:trPr>
        <w:tc>
          <w:tcPr>
            <w:tcW w:w="9422" w:type="dxa"/>
          </w:tcPr>
          <w:p w14:paraId="6BA3C6B1" w14:textId="77777777" w:rsidR="00AF1120" w:rsidRPr="00034525" w:rsidRDefault="00AF1120" w:rsidP="00086511">
            <w:pPr>
              <w:spacing w:before="180" w:after="60" w:line="240" w:lineRule="auto"/>
              <w:jc w:val="center"/>
              <w:rPr>
                <w:rFonts w:cs="Arial"/>
                <w:b/>
                <w:bCs/>
                <w:color w:val="005172"/>
                <w:sz w:val="16"/>
                <w:szCs w:val="16"/>
              </w:rPr>
            </w:pPr>
            <w:r w:rsidRPr="0064680C">
              <w:rPr>
                <w:rFonts w:eastAsia="SimHei" w:cs="Arial"/>
                <w:b/>
                <w:bCs/>
                <w:color w:val="005172"/>
                <w:szCs w:val="18"/>
                <w:lang w:val="en-US" w:eastAsia="zh-CN"/>
              </w:rPr>
              <w:t>Patents and Technology</w:t>
            </w:r>
            <w:r>
              <w:rPr>
                <w:rFonts w:cs="Arial"/>
                <w:b/>
                <w:bCs/>
                <w:color w:val="005172"/>
                <w:szCs w:val="16"/>
              </w:rPr>
              <w:t xml:space="preserve">: </w:t>
            </w:r>
            <w:r w:rsidRPr="00034525">
              <w:rPr>
                <w:rFonts w:cs="Arial"/>
                <w:b/>
                <w:bCs/>
                <w:color w:val="005172"/>
                <w:szCs w:val="16"/>
              </w:rPr>
              <w:t>Resources by Result</w:t>
            </w:r>
          </w:p>
        </w:tc>
      </w:tr>
      <w:tr w:rsidR="00AF1120" w:rsidRPr="00034525" w14:paraId="00FC4554" w14:textId="77777777" w:rsidTr="00750B3E">
        <w:trPr>
          <w:trHeight w:val="80"/>
        </w:trPr>
        <w:tc>
          <w:tcPr>
            <w:tcW w:w="9422" w:type="dxa"/>
          </w:tcPr>
          <w:p w14:paraId="6E3EF9A6" w14:textId="292F4BCB" w:rsidR="00AF1120" w:rsidRPr="00034525" w:rsidRDefault="00AF1120" w:rsidP="005B0AE9">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13583105" w14:textId="365BE4AA" w:rsidR="00750B3E" w:rsidRDefault="00750B3E" w:rsidP="00792A58">
      <w:pPr>
        <w:spacing w:after="0" w:line="276" w:lineRule="auto"/>
        <w:rPr>
          <w:rFonts w:asciiTheme="minorHAnsi" w:hAnsiTheme="minorHAnsi"/>
          <w:sz w:val="22"/>
        </w:rPr>
      </w:pPr>
    </w:p>
    <w:tbl>
      <w:tblPr>
        <w:tblW w:w="9564" w:type="dxa"/>
        <w:tblLook w:val="04A0" w:firstRow="1" w:lastRow="0" w:firstColumn="1" w:lastColumn="0" w:noHBand="0" w:noVBand="1"/>
      </w:tblPr>
      <w:tblGrid>
        <w:gridCol w:w="399"/>
        <w:gridCol w:w="6115"/>
        <w:gridCol w:w="1025"/>
        <w:gridCol w:w="1025"/>
        <w:gridCol w:w="1026"/>
      </w:tblGrid>
      <w:tr w:rsidR="00750B3E" w:rsidRPr="00750B3E" w14:paraId="7605287F" w14:textId="77777777" w:rsidTr="00CC0822">
        <w:trPr>
          <w:divId w:val="1682003553"/>
          <w:trHeight w:val="595"/>
        </w:trPr>
        <w:tc>
          <w:tcPr>
            <w:tcW w:w="6488" w:type="dxa"/>
            <w:gridSpan w:val="2"/>
            <w:tcBorders>
              <w:top w:val="nil"/>
              <w:left w:val="nil"/>
              <w:bottom w:val="nil"/>
              <w:right w:val="nil"/>
            </w:tcBorders>
            <w:shd w:val="clear" w:color="000000" w:fill="C7CFD8"/>
            <w:noWrap/>
            <w:vAlign w:val="center"/>
            <w:hideMark/>
          </w:tcPr>
          <w:p w14:paraId="78A3D40E" w14:textId="359AEBE3" w:rsidR="00750B3E" w:rsidRPr="00750B3E" w:rsidRDefault="00750B3E" w:rsidP="00750B3E">
            <w:pPr>
              <w:spacing w:after="0" w:line="240" w:lineRule="auto"/>
              <w:ind w:firstLineChars="100" w:firstLine="160"/>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 xml:space="preserve">Expected Result </w:t>
            </w:r>
          </w:p>
        </w:tc>
        <w:tc>
          <w:tcPr>
            <w:tcW w:w="1025" w:type="dxa"/>
            <w:tcBorders>
              <w:top w:val="nil"/>
              <w:left w:val="nil"/>
              <w:bottom w:val="nil"/>
              <w:right w:val="nil"/>
            </w:tcBorders>
            <w:shd w:val="clear" w:color="000000" w:fill="C7CFD8"/>
            <w:vAlign w:val="center"/>
            <w:hideMark/>
          </w:tcPr>
          <w:p w14:paraId="400B0397" w14:textId="77777777" w:rsidR="00750B3E" w:rsidRPr="00750B3E" w:rsidRDefault="00750B3E" w:rsidP="00750B3E">
            <w:pPr>
              <w:spacing w:after="0" w:line="240" w:lineRule="auto"/>
              <w:ind w:firstLineChars="100" w:firstLine="160"/>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 xml:space="preserve"> 2024/25 </w:t>
            </w:r>
            <w:r w:rsidRPr="00750B3E">
              <w:rPr>
                <w:rFonts w:ascii="Arial Narrow" w:eastAsia="Times New Roman" w:hAnsi="Arial Narrow" w:cs="Arial"/>
                <w:b/>
                <w:bCs/>
                <w:sz w:val="16"/>
                <w:szCs w:val="16"/>
                <w:lang w:val="en-US"/>
              </w:rPr>
              <w:br/>
              <w:t>Proposed</w:t>
            </w:r>
            <w:r w:rsidRPr="00750B3E">
              <w:rPr>
                <w:rFonts w:ascii="Arial Narrow" w:eastAsia="Times New Roman" w:hAnsi="Arial Narrow" w:cs="Arial"/>
                <w:b/>
                <w:bCs/>
                <w:sz w:val="16"/>
                <w:szCs w:val="16"/>
                <w:lang w:val="en-US"/>
              </w:rPr>
              <w:br/>
              <w:t xml:space="preserve"> Budget </w:t>
            </w:r>
          </w:p>
        </w:tc>
        <w:tc>
          <w:tcPr>
            <w:tcW w:w="1025" w:type="dxa"/>
            <w:tcBorders>
              <w:top w:val="nil"/>
              <w:left w:val="nil"/>
              <w:bottom w:val="nil"/>
              <w:right w:val="nil"/>
            </w:tcBorders>
            <w:shd w:val="clear" w:color="000000" w:fill="C7CFD8"/>
            <w:vAlign w:val="center"/>
            <w:hideMark/>
          </w:tcPr>
          <w:p w14:paraId="01957DEB" w14:textId="77777777" w:rsidR="00750B3E" w:rsidRPr="00750B3E" w:rsidRDefault="00750B3E" w:rsidP="00750B3E">
            <w:pPr>
              <w:spacing w:after="0" w:line="240" w:lineRule="auto"/>
              <w:ind w:firstLineChars="100" w:firstLine="160"/>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 xml:space="preserve"> 2022/23 </w:t>
            </w:r>
            <w:r w:rsidRPr="00750B3E">
              <w:rPr>
                <w:rFonts w:ascii="Arial Narrow" w:eastAsia="Times New Roman" w:hAnsi="Arial Narrow" w:cs="Arial"/>
                <w:b/>
                <w:bCs/>
                <w:sz w:val="16"/>
                <w:szCs w:val="16"/>
                <w:lang w:val="en-US"/>
              </w:rPr>
              <w:br/>
              <w:t xml:space="preserve">PoW&amp;B </w:t>
            </w:r>
          </w:p>
        </w:tc>
        <w:tc>
          <w:tcPr>
            <w:tcW w:w="1026" w:type="dxa"/>
            <w:tcBorders>
              <w:top w:val="nil"/>
              <w:left w:val="nil"/>
              <w:bottom w:val="nil"/>
              <w:right w:val="nil"/>
            </w:tcBorders>
            <w:shd w:val="clear" w:color="000000" w:fill="C7CFD8"/>
            <w:vAlign w:val="center"/>
            <w:hideMark/>
          </w:tcPr>
          <w:p w14:paraId="5F0C4D7A" w14:textId="77777777" w:rsidR="00750B3E" w:rsidRPr="00750B3E" w:rsidRDefault="00750B3E" w:rsidP="00750B3E">
            <w:pPr>
              <w:spacing w:after="0" w:line="240" w:lineRule="auto"/>
              <w:ind w:firstLineChars="100" w:firstLine="160"/>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 xml:space="preserve"> 2022/23 </w:t>
            </w:r>
            <w:r w:rsidRPr="00750B3E">
              <w:rPr>
                <w:rFonts w:ascii="Arial Narrow" w:eastAsia="Times New Roman" w:hAnsi="Arial Narrow" w:cs="Arial"/>
                <w:b/>
                <w:bCs/>
                <w:sz w:val="16"/>
                <w:szCs w:val="16"/>
                <w:lang w:val="en-US"/>
              </w:rPr>
              <w:br/>
              <w:t xml:space="preserve">Budget after Transfers </w:t>
            </w:r>
          </w:p>
        </w:tc>
      </w:tr>
      <w:tr w:rsidR="00750B3E" w:rsidRPr="00750B3E" w14:paraId="00DD6ECD" w14:textId="77777777" w:rsidTr="00CC0822">
        <w:trPr>
          <w:divId w:val="1682003553"/>
          <w:trHeight w:val="38"/>
        </w:trPr>
        <w:tc>
          <w:tcPr>
            <w:tcW w:w="373" w:type="dxa"/>
            <w:tcBorders>
              <w:top w:val="nil"/>
              <w:left w:val="nil"/>
              <w:bottom w:val="nil"/>
              <w:right w:val="nil"/>
            </w:tcBorders>
            <w:shd w:val="clear" w:color="auto" w:fill="auto"/>
            <w:noWrap/>
            <w:vAlign w:val="center"/>
            <w:hideMark/>
          </w:tcPr>
          <w:p w14:paraId="3EEF7A03" w14:textId="77777777" w:rsidR="00750B3E" w:rsidRPr="00750B3E" w:rsidRDefault="00750B3E" w:rsidP="00750B3E">
            <w:pPr>
              <w:spacing w:after="0" w:line="240" w:lineRule="auto"/>
              <w:ind w:firstLineChars="100" w:firstLine="160"/>
              <w:jc w:val="right"/>
              <w:rPr>
                <w:rFonts w:ascii="Arial Narrow" w:eastAsia="Times New Roman" w:hAnsi="Arial Narrow" w:cs="Arial"/>
                <w:b/>
                <w:bCs/>
                <w:sz w:val="16"/>
                <w:szCs w:val="16"/>
                <w:lang w:val="en-US"/>
              </w:rPr>
            </w:pPr>
          </w:p>
        </w:tc>
        <w:tc>
          <w:tcPr>
            <w:tcW w:w="6115" w:type="dxa"/>
            <w:tcBorders>
              <w:top w:val="nil"/>
              <w:left w:val="nil"/>
              <w:bottom w:val="nil"/>
              <w:right w:val="nil"/>
            </w:tcBorders>
            <w:shd w:val="clear" w:color="auto" w:fill="auto"/>
            <w:noWrap/>
            <w:vAlign w:val="center"/>
            <w:hideMark/>
          </w:tcPr>
          <w:p w14:paraId="042891E5" w14:textId="77777777" w:rsidR="00750B3E" w:rsidRPr="00750B3E" w:rsidRDefault="00750B3E" w:rsidP="00750B3E">
            <w:pPr>
              <w:spacing w:after="0" w:line="240" w:lineRule="auto"/>
              <w:ind w:firstLineChars="100" w:firstLine="200"/>
              <w:rPr>
                <w:rFonts w:ascii="Times New Roman" w:eastAsia="Times New Roman" w:hAnsi="Times New Roman" w:cs="Times New Roman"/>
                <w:sz w:val="20"/>
                <w:szCs w:val="20"/>
                <w:lang w:val="en-US"/>
              </w:rPr>
            </w:pPr>
          </w:p>
        </w:tc>
        <w:tc>
          <w:tcPr>
            <w:tcW w:w="1025" w:type="dxa"/>
            <w:tcBorders>
              <w:top w:val="nil"/>
              <w:left w:val="nil"/>
              <w:bottom w:val="nil"/>
              <w:right w:val="nil"/>
            </w:tcBorders>
            <w:shd w:val="clear" w:color="auto" w:fill="auto"/>
            <w:noWrap/>
            <w:vAlign w:val="center"/>
            <w:hideMark/>
          </w:tcPr>
          <w:p w14:paraId="2371B8A3" w14:textId="77777777" w:rsidR="00750B3E" w:rsidRPr="00750B3E" w:rsidRDefault="00750B3E" w:rsidP="00750B3E">
            <w:pPr>
              <w:spacing w:after="0" w:line="240" w:lineRule="auto"/>
              <w:ind w:firstLineChars="100" w:firstLine="200"/>
              <w:rPr>
                <w:rFonts w:ascii="Times New Roman" w:eastAsia="Times New Roman" w:hAnsi="Times New Roman" w:cs="Times New Roman"/>
                <w:sz w:val="20"/>
                <w:szCs w:val="20"/>
                <w:lang w:val="en-US"/>
              </w:rPr>
            </w:pPr>
          </w:p>
        </w:tc>
        <w:tc>
          <w:tcPr>
            <w:tcW w:w="1025" w:type="dxa"/>
            <w:tcBorders>
              <w:top w:val="nil"/>
              <w:left w:val="nil"/>
              <w:bottom w:val="nil"/>
              <w:right w:val="nil"/>
            </w:tcBorders>
            <w:shd w:val="clear" w:color="auto" w:fill="auto"/>
            <w:vAlign w:val="center"/>
            <w:hideMark/>
          </w:tcPr>
          <w:p w14:paraId="5CC512C4" w14:textId="77777777" w:rsidR="00750B3E" w:rsidRPr="00750B3E" w:rsidRDefault="00750B3E" w:rsidP="00750B3E">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vAlign w:val="center"/>
            <w:hideMark/>
          </w:tcPr>
          <w:p w14:paraId="0F6DC2F8" w14:textId="77777777" w:rsidR="00750B3E" w:rsidRPr="00750B3E" w:rsidRDefault="00750B3E" w:rsidP="00750B3E">
            <w:pPr>
              <w:spacing w:after="0" w:line="240" w:lineRule="auto"/>
              <w:ind w:firstLineChars="100" w:firstLine="200"/>
              <w:jc w:val="right"/>
              <w:rPr>
                <w:rFonts w:ascii="Times New Roman" w:eastAsia="Times New Roman" w:hAnsi="Times New Roman" w:cs="Times New Roman"/>
                <w:sz w:val="20"/>
                <w:szCs w:val="20"/>
                <w:lang w:val="en-US"/>
              </w:rPr>
            </w:pPr>
          </w:p>
        </w:tc>
      </w:tr>
      <w:tr w:rsidR="00750B3E" w:rsidRPr="00750B3E" w14:paraId="732DD468" w14:textId="77777777" w:rsidTr="00CC0822">
        <w:trPr>
          <w:divId w:val="1682003553"/>
          <w:trHeight w:val="297"/>
        </w:trPr>
        <w:tc>
          <w:tcPr>
            <w:tcW w:w="373" w:type="dxa"/>
            <w:tcBorders>
              <w:top w:val="nil"/>
              <w:left w:val="nil"/>
              <w:bottom w:val="nil"/>
              <w:right w:val="nil"/>
            </w:tcBorders>
            <w:shd w:val="clear" w:color="auto" w:fill="auto"/>
            <w:noWrap/>
            <w:hideMark/>
          </w:tcPr>
          <w:p w14:paraId="49F0659F"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2.1</w:t>
            </w:r>
          </w:p>
        </w:tc>
        <w:tc>
          <w:tcPr>
            <w:tcW w:w="6115" w:type="dxa"/>
            <w:tcBorders>
              <w:top w:val="nil"/>
              <w:left w:val="nil"/>
              <w:bottom w:val="nil"/>
              <w:right w:val="nil"/>
            </w:tcBorders>
            <w:shd w:val="clear" w:color="auto" w:fill="auto"/>
            <w:hideMark/>
          </w:tcPr>
          <w:p w14:paraId="2677529E"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Development of balanced and effective international normative frameworks for IP</w:t>
            </w:r>
          </w:p>
        </w:tc>
        <w:tc>
          <w:tcPr>
            <w:tcW w:w="1025" w:type="dxa"/>
            <w:tcBorders>
              <w:top w:val="nil"/>
              <w:left w:val="nil"/>
              <w:bottom w:val="nil"/>
              <w:right w:val="nil"/>
            </w:tcBorders>
            <w:shd w:val="clear" w:color="auto" w:fill="auto"/>
            <w:noWrap/>
            <w:hideMark/>
          </w:tcPr>
          <w:p w14:paraId="4AA92BC6"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2,063</w:t>
            </w:r>
          </w:p>
        </w:tc>
        <w:tc>
          <w:tcPr>
            <w:tcW w:w="1025" w:type="dxa"/>
            <w:tcBorders>
              <w:top w:val="nil"/>
              <w:left w:val="nil"/>
              <w:bottom w:val="nil"/>
              <w:right w:val="nil"/>
            </w:tcBorders>
            <w:shd w:val="clear" w:color="auto" w:fill="auto"/>
            <w:noWrap/>
            <w:hideMark/>
          </w:tcPr>
          <w:p w14:paraId="5701237E"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2,101</w:t>
            </w:r>
          </w:p>
        </w:tc>
        <w:tc>
          <w:tcPr>
            <w:tcW w:w="1026" w:type="dxa"/>
            <w:tcBorders>
              <w:top w:val="nil"/>
              <w:left w:val="nil"/>
              <w:bottom w:val="nil"/>
              <w:right w:val="nil"/>
            </w:tcBorders>
            <w:shd w:val="clear" w:color="auto" w:fill="auto"/>
            <w:noWrap/>
            <w:hideMark/>
          </w:tcPr>
          <w:p w14:paraId="61BB8D6F"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2,158</w:t>
            </w:r>
          </w:p>
        </w:tc>
      </w:tr>
      <w:tr w:rsidR="00750B3E" w:rsidRPr="00750B3E" w14:paraId="28BE9112" w14:textId="77777777" w:rsidTr="00CC0822">
        <w:trPr>
          <w:divId w:val="1682003553"/>
          <w:trHeight w:val="465"/>
        </w:trPr>
        <w:tc>
          <w:tcPr>
            <w:tcW w:w="373" w:type="dxa"/>
            <w:tcBorders>
              <w:top w:val="nil"/>
              <w:left w:val="nil"/>
              <w:bottom w:val="nil"/>
              <w:right w:val="nil"/>
            </w:tcBorders>
            <w:shd w:val="clear" w:color="auto" w:fill="auto"/>
            <w:noWrap/>
            <w:hideMark/>
          </w:tcPr>
          <w:p w14:paraId="403A8800"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2.2</w:t>
            </w:r>
          </w:p>
        </w:tc>
        <w:tc>
          <w:tcPr>
            <w:tcW w:w="6115" w:type="dxa"/>
            <w:tcBorders>
              <w:top w:val="nil"/>
              <w:left w:val="nil"/>
              <w:bottom w:val="nil"/>
              <w:right w:val="nil"/>
            </w:tcBorders>
            <w:shd w:val="clear" w:color="auto" w:fill="auto"/>
            <w:hideMark/>
          </w:tcPr>
          <w:p w14:paraId="20804956"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tc>
        <w:tc>
          <w:tcPr>
            <w:tcW w:w="1025" w:type="dxa"/>
            <w:tcBorders>
              <w:top w:val="nil"/>
              <w:left w:val="nil"/>
              <w:bottom w:val="nil"/>
              <w:right w:val="nil"/>
            </w:tcBorders>
            <w:shd w:val="clear" w:color="auto" w:fill="auto"/>
            <w:noWrap/>
            <w:hideMark/>
          </w:tcPr>
          <w:p w14:paraId="748A19D8"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4,298</w:t>
            </w:r>
          </w:p>
        </w:tc>
        <w:tc>
          <w:tcPr>
            <w:tcW w:w="1025" w:type="dxa"/>
            <w:tcBorders>
              <w:top w:val="nil"/>
              <w:left w:val="nil"/>
              <w:bottom w:val="nil"/>
              <w:right w:val="nil"/>
            </w:tcBorders>
            <w:shd w:val="clear" w:color="auto" w:fill="auto"/>
            <w:noWrap/>
            <w:hideMark/>
          </w:tcPr>
          <w:p w14:paraId="710E56BF"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3,487</w:t>
            </w:r>
          </w:p>
        </w:tc>
        <w:tc>
          <w:tcPr>
            <w:tcW w:w="1026" w:type="dxa"/>
            <w:tcBorders>
              <w:top w:val="nil"/>
              <w:left w:val="nil"/>
              <w:bottom w:val="nil"/>
              <w:right w:val="nil"/>
            </w:tcBorders>
            <w:shd w:val="clear" w:color="auto" w:fill="auto"/>
            <w:noWrap/>
            <w:hideMark/>
          </w:tcPr>
          <w:p w14:paraId="4E22D127"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3,781</w:t>
            </w:r>
          </w:p>
        </w:tc>
      </w:tr>
      <w:tr w:rsidR="00750B3E" w:rsidRPr="00750B3E" w14:paraId="4E9892B6" w14:textId="77777777" w:rsidTr="00CC0822">
        <w:trPr>
          <w:divId w:val="1682003553"/>
          <w:trHeight w:val="297"/>
        </w:trPr>
        <w:tc>
          <w:tcPr>
            <w:tcW w:w="373" w:type="dxa"/>
            <w:tcBorders>
              <w:top w:val="nil"/>
              <w:left w:val="nil"/>
              <w:bottom w:val="nil"/>
              <w:right w:val="nil"/>
            </w:tcBorders>
            <w:shd w:val="clear" w:color="auto" w:fill="auto"/>
            <w:noWrap/>
            <w:hideMark/>
          </w:tcPr>
          <w:p w14:paraId="31D03974"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3.1</w:t>
            </w:r>
          </w:p>
        </w:tc>
        <w:tc>
          <w:tcPr>
            <w:tcW w:w="6115" w:type="dxa"/>
            <w:tcBorders>
              <w:top w:val="nil"/>
              <w:left w:val="nil"/>
              <w:bottom w:val="nil"/>
              <w:right w:val="nil"/>
            </w:tcBorders>
            <w:shd w:val="clear" w:color="auto" w:fill="auto"/>
            <w:hideMark/>
          </w:tcPr>
          <w:p w14:paraId="1C38EFC9"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Wider and more effective use of WIPO’s global IP systems, services, knowledge and data</w:t>
            </w:r>
          </w:p>
        </w:tc>
        <w:tc>
          <w:tcPr>
            <w:tcW w:w="1025" w:type="dxa"/>
            <w:tcBorders>
              <w:top w:val="nil"/>
              <w:left w:val="nil"/>
              <w:bottom w:val="nil"/>
              <w:right w:val="nil"/>
            </w:tcBorders>
            <w:shd w:val="clear" w:color="auto" w:fill="auto"/>
            <w:noWrap/>
            <w:hideMark/>
          </w:tcPr>
          <w:p w14:paraId="4F53A0ED"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3,034</w:t>
            </w:r>
          </w:p>
        </w:tc>
        <w:tc>
          <w:tcPr>
            <w:tcW w:w="1025" w:type="dxa"/>
            <w:tcBorders>
              <w:top w:val="nil"/>
              <w:left w:val="nil"/>
              <w:bottom w:val="nil"/>
              <w:right w:val="nil"/>
            </w:tcBorders>
            <w:shd w:val="clear" w:color="auto" w:fill="auto"/>
            <w:noWrap/>
            <w:hideMark/>
          </w:tcPr>
          <w:p w14:paraId="565172B2"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3,067</w:t>
            </w:r>
          </w:p>
        </w:tc>
        <w:tc>
          <w:tcPr>
            <w:tcW w:w="1026" w:type="dxa"/>
            <w:tcBorders>
              <w:top w:val="nil"/>
              <w:left w:val="nil"/>
              <w:bottom w:val="nil"/>
              <w:right w:val="nil"/>
            </w:tcBorders>
            <w:shd w:val="clear" w:color="auto" w:fill="auto"/>
            <w:noWrap/>
            <w:hideMark/>
          </w:tcPr>
          <w:p w14:paraId="0DAA0543"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3,573</w:t>
            </w:r>
          </w:p>
        </w:tc>
      </w:tr>
      <w:tr w:rsidR="00750B3E" w:rsidRPr="00750B3E" w14:paraId="0B8ED2B1" w14:textId="77777777" w:rsidTr="00CC0822">
        <w:trPr>
          <w:divId w:val="1682003553"/>
          <w:trHeight w:val="297"/>
        </w:trPr>
        <w:tc>
          <w:tcPr>
            <w:tcW w:w="373" w:type="dxa"/>
            <w:tcBorders>
              <w:top w:val="nil"/>
              <w:left w:val="nil"/>
              <w:bottom w:val="nil"/>
              <w:right w:val="nil"/>
            </w:tcBorders>
            <w:shd w:val="clear" w:color="auto" w:fill="auto"/>
            <w:noWrap/>
            <w:hideMark/>
          </w:tcPr>
          <w:p w14:paraId="4E4132DF"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3.2</w:t>
            </w:r>
          </w:p>
        </w:tc>
        <w:tc>
          <w:tcPr>
            <w:tcW w:w="6115" w:type="dxa"/>
            <w:tcBorders>
              <w:top w:val="nil"/>
              <w:left w:val="nil"/>
              <w:bottom w:val="nil"/>
              <w:right w:val="nil"/>
            </w:tcBorders>
            <w:shd w:val="clear" w:color="auto" w:fill="auto"/>
            <w:hideMark/>
          </w:tcPr>
          <w:p w14:paraId="36497E49"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Improved productivity and service quality of WIPO’s global IP systems, services, knowledge and data</w:t>
            </w:r>
          </w:p>
        </w:tc>
        <w:tc>
          <w:tcPr>
            <w:tcW w:w="1025" w:type="dxa"/>
            <w:tcBorders>
              <w:top w:val="nil"/>
              <w:left w:val="nil"/>
              <w:bottom w:val="nil"/>
              <w:right w:val="nil"/>
            </w:tcBorders>
            <w:shd w:val="clear" w:color="auto" w:fill="auto"/>
            <w:noWrap/>
            <w:hideMark/>
          </w:tcPr>
          <w:p w14:paraId="3C7E983A"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193,975</w:t>
            </w:r>
          </w:p>
        </w:tc>
        <w:tc>
          <w:tcPr>
            <w:tcW w:w="1025" w:type="dxa"/>
            <w:tcBorders>
              <w:top w:val="nil"/>
              <w:left w:val="nil"/>
              <w:bottom w:val="nil"/>
              <w:right w:val="nil"/>
            </w:tcBorders>
            <w:shd w:val="clear" w:color="auto" w:fill="auto"/>
            <w:noWrap/>
            <w:hideMark/>
          </w:tcPr>
          <w:p w14:paraId="5FA2BD83"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213,418</w:t>
            </w:r>
          </w:p>
        </w:tc>
        <w:tc>
          <w:tcPr>
            <w:tcW w:w="1026" w:type="dxa"/>
            <w:tcBorders>
              <w:top w:val="nil"/>
              <w:left w:val="nil"/>
              <w:bottom w:val="nil"/>
              <w:right w:val="nil"/>
            </w:tcBorders>
            <w:shd w:val="clear" w:color="auto" w:fill="auto"/>
            <w:noWrap/>
            <w:hideMark/>
          </w:tcPr>
          <w:p w14:paraId="014D3FA2"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209,120</w:t>
            </w:r>
          </w:p>
        </w:tc>
      </w:tr>
      <w:tr w:rsidR="00750B3E" w:rsidRPr="00750B3E" w14:paraId="0EAC5AC4" w14:textId="77777777" w:rsidTr="00CC0822">
        <w:trPr>
          <w:divId w:val="1682003553"/>
          <w:trHeight w:val="465"/>
        </w:trPr>
        <w:tc>
          <w:tcPr>
            <w:tcW w:w="373" w:type="dxa"/>
            <w:tcBorders>
              <w:top w:val="nil"/>
              <w:left w:val="nil"/>
              <w:bottom w:val="nil"/>
              <w:right w:val="nil"/>
            </w:tcBorders>
            <w:shd w:val="clear" w:color="auto" w:fill="auto"/>
            <w:noWrap/>
            <w:hideMark/>
          </w:tcPr>
          <w:p w14:paraId="0135838F"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4.1</w:t>
            </w:r>
          </w:p>
        </w:tc>
        <w:tc>
          <w:tcPr>
            <w:tcW w:w="6115" w:type="dxa"/>
            <w:tcBorders>
              <w:top w:val="nil"/>
              <w:left w:val="nil"/>
              <w:bottom w:val="nil"/>
              <w:right w:val="nil"/>
            </w:tcBorders>
            <w:shd w:val="clear" w:color="auto" w:fill="auto"/>
            <w:hideMark/>
          </w:tcPr>
          <w:p w14:paraId="7D04A6DA" w14:textId="0EBBE3F6" w:rsidR="00750B3E" w:rsidRPr="00750B3E" w:rsidRDefault="001048EB" w:rsidP="00750B3E">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More effective use of a balanced IP system to support growth</w:t>
            </w:r>
            <w:r w:rsidR="004773EA">
              <w:rPr>
                <w:rFonts w:ascii="Arial Narrow" w:eastAsia="Times New Roman" w:hAnsi="Arial Narrow" w:cs="Arial"/>
                <w:sz w:val="16"/>
                <w:szCs w:val="16"/>
                <w:lang w:val="en-US"/>
              </w:rPr>
              <w:t xml:space="preserve"> </w:t>
            </w:r>
            <w:r w:rsidR="00750B3E" w:rsidRPr="00750B3E">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tc>
        <w:tc>
          <w:tcPr>
            <w:tcW w:w="1025" w:type="dxa"/>
            <w:tcBorders>
              <w:top w:val="nil"/>
              <w:left w:val="nil"/>
              <w:bottom w:val="nil"/>
              <w:right w:val="nil"/>
            </w:tcBorders>
            <w:shd w:val="clear" w:color="auto" w:fill="auto"/>
            <w:noWrap/>
            <w:hideMark/>
          </w:tcPr>
          <w:p w14:paraId="3681ED99"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4,052</w:t>
            </w:r>
          </w:p>
        </w:tc>
        <w:tc>
          <w:tcPr>
            <w:tcW w:w="1025" w:type="dxa"/>
            <w:tcBorders>
              <w:top w:val="nil"/>
              <w:left w:val="nil"/>
              <w:bottom w:val="nil"/>
              <w:right w:val="nil"/>
            </w:tcBorders>
            <w:shd w:val="clear" w:color="auto" w:fill="auto"/>
            <w:noWrap/>
            <w:hideMark/>
          </w:tcPr>
          <w:p w14:paraId="3184DFAC"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3,824</w:t>
            </w:r>
          </w:p>
        </w:tc>
        <w:tc>
          <w:tcPr>
            <w:tcW w:w="1026" w:type="dxa"/>
            <w:tcBorders>
              <w:top w:val="nil"/>
              <w:left w:val="nil"/>
              <w:bottom w:val="nil"/>
              <w:right w:val="nil"/>
            </w:tcBorders>
            <w:shd w:val="clear" w:color="auto" w:fill="auto"/>
            <w:noWrap/>
            <w:hideMark/>
          </w:tcPr>
          <w:p w14:paraId="5185A233"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3,477</w:t>
            </w:r>
          </w:p>
        </w:tc>
      </w:tr>
      <w:tr w:rsidR="00750B3E" w:rsidRPr="00750B3E" w14:paraId="55E4EE3D" w14:textId="77777777" w:rsidTr="00CC0822">
        <w:trPr>
          <w:divId w:val="1682003553"/>
          <w:trHeight w:val="297"/>
        </w:trPr>
        <w:tc>
          <w:tcPr>
            <w:tcW w:w="373" w:type="dxa"/>
            <w:tcBorders>
              <w:top w:val="nil"/>
              <w:left w:val="nil"/>
              <w:bottom w:val="nil"/>
              <w:right w:val="nil"/>
            </w:tcBorders>
            <w:shd w:val="clear" w:color="auto" w:fill="auto"/>
            <w:noWrap/>
            <w:hideMark/>
          </w:tcPr>
          <w:p w14:paraId="0522DBB0"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4.2</w:t>
            </w:r>
          </w:p>
        </w:tc>
        <w:tc>
          <w:tcPr>
            <w:tcW w:w="6115" w:type="dxa"/>
            <w:tcBorders>
              <w:top w:val="nil"/>
              <w:left w:val="nil"/>
              <w:bottom w:val="nil"/>
              <w:right w:val="nil"/>
            </w:tcBorders>
            <w:shd w:val="clear" w:color="auto" w:fill="auto"/>
            <w:hideMark/>
          </w:tcPr>
          <w:p w14:paraId="2552912F"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Development of balanced and effective IP, innovation and creative ecosystems in Member States</w:t>
            </w:r>
          </w:p>
        </w:tc>
        <w:tc>
          <w:tcPr>
            <w:tcW w:w="1025" w:type="dxa"/>
            <w:tcBorders>
              <w:top w:val="nil"/>
              <w:left w:val="nil"/>
              <w:bottom w:val="nil"/>
              <w:right w:val="nil"/>
            </w:tcBorders>
            <w:shd w:val="clear" w:color="auto" w:fill="auto"/>
            <w:noWrap/>
            <w:hideMark/>
          </w:tcPr>
          <w:p w14:paraId="6B986BEC"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2,785</w:t>
            </w:r>
          </w:p>
        </w:tc>
        <w:tc>
          <w:tcPr>
            <w:tcW w:w="1025" w:type="dxa"/>
            <w:tcBorders>
              <w:top w:val="nil"/>
              <w:left w:val="nil"/>
              <w:bottom w:val="nil"/>
              <w:right w:val="nil"/>
            </w:tcBorders>
            <w:shd w:val="clear" w:color="auto" w:fill="auto"/>
            <w:noWrap/>
            <w:hideMark/>
          </w:tcPr>
          <w:p w14:paraId="5171313F"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1,824</w:t>
            </w:r>
          </w:p>
        </w:tc>
        <w:tc>
          <w:tcPr>
            <w:tcW w:w="1026" w:type="dxa"/>
            <w:tcBorders>
              <w:top w:val="nil"/>
              <w:left w:val="nil"/>
              <w:bottom w:val="nil"/>
              <w:right w:val="nil"/>
            </w:tcBorders>
            <w:shd w:val="clear" w:color="auto" w:fill="auto"/>
            <w:noWrap/>
            <w:hideMark/>
          </w:tcPr>
          <w:p w14:paraId="7E7B291B"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2,287</w:t>
            </w:r>
          </w:p>
        </w:tc>
      </w:tr>
      <w:tr w:rsidR="00750B3E" w:rsidRPr="00750B3E" w14:paraId="745CC1A2" w14:textId="77777777" w:rsidTr="00CC0822">
        <w:trPr>
          <w:divId w:val="1682003553"/>
          <w:trHeight w:val="297"/>
        </w:trPr>
        <w:tc>
          <w:tcPr>
            <w:tcW w:w="373" w:type="dxa"/>
            <w:tcBorders>
              <w:top w:val="nil"/>
              <w:left w:val="nil"/>
              <w:bottom w:val="nil"/>
              <w:right w:val="nil"/>
            </w:tcBorders>
            <w:shd w:val="clear" w:color="auto" w:fill="auto"/>
            <w:noWrap/>
            <w:hideMark/>
          </w:tcPr>
          <w:p w14:paraId="4A9476B2"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4.3</w:t>
            </w:r>
          </w:p>
        </w:tc>
        <w:tc>
          <w:tcPr>
            <w:tcW w:w="6115" w:type="dxa"/>
            <w:tcBorders>
              <w:top w:val="nil"/>
              <w:left w:val="nil"/>
              <w:bottom w:val="nil"/>
              <w:right w:val="nil"/>
            </w:tcBorders>
            <w:shd w:val="clear" w:color="auto" w:fill="auto"/>
            <w:hideMark/>
          </w:tcPr>
          <w:p w14:paraId="3C9A7104" w14:textId="77777777" w:rsidR="00750B3E" w:rsidRPr="00750B3E" w:rsidRDefault="00750B3E" w:rsidP="00750B3E">
            <w:pPr>
              <w:spacing w:after="0" w:line="240" w:lineRule="auto"/>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Increased IP knowledge and skills in all Member States</w:t>
            </w:r>
          </w:p>
        </w:tc>
        <w:tc>
          <w:tcPr>
            <w:tcW w:w="1025" w:type="dxa"/>
            <w:tcBorders>
              <w:top w:val="nil"/>
              <w:left w:val="nil"/>
              <w:bottom w:val="nil"/>
              <w:right w:val="nil"/>
            </w:tcBorders>
            <w:shd w:val="clear" w:color="auto" w:fill="auto"/>
            <w:noWrap/>
            <w:hideMark/>
          </w:tcPr>
          <w:p w14:paraId="0BEE84F1"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3,830</w:t>
            </w:r>
          </w:p>
        </w:tc>
        <w:tc>
          <w:tcPr>
            <w:tcW w:w="1025" w:type="dxa"/>
            <w:tcBorders>
              <w:top w:val="nil"/>
              <w:left w:val="nil"/>
              <w:bottom w:val="nil"/>
              <w:right w:val="nil"/>
            </w:tcBorders>
            <w:shd w:val="clear" w:color="auto" w:fill="auto"/>
            <w:noWrap/>
            <w:hideMark/>
          </w:tcPr>
          <w:p w14:paraId="586EC6E6"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2,653</w:t>
            </w:r>
          </w:p>
        </w:tc>
        <w:tc>
          <w:tcPr>
            <w:tcW w:w="1026" w:type="dxa"/>
            <w:tcBorders>
              <w:top w:val="nil"/>
              <w:left w:val="nil"/>
              <w:bottom w:val="nil"/>
              <w:right w:val="nil"/>
            </w:tcBorders>
            <w:shd w:val="clear" w:color="auto" w:fill="auto"/>
            <w:noWrap/>
            <w:hideMark/>
          </w:tcPr>
          <w:p w14:paraId="2CD14BFC" w14:textId="77777777" w:rsidR="00750B3E" w:rsidRPr="00750B3E" w:rsidRDefault="00750B3E" w:rsidP="00750B3E">
            <w:pPr>
              <w:spacing w:after="0" w:line="240" w:lineRule="auto"/>
              <w:jc w:val="right"/>
              <w:rPr>
                <w:rFonts w:ascii="Arial Narrow" w:eastAsia="Times New Roman" w:hAnsi="Arial Narrow" w:cs="Arial"/>
                <w:sz w:val="16"/>
                <w:szCs w:val="16"/>
                <w:lang w:val="en-US"/>
              </w:rPr>
            </w:pPr>
            <w:r w:rsidRPr="00750B3E">
              <w:rPr>
                <w:rFonts w:ascii="Arial Narrow" w:eastAsia="Times New Roman" w:hAnsi="Arial Narrow" w:cs="Arial"/>
                <w:sz w:val="16"/>
                <w:szCs w:val="16"/>
                <w:lang w:val="en-US"/>
              </w:rPr>
              <w:t>2,374</w:t>
            </w:r>
          </w:p>
        </w:tc>
      </w:tr>
      <w:tr w:rsidR="00750B3E" w:rsidRPr="00750B3E" w14:paraId="4214DE24" w14:textId="77777777" w:rsidTr="00CC0822">
        <w:trPr>
          <w:divId w:val="1682003553"/>
          <w:trHeight w:val="258"/>
        </w:trPr>
        <w:tc>
          <w:tcPr>
            <w:tcW w:w="373" w:type="dxa"/>
            <w:tcBorders>
              <w:top w:val="single" w:sz="4" w:space="0" w:color="BFBFBF"/>
              <w:left w:val="nil"/>
              <w:bottom w:val="single" w:sz="8" w:space="0" w:color="C7CFD8"/>
              <w:right w:val="nil"/>
            </w:tcBorders>
            <w:shd w:val="clear" w:color="auto" w:fill="auto"/>
            <w:noWrap/>
            <w:vAlign w:val="bottom"/>
            <w:hideMark/>
          </w:tcPr>
          <w:p w14:paraId="257D61CF" w14:textId="77777777" w:rsidR="00750B3E" w:rsidRPr="00750B3E" w:rsidRDefault="00750B3E" w:rsidP="00750B3E">
            <w:pPr>
              <w:spacing w:after="0" w:line="240" w:lineRule="auto"/>
              <w:rPr>
                <w:rFonts w:ascii="Arial Narrow" w:eastAsia="Times New Roman" w:hAnsi="Arial Narrow" w:cs="Arial"/>
                <w:color w:val="005172"/>
                <w:sz w:val="16"/>
                <w:szCs w:val="16"/>
                <w:lang w:val="en-US"/>
              </w:rPr>
            </w:pPr>
            <w:r w:rsidRPr="00750B3E">
              <w:rPr>
                <w:rFonts w:ascii="Arial Narrow" w:eastAsia="Times New Roman" w:hAnsi="Arial Narrow" w:cs="Arial"/>
                <w:color w:val="005172"/>
                <w:sz w:val="16"/>
                <w:szCs w:val="16"/>
                <w:lang w:val="en-US"/>
              </w:rPr>
              <w:t> </w:t>
            </w:r>
          </w:p>
        </w:tc>
        <w:tc>
          <w:tcPr>
            <w:tcW w:w="6115" w:type="dxa"/>
            <w:tcBorders>
              <w:top w:val="single" w:sz="4" w:space="0" w:color="BFBFBF"/>
              <w:left w:val="nil"/>
              <w:bottom w:val="single" w:sz="8" w:space="0" w:color="C7CFD8"/>
              <w:right w:val="nil"/>
            </w:tcBorders>
            <w:shd w:val="clear" w:color="auto" w:fill="auto"/>
            <w:noWrap/>
            <w:vAlign w:val="center"/>
            <w:hideMark/>
          </w:tcPr>
          <w:p w14:paraId="561E02B6" w14:textId="77777777" w:rsidR="00750B3E" w:rsidRPr="00750B3E" w:rsidRDefault="00750B3E" w:rsidP="00750B3E">
            <w:pPr>
              <w:spacing w:after="0" w:line="240" w:lineRule="auto"/>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Total</w:t>
            </w:r>
          </w:p>
        </w:tc>
        <w:tc>
          <w:tcPr>
            <w:tcW w:w="1025" w:type="dxa"/>
            <w:tcBorders>
              <w:top w:val="single" w:sz="4" w:space="0" w:color="BFBFBF"/>
              <w:left w:val="nil"/>
              <w:bottom w:val="single" w:sz="8" w:space="0" w:color="C7CFD8"/>
              <w:right w:val="nil"/>
            </w:tcBorders>
            <w:shd w:val="clear" w:color="auto" w:fill="auto"/>
            <w:noWrap/>
            <w:vAlign w:val="center"/>
            <w:hideMark/>
          </w:tcPr>
          <w:p w14:paraId="585AE904" w14:textId="77777777" w:rsidR="00750B3E" w:rsidRPr="00750B3E" w:rsidRDefault="00750B3E" w:rsidP="00750B3E">
            <w:pPr>
              <w:spacing w:after="0" w:line="240" w:lineRule="auto"/>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214,036</w:t>
            </w:r>
          </w:p>
        </w:tc>
        <w:tc>
          <w:tcPr>
            <w:tcW w:w="1025" w:type="dxa"/>
            <w:tcBorders>
              <w:top w:val="single" w:sz="4" w:space="0" w:color="BFBFBF"/>
              <w:left w:val="nil"/>
              <w:bottom w:val="single" w:sz="8" w:space="0" w:color="C7CFD8"/>
              <w:right w:val="nil"/>
            </w:tcBorders>
            <w:shd w:val="clear" w:color="auto" w:fill="auto"/>
            <w:noWrap/>
            <w:vAlign w:val="center"/>
            <w:hideMark/>
          </w:tcPr>
          <w:p w14:paraId="32AA23AF" w14:textId="77777777" w:rsidR="00750B3E" w:rsidRPr="00750B3E" w:rsidRDefault="00750B3E" w:rsidP="00750B3E">
            <w:pPr>
              <w:spacing w:after="0" w:line="240" w:lineRule="auto"/>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230,374</w:t>
            </w:r>
          </w:p>
        </w:tc>
        <w:tc>
          <w:tcPr>
            <w:tcW w:w="1026" w:type="dxa"/>
            <w:tcBorders>
              <w:top w:val="single" w:sz="4" w:space="0" w:color="BFBFBF"/>
              <w:left w:val="nil"/>
              <w:bottom w:val="single" w:sz="8" w:space="0" w:color="C7CFD8"/>
              <w:right w:val="nil"/>
            </w:tcBorders>
            <w:shd w:val="clear" w:color="auto" w:fill="auto"/>
            <w:noWrap/>
            <w:vAlign w:val="center"/>
            <w:hideMark/>
          </w:tcPr>
          <w:p w14:paraId="4427B343" w14:textId="77777777" w:rsidR="00750B3E" w:rsidRPr="00750B3E" w:rsidRDefault="00750B3E" w:rsidP="00750B3E">
            <w:pPr>
              <w:spacing w:after="0" w:line="240" w:lineRule="auto"/>
              <w:jc w:val="right"/>
              <w:rPr>
                <w:rFonts w:ascii="Arial Narrow" w:eastAsia="Times New Roman" w:hAnsi="Arial Narrow" w:cs="Arial"/>
                <w:b/>
                <w:bCs/>
                <w:sz w:val="16"/>
                <w:szCs w:val="16"/>
                <w:lang w:val="en-US"/>
              </w:rPr>
            </w:pPr>
            <w:r w:rsidRPr="00750B3E">
              <w:rPr>
                <w:rFonts w:ascii="Arial Narrow" w:eastAsia="Times New Roman" w:hAnsi="Arial Narrow" w:cs="Arial"/>
                <w:b/>
                <w:bCs/>
                <w:sz w:val="16"/>
                <w:szCs w:val="16"/>
                <w:lang w:val="en-US"/>
              </w:rPr>
              <w:t>226,770</w:t>
            </w:r>
          </w:p>
        </w:tc>
      </w:tr>
    </w:tbl>
    <w:p w14:paraId="4E39DD9B" w14:textId="2E0FFCA4" w:rsidR="008D4AC2" w:rsidRPr="00C85EA8" w:rsidRDefault="008D4AC2" w:rsidP="00C85EA8">
      <w:pPr>
        <w:spacing w:after="0" w:line="276" w:lineRule="auto"/>
        <w:rPr>
          <w:b/>
          <w:color w:val="005172" w:themeColor="text2"/>
          <w:sz w:val="2"/>
          <w:szCs w:val="2"/>
          <w:lang w:val="en-US"/>
        </w:rPr>
      </w:pPr>
    </w:p>
    <w:p w14:paraId="1095FEFD" w14:textId="74AD7EB5" w:rsidR="005B18FB" w:rsidRPr="00D350B5" w:rsidRDefault="00972877" w:rsidP="00C85EA8">
      <w:pPr>
        <w:pStyle w:val="SectorTitle"/>
        <w:ind w:left="0" w:firstLine="0"/>
      </w:pPr>
      <w:bookmarkStart w:id="24" w:name="_Toc131175984"/>
      <w:r w:rsidRPr="00972877">
        <w:lastRenderedPageBreak/>
        <w:t>Brands and Designs</w:t>
      </w:r>
      <w:bookmarkEnd w:id="24"/>
    </w:p>
    <w:p w14:paraId="3F057B06" w14:textId="70C3268A" w:rsidR="00C032AE" w:rsidRPr="00D350B5" w:rsidRDefault="00505805" w:rsidP="005B18FB">
      <w:pPr>
        <w:tabs>
          <w:tab w:val="left" w:pos="2745"/>
        </w:tabs>
        <w:rPr>
          <w:lang w:val="en-US"/>
        </w:rPr>
      </w:pPr>
      <w:r>
        <w:rPr>
          <w:noProof/>
          <w:lang w:val="en-US"/>
        </w:rPr>
        <w:drawing>
          <wp:inline distT="0" distB="0" distL="0" distR="0" wp14:anchorId="09AA6736" wp14:editId="3D459380">
            <wp:extent cx="731520" cy="36576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31520" cy="365760"/>
                    </a:xfrm>
                    <a:prstGeom prst="rect">
                      <a:avLst/>
                    </a:prstGeom>
                    <a:noFill/>
                  </pic:spPr>
                </pic:pic>
              </a:graphicData>
            </a:graphic>
          </wp:inline>
        </w:drawing>
      </w:r>
      <w:r w:rsidR="005B18FB" w:rsidRPr="00D350B5">
        <w:rPr>
          <w:lang w:val="en-US"/>
        </w:rPr>
        <w:tab/>
      </w:r>
    </w:p>
    <w:p w14:paraId="086EF393" w14:textId="77777777" w:rsidR="005B0AE9" w:rsidRDefault="005B0AE9" w:rsidP="005B0AE9">
      <w:pPr>
        <w:pStyle w:val="Heading1NoNumb"/>
        <w:rPr>
          <w:lang w:val="en-US"/>
        </w:rPr>
      </w:pPr>
      <w:r>
        <w:rPr>
          <w:lang w:val="en-US"/>
        </w:rPr>
        <w:t>I</w:t>
      </w:r>
      <w:r w:rsidRPr="00D350B5">
        <w:rPr>
          <w:lang w:val="en-US"/>
        </w:rPr>
        <w:t>mplementation Strategies</w:t>
      </w:r>
    </w:p>
    <w:p w14:paraId="238314C3" w14:textId="77777777" w:rsidR="005B0AE9" w:rsidRPr="00EF60A1" w:rsidRDefault="005B0AE9" w:rsidP="005B0AE9">
      <w:pPr>
        <w:spacing w:line="240" w:lineRule="auto"/>
        <w:jc w:val="both"/>
        <w:rPr>
          <w:rFonts w:eastAsia="SimHei" w:cs="Arial"/>
          <w:szCs w:val="20"/>
          <w:lang w:eastAsia="zh-CN"/>
        </w:rPr>
      </w:pPr>
      <w:r>
        <w:rPr>
          <w:rFonts w:eastAsia="SimHei" w:cs="Arial"/>
          <w:noProof/>
          <w:szCs w:val="20"/>
          <w:lang w:val="en-US"/>
        </w:rPr>
        <w:drawing>
          <wp:anchor distT="0" distB="0" distL="114300" distR="114300" simplePos="0" relativeHeight="251829760" behindDoc="0" locked="0" layoutInCell="1" allowOverlap="1" wp14:anchorId="08FE908D" wp14:editId="28FC32B6">
            <wp:simplePos x="0" y="0"/>
            <wp:positionH relativeFrom="margin">
              <wp:align>right</wp:align>
            </wp:positionH>
            <wp:positionV relativeFrom="paragraph">
              <wp:posOffset>15875</wp:posOffset>
            </wp:positionV>
            <wp:extent cx="1438275" cy="2286000"/>
            <wp:effectExtent l="0" t="0" r="9525" b="0"/>
            <wp:wrapSquare wrapText="bothSides"/>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38275" cy="2286000"/>
                    </a:xfrm>
                    <a:prstGeom prst="rect">
                      <a:avLst/>
                    </a:prstGeom>
                    <a:noFill/>
                  </pic:spPr>
                </pic:pic>
              </a:graphicData>
            </a:graphic>
          </wp:anchor>
        </w:drawing>
      </w:r>
      <w:r>
        <w:rPr>
          <w:rFonts w:eastAsia="SimHei" w:cs="Arial"/>
          <w:szCs w:val="20"/>
          <w:lang w:val="en-US" w:eastAsia="zh-CN"/>
        </w:rPr>
        <w:t>Brands and designs offer competitive advantages to businesses and allow consumers to express their preferences in the market place.  These can be an important source of market power and an important mechanism for firms to secure returns on investment in innovation.  They are accessible to businesses of any size in any economy at any level of development.  As such, they can benefit communities that so far have not been able to take advantage of intellectual property for their social, cultural and economic development.</w:t>
      </w:r>
    </w:p>
    <w:p w14:paraId="76C045D1" w14:textId="729FEB1F" w:rsidR="005B0AE9" w:rsidRDefault="005B0AE9" w:rsidP="005B0AE9">
      <w:pPr>
        <w:spacing w:line="240" w:lineRule="auto"/>
        <w:jc w:val="both"/>
        <w:rPr>
          <w:rFonts w:eastAsia="SimHei" w:cs="Arial"/>
          <w:szCs w:val="20"/>
          <w:lang w:val="en-US" w:eastAsia="zh-CN"/>
        </w:rPr>
      </w:pPr>
      <w:r>
        <w:rPr>
          <w:rFonts w:eastAsia="SimHei" w:cs="Arial"/>
          <w:szCs w:val="20"/>
          <w:lang w:val="en-US" w:eastAsia="zh-CN"/>
        </w:rPr>
        <w:t>Trademarks continue to be by far the most frequent form of registered intellectual property rights, while the value of industrial designs and geographical indications is increasingly gaining recognition.  Thus, in 2021, global trademark and industrial des</w:t>
      </w:r>
      <w:r w:rsidR="004150FE">
        <w:rPr>
          <w:rFonts w:eastAsia="SimHei" w:cs="Arial"/>
          <w:szCs w:val="20"/>
          <w:lang w:val="en-US" w:eastAsia="zh-CN"/>
        </w:rPr>
        <w:t>ign filing activity grew by 5.5 per cent</w:t>
      </w:r>
      <w:r>
        <w:rPr>
          <w:rFonts w:eastAsia="SimHei" w:cs="Arial"/>
          <w:szCs w:val="20"/>
          <w:lang w:val="en-US" w:eastAsia="zh-CN"/>
        </w:rPr>
        <w:t xml:space="preserve"> and 9.2</w:t>
      </w:r>
      <w:r w:rsidR="004150FE">
        <w:rPr>
          <w:rFonts w:eastAsia="SimHei" w:cs="Arial"/>
          <w:szCs w:val="20"/>
          <w:lang w:val="en-US" w:eastAsia="zh-CN"/>
        </w:rPr>
        <w:t xml:space="preserve"> per cent</w:t>
      </w:r>
      <w:r>
        <w:rPr>
          <w:rFonts w:eastAsia="SimHei" w:cs="Arial"/>
          <w:szCs w:val="20"/>
          <w:lang w:val="en-US" w:eastAsia="zh-CN"/>
        </w:rPr>
        <w:t>, respectively, amounting to 18.1 million trademarks and 1.5 million industrial designs filed worldwide, while the potential of geographical indications as a catalyst of collective sustainable development is win</w:t>
      </w:r>
      <w:r w:rsidR="00BB10DC">
        <w:rPr>
          <w:rFonts w:eastAsia="SimHei" w:cs="Arial"/>
          <w:szCs w:val="20"/>
          <w:lang w:val="en-US" w:eastAsia="zh-CN"/>
        </w:rPr>
        <w:t>n</w:t>
      </w:r>
      <w:r>
        <w:rPr>
          <w:rFonts w:eastAsia="SimHei" w:cs="Arial"/>
          <w:szCs w:val="20"/>
          <w:lang w:val="en-US" w:eastAsia="zh-CN"/>
        </w:rPr>
        <w:t>ing in recognition, in particular in developing countries.  That same year, trademark, design and geographical indications filings under the Madrid, Hague and Lisbon systems grew by 15</w:t>
      </w:r>
      <w:r w:rsidR="004150FE">
        <w:rPr>
          <w:rFonts w:eastAsia="SimHei" w:cs="Arial"/>
          <w:szCs w:val="20"/>
          <w:lang w:val="en-US" w:eastAsia="zh-CN"/>
        </w:rPr>
        <w:t xml:space="preserve"> per cent</w:t>
      </w:r>
      <w:r>
        <w:rPr>
          <w:rFonts w:eastAsia="SimHei" w:cs="Arial"/>
          <w:szCs w:val="20"/>
          <w:lang w:val="en-US" w:eastAsia="zh-CN"/>
        </w:rPr>
        <w:t>, 21</w:t>
      </w:r>
      <w:r w:rsidR="004150FE">
        <w:rPr>
          <w:rFonts w:eastAsia="SimHei" w:cs="Arial"/>
          <w:szCs w:val="20"/>
          <w:lang w:val="en-US" w:eastAsia="zh-CN"/>
        </w:rPr>
        <w:t xml:space="preserve"> per cent</w:t>
      </w:r>
      <w:r>
        <w:rPr>
          <w:rFonts w:eastAsia="SimHei" w:cs="Arial"/>
          <w:szCs w:val="20"/>
          <w:lang w:val="en-US" w:eastAsia="zh-CN"/>
        </w:rPr>
        <w:t xml:space="preserve"> </w:t>
      </w:r>
      <w:r w:rsidRPr="00C85EA8">
        <w:rPr>
          <w:rFonts w:eastAsia="SimHei" w:cs="Arial"/>
          <w:szCs w:val="20"/>
          <w:lang w:val="en-US" w:eastAsia="zh-CN"/>
        </w:rPr>
        <w:t>and 566</w:t>
      </w:r>
      <w:r w:rsidR="004150FE" w:rsidRPr="00C85EA8">
        <w:rPr>
          <w:rFonts w:eastAsia="SimHei" w:cs="Arial"/>
          <w:szCs w:val="20"/>
          <w:lang w:val="en-US" w:eastAsia="zh-CN"/>
        </w:rPr>
        <w:t xml:space="preserve"> per</w:t>
      </w:r>
      <w:r w:rsidR="004150FE">
        <w:rPr>
          <w:rFonts w:eastAsia="SimHei" w:cs="Arial"/>
          <w:szCs w:val="20"/>
          <w:lang w:val="en-US" w:eastAsia="zh-CN"/>
        </w:rPr>
        <w:t xml:space="preserve"> cent,</w:t>
      </w:r>
      <w:r>
        <w:rPr>
          <w:rFonts w:eastAsia="SimHei" w:cs="Arial"/>
          <w:szCs w:val="20"/>
          <w:lang w:val="en-US" w:eastAsia="zh-CN"/>
        </w:rPr>
        <w:t xml:space="preserve"> respectively, and implementation strategies will continue fostering wider and more effective use of these global IP services under </w:t>
      </w:r>
      <w:r w:rsidR="004150FE">
        <w:rPr>
          <w:rFonts w:eastAsia="SimHei" w:cs="Arial"/>
          <w:szCs w:val="20"/>
          <w:lang w:val="en-US" w:eastAsia="zh-CN"/>
        </w:rPr>
        <w:t>Expected Result</w:t>
      </w:r>
      <w:r>
        <w:rPr>
          <w:rFonts w:eastAsia="SimHei" w:cs="Arial"/>
          <w:szCs w:val="20"/>
          <w:lang w:val="en-US" w:eastAsia="zh-CN"/>
        </w:rPr>
        <w:t xml:space="preserve"> 3.1, notably through enhancing productivity and service quality (</w:t>
      </w:r>
      <w:r w:rsidR="004150FE">
        <w:rPr>
          <w:rFonts w:eastAsia="SimHei" w:cs="Arial"/>
          <w:szCs w:val="20"/>
          <w:lang w:val="en-US" w:eastAsia="zh-CN"/>
        </w:rPr>
        <w:t>Expected Result</w:t>
      </w:r>
      <w:r>
        <w:rPr>
          <w:rFonts w:eastAsia="SimHei" w:cs="Arial"/>
          <w:szCs w:val="20"/>
          <w:lang w:val="en-US" w:eastAsia="zh-CN"/>
        </w:rPr>
        <w:t xml:space="preserve"> 3.2).  Implementation strategies also are aimed at the development of a balanced and effective international normative framework for trademarks, designs and geographical indications (</w:t>
      </w:r>
      <w:r w:rsidR="004150FE">
        <w:rPr>
          <w:rFonts w:eastAsia="SimHei" w:cs="Arial"/>
          <w:szCs w:val="20"/>
          <w:lang w:val="en-US" w:eastAsia="zh-CN"/>
        </w:rPr>
        <w:t>Expected Result</w:t>
      </w:r>
      <w:r>
        <w:rPr>
          <w:rFonts w:eastAsia="SimHei" w:cs="Arial"/>
          <w:szCs w:val="20"/>
          <w:lang w:val="en-US" w:eastAsia="zh-CN"/>
        </w:rPr>
        <w:t xml:space="preserve"> 2.1) and at bringing together the international community to proactively address emerging issues and policy challenges (</w:t>
      </w:r>
      <w:r w:rsidR="004150FE">
        <w:rPr>
          <w:rFonts w:eastAsia="SimHei" w:cs="Arial"/>
          <w:szCs w:val="20"/>
          <w:lang w:val="en-US" w:eastAsia="zh-CN"/>
        </w:rPr>
        <w:t>Expected Result</w:t>
      </w:r>
      <w:r>
        <w:rPr>
          <w:rFonts w:eastAsia="SimHei" w:cs="Arial"/>
          <w:szCs w:val="20"/>
          <w:lang w:val="en-US" w:eastAsia="zh-CN"/>
        </w:rPr>
        <w:t xml:space="preserve"> 2.2).  They will also comprise projects designed for stakeholder groups who wish to preserve valuable intangible assets (</w:t>
      </w:r>
      <w:r w:rsidR="004150FE">
        <w:rPr>
          <w:rFonts w:eastAsia="SimHei" w:cs="Arial"/>
          <w:szCs w:val="20"/>
          <w:lang w:val="en-US" w:eastAsia="zh-CN"/>
        </w:rPr>
        <w:t>Expected Result</w:t>
      </w:r>
      <w:r>
        <w:rPr>
          <w:rFonts w:eastAsia="SimHei" w:cs="Arial"/>
          <w:szCs w:val="20"/>
          <w:lang w:val="en-US" w:eastAsia="zh-CN"/>
        </w:rPr>
        <w:t xml:space="preserve"> 4.3).</w:t>
      </w:r>
      <w:r w:rsidR="004150FE">
        <w:rPr>
          <w:rFonts w:eastAsia="SimHei" w:cs="Arial"/>
          <w:szCs w:val="20"/>
          <w:lang w:val="en-US" w:eastAsia="zh-CN"/>
        </w:rPr>
        <w:t xml:space="preserve">  </w:t>
      </w:r>
    </w:p>
    <w:p w14:paraId="49435FFB" w14:textId="77777777" w:rsidR="005B0AE9" w:rsidRPr="00505805" w:rsidRDefault="005B0AE9" w:rsidP="005B0AE9">
      <w:pPr>
        <w:spacing w:line="240" w:lineRule="auto"/>
        <w:jc w:val="both"/>
        <w:rPr>
          <w:rFonts w:eastAsia="SimHei" w:cs="Arial"/>
          <w:szCs w:val="20"/>
          <w:lang w:val="en-US" w:eastAsia="zh-CN"/>
        </w:rPr>
      </w:pPr>
      <w:r w:rsidRPr="00505805">
        <w:rPr>
          <w:rFonts w:eastAsia="SimHei" w:cs="Arial"/>
          <w:szCs w:val="20"/>
          <w:lang w:val="en-US" w:eastAsia="zh-CN"/>
        </w:rPr>
        <w:t xml:space="preserve">The Brands and Designs Sector is responsible for several aspects of WIPO’s work. </w:t>
      </w:r>
    </w:p>
    <w:p w14:paraId="38C6002B" w14:textId="4117B7A3" w:rsidR="005B0AE9" w:rsidRPr="00505805" w:rsidRDefault="005B0AE9" w:rsidP="005B0AE9">
      <w:pPr>
        <w:spacing w:line="240" w:lineRule="auto"/>
        <w:jc w:val="both"/>
        <w:rPr>
          <w:rFonts w:eastAsia="SimHei" w:cs="Arial"/>
          <w:szCs w:val="20"/>
          <w:lang w:val="en-US" w:eastAsia="zh-CN"/>
        </w:rPr>
      </w:pPr>
      <w:r w:rsidRPr="00505805">
        <w:rPr>
          <w:rFonts w:eastAsia="SimHei" w:cs="Arial"/>
          <w:szCs w:val="20"/>
          <w:lang w:val="en-US" w:eastAsia="zh-CN"/>
        </w:rPr>
        <w:t xml:space="preserve">First, </w:t>
      </w:r>
      <w:r>
        <w:rPr>
          <w:rFonts w:eastAsia="SimHei" w:cs="Arial"/>
          <w:szCs w:val="20"/>
          <w:lang w:val="en-US" w:eastAsia="zh-CN"/>
        </w:rPr>
        <w:t xml:space="preserve">a key part of this work under Expected Result 2.1 of the MTSP is to </w:t>
      </w:r>
      <w:r w:rsidRPr="00505805">
        <w:rPr>
          <w:rFonts w:eastAsia="SimHei" w:cs="Arial"/>
          <w:szCs w:val="20"/>
          <w:lang w:val="en-US" w:eastAsia="zh-CN"/>
        </w:rPr>
        <w:t xml:space="preserve">facilitate the development of balanced and effective international normative frameworks in the areas of trademarks, industrial designs and geographical indications.  It also supports international cooperation under several WIPO treaties – the Paris Convention, the Singapore Treaty on the Law of Trademarks, the Trademark Law Treaty, the Protocol Relating to the Madrid Agreement Concerning the International Registration of Marks, the Hague Agreement Concerning the International Registration of Industrial Designs and the Lisbon Agreement on Appellations of Origin and Geographical Indications. </w:t>
      </w:r>
      <w:r>
        <w:rPr>
          <w:rFonts w:eastAsia="SimHei" w:cs="Arial"/>
          <w:szCs w:val="20"/>
          <w:lang w:val="en-US" w:eastAsia="zh-CN"/>
        </w:rPr>
        <w:t xml:space="preserve"> </w:t>
      </w:r>
      <w:r w:rsidRPr="00505805">
        <w:rPr>
          <w:rFonts w:eastAsia="SimHei" w:cs="Arial"/>
          <w:szCs w:val="20"/>
          <w:lang w:val="en-US" w:eastAsia="zh-CN"/>
        </w:rPr>
        <w:t xml:space="preserve">Moreover, </w:t>
      </w:r>
      <w:r>
        <w:rPr>
          <w:rFonts w:eastAsia="SimHei" w:cs="Arial"/>
          <w:szCs w:val="20"/>
          <w:lang w:val="en-US" w:eastAsia="zh-CN"/>
        </w:rPr>
        <w:t xml:space="preserve">under Expected Results 2.1, 3.1 and 3.2, </w:t>
      </w:r>
      <w:r w:rsidRPr="00505805">
        <w:rPr>
          <w:rFonts w:eastAsia="SimHei" w:cs="Arial"/>
          <w:szCs w:val="20"/>
          <w:lang w:val="en-US" w:eastAsia="zh-CN"/>
        </w:rPr>
        <w:t xml:space="preserve">the Sector supports the work of the Standing Committee on the Law of Trademarks, Industrial Designs and Geographical Indications and the Madrid, Hague and Lisbon Union Assemblies </w:t>
      </w:r>
      <w:r w:rsidR="00BB10DC">
        <w:rPr>
          <w:rFonts w:eastAsia="SimHei" w:cs="Arial"/>
          <w:szCs w:val="20"/>
          <w:lang w:val="en-US" w:eastAsia="zh-CN"/>
        </w:rPr>
        <w:t>as well as</w:t>
      </w:r>
      <w:r w:rsidRPr="00505805">
        <w:rPr>
          <w:rFonts w:eastAsia="SimHei" w:cs="Arial"/>
          <w:szCs w:val="20"/>
          <w:lang w:val="en-US" w:eastAsia="zh-CN"/>
        </w:rPr>
        <w:t xml:space="preserve"> the Assembly of the Singapore Treaty.  </w:t>
      </w:r>
    </w:p>
    <w:p w14:paraId="1F013F40" w14:textId="77777777" w:rsidR="005B0AE9" w:rsidRPr="00505805" w:rsidRDefault="005B0AE9" w:rsidP="005B0AE9">
      <w:pPr>
        <w:spacing w:line="240" w:lineRule="auto"/>
        <w:jc w:val="both"/>
        <w:rPr>
          <w:rFonts w:eastAsia="SimHei" w:cs="Arial"/>
          <w:szCs w:val="20"/>
          <w:lang w:val="en-US" w:eastAsia="zh-CN"/>
        </w:rPr>
      </w:pPr>
      <w:r w:rsidRPr="00505805">
        <w:rPr>
          <w:rFonts w:eastAsia="SimHei" w:cs="Arial"/>
          <w:szCs w:val="20"/>
          <w:lang w:val="en-US" w:eastAsia="zh-CN"/>
        </w:rPr>
        <w:t xml:space="preserve">Second, </w:t>
      </w:r>
      <w:r>
        <w:rPr>
          <w:rFonts w:eastAsia="SimHei" w:cs="Arial"/>
          <w:szCs w:val="20"/>
          <w:lang w:val="en-US" w:eastAsia="zh-CN"/>
        </w:rPr>
        <w:t xml:space="preserve">under Expected Results 3.1 and 3.2 of the MTSP, </w:t>
      </w:r>
      <w:r w:rsidRPr="00505805">
        <w:rPr>
          <w:rFonts w:eastAsia="SimHei" w:cs="Arial"/>
          <w:szCs w:val="20"/>
          <w:lang w:val="en-US" w:eastAsia="zh-CN"/>
        </w:rPr>
        <w:t xml:space="preserve">the Sector is also the provider of critical global IP services for the international protection of trademarks, industrial designs and geographical indications through the Madrid, Hague and Lisbon Systems. </w:t>
      </w:r>
    </w:p>
    <w:p w14:paraId="0DE4349F" w14:textId="77777777" w:rsidR="005B0AE9" w:rsidRPr="00505805" w:rsidRDefault="005B0AE9" w:rsidP="005B0AE9">
      <w:pPr>
        <w:spacing w:line="240" w:lineRule="auto"/>
        <w:jc w:val="both"/>
        <w:rPr>
          <w:rFonts w:eastAsia="SimHei" w:cs="Arial"/>
          <w:szCs w:val="20"/>
          <w:lang w:val="en-US" w:eastAsia="zh-CN"/>
        </w:rPr>
      </w:pPr>
      <w:r w:rsidRPr="00505805">
        <w:rPr>
          <w:rFonts w:eastAsia="SimHei" w:cs="Arial"/>
          <w:szCs w:val="20"/>
          <w:lang w:val="en-US" w:eastAsia="zh-CN"/>
        </w:rPr>
        <w:t xml:space="preserve">Third, </w:t>
      </w:r>
      <w:r>
        <w:rPr>
          <w:rFonts w:eastAsia="SimHei" w:cs="Arial"/>
          <w:szCs w:val="20"/>
          <w:lang w:val="en-US" w:eastAsia="zh-CN"/>
        </w:rPr>
        <w:t xml:space="preserve">as part of Expected Result 4.2, </w:t>
      </w:r>
      <w:r w:rsidRPr="00505805">
        <w:rPr>
          <w:rFonts w:eastAsia="SimHei" w:cs="Arial"/>
          <w:szCs w:val="20"/>
          <w:lang w:val="en-US" w:eastAsia="zh-CN"/>
        </w:rPr>
        <w:t xml:space="preserve">the Sector supports the use by Member States of </w:t>
      </w:r>
      <w:r>
        <w:rPr>
          <w:rFonts w:eastAsia="SimHei" w:cs="Arial"/>
          <w:szCs w:val="20"/>
          <w:lang w:val="en-US" w:eastAsia="zh-CN"/>
        </w:rPr>
        <w:t>trademarks, industrial designs and geographical indications</w:t>
      </w:r>
      <w:r w:rsidRPr="00505805">
        <w:rPr>
          <w:rFonts w:eastAsia="SimHei" w:cs="Arial"/>
          <w:szCs w:val="20"/>
          <w:lang w:val="en-US" w:eastAsia="zh-CN"/>
        </w:rPr>
        <w:t xml:space="preserve"> by providing legislative and policy advice to WIPO Member States and national IP Offices.  This is complemented by user outreach and support activities, as well as training</w:t>
      </w:r>
      <w:r>
        <w:rPr>
          <w:rFonts w:eastAsia="SimHei" w:cs="Arial"/>
          <w:szCs w:val="20"/>
          <w:lang w:val="en-US" w:eastAsia="zh-CN"/>
        </w:rPr>
        <w:t xml:space="preserve">, </w:t>
      </w:r>
      <w:r w:rsidRPr="00505805">
        <w:rPr>
          <w:rFonts w:eastAsia="SimHei" w:cs="Arial"/>
          <w:szCs w:val="20"/>
          <w:lang w:val="en-US" w:eastAsia="zh-CN"/>
        </w:rPr>
        <w:t xml:space="preserve">capacity building </w:t>
      </w:r>
      <w:r>
        <w:rPr>
          <w:rFonts w:eastAsia="SimHei" w:cs="Arial"/>
          <w:szCs w:val="20"/>
          <w:lang w:val="en-US" w:eastAsia="zh-CN"/>
        </w:rPr>
        <w:t xml:space="preserve">and technical assistance activities and projects </w:t>
      </w:r>
      <w:r w:rsidRPr="00505805">
        <w:rPr>
          <w:rFonts w:eastAsia="SimHei" w:cs="Arial"/>
          <w:szCs w:val="20"/>
          <w:lang w:val="en-US" w:eastAsia="zh-CN"/>
        </w:rPr>
        <w:t>for LDCs, developing countries, countries in transition and developed countries</w:t>
      </w:r>
      <w:r>
        <w:rPr>
          <w:rFonts w:eastAsia="SimHei" w:cs="Arial"/>
          <w:szCs w:val="20"/>
          <w:lang w:val="en-US" w:eastAsia="zh-CN"/>
        </w:rPr>
        <w:t>, under Expected Results 3.1, 4.1 and 4.3</w:t>
      </w:r>
      <w:r w:rsidRPr="00505805">
        <w:rPr>
          <w:rFonts w:eastAsia="SimHei" w:cs="Arial"/>
          <w:szCs w:val="20"/>
          <w:lang w:val="en-US" w:eastAsia="zh-CN"/>
        </w:rPr>
        <w:t xml:space="preserve">. </w:t>
      </w:r>
    </w:p>
    <w:p w14:paraId="06C37E59" w14:textId="77777777" w:rsidR="005B0AE9" w:rsidRPr="00505805" w:rsidRDefault="005B0AE9" w:rsidP="005B0AE9">
      <w:pPr>
        <w:spacing w:before="320" w:after="240" w:line="240" w:lineRule="auto"/>
        <w:rPr>
          <w:rFonts w:eastAsia="Arial" w:cs="Times New Roman"/>
          <w:color w:val="005172"/>
          <w:sz w:val="22"/>
          <w:lang w:val="en-US"/>
        </w:rPr>
      </w:pPr>
      <w:r w:rsidRPr="00505805">
        <w:rPr>
          <w:rFonts w:eastAsia="Arial" w:cs="Times New Roman"/>
          <w:color w:val="005172"/>
          <w:sz w:val="22"/>
          <w:lang w:val="en-US"/>
        </w:rPr>
        <w:t xml:space="preserve">Brands and Designs Law </w:t>
      </w:r>
    </w:p>
    <w:p w14:paraId="14D2D3DB" w14:textId="1D8A6EB8" w:rsidR="005B0AE9" w:rsidRPr="00505805" w:rsidRDefault="005B0AE9" w:rsidP="005B0AE9">
      <w:pPr>
        <w:spacing w:line="240" w:lineRule="auto"/>
        <w:rPr>
          <w:rFonts w:eastAsia="SimHei" w:cs="Arial"/>
          <w:szCs w:val="18"/>
          <w:lang w:val="en-US" w:eastAsia="zh-CN"/>
        </w:rPr>
      </w:pPr>
      <w:r w:rsidRPr="00505805">
        <w:rPr>
          <w:rFonts w:eastAsia="Arial" w:cs="Arial"/>
          <w:szCs w:val="18"/>
          <w:lang w:val="en-US"/>
        </w:rPr>
        <w:t xml:space="preserve">During the </w:t>
      </w:r>
      <w:r>
        <w:rPr>
          <w:rFonts w:eastAsia="Arial" w:cs="Arial"/>
          <w:szCs w:val="18"/>
          <w:lang w:val="en-US"/>
        </w:rPr>
        <w:t>2024/25</w:t>
      </w:r>
      <w:r w:rsidRPr="00505805">
        <w:rPr>
          <w:rFonts w:eastAsia="Arial" w:cs="Arial"/>
          <w:szCs w:val="18"/>
          <w:lang w:val="en-US"/>
        </w:rPr>
        <w:t xml:space="preserve"> biennium, the Brands and Designs Sector will continue to facilitate </w:t>
      </w:r>
      <w:r>
        <w:rPr>
          <w:rFonts w:eastAsia="Arial" w:cs="Arial"/>
          <w:szCs w:val="18"/>
          <w:lang w:val="en-US"/>
        </w:rPr>
        <w:t xml:space="preserve">the development of a balanced and effective international normative framework </w:t>
      </w:r>
      <w:r w:rsidRPr="00505805">
        <w:rPr>
          <w:rFonts w:eastAsia="Arial" w:cs="Arial"/>
          <w:szCs w:val="18"/>
          <w:lang w:val="en-US"/>
        </w:rPr>
        <w:t xml:space="preserve">for </w:t>
      </w:r>
      <w:r w:rsidRPr="00505805">
        <w:rPr>
          <w:rFonts w:eastAsia="SimHei" w:cs="Arial"/>
          <w:szCs w:val="18"/>
          <w:lang w:val="en-US" w:eastAsia="zh-CN"/>
        </w:rPr>
        <w:t>trademark, industrial design and geographical indication law and policy.</w:t>
      </w:r>
      <w:r>
        <w:rPr>
          <w:rFonts w:eastAsia="SimHei" w:cs="Arial"/>
          <w:szCs w:val="18"/>
          <w:lang w:val="en-US" w:eastAsia="zh-CN"/>
        </w:rPr>
        <w:t xml:space="preserve">  To that end, the </w:t>
      </w:r>
      <w:r w:rsidR="0026419C">
        <w:rPr>
          <w:rFonts w:eastAsia="SimHei" w:cs="Arial"/>
          <w:szCs w:val="18"/>
          <w:lang w:val="en-US" w:eastAsia="zh-CN"/>
        </w:rPr>
        <w:t>Sector</w:t>
      </w:r>
      <w:r>
        <w:rPr>
          <w:rFonts w:eastAsia="SimHei" w:cs="Arial"/>
          <w:szCs w:val="18"/>
          <w:lang w:val="en-US" w:eastAsia="zh-CN"/>
        </w:rPr>
        <w:t xml:space="preserve"> will bring the international community together to proactively address emerging issues and policy challenges at the global level relating to </w:t>
      </w:r>
      <w:r w:rsidRPr="00505805">
        <w:rPr>
          <w:rFonts w:eastAsia="SimHei" w:cs="Arial"/>
          <w:szCs w:val="18"/>
          <w:lang w:val="en-US" w:eastAsia="zh-CN"/>
        </w:rPr>
        <w:t xml:space="preserve">brands and designs and fostering, where possible, enhanced coherence at a practical level.  The Sector will focus, in particular, on: </w:t>
      </w:r>
    </w:p>
    <w:p w14:paraId="771642E2" w14:textId="070FA317" w:rsidR="005B0AE9" w:rsidRPr="00505805" w:rsidRDefault="0089750C" w:rsidP="008407D7">
      <w:pPr>
        <w:numPr>
          <w:ilvl w:val="0"/>
          <w:numId w:val="42"/>
        </w:numPr>
        <w:spacing w:line="240" w:lineRule="auto"/>
        <w:ind w:left="714" w:hanging="357"/>
        <w:rPr>
          <w:rFonts w:eastAsia="Arial" w:cs="Arial"/>
          <w:szCs w:val="18"/>
          <w:lang w:val="en-US"/>
        </w:rPr>
      </w:pPr>
      <w:r>
        <w:rPr>
          <w:rFonts w:eastAsia="SimHei" w:cs="Arial"/>
          <w:szCs w:val="18"/>
          <w:lang w:val="en-US" w:eastAsia="zh-CN"/>
        </w:rPr>
        <w:t>Convening</w:t>
      </w:r>
      <w:r w:rsidR="005B0AE9" w:rsidRPr="0006533E">
        <w:rPr>
          <w:rFonts w:eastAsia="SimHei" w:cs="Arial"/>
          <w:szCs w:val="18"/>
          <w:lang w:val="en-US" w:eastAsia="zh-CN"/>
        </w:rPr>
        <w:t xml:space="preserve"> a Diplomatic Conference for the Adoption of a Design Law Treaty.  In accordance with a decision by the WIPO General Assembly, the Diplomatic Conference will take place before the end of 2024, and will be possibly hosted by an interested Member State.  The Diplomatic Conference </w:t>
      </w:r>
      <w:r w:rsidR="00BB10DC">
        <w:rPr>
          <w:rFonts w:eastAsia="SimHei" w:cs="Arial"/>
          <w:szCs w:val="18"/>
          <w:lang w:val="en-US" w:eastAsia="zh-CN"/>
        </w:rPr>
        <w:t>may</w:t>
      </w:r>
      <w:r w:rsidR="005B0AE9" w:rsidRPr="0006533E">
        <w:rPr>
          <w:rFonts w:eastAsia="SimHei" w:cs="Arial"/>
          <w:szCs w:val="18"/>
          <w:lang w:val="en-US" w:eastAsia="zh-CN"/>
        </w:rPr>
        <w:t xml:space="preserve"> conclude long-standing work on a new multilateral agreement for industrial designs.  In particular, this treaty </w:t>
      </w:r>
      <w:r w:rsidR="00BB10DC">
        <w:rPr>
          <w:rFonts w:eastAsia="SimHei" w:cs="Arial"/>
          <w:szCs w:val="18"/>
          <w:lang w:val="en-US" w:eastAsia="zh-CN"/>
        </w:rPr>
        <w:t>would</w:t>
      </w:r>
      <w:r w:rsidR="005B0AE9" w:rsidRPr="00505805">
        <w:rPr>
          <w:rFonts w:eastAsia="SimHei" w:cs="Arial"/>
          <w:szCs w:val="18"/>
          <w:lang w:val="en-US" w:eastAsia="zh-CN"/>
        </w:rPr>
        <w:t xml:space="preserve"> simplify design </w:t>
      </w:r>
      <w:r w:rsidR="005B0AE9" w:rsidRPr="00505805">
        <w:rPr>
          <w:rFonts w:eastAsia="SimHei" w:cs="Arial"/>
          <w:szCs w:val="18"/>
          <w:lang w:val="en-US" w:eastAsia="zh-CN"/>
        </w:rPr>
        <w:lastRenderedPageBreak/>
        <w:t>registration procedures among Member States, thus making it easier and less costly for designers to obtain protection for their creations in multiple jurisdictions.</w:t>
      </w:r>
      <w:r w:rsidR="005B0AE9">
        <w:rPr>
          <w:rFonts w:eastAsia="SimHei" w:cs="Arial"/>
          <w:szCs w:val="18"/>
          <w:lang w:val="en-US" w:eastAsia="zh-CN"/>
        </w:rPr>
        <w:t xml:space="preserve">  It thus will contribute to the development of a balanced and</w:t>
      </w:r>
      <w:r w:rsidR="00BB10DC">
        <w:rPr>
          <w:rFonts w:eastAsia="SimHei" w:cs="Arial"/>
          <w:szCs w:val="18"/>
          <w:lang w:val="en-US" w:eastAsia="zh-CN"/>
        </w:rPr>
        <w:t xml:space="preserve"> effective international normat</w:t>
      </w:r>
      <w:r w:rsidR="005B0AE9">
        <w:rPr>
          <w:rFonts w:eastAsia="SimHei" w:cs="Arial"/>
          <w:szCs w:val="18"/>
          <w:lang w:val="en-US" w:eastAsia="zh-CN"/>
        </w:rPr>
        <w:t>ive framework for designs (ER 2.1).</w:t>
      </w:r>
      <w:r w:rsidR="005B0AE9" w:rsidRPr="00505805">
        <w:rPr>
          <w:rFonts w:eastAsia="SimHei" w:cs="Arial"/>
          <w:szCs w:val="18"/>
          <w:lang w:val="en-US" w:eastAsia="zh-CN"/>
        </w:rPr>
        <w:t xml:space="preserve">  Moreover, the Sector will continue to organize regular sessions of the SCT in an appropriate mode (physical, hybrid or virtual) and develop intra-sessional work with a view to facilitating an open exchange on salient topics relating to brands and designs law and policy enabling outcomes agreed by Member States</w:t>
      </w:r>
      <w:r w:rsidR="005B0AE9">
        <w:rPr>
          <w:rFonts w:eastAsia="SimHei" w:cs="Arial"/>
          <w:szCs w:val="18"/>
          <w:lang w:val="en-US" w:eastAsia="zh-CN"/>
        </w:rPr>
        <w:t>, thereby proactively addressing emerging issues and polic</w:t>
      </w:r>
      <w:r w:rsidR="00BB10DC">
        <w:rPr>
          <w:rFonts w:eastAsia="SimHei" w:cs="Arial"/>
          <w:szCs w:val="18"/>
          <w:lang w:val="en-US" w:eastAsia="zh-CN"/>
        </w:rPr>
        <w:t>y</w:t>
      </w:r>
      <w:r w:rsidR="005B0AE9">
        <w:rPr>
          <w:rFonts w:eastAsia="SimHei" w:cs="Arial"/>
          <w:szCs w:val="18"/>
          <w:lang w:val="en-US" w:eastAsia="zh-CN"/>
        </w:rPr>
        <w:t xml:space="preserve"> challenges at the global level relating to brands and </w:t>
      </w:r>
      <w:r w:rsidR="0026419C">
        <w:rPr>
          <w:rFonts w:eastAsia="SimHei" w:cs="Arial"/>
          <w:szCs w:val="18"/>
          <w:lang w:val="en-US" w:eastAsia="zh-CN"/>
        </w:rPr>
        <w:t>designs</w:t>
      </w:r>
      <w:r w:rsidR="005B0AE9">
        <w:rPr>
          <w:rFonts w:eastAsia="SimHei" w:cs="Arial"/>
          <w:szCs w:val="18"/>
          <w:lang w:val="en-US" w:eastAsia="zh-CN"/>
        </w:rPr>
        <w:t xml:space="preserve"> (ER 2.2)</w:t>
      </w:r>
      <w:r w:rsidR="005B0AE9" w:rsidRPr="00505805">
        <w:rPr>
          <w:rFonts w:eastAsia="SimHei" w:cs="Arial"/>
          <w:szCs w:val="18"/>
          <w:lang w:val="en-US" w:eastAsia="zh-CN"/>
        </w:rPr>
        <w:t>;</w:t>
      </w:r>
    </w:p>
    <w:p w14:paraId="2C10DF80" w14:textId="55CEC6AA" w:rsidR="005B0AE9" w:rsidRPr="00505805" w:rsidRDefault="005B0AE9" w:rsidP="008407D7">
      <w:pPr>
        <w:numPr>
          <w:ilvl w:val="0"/>
          <w:numId w:val="42"/>
        </w:numPr>
        <w:spacing w:line="240" w:lineRule="auto"/>
        <w:ind w:left="714" w:hanging="357"/>
        <w:rPr>
          <w:rFonts w:eastAsia="Arial" w:cs="Arial"/>
          <w:szCs w:val="18"/>
          <w:lang w:val="en-US"/>
        </w:rPr>
      </w:pPr>
      <w:r w:rsidRPr="00505805">
        <w:rPr>
          <w:rFonts w:eastAsia="SimHei" w:cs="Arial"/>
          <w:szCs w:val="18"/>
          <w:lang w:val="en-US" w:eastAsia="zh-CN"/>
        </w:rPr>
        <w:t>Organiz</w:t>
      </w:r>
      <w:r w:rsidR="0089750C">
        <w:rPr>
          <w:rFonts w:eastAsia="SimHei" w:cs="Arial"/>
          <w:szCs w:val="18"/>
          <w:lang w:val="en-US" w:eastAsia="zh-CN"/>
        </w:rPr>
        <w:t>ing</w:t>
      </w:r>
      <w:r w:rsidRPr="00505805">
        <w:rPr>
          <w:rFonts w:eastAsia="SimHei" w:cs="Arial"/>
          <w:szCs w:val="18"/>
          <w:lang w:val="en-US" w:eastAsia="zh-CN"/>
        </w:rPr>
        <w:t xml:space="preserve"> in cooperation with an interested Member State one edition of the </w:t>
      </w:r>
      <w:r w:rsidRPr="00505805">
        <w:rPr>
          <w:rFonts w:eastAsia="SimHei" w:cs="Arial"/>
          <w:i/>
          <w:szCs w:val="18"/>
          <w:lang w:val="en-US" w:eastAsia="zh-CN"/>
        </w:rPr>
        <w:t>WIPO Worldwide Symposium on Geographical Indications</w:t>
      </w:r>
      <w:r>
        <w:rPr>
          <w:rFonts w:eastAsia="SimHei" w:cs="Arial"/>
          <w:i/>
          <w:szCs w:val="18"/>
          <w:lang w:val="en-US" w:eastAsia="zh-CN"/>
        </w:rPr>
        <w:t xml:space="preserve"> </w:t>
      </w:r>
      <w:r>
        <w:rPr>
          <w:rFonts w:eastAsia="SimHei" w:cs="Arial"/>
          <w:szCs w:val="18"/>
          <w:lang w:val="en-US" w:eastAsia="zh-CN"/>
        </w:rPr>
        <w:t>thereby contributing to the development of a balanced and effective IP ecosystem in Member States (ER 4.2)</w:t>
      </w:r>
      <w:r w:rsidRPr="00505805">
        <w:rPr>
          <w:rFonts w:eastAsia="SimHei" w:cs="Arial"/>
          <w:szCs w:val="18"/>
          <w:lang w:val="en-US" w:eastAsia="zh-CN"/>
        </w:rPr>
        <w:t>;</w:t>
      </w:r>
    </w:p>
    <w:p w14:paraId="1E5AEDAB" w14:textId="31A3CD17" w:rsidR="005B0AE9" w:rsidRPr="00505805" w:rsidRDefault="005B0AE9" w:rsidP="008407D7">
      <w:pPr>
        <w:numPr>
          <w:ilvl w:val="0"/>
          <w:numId w:val="42"/>
        </w:numPr>
        <w:spacing w:line="240" w:lineRule="auto"/>
        <w:ind w:left="714" w:hanging="357"/>
        <w:rPr>
          <w:rFonts w:eastAsia="Arial" w:cs="Arial"/>
          <w:szCs w:val="18"/>
          <w:lang w:val="en-US"/>
        </w:rPr>
      </w:pPr>
      <w:r w:rsidRPr="00505805">
        <w:rPr>
          <w:rFonts w:eastAsia="SimHei" w:cs="Arial"/>
          <w:szCs w:val="18"/>
          <w:lang w:val="en-US" w:eastAsia="zh-CN"/>
        </w:rPr>
        <w:t>Continu</w:t>
      </w:r>
      <w:r w:rsidR="0089750C">
        <w:rPr>
          <w:rFonts w:eastAsia="SimHei" w:cs="Arial"/>
          <w:szCs w:val="18"/>
          <w:lang w:val="en-US" w:eastAsia="zh-CN"/>
        </w:rPr>
        <w:t>ing</w:t>
      </w:r>
      <w:r w:rsidRPr="00505805">
        <w:rPr>
          <w:rFonts w:eastAsia="SimHei" w:cs="Arial"/>
          <w:szCs w:val="18"/>
          <w:lang w:val="en-US" w:eastAsia="zh-CN"/>
        </w:rPr>
        <w:t xml:space="preserve"> broadening the geographical coverage of the Singapore Treaty on the Law of Trademarks, </w:t>
      </w:r>
      <w:r>
        <w:rPr>
          <w:rFonts w:eastAsia="SimHei" w:cs="Arial"/>
          <w:szCs w:val="18"/>
          <w:lang w:val="en-US" w:eastAsia="zh-CN"/>
        </w:rPr>
        <w:t xml:space="preserve">thus developing further the international legal framework for </w:t>
      </w:r>
      <w:r w:rsidRPr="00505805">
        <w:rPr>
          <w:rFonts w:eastAsia="SimHei" w:cs="Arial"/>
          <w:szCs w:val="18"/>
          <w:lang w:val="en-US" w:eastAsia="zh-CN"/>
        </w:rPr>
        <w:t>the simplification of trademark registration procedures</w:t>
      </w:r>
      <w:r>
        <w:rPr>
          <w:rFonts w:eastAsia="SimHei" w:cs="Arial"/>
          <w:szCs w:val="18"/>
          <w:lang w:val="en-US" w:eastAsia="zh-CN"/>
        </w:rPr>
        <w:t xml:space="preserve"> (ER 2.1). </w:t>
      </w:r>
    </w:p>
    <w:p w14:paraId="215C8D7E" w14:textId="77777777" w:rsidR="005B0AE9" w:rsidRPr="00505805" w:rsidRDefault="005B0AE9" w:rsidP="005B0AE9">
      <w:pPr>
        <w:spacing w:line="240" w:lineRule="auto"/>
        <w:rPr>
          <w:rFonts w:eastAsia="SimHei" w:cs="Arial"/>
          <w:szCs w:val="18"/>
          <w:lang w:val="en-US" w:eastAsia="zh-CN"/>
        </w:rPr>
      </w:pPr>
      <w:r w:rsidRPr="00505805">
        <w:rPr>
          <w:rFonts w:eastAsia="SimHei" w:cs="Arial"/>
          <w:szCs w:val="18"/>
          <w:lang w:val="en-US" w:eastAsia="zh-CN"/>
        </w:rPr>
        <w:t>In the area of protection of State emblems and names and emblems of international intergovernmental organizations, the Sector will continue ensuring the efficient administration of the Article 6</w:t>
      </w:r>
      <w:r w:rsidRPr="00505805">
        <w:rPr>
          <w:rFonts w:eastAsia="SimHei" w:cs="Arial"/>
          <w:i/>
          <w:szCs w:val="18"/>
          <w:lang w:val="en-US" w:eastAsia="zh-CN"/>
        </w:rPr>
        <w:t>ter</w:t>
      </w:r>
      <w:r w:rsidRPr="00505805">
        <w:rPr>
          <w:rFonts w:eastAsia="SimHei" w:cs="Arial"/>
          <w:szCs w:val="18"/>
          <w:lang w:val="en-US" w:eastAsia="zh-CN"/>
        </w:rPr>
        <w:t xml:space="preserve"> Paris Convention communication procedures and </w:t>
      </w:r>
      <w:r>
        <w:rPr>
          <w:rFonts w:eastAsia="SimHei" w:cs="Arial"/>
          <w:szCs w:val="18"/>
          <w:lang w:val="en-US" w:eastAsia="zh-CN"/>
        </w:rPr>
        <w:t>actively develop the front and back office capabilities of the Article 6</w:t>
      </w:r>
      <w:r w:rsidRPr="002F7D68">
        <w:rPr>
          <w:rFonts w:eastAsia="SimHei" w:cs="Arial"/>
          <w:i/>
          <w:iCs/>
          <w:szCs w:val="18"/>
          <w:lang w:val="en-US" w:eastAsia="zh-CN"/>
        </w:rPr>
        <w:t>ter</w:t>
      </w:r>
      <w:r>
        <w:rPr>
          <w:rFonts w:eastAsia="SimHei" w:cs="Arial"/>
          <w:szCs w:val="18"/>
          <w:lang w:val="en-US" w:eastAsia="zh-CN"/>
        </w:rPr>
        <w:t xml:space="preserve"> Express database, contributing to its improved productivity and serviced quality (ER 3.2).</w:t>
      </w:r>
    </w:p>
    <w:p w14:paraId="76ACE27A" w14:textId="11394DCD" w:rsidR="005B0AE9" w:rsidRPr="00505805" w:rsidRDefault="005B0AE9" w:rsidP="005B0AE9">
      <w:pPr>
        <w:spacing w:line="240" w:lineRule="auto"/>
        <w:rPr>
          <w:rFonts w:eastAsia="SimHei" w:cs="Arial"/>
          <w:szCs w:val="18"/>
          <w:lang w:val="en-US" w:eastAsia="zh-CN"/>
        </w:rPr>
      </w:pPr>
      <w:r w:rsidRPr="00505805">
        <w:rPr>
          <w:rFonts w:eastAsia="SimHei" w:cs="Arial"/>
          <w:szCs w:val="18"/>
          <w:lang w:val="en-US" w:eastAsia="zh-CN"/>
        </w:rPr>
        <w:t xml:space="preserve">The Sector will continue to deal with brands and designs law and policy with reference to the fast-changing technology and business environment for consumer goods </w:t>
      </w:r>
      <w:r>
        <w:rPr>
          <w:rFonts w:eastAsia="SimHei" w:cs="Arial"/>
          <w:szCs w:val="18"/>
          <w:lang w:val="en-US" w:eastAsia="zh-CN"/>
        </w:rPr>
        <w:t>with</w:t>
      </w:r>
      <w:r w:rsidRPr="00505805">
        <w:rPr>
          <w:rFonts w:eastAsia="SimHei" w:cs="Arial"/>
          <w:szCs w:val="18"/>
          <w:lang w:val="en-US" w:eastAsia="zh-CN"/>
        </w:rPr>
        <w:t xml:space="preserve"> a view to making accessible this form of IP to the broadest possible range of users.  It will also continue to focus on balanced approaches in terms of </w:t>
      </w:r>
      <w:r>
        <w:rPr>
          <w:rFonts w:eastAsia="SimHei" w:cs="Arial"/>
          <w:szCs w:val="18"/>
          <w:lang w:val="en-US" w:eastAsia="zh-CN"/>
        </w:rPr>
        <w:t xml:space="preserve">development </w:t>
      </w:r>
      <w:r w:rsidRPr="00505805">
        <w:rPr>
          <w:rFonts w:eastAsia="SimHei" w:cs="Arial"/>
          <w:szCs w:val="18"/>
          <w:lang w:val="en-US" w:eastAsia="zh-CN"/>
        </w:rPr>
        <w:t>and subject matter considerations, as well as mainstreaming gender equality into all activities.  Moreover, th</w:t>
      </w:r>
      <w:r>
        <w:rPr>
          <w:rFonts w:eastAsia="SimHei" w:cs="Arial"/>
          <w:szCs w:val="18"/>
          <w:lang w:val="en-US" w:eastAsia="zh-CN"/>
        </w:rPr>
        <w:t xml:space="preserve">e Sector will provide balanced </w:t>
      </w:r>
      <w:r w:rsidRPr="00505805">
        <w:rPr>
          <w:rFonts w:eastAsia="SimHei" w:cs="Arial"/>
          <w:szCs w:val="18"/>
          <w:lang w:val="en-US" w:eastAsia="zh-CN"/>
        </w:rPr>
        <w:t>country-specific legislative and policy advice through close communication and collaboration with Member States, taking into account the priorities identified within their national IP strategies, and ensuring that such advice remains fully responsive to their needs</w:t>
      </w:r>
      <w:r>
        <w:rPr>
          <w:rFonts w:eastAsia="SimHei" w:cs="Arial"/>
          <w:szCs w:val="18"/>
          <w:lang w:val="en-US" w:eastAsia="zh-CN"/>
        </w:rPr>
        <w:t xml:space="preserve"> (ER</w:t>
      </w:r>
      <w:r w:rsidR="004150FE">
        <w:rPr>
          <w:rFonts w:eastAsia="SimHei" w:cs="Arial"/>
          <w:szCs w:val="18"/>
          <w:lang w:val="en-US" w:eastAsia="zh-CN"/>
        </w:rPr>
        <w:t xml:space="preserve"> </w:t>
      </w:r>
      <w:r>
        <w:rPr>
          <w:rFonts w:eastAsia="SimHei" w:cs="Arial"/>
          <w:szCs w:val="18"/>
          <w:lang w:val="en-US" w:eastAsia="zh-CN"/>
        </w:rPr>
        <w:t>4.2)</w:t>
      </w:r>
      <w:r w:rsidRPr="00505805">
        <w:rPr>
          <w:rFonts w:eastAsia="SimHei" w:cs="Arial"/>
          <w:szCs w:val="18"/>
          <w:lang w:val="en-US" w:eastAsia="zh-CN"/>
        </w:rPr>
        <w:t>.</w:t>
      </w:r>
      <w:r>
        <w:rPr>
          <w:rFonts w:eastAsia="SimHei" w:cs="Arial"/>
          <w:szCs w:val="18"/>
          <w:lang w:val="en-US" w:eastAsia="zh-CN"/>
        </w:rPr>
        <w:t xml:space="preserve">  Furthermore, it will implement projects at the level of one or several Member States that aim at increasing IP knowledge and skills (ER 4.1 and 4.3). </w:t>
      </w:r>
      <w:r w:rsidRPr="00505805">
        <w:rPr>
          <w:rFonts w:eastAsia="SimHei" w:cs="Arial"/>
          <w:szCs w:val="18"/>
          <w:lang w:val="en-US" w:eastAsia="zh-CN"/>
        </w:rPr>
        <w:t xml:space="preserve"> </w:t>
      </w:r>
    </w:p>
    <w:p w14:paraId="61795C01" w14:textId="77777777" w:rsidR="005B0AE9" w:rsidRPr="00505805" w:rsidRDefault="005B0AE9" w:rsidP="005B0AE9">
      <w:pPr>
        <w:spacing w:before="320" w:after="240" w:line="240" w:lineRule="auto"/>
        <w:rPr>
          <w:rFonts w:eastAsia="Arial" w:cs="Times New Roman"/>
          <w:color w:val="005172"/>
          <w:sz w:val="22"/>
          <w:lang w:val="en-US"/>
        </w:rPr>
      </w:pPr>
      <w:r w:rsidRPr="00505805">
        <w:rPr>
          <w:rFonts w:eastAsia="Arial" w:cs="Times New Roman"/>
          <w:color w:val="005172"/>
          <w:sz w:val="22"/>
          <w:lang w:val="en-US"/>
        </w:rPr>
        <w:t>Madrid System</w:t>
      </w:r>
    </w:p>
    <w:p w14:paraId="07CB6B9B" w14:textId="77777777" w:rsidR="005B0AE9" w:rsidRPr="00505805" w:rsidRDefault="005B0AE9" w:rsidP="005B0AE9">
      <w:pPr>
        <w:spacing w:line="240" w:lineRule="auto"/>
        <w:rPr>
          <w:rFonts w:eastAsia="Arial" w:cs="Arial"/>
          <w:szCs w:val="18"/>
          <w:lang w:val="en-US"/>
        </w:rPr>
      </w:pPr>
      <w:r w:rsidRPr="00505805">
        <w:rPr>
          <w:rFonts w:eastAsia="Arial" w:cs="Arial"/>
          <w:szCs w:val="18"/>
          <w:lang w:val="en-US"/>
        </w:rPr>
        <w:t xml:space="preserve">The program of work for the next biennium related to the Madrid System will in particular focus on: </w:t>
      </w:r>
    </w:p>
    <w:p w14:paraId="21EBD999" w14:textId="77777777" w:rsidR="005B0AE9" w:rsidRPr="00505805" w:rsidRDefault="005B0AE9" w:rsidP="008407D7">
      <w:pPr>
        <w:numPr>
          <w:ilvl w:val="0"/>
          <w:numId w:val="43"/>
        </w:numPr>
        <w:spacing w:line="240" w:lineRule="auto"/>
        <w:ind w:left="714" w:hanging="357"/>
        <w:rPr>
          <w:rFonts w:eastAsia="SimHei" w:cs="Arial"/>
          <w:szCs w:val="18"/>
          <w:lang w:val="en-US" w:eastAsia="zh-CN"/>
        </w:rPr>
      </w:pPr>
      <w:r w:rsidRPr="00505805">
        <w:rPr>
          <w:rFonts w:eastAsia="SimHei" w:cs="Arial"/>
          <w:szCs w:val="18"/>
          <w:lang w:val="en-US" w:eastAsia="zh-CN"/>
        </w:rPr>
        <w:t>Promoting membership of the Madrid System and supporting accessions by States having indicated an interest in becoming members of the System</w:t>
      </w:r>
      <w:r>
        <w:rPr>
          <w:rFonts w:eastAsia="SimHei" w:cs="Arial"/>
          <w:szCs w:val="18"/>
          <w:lang w:val="en-US" w:eastAsia="zh-CN"/>
        </w:rPr>
        <w:t xml:space="preserve"> (ER 3.1)</w:t>
      </w:r>
      <w:r w:rsidRPr="00505805">
        <w:rPr>
          <w:rFonts w:eastAsia="SimHei" w:cs="Arial"/>
          <w:szCs w:val="18"/>
          <w:lang w:val="en-US" w:eastAsia="zh-CN"/>
        </w:rPr>
        <w:t>;</w:t>
      </w:r>
    </w:p>
    <w:p w14:paraId="70079693" w14:textId="77777777"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Increasing use of the Madrid System throughout the world, in particular among small and medium-sized enterprises (SMEs) and in emerging markets, through the implementation of strategic marketing and promotion, taking due account of different customer profiles based on market research, data analysis and delivery of targeted campaigns and activities, including in digital format</w:t>
      </w:r>
      <w:r>
        <w:rPr>
          <w:rFonts w:eastAsia="SimHei" w:cs="Arial"/>
          <w:szCs w:val="18"/>
          <w:lang w:val="en-US" w:eastAsia="zh-CN"/>
        </w:rPr>
        <w:t xml:space="preserve"> (</w:t>
      </w:r>
      <w:r w:rsidRPr="00A570FF">
        <w:rPr>
          <w:rFonts w:eastAsia="SimHei" w:cs="Arial"/>
          <w:szCs w:val="18"/>
          <w:lang w:val="en-US" w:eastAsia="zh-CN"/>
        </w:rPr>
        <w:t>ER 3.1</w:t>
      </w:r>
      <w:r>
        <w:rPr>
          <w:rFonts w:eastAsia="SimHei" w:cs="Arial"/>
          <w:szCs w:val="18"/>
          <w:lang w:val="en-US" w:eastAsia="zh-CN"/>
        </w:rPr>
        <w:t>)</w:t>
      </w:r>
      <w:r w:rsidRPr="00505805">
        <w:rPr>
          <w:rFonts w:eastAsia="SimHei" w:cs="Arial"/>
          <w:szCs w:val="18"/>
          <w:lang w:val="en-US" w:eastAsia="zh-CN"/>
        </w:rPr>
        <w:t>;</w:t>
      </w:r>
    </w:p>
    <w:p w14:paraId="6E2876FE" w14:textId="7D18C339" w:rsidR="005B0AE9" w:rsidRPr="00505805" w:rsidRDefault="005B0AE9" w:rsidP="008407D7">
      <w:pPr>
        <w:numPr>
          <w:ilvl w:val="0"/>
          <w:numId w:val="43"/>
        </w:numPr>
        <w:spacing w:line="240" w:lineRule="auto"/>
        <w:rPr>
          <w:rFonts w:eastAsia="SimHei" w:cs="Arial"/>
          <w:szCs w:val="18"/>
          <w:lang w:val="en-US" w:eastAsia="zh-CN"/>
        </w:rPr>
      </w:pPr>
      <w:r>
        <w:rPr>
          <w:rFonts w:eastAsia="SimHei" w:cs="Arial"/>
          <w:szCs w:val="18"/>
          <w:lang w:val="en-US" w:eastAsia="zh-CN"/>
        </w:rPr>
        <w:t>As part of an Organization-wide strategy, transform</w:t>
      </w:r>
      <w:r w:rsidR="0089750C">
        <w:rPr>
          <w:rFonts w:eastAsia="SimHei" w:cs="Arial"/>
          <w:szCs w:val="18"/>
          <w:lang w:val="en-US" w:eastAsia="zh-CN"/>
        </w:rPr>
        <w:t>ing</w:t>
      </w:r>
      <w:r>
        <w:rPr>
          <w:rFonts w:eastAsia="SimHei" w:cs="Arial"/>
          <w:szCs w:val="18"/>
          <w:lang w:val="en-US" w:eastAsia="zh-CN"/>
        </w:rPr>
        <w:t xml:space="preserve"> the Madrid customer experience at the IB by i</w:t>
      </w:r>
      <w:r w:rsidRPr="00505805">
        <w:rPr>
          <w:rFonts w:eastAsia="SimHei" w:cs="Arial"/>
          <w:szCs w:val="18"/>
          <w:lang w:val="en-US" w:eastAsia="zh-CN"/>
        </w:rPr>
        <w:t>nnovating and enhancing Madrid services delivered to users and Offices, including through the deployment, in a staged manner, of a new Madrid IT Platform</w:t>
      </w:r>
      <w:r>
        <w:rPr>
          <w:rFonts w:eastAsia="SimHei" w:cs="Arial"/>
          <w:szCs w:val="18"/>
          <w:lang w:val="en-US" w:eastAsia="zh-CN"/>
        </w:rPr>
        <w:t xml:space="preserve"> (</w:t>
      </w:r>
      <w:r w:rsidRPr="00A570FF">
        <w:rPr>
          <w:rFonts w:eastAsia="SimHei" w:cs="Arial"/>
          <w:szCs w:val="18"/>
          <w:lang w:val="en-US" w:eastAsia="zh-CN"/>
        </w:rPr>
        <w:t>ER 3.1</w:t>
      </w:r>
      <w:r>
        <w:rPr>
          <w:rFonts w:eastAsia="SimHei" w:cs="Arial"/>
          <w:szCs w:val="18"/>
          <w:lang w:val="en-US" w:eastAsia="zh-CN"/>
        </w:rPr>
        <w:t xml:space="preserve"> and 3.2)</w:t>
      </w:r>
      <w:r w:rsidRPr="00A570FF">
        <w:rPr>
          <w:rFonts w:eastAsia="SimHei" w:cs="Arial"/>
          <w:szCs w:val="18"/>
          <w:lang w:val="en-US" w:eastAsia="zh-CN"/>
        </w:rPr>
        <w:t>;</w:t>
      </w:r>
      <w:r>
        <w:rPr>
          <w:rFonts w:eastAsia="SimHei" w:cs="Arial"/>
          <w:szCs w:val="18"/>
          <w:lang w:val="en-US" w:eastAsia="zh-CN"/>
        </w:rPr>
        <w:t xml:space="preserve"> </w:t>
      </w:r>
    </w:p>
    <w:p w14:paraId="2169D634" w14:textId="77777777"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Making the Madrid System simpler, more accessible and more coherent in collaboration with member Offices, including through the annual meetings of the Working Group on the Legal Development of the Madrid System for the International Registration of Marks and the Madrid Working Group Roundtable</w:t>
      </w:r>
      <w:r>
        <w:rPr>
          <w:rFonts w:eastAsia="SimHei" w:cs="Arial"/>
          <w:szCs w:val="18"/>
          <w:lang w:val="en-US" w:eastAsia="zh-CN"/>
        </w:rPr>
        <w:t xml:space="preserve"> (</w:t>
      </w:r>
      <w:r w:rsidRPr="00A570FF">
        <w:rPr>
          <w:rFonts w:eastAsia="SimHei" w:cs="Arial"/>
          <w:szCs w:val="18"/>
          <w:lang w:val="en-US" w:eastAsia="zh-CN"/>
        </w:rPr>
        <w:t>ER 3.1 and 3.2</w:t>
      </w:r>
      <w:r>
        <w:rPr>
          <w:rFonts w:eastAsia="SimHei" w:cs="Arial"/>
          <w:szCs w:val="18"/>
          <w:lang w:val="en-US" w:eastAsia="zh-CN"/>
        </w:rPr>
        <w:t>)</w:t>
      </w:r>
      <w:r w:rsidRPr="00505805">
        <w:rPr>
          <w:rFonts w:eastAsia="SimHei" w:cs="Arial"/>
          <w:szCs w:val="18"/>
          <w:lang w:val="en-US" w:eastAsia="zh-CN"/>
        </w:rPr>
        <w:t>.</w:t>
      </w:r>
    </w:p>
    <w:p w14:paraId="744B39F7" w14:textId="77777777" w:rsidR="005B0AE9" w:rsidRPr="00505805" w:rsidRDefault="005B0AE9" w:rsidP="005B0AE9">
      <w:pPr>
        <w:spacing w:before="320" w:after="240" w:line="240" w:lineRule="auto"/>
        <w:rPr>
          <w:rFonts w:eastAsia="Arial" w:cs="Times New Roman"/>
          <w:color w:val="005172"/>
          <w:sz w:val="22"/>
          <w:lang w:val="en-US"/>
        </w:rPr>
      </w:pPr>
      <w:r w:rsidRPr="00505805">
        <w:rPr>
          <w:rFonts w:eastAsia="Arial" w:cs="Times New Roman"/>
          <w:color w:val="005172"/>
          <w:sz w:val="22"/>
          <w:lang w:val="en-US"/>
        </w:rPr>
        <w:t xml:space="preserve">The Hague System </w:t>
      </w:r>
    </w:p>
    <w:p w14:paraId="04FBB7F6" w14:textId="77777777" w:rsidR="005B0AE9" w:rsidRPr="00505805" w:rsidRDefault="005B0AE9" w:rsidP="005B0AE9">
      <w:pPr>
        <w:spacing w:line="240" w:lineRule="auto"/>
        <w:rPr>
          <w:rFonts w:eastAsia="SimHei" w:cs="Arial"/>
          <w:szCs w:val="18"/>
          <w:lang w:val="en-US" w:eastAsia="zh-CN"/>
        </w:rPr>
      </w:pPr>
      <w:r w:rsidRPr="00505805">
        <w:rPr>
          <w:rFonts w:eastAsia="SimHei" w:cs="Arial"/>
          <w:szCs w:val="18"/>
          <w:lang w:val="en-US" w:eastAsia="zh-CN"/>
        </w:rPr>
        <w:t xml:space="preserve">Focus in the next biennium will be on </w:t>
      </w:r>
      <w:r>
        <w:rPr>
          <w:rFonts w:eastAsia="SimHei" w:cs="Arial"/>
          <w:szCs w:val="18"/>
          <w:lang w:val="en-US" w:eastAsia="zh-CN"/>
        </w:rPr>
        <w:t xml:space="preserve">reinforcing the Hague Registry and </w:t>
      </w:r>
      <w:r w:rsidRPr="00505805">
        <w:rPr>
          <w:rFonts w:eastAsia="SimHei" w:cs="Arial"/>
          <w:szCs w:val="18"/>
          <w:lang w:val="en-US" w:eastAsia="zh-CN"/>
        </w:rPr>
        <w:t xml:space="preserve">expanding the Hague System into a truly global system, with particular emphasis on:  </w:t>
      </w:r>
    </w:p>
    <w:p w14:paraId="47CD1C54" w14:textId="77777777"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 xml:space="preserve">Active promotion of the System to increase geographical coverage and usage through dedicated support to prospective Contracting Parties and their Offices while also bringing it to those </w:t>
      </w:r>
      <w:r>
        <w:rPr>
          <w:rFonts w:eastAsia="SimHei" w:cs="Arial"/>
          <w:szCs w:val="18"/>
          <w:lang w:val="en-US" w:eastAsia="zh-CN"/>
        </w:rPr>
        <w:t>for</w:t>
      </w:r>
      <w:r w:rsidRPr="00505805">
        <w:rPr>
          <w:rFonts w:eastAsia="SimHei" w:cs="Arial"/>
          <w:szCs w:val="18"/>
          <w:lang w:val="en-US" w:eastAsia="zh-CN"/>
        </w:rPr>
        <w:t xml:space="preserve"> whom it could make a difference, in synergies with other WIPO areas</w:t>
      </w:r>
      <w:r w:rsidRPr="00A570FF">
        <w:t xml:space="preserve"> </w:t>
      </w:r>
      <w:r>
        <w:t>(</w:t>
      </w:r>
      <w:r>
        <w:rPr>
          <w:rFonts w:eastAsia="SimHei" w:cs="Arial"/>
          <w:szCs w:val="18"/>
          <w:lang w:val="en-US" w:eastAsia="zh-CN"/>
        </w:rPr>
        <w:t xml:space="preserve">ER 3.1) </w:t>
      </w:r>
      <w:r w:rsidRPr="00505805">
        <w:rPr>
          <w:rFonts w:eastAsia="SimHei" w:cs="Arial"/>
          <w:szCs w:val="18"/>
          <w:lang w:val="en-US" w:eastAsia="zh-CN"/>
        </w:rPr>
        <w:t xml:space="preserve">; </w:t>
      </w:r>
    </w:p>
    <w:p w14:paraId="22C492B1" w14:textId="77777777"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Enhancing the System’s user-friendliness through further developing information and guidance material for applicants that take into account the impact of the expansion of the System</w:t>
      </w:r>
      <w:r>
        <w:rPr>
          <w:rFonts w:eastAsia="SimHei" w:cs="Arial"/>
          <w:szCs w:val="18"/>
          <w:lang w:val="en-US" w:eastAsia="zh-CN"/>
        </w:rPr>
        <w:t xml:space="preserve"> (</w:t>
      </w:r>
      <w:r w:rsidRPr="00A570FF">
        <w:rPr>
          <w:rFonts w:eastAsia="SimHei" w:cs="Arial"/>
          <w:szCs w:val="18"/>
          <w:lang w:val="en-US" w:eastAsia="zh-CN"/>
        </w:rPr>
        <w:t>ER 3.1 and 3.2</w:t>
      </w:r>
      <w:r>
        <w:rPr>
          <w:rFonts w:eastAsia="SimHei" w:cs="Arial"/>
          <w:szCs w:val="18"/>
          <w:lang w:val="en-US" w:eastAsia="zh-CN"/>
        </w:rPr>
        <w:t>)</w:t>
      </w:r>
      <w:r w:rsidRPr="00505805">
        <w:rPr>
          <w:rFonts w:eastAsia="SimHei" w:cs="Arial"/>
          <w:szCs w:val="18"/>
          <w:lang w:val="en-US" w:eastAsia="zh-CN"/>
        </w:rPr>
        <w:t xml:space="preserve">; </w:t>
      </w:r>
    </w:p>
    <w:p w14:paraId="6A3C5169" w14:textId="1D347A38" w:rsidR="005B0AE9" w:rsidRPr="00505805" w:rsidRDefault="0089750C" w:rsidP="008407D7">
      <w:pPr>
        <w:numPr>
          <w:ilvl w:val="0"/>
          <w:numId w:val="43"/>
        </w:numPr>
        <w:spacing w:line="240" w:lineRule="auto"/>
        <w:rPr>
          <w:rFonts w:eastAsia="SimHei" w:cs="Arial"/>
          <w:szCs w:val="18"/>
          <w:lang w:val="en-US" w:eastAsia="zh-CN"/>
        </w:rPr>
      </w:pPr>
      <w:r>
        <w:rPr>
          <w:rFonts w:eastAsia="SimHei" w:cs="Arial"/>
          <w:szCs w:val="18"/>
          <w:lang w:val="en-US" w:eastAsia="zh-CN"/>
        </w:rPr>
        <w:t>Continuing</w:t>
      </w:r>
      <w:r w:rsidR="005B0AE9" w:rsidRPr="00505805">
        <w:rPr>
          <w:rFonts w:eastAsia="SimHei" w:cs="Arial"/>
          <w:szCs w:val="18"/>
          <w:lang w:val="en-US" w:eastAsia="zh-CN"/>
        </w:rPr>
        <w:t xml:space="preserve"> to invest in an optimal administrative structure and the development of IT solutions to ensure state-of-the-art services to users and member Offices</w:t>
      </w:r>
      <w:r w:rsidR="005B0AE9">
        <w:rPr>
          <w:rFonts w:eastAsia="SimHei" w:cs="Arial"/>
          <w:szCs w:val="18"/>
          <w:lang w:val="en-US" w:eastAsia="zh-CN"/>
        </w:rPr>
        <w:t xml:space="preserve"> (ER</w:t>
      </w:r>
      <w:r w:rsidR="005B0AE9" w:rsidRPr="00A570FF">
        <w:rPr>
          <w:rFonts w:eastAsia="SimHei" w:cs="Arial"/>
          <w:szCs w:val="18"/>
          <w:lang w:val="en-US" w:eastAsia="zh-CN"/>
        </w:rPr>
        <w:t xml:space="preserve"> 3.2</w:t>
      </w:r>
      <w:r w:rsidR="005B0AE9">
        <w:rPr>
          <w:rFonts w:eastAsia="SimHei" w:cs="Arial"/>
          <w:szCs w:val="18"/>
          <w:lang w:val="en-US" w:eastAsia="zh-CN"/>
        </w:rPr>
        <w:t>)</w:t>
      </w:r>
      <w:r w:rsidR="005B0AE9" w:rsidRPr="00505805">
        <w:rPr>
          <w:rFonts w:eastAsia="SimHei" w:cs="Arial"/>
          <w:szCs w:val="18"/>
          <w:lang w:val="en-US" w:eastAsia="zh-CN"/>
        </w:rPr>
        <w:t xml:space="preserve">;  </w:t>
      </w:r>
    </w:p>
    <w:p w14:paraId="270C236E" w14:textId="17DDE713"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Enh</w:t>
      </w:r>
      <w:r w:rsidR="0089750C">
        <w:rPr>
          <w:rFonts w:eastAsia="SimHei" w:cs="Arial"/>
          <w:szCs w:val="18"/>
          <w:lang w:val="en-US" w:eastAsia="zh-CN"/>
        </w:rPr>
        <w:t>ancing</w:t>
      </w:r>
      <w:r w:rsidRPr="00505805">
        <w:rPr>
          <w:rFonts w:eastAsia="SimHei" w:cs="Arial"/>
          <w:szCs w:val="18"/>
          <w:lang w:val="en-US" w:eastAsia="zh-CN"/>
        </w:rPr>
        <w:t xml:space="preserve"> customer experience through responsive customer support services</w:t>
      </w:r>
      <w:r>
        <w:rPr>
          <w:rFonts w:eastAsia="SimHei" w:cs="Arial"/>
          <w:szCs w:val="18"/>
          <w:lang w:val="en-US" w:eastAsia="zh-CN"/>
        </w:rPr>
        <w:t xml:space="preserve"> (</w:t>
      </w:r>
      <w:r w:rsidRPr="00A570FF">
        <w:rPr>
          <w:rFonts w:eastAsia="SimHei" w:cs="Arial"/>
          <w:szCs w:val="18"/>
          <w:lang w:val="en-US" w:eastAsia="zh-CN"/>
        </w:rPr>
        <w:t>ER 3.1 and 3.2</w:t>
      </w:r>
      <w:r>
        <w:rPr>
          <w:rFonts w:eastAsia="SimHei" w:cs="Arial"/>
          <w:szCs w:val="18"/>
          <w:lang w:val="en-US" w:eastAsia="zh-CN"/>
        </w:rPr>
        <w:t>)</w:t>
      </w:r>
      <w:r w:rsidRPr="00505805">
        <w:rPr>
          <w:rFonts w:eastAsia="SimHei" w:cs="Arial"/>
          <w:szCs w:val="18"/>
          <w:lang w:val="en-US" w:eastAsia="zh-CN"/>
        </w:rPr>
        <w:t>;</w:t>
      </w:r>
    </w:p>
    <w:p w14:paraId="17B7F739" w14:textId="77089A25" w:rsidR="005B0AE9" w:rsidRPr="00505805"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lastRenderedPageBreak/>
        <w:t>Provid</w:t>
      </w:r>
      <w:r w:rsidR="0089750C">
        <w:rPr>
          <w:rFonts w:eastAsia="SimHei" w:cs="Arial"/>
          <w:szCs w:val="18"/>
          <w:lang w:val="en-US" w:eastAsia="zh-CN"/>
        </w:rPr>
        <w:t>ing</w:t>
      </w:r>
      <w:r w:rsidRPr="00505805">
        <w:rPr>
          <w:rFonts w:eastAsia="SimHei" w:cs="Arial"/>
          <w:szCs w:val="18"/>
          <w:lang w:val="en-US" w:eastAsia="zh-CN"/>
        </w:rPr>
        <w:t xml:space="preserve"> for a balanced evolution of the legal framework and schedule of fees in parallel with the modernization of the IT environment through annual meetings of the Working Group on the Legal Development of the Hague System</w:t>
      </w:r>
      <w:r>
        <w:rPr>
          <w:rFonts w:eastAsia="SimHei" w:cs="Arial"/>
          <w:szCs w:val="18"/>
          <w:lang w:val="en-US" w:eastAsia="zh-CN"/>
        </w:rPr>
        <w:t xml:space="preserve"> (</w:t>
      </w:r>
      <w:r w:rsidRPr="00A570FF">
        <w:rPr>
          <w:rFonts w:eastAsia="SimHei" w:cs="Arial"/>
          <w:szCs w:val="18"/>
          <w:lang w:val="en-US" w:eastAsia="zh-CN"/>
        </w:rPr>
        <w:t>ER 3.1 and 3.2</w:t>
      </w:r>
      <w:r>
        <w:rPr>
          <w:rFonts w:eastAsia="SimHei" w:cs="Arial"/>
          <w:szCs w:val="18"/>
          <w:lang w:val="en-US" w:eastAsia="zh-CN"/>
        </w:rPr>
        <w:t>)</w:t>
      </w:r>
      <w:r w:rsidRPr="00A570FF">
        <w:rPr>
          <w:rFonts w:eastAsia="SimHei" w:cs="Arial"/>
          <w:szCs w:val="18"/>
          <w:lang w:val="en-US" w:eastAsia="zh-CN"/>
        </w:rPr>
        <w:t xml:space="preserve"> </w:t>
      </w:r>
      <w:r w:rsidRPr="00505805">
        <w:rPr>
          <w:rFonts w:eastAsia="SimHei" w:cs="Arial"/>
          <w:szCs w:val="18"/>
          <w:lang w:val="en-US" w:eastAsia="zh-CN"/>
        </w:rPr>
        <w:t>.</w:t>
      </w:r>
    </w:p>
    <w:p w14:paraId="07940B65" w14:textId="77777777" w:rsidR="005B0AE9" w:rsidRPr="00505805" w:rsidRDefault="005B0AE9" w:rsidP="005B0AE9">
      <w:pPr>
        <w:spacing w:before="320" w:after="240" w:line="240" w:lineRule="auto"/>
        <w:rPr>
          <w:rFonts w:eastAsia="Arial" w:cs="Times New Roman"/>
          <w:color w:val="005172"/>
          <w:sz w:val="22"/>
          <w:lang w:val="en-US"/>
        </w:rPr>
      </w:pPr>
      <w:r w:rsidRPr="00505805">
        <w:rPr>
          <w:rFonts w:eastAsia="Arial" w:cs="Times New Roman"/>
          <w:color w:val="005172"/>
          <w:sz w:val="22"/>
          <w:lang w:val="en-US"/>
        </w:rPr>
        <w:t>Lisbon System</w:t>
      </w:r>
    </w:p>
    <w:p w14:paraId="5585D252" w14:textId="77777777" w:rsidR="005B0AE9" w:rsidRPr="00505805" w:rsidRDefault="005B0AE9" w:rsidP="005B0AE9">
      <w:pPr>
        <w:spacing w:line="240" w:lineRule="auto"/>
        <w:rPr>
          <w:rFonts w:eastAsia="Arial" w:cs="Times New Roman"/>
          <w:color w:val="005172"/>
          <w:szCs w:val="18"/>
          <w:lang w:val="en-US"/>
        </w:rPr>
      </w:pPr>
      <w:r w:rsidRPr="00505805">
        <w:rPr>
          <w:rFonts w:eastAsia="SimHei" w:cs="Arial"/>
          <w:szCs w:val="18"/>
          <w:lang w:val="en-US" w:eastAsia="zh-CN"/>
        </w:rPr>
        <w:t xml:space="preserve">Expanding the Lisbon System into a truly global system will require dedicated support to prospective Contracting Parties, their Competent Authorities and potential users of the System, while pointing out the options to provide protection for geographical indications, such as through a </w:t>
      </w:r>
      <w:r w:rsidRPr="00505805">
        <w:rPr>
          <w:rFonts w:eastAsia="SimHei" w:cs="Arial"/>
          <w:i/>
          <w:szCs w:val="18"/>
          <w:lang w:val="en-US" w:eastAsia="zh-CN"/>
        </w:rPr>
        <w:t>sui generis</w:t>
      </w:r>
      <w:r w:rsidRPr="00505805">
        <w:rPr>
          <w:rFonts w:eastAsia="SimHei" w:cs="Arial"/>
          <w:szCs w:val="18"/>
          <w:lang w:val="en-US" w:eastAsia="zh-CN"/>
        </w:rPr>
        <w:t xml:space="preserve"> system or the trademark system.  Initiatives for the next biennium will, in particular, focus on:</w:t>
      </w:r>
    </w:p>
    <w:p w14:paraId="09E26936" w14:textId="77777777" w:rsidR="005B0AE9" w:rsidRPr="0050583E" w:rsidRDefault="005B0AE9" w:rsidP="008407D7">
      <w:pPr>
        <w:numPr>
          <w:ilvl w:val="0"/>
          <w:numId w:val="43"/>
        </w:numPr>
        <w:spacing w:line="240" w:lineRule="auto"/>
        <w:rPr>
          <w:rFonts w:eastAsia="SimHei" w:cs="Arial"/>
          <w:szCs w:val="18"/>
          <w:lang w:val="en-US" w:eastAsia="zh-CN"/>
        </w:rPr>
      </w:pPr>
      <w:r w:rsidRPr="00505805">
        <w:rPr>
          <w:rFonts w:eastAsia="SimHei" w:cs="Arial"/>
          <w:szCs w:val="18"/>
          <w:lang w:val="en-US" w:eastAsia="zh-CN"/>
        </w:rPr>
        <w:t xml:space="preserve">Actively promoting the Lisbon System, including the Geneva Act, to expand its geographical coverage and increase usage, while also bringing it to those </w:t>
      </w:r>
      <w:r>
        <w:rPr>
          <w:rFonts w:eastAsia="SimHei" w:cs="Arial"/>
          <w:szCs w:val="18"/>
          <w:lang w:val="en-US" w:eastAsia="zh-CN"/>
        </w:rPr>
        <w:t>for</w:t>
      </w:r>
      <w:r w:rsidRPr="00505805">
        <w:rPr>
          <w:rFonts w:eastAsia="SimHei" w:cs="Arial"/>
          <w:szCs w:val="18"/>
          <w:lang w:val="en-US" w:eastAsia="zh-CN"/>
        </w:rPr>
        <w:t xml:space="preserve"> whom it could make a difference, in synergies with other WIPO areas</w:t>
      </w:r>
      <w:r>
        <w:rPr>
          <w:rFonts w:eastAsia="SimHei" w:cs="Arial"/>
          <w:szCs w:val="18"/>
          <w:lang w:val="en-US" w:eastAsia="zh-CN"/>
        </w:rPr>
        <w:t xml:space="preserve"> (</w:t>
      </w:r>
      <w:r w:rsidRPr="006C30BF">
        <w:rPr>
          <w:rFonts w:eastAsia="SimHei" w:cs="Arial"/>
          <w:szCs w:val="18"/>
          <w:lang w:val="en-US" w:eastAsia="zh-CN"/>
        </w:rPr>
        <w:t>E.R. 3.1</w:t>
      </w:r>
      <w:r>
        <w:rPr>
          <w:rFonts w:eastAsia="SimHei" w:cs="Arial"/>
          <w:szCs w:val="18"/>
          <w:lang w:val="en-US" w:eastAsia="zh-CN"/>
        </w:rPr>
        <w:t>)</w:t>
      </w:r>
      <w:r w:rsidRPr="00505805">
        <w:rPr>
          <w:rFonts w:eastAsia="SimHei" w:cs="Arial"/>
          <w:szCs w:val="18"/>
          <w:lang w:val="en-US" w:eastAsia="zh-CN"/>
        </w:rPr>
        <w:t xml:space="preserve">; </w:t>
      </w:r>
    </w:p>
    <w:p w14:paraId="4DEAF2CA" w14:textId="77777777" w:rsidR="005B0AE9" w:rsidRPr="00D17B4E" w:rsidRDefault="005B0AE9" w:rsidP="008407D7">
      <w:pPr>
        <w:numPr>
          <w:ilvl w:val="0"/>
          <w:numId w:val="43"/>
        </w:numPr>
        <w:spacing w:line="240" w:lineRule="auto"/>
        <w:rPr>
          <w:rFonts w:eastAsia="SimHei" w:cs="Arial"/>
          <w:szCs w:val="18"/>
          <w:lang w:val="en-US" w:eastAsia="zh-CN"/>
        </w:rPr>
      </w:pPr>
      <w:r w:rsidRPr="00D17B4E">
        <w:rPr>
          <w:rFonts w:eastAsia="SimHei" w:cs="Arial"/>
          <w:szCs w:val="18"/>
          <w:lang w:val="en-US" w:eastAsia="zh-CN"/>
        </w:rPr>
        <w:t>Providing demand-driven legal and technical assistance to WIPO Member States and IGOs, in particular to local producers and communities in developing countries and LDCs, interested in adhering to and using the Lisbon System (</w:t>
      </w:r>
      <w:r>
        <w:rPr>
          <w:rFonts w:eastAsia="SimHei" w:cs="Arial"/>
          <w:szCs w:val="18"/>
          <w:lang w:val="en-US" w:eastAsia="zh-CN"/>
        </w:rPr>
        <w:t>E.R. 3.1</w:t>
      </w:r>
      <w:r w:rsidRPr="00D17B4E">
        <w:rPr>
          <w:rFonts w:eastAsia="SimHei" w:cs="Arial"/>
          <w:szCs w:val="18"/>
          <w:lang w:val="en-US" w:eastAsia="zh-CN"/>
        </w:rPr>
        <w:t>);</w:t>
      </w:r>
    </w:p>
    <w:p w14:paraId="497115BC" w14:textId="77777777" w:rsidR="005B0AE9" w:rsidRPr="00D17B4E" w:rsidRDefault="005B0AE9" w:rsidP="008407D7">
      <w:pPr>
        <w:numPr>
          <w:ilvl w:val="0"/>
          <w:numId w:val="43"/>
        </w:numPr>
        <w:spacing w:line="240" w:lineRule="auto"/>
        <w:rPr>
          <w:rFonts w:eastAsia="SimHei" w:cs="Arial"/>
          <w:szCs w:val="18"/>
          <w:lang w:val="en-US" w:eastAsia="zh-CN"/>
        </w:rPr>
      </w:pPr>
      <w:r w:rsidRPr="00D17B4E">
        <w:rPr>
          <w:rFonts w:eastAsia="SimHei" w:cs="Arial"/>
          <w:szCs w:val="18"/>
          <w:lang w:val="en-US" w:eastAsia="zh-CN"/>
        </w:rPr>
        <w:t>Continuing the process of modernizing and simplifying the regulatory framework of the Lisbon System in parallel with its IT ecosystem, including through sessions of the Working Group on the Development of the Lisbon System (E.R. 3.2);</w:t>
      </w:r>
    </w:p>
    <w:p w14:paraId="125BABC9" w14:textId="43B6B220" w:rsidR="005B0AE9" w:rsidRDefault="005B0AE9" w:rsidP="008407D7">
      <w:pPr>
        <w:numPr>
          <w:ilvl w:val="0"/>
          <w:numId w:val="43"/>
        </w:numPr>
        <w:spacing w:line="240" w:lineRule="auto"/>
        <w:rPr>
          <w:rFonts w:eastAsia="SimHei" w:cs="Arial"/>
          <w:szCs w:val="18"/>
          <w:lang w:val="en-US" w:eastAsia="zh-CN"/>
        </w:rPr>
      </w:pPr>
      <w:r>
        <w:rPr>
          <w:rFonts w:eastAsia="SimHei" w:cs="Arial"/>
          <w:szCs w:val="18"/>
          <w:lang w:val="en-US" w:eastAsia="zh-CN"/>
        </w:rPr>
        <w:t xml:space="preserve">With the aim of providing </w:t>
      </w:r>
      <w:r w:rsidRPr="00505805">
        <w:rPr>
          <w:rFonts w:eastAsia="SimHei" w:cs="Arial"/>
          <w:szCs w:val="18"/>
          <w:lang w:val="en-US" w:eastAsia="zh-CN"/>
        </w:rPr>
        <w:t xml:space="preserve">state-of-the-art services to </w:t>
      </w:r>
      <w:r>
        <w:rPr>
          <w:rFonts w:eastAsia="SimHei" w:cs="Arial"/>
          <w:szCs w:val="18"/>
          <w:lang w:val="en-US" w:eastAsia="zh-CN"/>
        </w:rPr>
        <w:t xml:space="preserve">Competent Authorities and </w:t>
      </w:r>
      <w:r w:rsidRPr="00505805">
        <w:rPr>
          <w:rFonts w:eastAsia="SimHei" w:cs="Arial"/>
          <w:szCs w:val="18"/>
          <w:lang w:val="en-US" w:eastAsia="zh-CN"/>
        </w:rPr>
        <w:t>users of the Lisbon System</w:t>
      </w:r>
      <w:r>
        <w:rPr>
          <w:rFonts w:eastAsia="SimHei" w:cs="Arial"/>
          <w:szCs w:val="18"/>
          <w:lang w:val="en-US" w:eastAsia="zh-CN"/>
        </w:rPr>
        <w:t>, special focus in the biennium 2024/25 will be on ensuring no backlog, the full deployment of the functionalities of the new IT platform (</w:t>
      </w:r>
      <w:r w:rsidRPr="007167DB">
        <w:rPr>
          <w:rFonts w:eastAsia="SimHei" w:cs="Arial"/>
          <w:i/>
          <w:szCs w:val="18"/>
          <w:lang w:val="en-US" w:eastAsia="zh-CN"/>
        </w:rPr>
        <w:t>eLisbon</w:t>
      </w:r>
      <w:r>
        <w:rPr>
          <w:rFonts w:eastAsia="SimHei" w:cs="Arial"/>
          <w:szCs w:val="18"/>
          <w:lang w:val="en-US" w:eastAsia="zh-CN"/>
        </w:rPr>
        <w:t xml:space="preserve">), increased use of the IT platform by Competent Authorities, and that the </w:t>
      </w:r>
      <w:r w:rsidRPr="00505805">
        <w:rPr>
          <w:rFonts w:eastAsia="SimHei" w:cs="Arial"/>
          <w:szCs w:val="18"/>
          <w:lang w:val="en-US" w:eastAsia="zh-CN"/>
        </w:rPr>
        <w:t>administrative management</w:t>
      </w:r>
      <w:r>
        <w:rPr>
          <w:rFonts w:eastAsia="SimHei" w:cs="Arial"/>
          <w:szCs w:val="18"/>
          <w:lang w:val="en-US" w:eastAsia="zh-CN"/>
        </w:rPr>
        <w:t xml:space="preserve"> of the system is </w:t>
      </w:r>
      <w:r w:rsidR="0026419C">
        <w:rPr>
          <w:rFonts w:eastAsia="SimHei" w:cs="Arial"/>
          <w:szCs w:val="18"/>
          <w:lang w:val="en-US" w:eastAsia="zh-CN"/>
        </w:rPr>
        <w:t>strengthened</w:t>
      </w:r>
      <w:r>
        <w:rPr>
          <w:rFonts w:eastAsia="SimHei" w:cs="Arial"/>
          <w:szCs w:val="18"/>
          <w:lang w:val="en-US" w:eastAsia="zh-CN"/>
        </w:rPr>
        <w:t xml:space="preserve">, including through further improvement of the IT processing system (E.R. 3.2); </w:t>
      </w:r>
    </w:p>
    <w:p w14:paraId="61D9F35E" w14:textId="4F5574ED" w:rsidR="005B0AE9" w:rsidRPr="009C60B1" w:rsidRDefault="005B0AE9" w:rsidP="008407D7">
      <w:pPr>
        <w:numPr>
          <w:ilvl w:val="0"/>
          <w:numId w:val="43"/>
        </w:numPr>
        <w:spacing w:line="240" w:lineRule="auto"/>
        <w:rPr>
          <w:rFonts w:eastAsia="SimHei" w:cs="Arial"/>
          <w:szCs w:val="18"/>
          <w:lang w:val="en-US" w:eastAsia="zh-CN"/>
        </w:rPr>
      </w:pPr>
      <w:r w:rsidRPr="002855A4">
        <w:rPr>
          <w:rFonts w:eastAsia="SimHei" w:cs="Arial"/>
          <w:szCs w:val="18"/>
          <w:lang w:val="en-US" w:eastAsia="zh-CN"/>
        </w:rPr>
        <w:t xml:space="preserve">Enhancing the System’s user-friendliness through responsive customer support services, training and development of information and guidance material for Competent </w:t>
      </w:r>
      <w:r w:rsidR="0026419C">
        <w:rPr>
          <w:rFonts w:eastAsia="SimHei" w:cs="Arial"/>
          <w:szCs w:val="18"/>
          <w:lang w:val="en-US" w:eastAsia="zh-CN"/>
        </w:rPr>
        <w:t>A</w:t>
      </w:r>
      <w:r w:rsidR="0026419C" w:rsidRPr="002855A4">
        <w:rPr>
          <w:rFonts w:eastAsia="SimHei" w:cs="Arial"/>
          <w:szCs w:val="18"/>
          <w:lang w:val="en-US" w:eastAsia="zh-CN"/>
        </w:rPr>
        <w:t>uthorities</w:t>
      </w:r>
      <w:r w:rsidRPr="002855A4">
        <w:rPr>
          <w:rFonts w:eastAsia="SimHei" w:cs="Arial"/>
          <w:szCs w:val="18"/>
          <w:lang w:val="en-US" w:eastAsia="zh-CN"/>
        </w:rPr>
        <w:t xml:space="preserve"> and users</w:t>
      </w:r>
      <w:r>
        <w:rPr>
          <w:rFonts w:eastAsia="SimHei" w:cs="Arial"/>
          <w:szCs w:val="18"/>
          <w:lang w:val="en-US" w:eastAsia="zh-CN"/>
        </w:rPr>
        <w:t xml:space="preserve"> (E.R. 3.2)</w:t>
      </w:r>
      <w:r w:rsidRPr="002855A4">
        <w:rPr>
          <w:rFonts w:eastAsia="SimHei" w:cs="Arial"/>
          <w:szCs w:val="18"/>
          <w:lang w:val="en-US" w:eastAsia="zh-CN"/>
        </w:rPr>
        <w:t>.</w:t>
      </w:r>
    </w:p>
    <w:p w14:paraId="7EDF43DA" w14:textId="77777777" w:rsidR="005B0AE9" w:rsidRPr="006F1BC2" w:rsidRDefault="005B0AE9" w:rsidP="006F1BC2">
      <w:pPr>
        <w:keepNext/>
        <w:spacing w:before="320" w:after="240"/>
        <w:outlineLvl w:val="2"/>
        <w:rPr>
          <w:color w:val="005172" w:themeColor="text2"/>
          <w:sz w:val="32"/>
          <w:lang w:val="en-US"/>
        </w:rPr>
      </w:pPr>
      <w:r w:rsidRPr="006F1BC2">
        <w:rPr>
          <w:color w:val="005172" w:themeColor="text2"/>
          <w:sz w:val="32"/>
          <w:lang w:val="en-US"/>
        </w:rPr>
        <w:t>Risks</w:t>
      </w:r>
    </w:p>
    <w:p w14:paraId="563B0026" w14:textId="77777777" w:rsidR="005B0AE9" w:rsidRDefault="005B0AE9" w:rsidP="005B0AE9">
      <w:pPr>
        <w:spacing w:after="0" w:line="240" w:lineRule="auto"/>
        <w:contextualSpacing/>
        <w:rPr>
          <w:rFonts w:eastAsia="Arial" w:cs="Times New Roman"/>
          <w:color w:val="005172"/>
          <w:sz w:val="16"/>
          <w:szCs w:val="16"/>
          <w:lang w:val="en-US"/>
        </w:rPr>
      </w:pPr>
    </w:p>
    <w:tbl>
      <w:tblPr>
        <w:tblW w:w="9610" w:type="dxa"/>
        <w:tblInd w:w="10" w:type="dxa"/>
        <w:tblCellMar>
          <w:left w:w="0" w:type="dxa"/>
          <w:right w:w="0" w:type="dxa"/>
        </w:tblCellMar>
        <w:tblLook w:val="04A0" w:firstRow="1" w:lastRow="0" w:firstColumn="1" w:lastColumn="0" w:noHBand="0" w:noVBand="1"/>
      </w:tblPr>
      <w:tblGrid>
        <w:gridCol w:w="2337"/>
        <w:gridCol w:w="2338"/>
        <w:gridCol w:w="3415"/>
        <w:gridCol w:w="1520"/>
      </w:tblGrid>
      <w:tr w:rsidR="005B0AE9" w:rsidRPr="00AE3E70" w14:paraId="167D844F" w14:textId="77777777" w:rsidTr="00ED53C7">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3081A439" w14:textId="77777777" w:rsidR="005B0AE9" w:rsidRPr="00B3273B" w:rsidRDefault="005B0AE9" w:rsidP="005B0AE9">
            <w:pPr>
              <w:autoSpaceDE w:val="0"/>
              <w:autoSpaceDN w:val="0"/>
              <w:spacing w:after="0" w:line="240" w:lineRule="auto"/>
              <w:outlineLvl w:val="2"/>
              <w:rPr>
                <w:rFonts w:ascii="Arial Narrow" w:eastAsia="Times New Roman" w:hAnsi="Arial Narrow" w:cs="Arial"/>
                <w:b/>
                <w:bCs/>
                <w:sz w:val="16"/>
                <w:szCs w:val="14"/>
                <w:lang w:val="en-US"/>
              </w:rPr>
            </w:pPr>
            <w:r w:rsidRPr="00B3273B">
              <w:rPr>
                <w:rFonts w:ascii="Arial Narrow" w:eastAsia="Times New Roman" w:hAnsi="Arial Narrow" w:cs="Arial"/>
                <w:b/>
                <w:bCs/>
                <w:sz w:val="16"/>
                <w:szCs w:val="14"/>
                <w:lang w:val="en-US"/>
              </w:rPr>
              <w:t xml:space="preserve">Expected Result </w:t>
            </w:r>
          </w:p>
        </w:tc>
        <w:tc>
          <w:tcPr>
            <w:tcW w:w="2338" w:type="dxa"/>
            <w:tcBorders>
              <w:left w:val="nil"/>
              <w:right w:val="nil"/>
            </w:tcBorders>
            <w:shd w:val="clear" w:color="auto" w:fill="C6CFD7" w:themeFill="accent3" w:themeFillTint="66"/>
            <w:tcMar>
              <w:top w:w="0" w:type="dxa"/>
              <w:left w:w="108" w:type="dxa"/>
              <w:bottom w:w="0" w:type="dxa"/>
              <w:right w:w="108" w:type="dxa"/>
            </w:tcMar>
            <w:hideMark/>
          </w:tcPr>
          <w:p w14:paraId="7885E031" w14:textId="77777777" w:rsidR="005B0AE9" w:rsidRPr="00B3273B" w:rsidRDefault="005B0AE9" w:rsidP="005B0AE9">
            <w:pPr>
              <w:autoSpaceDE w:val="0"/>
              <w:autoSpaceDN w:val="0"/>
              <w:spacing w:after="0" w:line="240" w:lineRule="auto"/>
              <w:outlineLvl w:val="2"/>
              <w:rPr>
                <w:rFonts w:ascii="Arial Narrow" w:eastAsia="Times New Roman" w:hAnsi="Arial Narrow" w:cs="Arial"/>
                <w:b/>
                <w:bCs/>
                <w:sz w:val="16"/>
                <w:szCs w:val="14"/>
                <w:lang w:val="en-US"/>
              </w:rPr>
            </w:pPr>
            <w:r w:rsidRPr="00B3273B">
              <w:rPr>
                <w:rFonts w:ascii="Arial Narrow" w:eastAsia="Times New Roman" w:hAnsi="Arial Narrow" w:cs="Arial"/>
                <w:b/>
                <w:bCs/>
                <w:sz w:val="16"/>
                <w:szCs w:val="14"/>
                <w:lang w:val="en-US"/>
              </w:rPr>
              <w:t>Risk</w:t>
            </w:r>
          </w:p>
        </w:tc>
        <w:tc>
          <w:tcPr>
            <w:tcW w:w="3415" w:type="dxa"/>
            <w:tcBorders>
              <w:left w:val="nil"/>
              <w:right w:val="nil"/>
            </w:tcBorders>
            <w:shd w:val="clear" w:color="auto" w:fill="C6CFD7" w:themeFill="accent3" w:themeFillTint="66"/>
            <w:tcMar>
              <w:top w:w="0" w:type="dxa"/>
              <w:left w:w="108" w:type="dxa"/>
              <w:bottom w:w="0" w:type="dxa"/>
              <w:right w:w="108" w:type="dxa"/>
            </w:tcMar>
            <w:hideMark/>
          </w:tcPr>
          <w:p w14:paraId="42F6AE90" w14:textId="77777777" w:rsidR="005B0AE9" w:rsidRPr="00B3273B" w:rsidRDefault="005B0AE9" w:rsidP="005B0AE9">
            <w:pPr>
              <w:autoSpaceDE w:val="0"/>
              <w:autoSpaceDN w:val="0"/>
              <w:spacing w:after="0" w:line="240" w:lineRule="auto"/>
              <w:outlineLvl w:val="2"/>
              <w:rPr>
                <w:rFonts w:ascii="Arial Narrow" w:eastAsia="Times New Roman" w:hAnsi="Arial Narrow" w:cs="Arial"/>
                <w:b/>
                <w:bCs/>
                <w:sz w:val="16"/>
                <w:szCs w:val="14"/>
                <w:lang w:val="en-US"/>
              </w:rPr>
            </w:pPr>
            <w:r w:rsidRPr="00B3273B">
              <w:rPr>
                <w:rFonts w:ascii="Arial Narrow" w:eastAsia="Times New Roman" w:hAnsi="Arial Narrow" w:cs="Arial"/>
                <w:b/>
                <w:bCs/>
                <w:sz w:val="16"/>
                <w:szCs w:val="14"/>
                <w:lang w:val="en-US"/>
              </w:rPr>
              <w:t>Risk Response</w:t>
            </w:r>
          </w:p>
        </w:tc>
        <w:tc>
          <w:tcPr>
            <w:tcW w:w="1520" w:type="dxa"/>
            <w:tcBorders>
              <w:left w:val="nil"/>
            </w:tcBorders>
            <w:shd w:val="clear" w:color="auto" w:fill="C6CFD7" w:themeFill="accent3" w:themeFillTint="66"/>
            <w:tcMar>
              <w:top w:w="0" w:type="dxa"/>
              <w:left w:w="108" w:type="dxa"/>
              <w:bottom w:w="0" w:type="dxa"/>
              <w:right w:w="108" w:type="dxa"/>
            </w:tcMar>
            <w:hideMark/>
          </w:tcPr>
          <w:p w14:paraId="0C93A069" w14:textId="77777777" w:rsidR="005B0AE9" w:rsidRPr="00B3273B" w:rsidRDefault="005B0AE9" w:rsidP="005B0AE9">
            <w:pPr>
              <w:autoSpaceDE w:val="0"/>
              <w:autoSpaceDN w:val="0"/>
              <w:spacing w:after="0" w:line="240" w:lineRule="auto"/>
              <w:outlineLvl w:val="2"/>
              <w:rPr>
                <w:rFonts w:ascii="Arial Narrow" w:eastAsia="Times New Roman" w:hAnsi="Arial Narrow" w:cs="Arial"/>
                <w:b/>
                <w:bCs/>
                <w:sz w:val="16"/>
                <w:szCs w:val="14"/>
                <w:lang w:val="en-US"/>
              </w:rPr>
            </w:pPr>
            <w:r w:rsidRPr="00B3273B">
              <w:rPr>
                <w:rFonts w:ascii="Arial Narrow" w:eastAsia="Times New Roman" w:hAnsi="Arial Narrow" w:cs="Arial"/>
                <w:b/>
                <w:bCs/>
                <w:color w:val="000000"/>
                <w:sz w:val="16"/>
                <w:szCs w:val="14"/>
                <w:lang w:val="en-US"/>
              </w:rPr>
              <w:t xml:space="preserve">Target Residual Risk </w:t>
            </w:r>
          </w:p>
        </w:tc>
      </w:tr>
      <w:tr w:rsidR="005B0AE9" w:rsidRPr="00AE3E70" w14:paraId="2DD33855" w14:textId="77777777" w:rsidTr="005B0AE9">
        <w:trPr>
          <w:trHeight w:val="268"/>
        </w:trPr>
        <w:tc>
          <w:tcPr>
            <w:tcW w:w="961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5B0AE9" w:rsidRPr="00B3273B" w14:paraId="40DEF317" w14:textId="77777777" w:rsidTr="005B0AE9">
              <w:trPr>
                <w:trHeight w:val="134"/>
              </w:trPr>
              <w:tc>
                <w:tcPr>
                  <w:tcW w:w="1129" w:type="dxa"/>
                  <w:shd w:val="clear" w:color="auto" w:fill="EDF0F3" w:themeFill="accent4" w:themeFillTint="33"/>
                  <w:tcMar>
                    <w:top w:w="0" w:type="dxa"/>
                    <w:left w:w="108" w:type="dxa"/>
                    <w:bottom w:w="0" w:type="dxa"/>
                    <w:right w:w="108" w:type="dxa"/>
                  </w:tcMar>
                  <w:hideMark/>
                </w:tcPr>
                <w:p w14:paraId="68498BF6" w14:textId="3F2B2F5C" w:rsidR="005B0AE9" w:rsidRPr="00B3273B" w:rsidRDefault="007C5188" w:rsidP="005B0AE9">
                  <w:pPr>
                    <w:widowControl w:val="0"/>
                    <w:autoSpaceDE w:val="0"/>
                    <w:autoSpaceDN w:val="0"/>
                    <w:spacing w:after="0" w:line="240" w:lineRule="auto"/>
                    <w:ind w:hanging="360"/>
                    <w:jc w:val="right"/>
                    <w:rPr>
                      <w:rFonts w:ascii="Arial Narrow" w:eastAsia="Calibri"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3 </w:t>
                  </w:r>
                  <w:r w:rsidR="005B0AE9" w:rsidRPr="00B3273B">
                    <w:rPr>
                      <w:rFonts w:ascii="Arial Narrow" w:eastAsia="Arial Narrow" w:hAnsi="Arial Narrow" w:cs="Arial Narrow"/>
                      <w:i/>
                      <w:iCs/>
                      <w:color w:val="005172" w:themeColor="text2"/>
                      <w:sz w:val="16"/>
                      <w:szCs w:val="16"/>
                      <w:lang w:val="en-US" w:bidi="en-US"/>
                    </w:rPr>
                    <w:t xml:space="preserve">  </w:t>
                  </w:r>
                </w:p>
              </w:tc>
              <w:tc>
                <w:tcPr>
                  <w:tcW w:w="7571" w:type="dxa"/>
                  <w:shd w:val="clear" w:color="auto" w:fill="EDF0F3" w:themeFill="accent4" w:themeFillTint="33"/>
                  <w:tcMar>
                    <w:top w:w="0" w:type="dxa"/>
                    <w:left w:w="108" w:type="dxa"/>
                    <w:bottom w:w="0" w:type="dxa"/>
                    <w:right w:w="108" w:type="dxa"/>
                  </w:tcMar>
                  <w:hideMark/>
                </w:tcPr>
                <w:p w14:paraId="688B3E39" w14:textId="77777777" w:rsidR="005B0AE9" w:rsidRPr="00B3273B" w:rsidRDefault="005B0AE9" w:rsidP="005B0AE9">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B3273B">
                    <w:rPr>
                      <w:rFonts w:ascii="Arial Narrow" w:eastAsia="Arial Narrow" w:hAnsi="Arial Narrow" w:cs="Arial Narrow"/>
                      <w:i/>
                      <w:iCs/>
                      <w:color w:val="005172" w:themeColor="text2"/>
                      <w:sz w:val="16"/>
                      <w:szCs w:val="16"/>
                      <w:lang w:val="en-US" w:bidi="en-US"/>
                    </w:rPr>
                    <w:t>Provide high quality intellectual property services, knowledge and data that deliver value to users around the world</w:t>
                  </w:r>
                </w:p>
              </w:tc>
            </w:tr>
          </w:tbl>
          <w:p w14:paraId="44207FCA" w14:textId="77777777" w:rsidR="005B0AE9" w:rsidRPr="00B3273B" w:rsidRDefault="005B0AE9" w:rsidP="005B0AE9">
            <w:pPr>
              <w:widowControl w:val="0"/>
              <w:autoSpaceDE w:val="0"/>
              <w:autoSpaceDN w:val="0"/>
              <w:spacing w:after="0" w:line="240" w:lineRule="auto"/>
              <w:rPr>
                <w:rFonts w:ascii="Times New Roman" w:eastAsia="Times New Roman" w:hAnsi="Times New Roman" w:cs="Times New Roman"/>
                <w:color w:val="005172" w:themeColor="text2"/>
                <w:sz w:val="20"/>
                <w:szCs w:val="20"/>
                <w:lang w:val="en-US" w:bidi="en-US"/>
              </w:rPr>
            </w:pPr>
          </w:p>
        </w:tc>
      </w:tr>
      <w:tr w:rsidR="005B0AE9" w:rsidRPr="00AE3E70" w14:paraId="5CB204F5" w14:textId="77777777" w:rsidTr="00ED53C7">
        <w:trPr>
          <w:trHeight w:val="1285"/>
        </w:trPr>
        <w:tc>
          <w:tcPr>
            <w:tcW w:w="2337" w:type="dxa"/>
            <w:tcBorders>
              <w:bottom w:val="single" w:sz="8" w:space="0" w:color="CBD4DB" w:themeColor="accent4" w:themeTint="99"/>
            </w:tcBorders>
            <w:shd w:val="clear" w:color="auto" w:fill="auto"/>
            <w:tcMar>
              <w:top w:w="0" w:type="dxa"/>
              <w:left w:w="108" w:type="dxa"/>
              <w:bottom w:w="0" w:type="dxa"/>
              <w:right w:w="108" w:type="dxa"/>
            </w:tcMar>
            <w:hideMark/>
          </w:tcPr>
          <w:p w14:paraId="1B24E774" w14:textId="77777777" w:rsidR="005B0AE9" w:rsidRPr="00AE3E70" w:rsidRDefault="005B0AE9" w:rsidP="005B0AE9">
            <w:pPr>
              <w:autoSpaceDE w:val="0"/>
              <w:autoSpaceDN w:val="0"/>
              <w:spacing w:before="89" w:after="0" w:line="240" w:lineRule="auto"/>
              <w:outlineLvl w:val="2"/>
              <w:rPr>
                <w:rFonts w:ascii="Arial Narrow" w:eastAsia="Times New Roman" w:hAnsi="Arial Narrow" w:cs="Arial"/>
                <w:sz w:val="16"/>
                <w:szCs w:val="16"/>
                <w:lang w:val="en-US"/>
              </w:rPr>
            </w:pPr>
            <w:r w:rsidRPr="006D0039">
              <w:rPr>
                <w:rFonts w:ascii="Arial Narrow" w:eastAsia="Times New Roman" w:hAnsi="Arial Narrow" w:cs="Arial"/>
                <w:color w:val="005172" w:themeColor="text2"/>
                <w:sz w:val="16"/>
                <w:szCs w:val="16"/>
                <w:lang w:val="en-US"/>
              </w:rPr>
              <w:t>3.1 </w:t>
            </w:r>
            <w:r w:rsidRPr="006D0039">
              <w:rPr>
                <w:rFonts w:ascii="Arial Narrow" w:eastAsia="Times New Roman" w:hAnsi="Arial Narrow" w:cs="Arial"/>
                <w:sz w:val="16"/>
                <w:szCs w:val="16"/>
                <w:lang w:val="en-US"/>
              </w:rPr>
              <w:t xml:space="preserve"> </w:t>
            </w:r>
            <w:r w:rsidRPr="00AE3E70">
              <w:rPr>
                <w:rFonts w:ascii="Arial Narrow" w:eastAsia="Times New Roman" w:hAnsi="Arial Narrow" w:cs="Arial"/>
                <w:sz w:val="16"/>
                <w:szCs w:val="16"/>
                <w:lang w:val="en-US"/>
              </w:rPr>
              <w:t xml:space="preserve">Wider and more effective use of WIPO’s global IP systems, services, knowledge and data </w:t>
            </w:r>
          </w:p>
          <w:p w14:paraId="71D0070F" w14:textId="77777777" w:rsidR="005B0AE9" w:rsidRPr="00AE3E70" w:rsidRDefault="005B0AE9" w:rsidP="005B0AE9">
            <w:pPr>
              <w:autoSpaceDE w:val="0"/>
              <w:autoSpaceDN w:val="0"/>
              <w:spacing w:after="0" w:line="240" w:lineRule="auto"/>
              <w:outlineLvl w:val="2"/>
              <w:rPr>
                <w:rFonts w:eastAsia="Times New Roman" w:cs="Arial"/>
                <w:sz w:val="16"/>
                <w:szCs w:val="16"/>
                <w:lang w:val="en-US"/>
              </w:rPr>
            </w:pPr>
            <w:r w:rsidRPr="00AE3E70">
              <w:rPr>
                <w:rFonts w:ascii="Arial Narrow" w:eastAsia="Times New Roman" w:hAnsi="Arial Narrow" w:cs="Arial"/>
                <w:b/>
                <w:bCs/>
                <w:i/>
                <w:iCs/>
                <w:sz w:val="16"/>
                <w:szCs w:val="16"/>
                <w:lang w:val="en-US"/>
              </w:rPr>
              <w:t>Medium risk appetite</w:t>
            </w:r>
          </w:p>
        </w:tc>
        <w:tc>
          <w:tcPr>
            <w:tcW w:w="2338" w:type="dxa"/>
            <w:tcBorders>
              <w:bottom w:val="single" w:sz="8" w:space="0" w:color="CBD4DB" w:themeColor="accent4" w:themeTint="99"/>
            </w:tcBorders>
            <w:shd w:val="clear" w:color="auto" w:fill="auto"/>
            <w:tcMar>
              <w:top w:w="0" w:type="dxa"/>
              <w:left w:w="108" w:type="dxa"/>
              <w:bottom w:w="0" w:type="dxa"/>
              <w:right w:w="108" w:type="dxa"/>
            </w:tcMar>
            <w:hideMark/>
          </w:tcPr>
          <w:p w14:paraId="54ABB3F3" w14:textId="77777777" w:rsidR="005B0AE9" w:rsidRPr="00AE3E70" w:rsidRDefault="005B0AE9" w:rsidP="005B0AE9">
            <w:pPr>
              <w:autoSpaceDE w:val="0"/>
              <w:autoSpaceDN w:val="0"/>
              <w:spacing w:before="89" w:after="0" w:line="240" w:lineRule="auto"/>
              <w:outlineLvl w:val="2"/>
              <w:rPr>
                <w:rFonts w:ascii="Arial Narrow" w:eastAsia="Times New Roman" w:hAnsi="Arial Narrow" w:cs="Arial"/>
                <w:sz w:val="16"/>
                <w:szCs w:val="16"/>
                <w:lang w:val="en-US"/>
              </w:rPr>
            </w:pPr>
            <w:r w:rsidRPr="00AE3E70">
              <w:rPr>
                <w:rFonts w:ascii="Arial Narrow" w:eastAsia="Times New Roman" w:hAnsi="Arial Narrow" w:cs="Arial"/>
                <w:sz w:val="16"/>
                <w:szCs w:val="16"/>
                <w:lang w:val="en-US"/>
              </w:rPr>
              <w:t>The Madrid, Hague and Lisbon Systems do not develop to their full potential during the biennium in terms of geographical coverage, usage by prospective applicants and services provided by the IB.</w:t>
            </w:r>
          </w:p>
        </w:tc>
        <w:tc>
          <w:tcPr>
            <w:tcW w:w="3415" w:type="dxa"/>
            <w:tcBorders>
              <w:bottom w:val="single" w:sz="8" w:space="0" w:color="CBD4DB" w:themeColor="accent4" w:themeTint="99"/>
            </w:tcBorders>
            <w:shd w:val="clear" w:color="auto" w:fill="auto"/>
            <w:tcMar>
              <w:top w:w="0" w:type="dxa"/>
              <w:left w:w="108" w:type="dxa"/>
              <w:bottom w:w="0" w:type="dxa"/>
              <w:right w:w="108" w:type="dxa"/>
            </w:tcMar>
            <w:hideMark/>
          </w:tcPr>
          <w:p w14:paraId="5A234186" w14:textId="372C32B8" w:rsidR="005B0AE9" w:rsidRPr="00AE3E70" w:rsidRDefault="005B0AE9" w:rsidP="005B0AE9">
            <w:pPr>
              <w:autoSpaceDE w:val="0"/>
              <w:autoSpaceDN w:val="0"/>
              <w:spacing w:before="89" w:after="0" w:line="240" w:lineRule="auto"/>
              <w:outlineLvl w:val="2"/>
              <w:rPr>
                <w:rFonts w:ascii="Arial Narrow" w:eastAsia="Times New Roman" w:hAnsi="Arial Narrow" w:cs="Arial"/>
                <w:sz w:val="16"/>
                <w:szCs w:val="16"/>
                <w:lang w:val="en-US"/>
              </w:rPr>
            </w:pPr>
            <w:r w:rsidRPr="00AE3E70">
              <w:rPr>
                <w:rFonts w:ascii="Arial Narrow" w:eastAsia="Times New Roman" w:hAnsi="Arial Narrow" w:cs="Arial"/>
                <w:sz w:val="16"/>
                <w:szCs w:val="16"/>
                <w:lang w:val="en-US"/>
              </w:rPr>
              <w:t>Pro-actively pursue any country’s int</w:t>
            </w:r>
            <w:r w:rsidR="00BB10DC">
              <w:rPr>
                <w:rFonts w:ascii="Arial Narrow" w:eastAsia="Times New Roman" w:hAnsi="Arial Narrow" w:cs="Arial"/>
                <w:sz w:val="16"/>
                <w:szCs w:val="16"/>
                <w:lang w:val="en-US"/>
              </w:rPr>
              <w:t>erest in accession</w:t>
            </w:r>
            <w:r w:rsidRPr="00AE3E70">
              <w:rPr>
                <w:rFonts w:ascii="Arial Narrow" w:eastAsia="Times New Roman" w:hAnsi="Arial Narrow" w:cs="Arial"/>
                <w:sz w:val="16"/>
                <w:szCs w:val="16"/>
                <w:lang w:val="en-US"/>
              </w:rPr>
              <w:t>, reconfigure promotion and marketing activities, including more partner-based approaches to scale and promote these Systems, increased focus on obtaining customer feedback, and further digitalizing and streamlining IB processes and services</w:t>
            </w:r>
            <w:r w:rsidR="00BB10DC">
              <w:rPr>
                <w:rFonts w:ascii="Arial Narrow" w:eastAsia="Times New Roman" w:hAnsi="Arial Narrow" w:cs="Arial"/>
                <w:sz w:val="16"/>
                <w:szCs w:val="16"/>
                <w:lang w:val="en-US"/>
              </w:rPr>
              <w:t>.</w:t>
            </w:r>
          </w:p>
        </w:tc>
        <w:tc>
          <w:tcPr>
            <w:tcW w:w="1520" w:type="dxa"/>
            <w:tcBorders>
              <w:bottom w:val="single" w:sz="8" w:space="0" w:color="CBD4DB" w:themeColor="accent4" w:themeTint="99"/>
            </w:tcBorders>
            <w:shd w:val="clear" w:color="auto" w:fill="auto"/>
            <w:tcMar>
              <w:top w:w="0" w:type="dxa"/>
              <w:left w:w="108" w:type="dxa"/>
              <w:bottom w:w="0" w:type="dxa"/>
              <w:right w:w="108" w:type="dxa"/>
            </w:tcMar>
          </w:tcPr>
          <w:p w14:paraId="1595A020" w14:textId="1D34EB43" w:rsidR="005B0AE9" w:rsidRDefault="005B0AE9" w:rsidP="005B0AE9">
            <w:pPr>
              <w:autoSpaceDE w:val="0"/>
              <w:autoSpaceDN w:val="0"/>
              <w:spacing w:before="89" w:after="0" w:line="240" w:lineRule="auto"/>
              <w:outlineLvl w:val="2"/>
              <w:rPr>
                <w:rFonts w:ascii="Arial Narrow" w:eastAsia="Times New Roman" w:hAnsi="Arial Narrow" w:cs="Arial"/>
                <w:sz w:val="16"/>
                <w:szCs w:val="16"/>
                <w:lang w:val="en-US"/>
              </w:rPr>
            </w:pPr>
            <w:r w:rsidRPr="00AE3E70">
              <w:rPr>
                <w:rFonts w:ascii="Arial Narrow" w:eastAsia="Times New Roman" w:hAnsi="Arial Narrow" w:cs="Arial"/>
                <w:sz w:val="16"/>
                <w:szCs w:val="16"/>
                <w:lang w:val="en-US"/>
              </w:rPr>
              <w:t xml:space="preserve">Medium </w:t>
            </w:r>
            <w:r w:rsidR="00ED53C7">
              <w:rPr>
                <w:rFonts w:ascii="Arial Narrow" w:eastAsia="Times New Roman" w:hAnsi="Arial Narrow" w:cs="Arial"/>
                <w:sz w:val="16"/>
                <w:szCs w:val="16"/>
                <w:lang w:val="en-US"/>
              </w:rPr>
              <w:t xml:space="preserve">– </w:t>
            </w:r>
          </w:p>
          <w:p w14:paraId="282CBB6D" w14:textId="51DBFA8D" w:rsidR="005B0AE9" w:rsidRPr="00AE3E70" w:rsidRDefault="00ED53C7" w:rsidP="00EF3B0C">
            <w:pPr>
              <w:autoSpaceDE w:val="0"/>
              <w:autoSpaceDN w:val="0"/>
              <w:spacing w:after="0" w:line="240" w:lineRule="auto"/>
              <w:ind w:right="-12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005B0AE9" w:rsidRPr="00AE3E70">
              <w:rPr>
                <w:rFonts w:ascii="Arial Narrow" w:eastAsia="Times New Roman" w:hAnsi="Arial Narrow" w:cs="Arial"/>
                <w:sz w:val="16"/>
                <w:szCs w:val="16"/>
                <w:lang w:val="en-US"/>
              </w:rPr>
              <w:t>n line with risk appetite</w:t>
            </w:r>
          </w:p>
          <w:p w14:paraId="571F093B" w14:textId="77777777" w:rsidR="005B0AE9" w:rsidRPr="00AE3E70" w:rsidRDefault="005B0AE9" w:rsidP="005B0AE9">
            <w:pPr>
              <w:autoSpaceDE w:val="0"/>
              <w:autoSpaceDN w:val="0"/>
              <w:spacing w:after="0" w:line="240" w:lineRule="auto"/>
              <w:outlineLvl w:val="2"/>
              <w:rPr>
                <w:rFonts w:eastAsia="Times New Roman" w:cs="Arial"/>
                <w:sz w:val="20"/>
                <w:szCs w:val="20"/>
                <w:lang w:val="en-US"/>
              </w:rPr>
            </w:pPr>
          </w:p>
        </w:tc>
      </w:tr>
    </w:tbl>
    <w:p w14:paraId="0A83AA69" w14:textId="6A6F30D3" w:rsidR="005B0AE9" w:rsidRDefault="005B0AE9" w:rsidP="005B0AE9">
      <w:pPr>
        <w:spacing w:after="0" w:line="240" w:lineRule="auto"/>
        <w:contextualSpacing/>
        <w:rPr>
          <w:rFonts w:eastAsia="Arial" w:cs="Times New Roman"/>
          <w:color w:val="005172"/>
          <w:sz w:val="16"/>
          <w:szCs w:val="16"/>
          <w:lang w:val="en-US"/>
        </w:rPr>
      </w:pPr>
    </w:p>
    <w:p w14:paraId="782D22B5" w14:textId="77777777" w:rsidR="005B0AE9" w:rsidRDefault="005B0AE9" w:rsidP="005B0AE9">
      <w:pPr>
        <w:pStyle w:val="Heading1NoNumb"/>
        <w:rPr>
          <w:rFonts w:eastAsia="Times New Roman" w:cs="Arial"/>
          <w:szCs w:val="32"/>
          <w:lang w:val="en-US"/>
        </w:rPr>
      </w:pPr>
      <w:r>
        <w:rPr>
          <w:rFonts w:eastAsia="Times New Roman" w:cs="Arial"/>
          <w:szCs w:val="32"/>
          <w:lang w:val="en-US"/>
        </w:rPr>
        <w:t>Expected Results and Performance Indicators</w:t>
      </w:r>
    </w:p>
    <w:tbl>
      <w:tblPr>
        <w:tblStyle w:val="TableGrid"/>
        <w:tblW w:w="97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434"/>
        <w:gridCol w:w="2435"/>
        <w:gridCol w:w="2435"/>
        <w:gridCol w:w="2438"/>
      </w:tblGrid>
      <w:tr w:rsidR="005B0AE9" w14:paraId="12CD40CA" w14:textId="77777777" w:rsidTr="00D915C4">
        <w:trPr>
          <w:trHeight w:val="287"/>
          <w:tblHeader/>
        </w:trPr>
        <w:tc>
          <w:tcPr>
            <w:tcW w:w="2434" w:type="dxa"/>
            <w:shd w:val="clear" w:color="auto" w:fill="C6CFD7" w:themeFill="accent3" w:themeFillTint="66"/>
            <w:hideMark/>
          </w:tcPr>
          <w:p w14:paraId="76996C2B" w14:textId="77777777" w:rsidR="005B0AE9" w:rsidRDefault="005B0AE9" w:rsidP="005B0AE9">
            <w:pPr>
              <w:pStyle w:val="TableHeading"/>
              <w:rPr>
                <w:lang w:val="en-US"/>
              </w:rPr>
            </w:pPr>
            <w:r>
              <w:rPr>
                <w:lang w:val="en-US"/>
              </w:rPr>
              <w:t>Expected Result</w:t>
            </w:r>
          </w:p>
        </w:tc>
        <w:tc>
          <w:tcPr>
            <w:tcW w:w="2435" w:type="dxa"/>
            <w:shd w:val="clear" w:color="auto" w:fill="C6CFD7" w:themeFill="accent3" w:themeFillTint="66"/>
            <w:hideMark/>
          </w:tcPr>
          <w:p w14:paraId="76D7958B" w14:textId="77777777" w:rsidR="005B0AE9" w:rsidRDefault="005B0AE9" w:rsidP="005B0AE9">
            <w:pPr>
              <w:pStyle w:val="TableHeading"/>
              <w:rPr>
                <w:lang w:val="en-US"/>
              </w:rPr>
            </w:pPr>
            <w:r>
              <w:rPr>
                <w:lang w:val="en-US"/>
              </w:rPr>
              <w:t>Performance Indicators</w:t>
            </w:r>
          </w:p>
        </w:tc>
        <w:tc>
          <w:tcPr>
            <w:tcW w:w="2435" w:type="dxa"/>
            <w:shd w:val="clear" w:color="auto" w:fill="C6CFD7" w:themeFill="accent3" w:themeFillTint="66"/>
            <w:hideMark/>
          </w:tcPr>
          <w:p w14:paraId="4790F34D" w14:textId="77777777" w:rsidR="005B0AE9" w:rsidRDefault="005B0AE9" w:rsidP="005B0AE9">
            <w:pPr>
              <w:pStyle w:val="TableHeading"/>
              <w:rPr>
                <w:lang w:val="en-US"/>
              </w:rPr>
            </w:pPr>
            <w:r>
              <w:rPr>
                <w:lang w:val="en-US"/>
              </w:rPr>
              <w:t>Baselines</w:t>
            </w:r>
          </w:p>
        </w:tc>
        <w:tc>
          <w:tcPr>
            <w:tcW w:w="2438" w:type="dxa"/>
            <w:shd w:val="clear" w:color="auto" w:fill="C6CFD7" w:themeFill="accent3" w:themeFillTint="66"/>
            <w:hideMark/>
          </w:tcPr>
          <w:p w14:paraId="1ED2A9EA" w14:textId="77777777" w:rsidR="005B0AE9" w:rsidRDefault="005B0AE9" w:rsidP="005B0AE9">
            <w:pPr>
              <w:pStyle w:val="TableHeading"/>
              <w:rPr>
                <w:lang w:val="en-US"/>
              </w:rPr>
            </w:pPr>
            <w:r>
              <w:rPr>
                <w:lang w:val="en-US"/>
              </w:rPr>
              <w:t>Targets</w:t>
            </w:r>
          </w:p>
        </w:tc>
      </w:tr>
      <w:tr w:rsidR="005B0AE9" w14:paraId="7F815A14" w14:textId="77777777" w:rsidTr="00D915C4">
        <w:trPr>
          <w:cantSplit/>
          <w:trHeight w:val="287"/>
        </w:trPr>
        <w:tc>
          <w:tcPr>
            <w:tcW w:w="2434" w:type="dxa"/>
            <w:shd w:val="clear" w:color="auto" w:fill="EDF0F3" w:themeFill="accent4" w:themeFillTint="33"/>
            <w:hideMark/>
          </w:tcPr>
          <w:p w14:paraId="673B437F" w14:textId="77777777" w:rsidR="005B0AE9" w:rsidRDefault="005B0AE9" w:rsidP="005B0AE9">
            <w:pPr>
              <w:pStyle w:val="TableHeading"/>
              <w:rPr>
                <w:b w:val="0"/>
                <w:i/>
                <w:color w:val="005172" w:themeColor="text2"/>
                <w:lang w:val="en-US"/>
              </w:rPr>
            </w:pPr>
            <w:r>
              <w:rPr>
                <w:b w:val="0"/>
                <w:i/>
                <w:color w:val="005172" w:themeColor="text2"/>
                <w:lang w:val="en-US"/>
              </w:rPr>
              <w:t>Strategic Pillar 2</w:t>
            </w:r>
          </w:p>
        </w:tc>
        <w:tc>
          <w:tcPr>
            <w:tcW w:w="7308" w:type="dxa"/>
            <w:gridSpan w:val="3"/>
            <w:shd w:val="clear" w:color="auto" w:fill="EDF0F3" w:themeFill="accent4" w:themeFillTint="33"/>
            <w:hideMark/>
          </w:tcPr>
          <w:p w14:paraId="67994F3A" w14:textId="77777777" w:rsidR="005B0AE9" w:rsidRDefault="005B0AE9" w:rsidP="005B0AE9">
            <w:pPr>
              <w:pStyle w:val="TableHeading"/>
              <w:rPr>
                <w:b w:val="0"/>
                <w:i/>
                <w:color w:val="005172" w:themeColor="text2"/>
                <w:lang w:val="en-US"/>
              </w:rPr>
            </w:pPr>
            <w:r>
              <w:rPr>
                <w:b w:val="0"/>
                <w:i/>
                <w:color w:val="005172" w:themeColor="text2"/>
                <w:lang w:val="en-US"/>
              </w:rPr>
              <w:t>Bring people together and partner with stakeholders to shape the future of the global intellectual property ecosystem</w:t>
            </w:r>
          </w:p>
        </w:tc>
      </w:tr>
      <w:tr w:rsidR="005B0AE9" w14:paraId="4B884CD0" w14:textId="77777777" w:rsidTr="00D915C4">
        <w:trPr>
          <w:cantSplit/>
          <w:trHeight w:val="726"/>
        </w:trPr>
        <w:tc>
          <w:tcPr>
            <w:tcW w:w="2434" w:type="dxa"/>
            <w:tcBorders>
              <w:bottom w:val="single" w:sz="4" w:space="0" w:color="AAB8C4" w:themeColor="accent4"/>
            </w:tcBorders>
            <w:hideMark/>
          </w:tcPr>
          <w:p w14:paraId="2069B4B1" w14:textId="77777777" w:rsidR="005B0AE9" w:rsidRDefault="005B0AE9" w:rsidP="005B0AE9">
            <w:pPr>
              <w:pStyle w:val="TableTextBold"/>
              <w:rPr>
                <w:lang w:val="en-US"/>
              </w:rPr>
            </w:pPr>
            <w:r>
              <w:rPr>
                <w:rStyle w:val="charColoured"/>
                <w:lang w:val="en-US"/>
              </w:rPr>
              <w:t>2.1</w:t>
            </w:r>
            <w:r>
              <w:rPr>
                <w:color w:val="005694"/>
                <w:lang w:val="en-US"/>
              </w:rPr>
              <w:t xml:space="preserve">  </w:t>
            </w:r>
            <w:r>
              <w:rPr>
                <w:lang w:val="en-US"/>
              </w:rPr>
              <w:t>Development of balanced and effective international normative frameworks for IP</w:t>
            </w:r>
          </w:p>
        </w:tc>
        <w:tc>
          <w:tcPr>
            <w:tcW w:w="2435" w:type="dxa"/>
            <w:tcBorders>
              <w:bottom w:val="single" w:sz="4" w:space="0" w:color="AAB8C4" w:themeColor="accent4"/>
            </w:tcBorders>
            <w:hideMark/>
          </w:tcPr>
          <w:p w14:paraId="1245B4DC" w14:textId="77777777" w:rsidR="005B0AE9" w:rsidRDefault="005B0AE9" w:rsidP="005B0AE9">
            <w:pPr>
              <w:pStyle w:val="TableText"/>
              <w:rPr>
                <w:lang w:val="en-US"/>
              </w:rPr>
            </w:pPr>
            <w:r>
              <w:rPr>
                <w:lang w:val="en-US"/>
              </w:rPr>
              <w:t xml:space="preserve">Progress on the implementation of agreed work in accordance with the agenda </w:t>
            </w:r>
            <w:r w:rsidRPr="00D321AB">
              <w:rPr>
                <w:lang w:val="en-US"/>
              </w:rPr>
              <w:t xml:space="preserve">the </w:t>
            </w:r>
            <w:r>
              <w:rPr>
                <w:lang w:val="en-US"/>
              </w:rPr>
              <w:t>Committee</w:t>
            </w:r>
          </w:p>
        </w:tc>
        <w:tc>
          <w:tcPr>
            <w:tcW w:w="2435" w:type="dxa"/>
            <w:tcBorders>
              <w:bottom w:val="single" w:sz="4" w:space="0" w:color="AAB8C4" w:themeColor="accent4"/>
            </w:tcBorders>
          </w:tcPr>
          <w:p w14:paraId="17380523" w14:textId="77777777" w:rsidR="005B0AE9" w:rsidRPr="0029340D" w:rsidRDefault="005B0AE9" w:rsidP="005B0AE9">
            <w:pPr>
              <w:ind w:left="79"/>
              <w:rPr>
                <w:rFonts w:ascii="Arial Narrow" w:hAnsi="Arial Narrow"/>
                <w:sz w:val="16"/>
                <w:szCs w:val="16"/>
                <w:vertAlign w:val="superscript"/>
                <w:lang w:val="en-US"/>
              </w:rPr>
            </w:pPr>
            <w:r>
              <w:rPr>
                <w:rFonts w:ascii="Arial Narrow" w:hAnsi="Arial Narrow"/>
                <w:sz w:val="16"/>
                <w:szCs w:val="16"/>
                <w:lang w:val="en-US"/>
              </w:rPr>
              <w:t xml:space="preserve">SCT work </w:t>
            </w:r>
            <w:r w:rsidRPr="00E87DE5">
              <w:rPr>
                <w:rFonts w:ascii="Arial Narrow" w:hAnsi="Arial Narrow"/>
                <w:sz w:val="16"/>
                <w:szCs w:val="16"/>
                <w:lang w:val="en-US"/>
              </w:rPr>
              <w:t>implemented in accordance with the agreed agenda</w:t>
            </w:r>
            <w:r>
              <w:rPr>
                <w:rFonts w:ascii="Arial Narrow" w:hAnsi="Arial Narrow"/>
                <w:sz w:val="16"/>
                <w:szCs w:val="16"/>
                <w:lang w:val="en-US"/>
              </w:rPr>
              <w:t>s</w:t>
            </w:r>
            <w:r w:rsidRPr="00E87DE5">
              <w:rPr>
                <w:rFonts w:ascii="Arial Narrow" w:hAnsi="Arial Narrow"/>
                <w:sz w:val="16"/>
                <w:szCs w:val="16"/>
                <w:lang w:val="en-US"/>
              </w:rPr>
              <w:t xml:space="preserve"> of SCT/4</w:t>
            </w:r>
            <w:r>
              <w:rPr>
                <w:rFonts w:ascii="Arial Narrow" w:hAnsi="Arial Narrow"/>
                <w:sz w:val="16"/>
                <w:szCs w:val="16"/>
                <w:lang w:val="en-US"/>
              </w:rPr>
              <w:t>5 and SCT/46</w:t>
            </w:r>
          </w:p>
        </w:tc>
        <w:tc>
          <w:tcPr>
            <w:tcW w:w="2438" w:type="dxa"/>
            <w:tcBorders>
              <w:bottom w:val="single" w:sz="4" w:space="0" w:color="AAB8C4" w:themeColor="accent4"/>
            </w:tcBorders>
          </w:tcPr>
          <w:p w14:paraId="5B29BF71" w14:textId="77777777" w:rsidR="005B0AE9" w:rsidRDefault="005B0AE9" w:rsidP="005B0AE9">
            <w:pPr>
              <w:pStyle w:val="TableText"/>
              <w:rPr>
                <w:lang w:val="en-US"/>
              </w:rPr>
            </w:pPr>
            <w:r w:rsidRPr="00070F26">
              <w:rPr>
                <w:szCs w:val="16"/>
                <w:lang w:val="en-US"/>
              </w:rPr>
              <w:t>Implementation of agreed work in accordance with the SC</w:t>
            </w:r>
            <w:r>
              <w:rPr>
                <w:szCs w:val="16"/>
                <w:lang w:val="en-US"/>
              </w:rPr>
              <w:t>T</w:t>
            </w:r>
            <w:r w:rsidRPr="00070F26">
              <w:rPr>
                <w:szCs w:val="16"/>
                <w:lang w:val="en-US"/>
              </w:rPr>
              <w:t xml:space="preserve"> agenda</w:t>
            </w:r>
          </w:p>
          <w:p w14:paraId="6BA246F0" w14:textId="77777777" w:rsidR="005B0AE9" w:rsidRDefault="005B0AE9" w:rsidP="005B0AE9">
            <w:pPr>
              <w:pStyle w:val="TableText"/>
              <w:ind w:left="0"/>
              <w:rPr>
                <w:lang w:val="en-US"/>
              </w:rPr>
            </w:pPr>
          </w:p>
        </w:tc>
      </w:tr>
    </w:tbl>
    <w:p w14:paraId="03F92E11" w14:textId="77777777" w:rsidR="00D915C4" w:rsidRDefault="00D915C4">
      <w:r>
        <w:rPr>
          <w:b/>
        </w:rPr>
        <w:br w:type="page"/>
      </w:r>
    </w:p>
    <w:tbl>
      <w:tblPr>
        <w:tblStyle w:val="TableGrid"/>
        <w:tblW w:w="97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434"/>
        <w:gridCol w:w="2435"/>
        <w:gridCol w:w="2435"/>
        <w:gridCol w:w="2438"/>
      </w:tblGrid>
      <w:tr w:rsidR="00D915C4" w14:paraId="4F56F16E" w14:textId="77777777" w:rsidTr="0000041D">
        <w:trPr>
          <w:trHeight w:val="287"/>
          <w:tblHeader/>
        </w:trPr>
        <w:tc>
          <w:tcPr>
            <w:tcW w:w="2434" w:type="dxa"/>
            <w:shd w:val="clear" w:color="auto" w:fill="C6CFD7" w:themeFill="accent3" w:themeFillTint="66"/>
            <w:hideMark/>
          </w:tcPr>
          <w:p w14:paraId="2ED77771" w14:textId="77777777" w:rsidR="00D915C4" w:rsidRDefault="00D915C4" w:rsidP="0000041D">
            <w:pPr>
              <w:pStyle w:val="TableHeading"/>
              <w:rPr>
                <w:lang w:val="en-US"/>
              </w:rPr>
            </w:pPr>
            <w:r>
              <w:rPr>
                <w:lang w:val="en-US"/>
              </w:rPr>
              <w:lastRenderedPageBreak/>
              <w:t>Expected Result</w:t>
            </w:r>
          </w:p>
        </w:tc>
        <w:tc>
          <w:tcPr>
            <w:tcW w:w="2435" w:type="dxa"/>
            <w:shd w:val="clear" w:color="auto" w:fill="C6CFD7" w:themeFill="accent3" w:themeFillTint="66"/>
            <w:hideMark/>
          </w:tcPr>
          <w:p w14:paraId="1B0DF309" w14:textId="77777777" w:rsidR="00D915C4" w:rsidRDefault="00D915C4" w:rsidP="0000041D">
            <w:pPr>
              <w:pStyle w:val="TableHeading"/>
              <w:rPr>
                <w:lang w:val="en-US"/>
              </w:rPr>
            </w:pPr>
            <w:r>
              <w:rPr>
                <w:lang w:val="en-US"/>
              </w:rPr>
              <w:t>Performance Indicators</w:t>
            </w:r>
          </w:p>
        </w:tc>
        <w:tc>
          <w:tcPr>
            <w:tcW w:w="2435" w:type="dxa"/>
            <w:shd w:val="clear" w:color="auto" w:fill="C6CFD7" w:themeFill="accent3" w:themeFillTint="66"/>
            <w:hideMark/>
          </w:tcPr>
          <w:p w14:paraId="0131509A" w14:textId="77777777" w:rsidR="00D915C4" w:rsidRDefault="00D915C4" w:rsidP="0000041D">
            <w:pPr>
              <w:pStyle w:val="TableHeading"/>
              <w:rPr>
                <w:lang w:val="en-US"/>
              </w:rPr>
            </w:pPr>
            <w:r>
              <w:rPr>
                <w:lang w:val="en-US"/>
              </w:rPr>
              <w:t>Baselines</w:t>
            </w:r>
          </w:p>
        </w:tc>
        <w:tc>
          <w:tcPr>
            <w:tcW w:w="2438" w:type="dxa"/>
            <w:shd w:val="clear" w:color="auto" w:fill="C6CFD7" w:themeFill="accent3" w:themeFillTint="66"/>
            <w:hideMark/>
          </w:tcPr>
          <w:p w14:paraId="5BEDDD7D" w14:textId="77777777" w:rsidR="00D915C4" w:rsidRDefault="00D915C4" w:rsidP="0000041D">
            <w:pPr>
              <w:pStyle w:val="TableHeading"/>
              <w:rPr>
                <w:lang w:val="en-US"/>
              </w:rPr>
            </w:pPr>
            <w:r>
              <w:rPr>
                <w:lang w:val="en-US"/>
              </w:rPr>
              <w:t>Targets</w:t>
            </w:r>
          </w:p>
        </w:tc>
      </w:tr>
      <w:tr w:rsidR="005B0AE9" w14:paraId="54F8FDF0" w14:textId="77777777" w:rsidTr="004150FE">
        <w:trPr>
          <w:cantSplit/>
          <w:trHeight w:val="287"/>
        </w:trPr>
        <w:tc>
          <w:tcPr>
            <w:tcW w:w="2434" w:type="dxa"/>
            <w:shd w:val="clear" w:color="auto" w:fill="EDF0F3" w:themeFill="accent4" w:themeFillTint="33"/>
            <w:hideMark/>
          </w:tcPr>
          <w:p w14:paraId="46F7A97E" w14:textId="781CCD34" w:rsidR="005B0AE9" w:rsidRDefault="005B0AE9" w:rsidP="005B0AE9">
            <w:pPr>
              <w:pStyle w:val="TableHeading"/>
              <w:rPr>
                <w:b w:val="0"/>
                <w:i/>
                <w:color w:val="005172" w:themeColor="text2"/>
                <w:lang w:val="en-US"/>
              </w:rPr>
            </w:pPr>
            <w:r>
              <w:rPr>
                <w:b w:val="0"/>
                <w:i/>
                <w:color w:val="005172" w:themeColor="text2"/>
                <w:lang w:val="en-US"/>
              </w:rPr>
              <w:t>Strategic Pillar 3</w:t>
            </w:r>
          </w:p>
        </w:tc>
        <w:tc>
          <w:tcPr>
            <w:tcW w:w="7308" w:type="dxa"/>
            <w:gridSpan w:val="3"/>
            <w:shd w:val="clear" w:color="auto" w:fill="EDF0F3" w:themeFill="accent4" w:themeFillTint="33"/>
            <w:hideMark/>
          </w:tcPr>
          <w:p w14:paraId="262E3020" w14:textId="77777777" w:rsidR="005B0AE9" w:rsidRDefault="005B0AE9" w:rsidP="005B0AE9">
            <w:pPr>
              <w:pStyle w:val="TableHeading"/>
              <w:rPr>
                <w:b w:val="0"/>
                <w:i/>
                <w:color w:val="005172" w:themeColor="text2"/>
                <w:lang w:val="en-US"/>
              </w:rPr>
            </w:pPr>
            <w:r>
              <w:rPr>
                <w:b w:val="0"/>
                <w:i/>
                <w:color w:val="005172" w:themeColor="text2"/>
                <w:lang w:val="en-US"/>
              </w:rPr>
              <w:t>Provide high quality intellectual property services, knowledge and data that deliver value to users around the world</w:t>
            </w:r>
          </w:p>
        </w:tc>
      </w:tr>
      <w:tr w:rsidR="005B0AE9" w14:paraId="62729170" w14:textId="77777777" w:rsidTr="005B0AE9">
        <w:trPr>
          <w:cantSplit/>
          <w:trHeight w:val="375"/>
        </w:trPr>
        <w:tc>
          <w:tcPr>
            <w:tcW w:w="2434" w:type="dxa"/>
            <w:vMerge w:val="restart"/>
            <w:hideMark/>
          </w:tcPr>
          <w:p w14:paraId="6F32B082" w14:textId="77777777" w:rsidR="005B0AE9" w:rsidRDefault="005B0AE9" w:rsidP="005B0AE9">
            <w:pPr>
              <w:pStyle w:val="TableTextBold"/>
              <w:rPr>
                <w:rStyle w:val="charColoured"/>
              </w:rPr>
            </w:pPr>
            <w:r>
              <w:rPr>
                <w:rStyle w:val="charColoured"/>
                <w:lang w:val="en-US"/>
              </w:rPr>
              <w:t>3.1</w:t>
            </w:r>
            <w:r>
              <w:rPr>
                <w:color w:val="005694"/>
                <w:lang w:val="en-US"/>
              </w:rPr>
              <w:t xml:space="preserve">  </w:t>
            </w:r>
            <w:r>
              <w:rPr>
                <w:lang w:val="en-US"/>
              </w:rPr>
              <w:t>Wider and more effective use of WIPO’s global IP systems, services, knowledge and data</w:t>
            </w:r>
          </w:p>
        </w:tc>
        <w:tc>
          <w:tcPr>
            <w:tcW w:w="2435" w:type="dxa"/>
            <w:hideMark/>
          </w:tcPr>
          <w:p w14:paraId="06AA60A5" w14:textId="77777777" w:rsidR="005B0AE9" w:rsidRDefault="005B0AE9" w:rsidP="005B0AE9">
            <w:pPr>
              <w:pStyle w:val="TableText"/>
              <w:ind w:left="115"/>
            </w:pPr>
            <w:r>
              <w:rPr>
                <w:lang w:val="en-US"/>
              </w:rPr>
              <w:t>Total Membership</w:t>
            </w:r>
          </w:p>
        </w:tc>
        <w:tc>
          <w:tcPr>
            <w:tcW w:w="2435" w:type="dxa"/>
          </w:tcPr>
          <w:p w14:paraId="514A3F54" w14:textId="77777777" w:rsidR="005B0AE9" w:rsidRPr="0029340D" w:rsidRDefault="005B0AE9" w:rsidP="005B0AE9">
            <w:pPr>
              <w:pStyle w:val="TableText"/>
              <w:ind w:left="79"/>
              <w:rPr>
                <w:szCs w:val="16"/>
                <w:lang w:val="en-US"/>
              </w:rPr>
            </w:pPr>
            <w:r>
              <w:rPr>
                <w:szCs w:val="16"/>
                <w:lang w:val="en-US"/>
              </w:rPr>
              <w:t>Madrid System (end 2022</w:t>
            </w:r>
            <w:r w:rsidRPr="002C52F9">
              <w:rPr>
                <w:szCs w:val="16"/>
                <w:lang w:val="en-US"/>
              </w:rPr>
              <w:t xml:space="preserve">):  </w:t>
            </w:r>
            <w:r w:rsidRPr="00983583">
              <w:rPr>
                <w:szCs w:val="16"/>
              </w:rPr>
              <w:t>113</w:t>
            </w:r>
            <w:r>
              <w:rPr>
                <w:szCs w:val="16"/>
              </w:rPr>
              <w:t> </w:t>
            </w:r>
            <w:r>
              <w:rPr>
                <w:szCs w:val="16"/>
                <w:lang w:val="en-US"/>
              </w:rPr>
              <w:t>Contracting Parties (CPs)</w:t>
            </w:r>
          </w:p>
        </w:tc>
        <w:tc>
          <w:tcPr>
            <w:tcW w:w="2438" w:type="dxa"/>
          </w:tcPr>
          <w:p w14:paraId="286C6BDC" w14:textId="3983EC2A" w:rsidR="005B0AE9" w:rsidRPr="00EB77C0" w:rsidRDefault="00EB77C0" w:rsidP="00EB77C0">
            <w:pPr>
              <w:pStyle w:val="TableText"/>
              <w:rPr>
                <w:szCs w:val="16"/>
              </w:rPr>
            </w:pPr>
            <w:r w:rsidRPr="00EB77C0">
              <w:rPr>
                <w:szCs w:val="16"/>
                <w:lang w:val="en-US"/>
              </w:rPr>
              <w:t>6</w:t>
            </w:r>
            <w:r w:rsidR="005B0AE9" w:rsidRPr="00EB77C0">
              <w:rPr>
                <w:szCs w:val="16"/>
                <w:lang w:val="en-US"/>
              </w:rPr>
              <w:t xml:space="preserve"> additional members (</w:t>
            </w:r>
            <w:r w:rsidRPr="00EB77C0">
              <w:rPr>
                <w:szCs w:val="16"/>
                <w:lang w:val="en-US"/>
              </w:rPr>
              <w:t>3</w:t>
            </w:r>
            <w:r w:rsidR="005B0AE9" w:rsidRPr="00EB77C0">
              <w:rPr>
                <w:szCs w:val="16"/>
                <w:lang w:val="en-US"/>
              </w:rPr>
              <w:t xml:space="preserve"> per year)</w:t>
            </w:r>
          </w:p>
        </w:tc>
      </w:tr>
      <w:tr w:rsidR="005B0AE9" w14:paraId="2BEF4E62" w14:textId="77777777" w:rsidTr="005B0AE9">
        <w:trPr>
          <w:cantSplit/>
          <w:trHeight w:val="375"/>
        </w:trPr>
        <w:tc>
          <w:tcPr>
            <w:tcW w:w="2434" w:type="dxa"/>
            <w:vMerge/>
          </w:tcPr>
          <w:p w14:paraId="60427091" w14:textId="77777777" w:rsidR="005B0AE9" w:rsidRDefault="005B0AE9" w:rsidP="005B0AE9">
            <w:pPr>
              <w:pStyle w:val="TableTextBold"/>
              <w:rPr>
                <w:rStyle w:val="charColoured"/>
                <w:lang w:val="en-US"/>
              </w:rPr>
            </w:pPr>
          </w:p>
        </w:tc>
        <w:tc>
          <w:tcPr>
            <w:tcW w:w="2435" w:type="dxa"/>
          </w:tcPr>
          <w:p w14:paraId="6FE566AE" w14:textId="77777777" w:rsidR="005B0AE9" w:rsidRDefault="005B0AE9" w:rsidP="005B0AE9">
            <w:pPr>
              <w:pStyle w:val="TableText"/>
              <w:ind w:left="115"/>
              <w:rPr>
                <w:lang w:val="en-US"/>
              </w:rPr>
            </w:pPr>
          </w:p>
        </w:tc>
        <w:tc>
          <w:tcPr>
            <w:tcW w:w="2435" w:type="dxa"/>
          </w:tcPr>
          <w:p w14:paraId="4EA112A7" w14:textId="0AF20478" w:rsidR="005B0AE9" w:rsidRDefault="005B0AE9" w:rsidP="005B0AE9">
            <w:pPr>
              <w:ind w:left="79"/>
              <w:rPr>
                <w:szCs w:val="16"/>
                <w:lang w:val="en-US"/>
              </w:rPr>
            </w:pPr>
            <w:r>
              <w:rPr>
                <w:rFonts w:ascii="Arial Narrow" w:hAnsi="Arial Narrow"/>
                <w:sz w:val="16"/>
                <w:szCs w:val="16"/>
                <w:lang w:val="en-US"/>
              </w:rPr>
              <w:t>The Hague System (end 2022</w:t>
            </w:r>
            <w:r w:rsidRPr="004533FB">
              <w:rPr>
                <w:rFonts w:ascii="Arial Narrow" w:hAnsi="Arial Narrow"/>
                <w:sz w:val="16"/>
                <w:szCs w:val="16"/>
                <w:lang w:val="en-US"/>
              </w:rPr>
              <w:t xml:space="preserve">): </w:t>
            </w:r>
            <w:r w:rsidRPr="006C0F75">
              <w:rPr>
                <w:rFonts w:ascii="Arial Narrow" w:hAnsi="Arial Narrow"/>
                <w:sz w:val="16"/>
                <w:szCs w:val="16"/>
                <w:lang w:val="en-US"/>
              </w:rPr>
              <w:t>69</w:t>
            </w:r>
            <w:r>
              <w:rPr>
                <w:rFonts w:ascii="Arial Narrow" w:hAnsi="Arial Narrow"/>
                <w:sz w:val="16"/>
                <w:szCs w:val="16"/>
                <w:lang w:val="en-US"/>
              </w:rPr>
              <w:t xml:space="preserve"> CPs to the Geneva (1999) Act; </w:t>
            </w:r>
            <w:r w:rsidRPr="006C0F75">
              <w:rPr>
                <w:rFonts w:ascii="Arial Narrow" w:hAnsi="Arial Narrow"/>
                <w:sz w:val="16"/>
                <w:szCs w:val="16"/>
                <w:lang w:val="en-US"/>
              </w:rPr>
              <w:t>34</w:t>
            </w:r>
            <w:r>
              <w:rPr>
                <w:rFonts w:ascii="Arial Narrow" w:hAnsi="Arial Narrow"/>
                <w:sz w:val="16"/>
                <w:szCs w:val="16"/>
                <w:lang w:val="en-US"/>
              </w:rPr>
              <w:t> CPs to the H</w:t>
            </w:r>
            <w:r w:rsidR="00BB10DC">
              <w:rPr>
                <w:rFonts w:ascii="Arial Narrow" w:hAnsi="Arial Narrow"/>
                <w:sz w:val="16"/>
                <w:szCs w:val="16"/>
                <w:lang w:val="en-US"/>
              </w:rPr>
              <w:t>ag</w:t>
            </w:r>
            <w:r>
              <w:rPr>
                <w:rFonts w:ascii="Arial Narrow" w:hAnsi="Arial Narrow"/>
                <w:sz w:val="16"/>
                <w:szCs w:val="16"/>
                <w:lang w:val="en-US"/>
              </w:rPr>
              <w:t>ue (1960) Act</w:t>
            </w:r>
          </w:p>
        </w:tc>
        <w:tc>
          <w:tcPr>
            <w:tcW w:w="2438" w:type="dxa"/>
          </w:tcPr>
          <w:p w14:paraId="14556ACF" w14:textId="3D88C3FB" w:rsidR="005B0AE9" w:rsidRPr="00EB77C0" w:rsidRDefault="00EB77C0" w:rsidP="005B0AE9">
            <w:pPr>
              <w:pStyle w:val="TableText"/>
              <w:rPr>
                <w:szCs w:val="16"/>
                <w:lang w:val="en-US"/>
              </w:rPr>
            </w:pPr>
            <w:r w:rsidRPr="00EB77C0">
              <w:rPr>
                <w:szCs w:val="16"/>
                <w:lang w:val="en-US"/>
              </w:rPr>
              <w:t xml:space="preserve">5 </w:t>
            </w:r>
            <w:r w:rsidR="005B0AE9" w:rsidRPr="00EB77C0">
              <w:rPr>
                <w:szCs w:val="16"/>
                <w:lang w:val="en-US"/>
              </w:rPr>
              <w:t>additional members to the Geneva (1999) Act; No additional members to the Hague (1960) Act</w:t>
            </w:r>
          </w:p>
        </w:tc>
      </w:tr>
      <w:tr w:rsidR="005B0AE9" w14:paraId="68910FB5" w14:textId="77777777" w:rsidTr="005B0AE9">
        <w:trPr>
          <w:cantSplit/>
          <w:trHeight w:val="375"/>
        </w:trPr>
        <w:tc>
          <w:tcPr>
            <w:tcW w:w="2434" w:type="dxa"/>
            <w:vMerge/>
          </w:tcPr>
          <w:p w14:paraId="169ECE82" w14:textId="77777777" w:rsidR="005B0AE9" w:rsidRDefault="005B0AE9" w:rsidP="005B0AE9">
            <w:pPr>
              <w:pStyle w:val="TableTextBold"/>
              <w:rPr>
                <w:rStyle w:val="charColoured"/>
                <w:lang w:val="en-US"/>
              </w:rPr>
            </w:pPr>
          </w:p>
        </w:tc>
        <w:tc>
          <w:tcPr>
            <w:tcW w:w="2435" w:type="dxa"/>
          </w:tcPr>
          <w:p w14:paraId="656520F3" w14:textId="77777777" w:rsidR="005B0AE9" w:rsidRDefault="005B0AE9" w:rsidP="005B0AE9">
            <w:pPr>
              <w:pStyle w:val="TableText"/>
              <w:ind w:left="115"/>
              <w:rPr>
                <w:lang w:val="en-US"/>
              </w:rPr>
            </w:pPr>
          </w:p>
        </w:tc>
        <w:tc>
          <w:tcPr>
            <w:tcW w:w="2435" w:type="dxa"/>
          </w:tcPr>
          <w:p w14:paraId="73ADEE4E" w14:textId="77777777" w:rsidR="005B0AE9" w:rsidRPr="0029340D" w:rsidRDefault="005B0AE9" w:rsidP="005B0AE9">
            <w:pPr>
              <w:pStyle w:val="TableText"/>
              <w:ind w:left="79"/>
              <w:rPr>
                <w:szCs w:val="16"/>
                <w:lang w:val="en-US"/>
              </w:rPr>
            </w:pPr>
            <w:r>
              <w:rPr>
                <w:szCs w:val="16"/>
              </w:rPr>
              <w:t>Lisbon System (end 2022</w:t>
            </w:r>
            <w:r w:rsidRPr="0019751E">
              <w:rPr>
                <w:szCs w:val="16"/>
              </w:rPr>
              <w:t>)</w:t>
            </w:r>
            <w:r>
              <w:rPr>
                <w:szCs w:val="16"/>
              </w:rPr>
              <w:t>: 16 CPs to the Geneva (2015) Act; 30 CPs t</w:t>
            </w:r>
            <w:r w:rsidRPr="00CA683D">
              <w:rPr>
                <w:szCs w:val="16"/>
              </w:rPr>
              <w:t>o the Lisbon Agreement (1958 &amp; 1967) Acts</w:t>
            </w:r>
          </w:p>
        </w:tc>
        <w:tc>
          <w:tcPr>
            <w:tcW w:w="2438" w:type="dxa"/>
          </w:tcPr>
          <w:p w14:paraId="729C12FB" w14:textId="19C85AB6" w:rsidR="005B0AE9" w:rsidRPr="00EB77C0" w:rsidRDefault="00A56017" w:rsidP="005B0AE9">
            <w:pPr>
              <w:pStyle w:val="TableText"/>
              <w:rPr>
                <w:szCs w:val="16"/>
              </w:rPr>
            </w:pPr>
            <w:r>
              <w:rPr>
                <w:szCs w:val="16"/>
                <w:lang w:val="en-US"/>
              </w:rPr>
              <w:t>6</w:t>
            </w:r>
            <w:r w:rsidR="005B0AE9" w:rsidRPr="00EB77C0">
              <w:rPr>
                <w:szCs w:val="16"/>
                <w:lang w:val="en-US"/>
              </w:rPr>
              <w:t xml:space="preserve"> additional members to the Geneva (2015) Act; No additional members to the Lisbon Agreement (1958 &amp; 1967) Acts</w:t>
            </w:r>
          </w:p>
        </w:tc>
      </w:tr>
      <w:tr w:rsidR="005B0AE9" w14:paraId="555A6097" w14:textId="77777777" w:rsidTr="005B0AE9">
        <w:trPr>
          <w:cantSplit/>
          <w:trHeight w:val="372"/>
        </w:trPr>
        <w:tc>
          <w:tcPr>
            <w:tcW w:w="2434" w:type="dxa"/>
            <w:vMerge/>
          </w:tcPr>
          <w:p w14:paraId="20147B95" w14:textId="77777777" w:rsidR="005B0AE9" w:rsidRDefault="005B0AE9" w:rsidP="005B0AE9">
            <w:pPr>
              <w:pStyle w:val="TableTextBold"/>
              <w:rPr>
                <w:rStyle w:val="charColoured"/>
                <w:lang w:val="en-US"/>
              </w:rPr>
            </w:pPr>
          </w:p>
        </w:tc>
        <w:tc>
          <w:tcPr>
            <w:tcW w:w="2435" w:type="dxa"/>
          </w:tcPr>
          <w:p w14:paraId="4CD5BB06" w14:textId="77777777" w:rsidR="005B0AE9" w:rsidRDefault="005B0AE9" w:rsidP="005B0AE9">
            <w:pPr>
              <w:pStyle w:val="TableText"/>
              <w:rPr>
                <w:lang w:val="en-US"/>
              </w:rPr>
            </w:pPr>
            <w:r>
              <w:rPr>
                <w:lang w:val="en-US"/>
              </w:rPr>
              <w:t>Filing Rate</w:t>
            </w:r>
          </w:p>
        </w:tc>
        <w:tc>
          <w:tcPr>
            <w:tcW w:w="2435" w:type="dxa"/>
          </w:tcPr>
          <w:p w14:paraId="3E74C25A" w14:textId="298ECCF5" w:rsidR="005B0AE9" w:rsidRDefault="005B0AE9" w:rsidP="00565B19">
            <w:pPr>
              <w:pStyle w:val="TableText"/>
              <w:rPr>
                <w:lang w:val="en-US"/>
              </w:rPr>
            </w:pPr>
            <w:r>
              <w:rPr>
                <w:lang w:val="en-US"/>
              </w:rPr>
              <w:t>Madrid System applications: 69,000</w:t>
            </w:r>
          </w:p>
        </w:tc>
        <w:tc>
          <w:tcPr>
            <w:tcW w:w="2438" w:type="dxa"/>
          </w:tcPr>
          <w:p w14:paraId="2050C320" w14:textId="4910A988" w:rsidR="005B0AE9" w:rsidRPr="005C08DC" w:rsidRDefault="005B0AE9">
            <w:pPr>
              <w:pStyle w:val="TableText"/>
              <w:rPr>
                <w:szCs w:val="16"/>
              </w:rPr>
            </w:pPr>
            <w:r w:rsidRPr="005C08DC">
              <w:rPr>
                <w:szCs w:val="16"/>
              </w:rPr>
              <w:t>2024: 7</w:t>
            </w:r>
            <w:r w:rsidR="00565B19">
              <w:rPr>
                <w:szCs w:val="16"/>
              </w:rPr>
              <w:t>2,9</w:t>
            </w:r>
            <w:r w:rsidRPr="005C08DC">
              <w:rPr>
                <w:szCs w:val="16"/>
              </w:rPr>
              <w:t>00;      2025: 7</w:t>
            </w:r>
            <w:r w:rsidR="00565B19">
              <w:rPr>
                <w:szCs w:val="16"/>
              </w:rPr>
              <w:t>5</w:t>
            </w:r>
            <w:r w:rsidRPr="005C08DC">
              <w:rPr>
                <w:szCs w:val="16"/>
              </w:rPr>
              <w:t>,</w:t>
            </w:r>
            <w:r w:rsidR="00565B19">
              <w:rPr>
                <w:szCs w:val="16"/>
              </w:rPr>
              <w:t>0</w:t>
            </w:r>
            <w:r w:rsidRPr="005C08DC">
              <w:rPr>
                <w:szCs w:val="16"/>
              </w:rPr>
              <w:t>00</w:t>
            </w:r>
          </w:p>
        </w:tc>
      </w:tr>
      <w:tr w:rsidR="005B0AE9" w14:paraId="70D159F9" w14:textId="77777777" w:rsidTr="005B0AE9">
        <w:trPr>
          <w:cantSplit/>
          <w:trHeight w:val="372"/>
        </w:trPr>
        <w:tc>
          <w:tcPr>
            <w:tcW w:w="2434" w:type="dxa"/>
          </w:tcPr>
          <w:p w14:paraId="07386304" w14:textId="77777777" w:rsidR="005B0AE9" w:rsidRDefault="005B0AE9" w:rsidP="005B0AE9">
            <w:pPr>
              <w:pStyle w:val="TableTextBold"/>
              <w:rPr>
                <w:rStyle w:val="charColoured"/>
                <w:lang w:val="en-US"/>
              </w:rPr>
            </w:pPr>
          </w:p>
        </w:tc>
        <w:tc>
          <w:tcPr>
            <w:tcW w:w="2435" w:type="dxa"/>
          </w:tcPr>
          <w:p w14:paraId="193B41FC" w14:textId="77777777" w:rsidR="005B0AE9" w:rsidRDefault="005B0AE9" w:rsidP="005B0AE9">
            <w:pPr>
              <w:pStyle w:val="TableText"/>
              <w:rPr>
                <w:lang w:val="en-US"/>
              </w:rPr>
            </w:pPr>
          </w:p>
        </w:tc>
        <w:tc>
          <w:tcPr>
            <w:tcW w:w="2435" w:type="dxa"/>
          </w:tcPr>
          <w:p w14:paraId="115F1680" w14:textId="290EC82E" w:rsidR="005B0AE9" w:rsidRDefault="005B0AE9" w:rsidP="00565B19">
            <w:pPr>
              <w:pStyle w:val="TableText"/>
              <w:rPr>
                <w:lang w:val="en-US"/>
              </w:rPr>
            </w:pPr>
            <w:r>
              <w:rPr>
                <w:lang w:val="en-US"/>
              </w:rPr>
              <w:t>The Hague System Applications: 7,97</w:t>
            </w:r>
            <w:r w:rsidR="00565B19">
              <w:rPr>
                <w:lang w:val="en-US"/>
              </w:rPr>
              <w:t>7</w:t>
            </w:r>
            <w:r>
              <w:rPr>
                <w:lang w:val="en-US"/>
              </w:rPr>
              <w:t xml:space="preserve"> </w:t>
            </w:r>
          </w:p>
        </w:tc>
        <w:tc>
          <w:tcPr>
            <w:tcW w:w="2438" w:type="dxa"/>
          </w:tcPr>
          <w:p w14:paraId="07EED796" w14:textId="1B601A69" w:rsidR="005B0AE9" w:rsidRPr="005C08DC" w:rsidRDefault="005B0AE9">
            <w:pPr>
              <w:pStyle w:val="TableText"/>
              <w:rPr>
                <w:szCs w:val="16"/>
              </w:rPr>
            </w:pPr>
            <w:r w:rsidRPr="005C08DC">
              <w:rPr>
                <w:szCs w:val="16"/>
              </w:rPr>
              <w:t>2024: 9,9</w:t>
            </w:r>
            <w:r w:rsidR="00565B19">
              <w:rPr>
                <w:szCs w:val="16"/>
              </w:rPr>
              <w:t>7</w:t>
            </w:r>
            <w:r w:rsidRPr="005C08DC">
              <w:rPr>
                <w:szCs w:val="16"/>
              </w:rPr>
              <w:t xml:space="preserve">0;       </w:t>
            </w:r>
            <w:r w:rsidR="00565B19">
              <w:rPr>
                <w:szCs w:val="16"/>
              </w:rPr>
              <w:t xml:space="preserve"> </w:t>
            </w:r>
            <w:r w:rsidRPr="005C08DC">
              <w:rPr>
                <w:szCs w:val="16"/>
              </w:rPr>
              <w:t xml:space="preserve">2025: </w:t>
            </w:r>
            <w:r>
              <w:rPr>
                <w:szCs w:val="16"/>
              </w:rPr>
              <w:t>10,</w:t>
            </w:r>
            <w:r w:rsidR="00565B19">
              <w:rPr>
                <w:szCs w:val="16"/>
              </w:rPr>
              <w:t>84</w:t>
            </w:r>
            <w:r>
              <w:rPr>
                <w:szCs w:val="16"/>
              </w:rPr>
              <w:t>0</w:t>
            </w:r>
          </w:p>
        </w:tc>
      </w:tr>
      <w:tr w:rsidR="005B0AE9" w14:paraId="473C4690" w14:textId="77777777" w:rsidTr="005B0AE9">
        <w:trPr>
          <w:cantSplit/>
          <w:trHeight w:val="372"/>
        </w:trPr>
        <w:tc>
          <w:tcPr>
            <w:tcW w:w="2434" w:type="dxa"/>
          </w:tcPr>
          <w:p w14:paraId="2A75A669" w14:textId="77777777" w:rsidR="005B0AE9" w:rsidRDefault="005B0AE9" w:rsidP="005B0AE9">
            <w:pPr>
              <w:pStyle w:val="TableTextBold"/>
              <w:rPr>
                <w:rStyle w:val="charColoured"/>
                <w:lang w:val="en-US"/>
              </w:rPr>
            </w:pPr>
          </w:p>
        </w:tc>
        <w:tc>
          <w:tcPr>
            <w:tcW w:w="2435" w:type="dxa"/>
          </w:tcPr>
          <w:p w14:paraId="7E7DD4D8" w14:textId="77777777" w:rsidR="005B0AE9" w:rsidRDefault="005B0AE9" w:rsidP="005B0AE9">
            <w:pPr>
              <w:pStyle w:val="TableText"/>
              <w:rPr>
                <w:lang w:val="en-US"/>
              </w:rPr>
            </w:pPr>
          </w:p>
        </w:tc>
        <w:tc>
          <w:tcPr>
            <w:tcW w:w="2435" w:type="dxa"/>
          </w:tcPr>
          <w:p w14:paraId="3C5B6658" w14:textId="307D49B8" w:rsidR="005B0AE9" w:rsidRDefault="005B0AE9" w:rsidP="005B0AE9">
            <w:pPr>
              <w:pStyle w:val="TableText"/>
              <w:rPr>
                <w:lang w:val="en-US"/>
              </w:rPr>
            </w:pPr>
            <w:r>
              <w:rPr>
                <w:lang w:val="en-US"/>
              </w:rPr>
              <w:t xml:space="preserve">Lisbon System </w:t>
            </w:r>
            <w:r w:rsidR="00EB77C0">
              <w:rPr>
                <w:lang w:val="en-US"/>
              </w:rPr>
              <w:t>i</w:t>
            </w:r>
            <w:r>
              <w:rPr>
                <w:lang w:val="en-US"/>
              </w:rPr>
              <w:t>nternational applications: 31</w:t>
            </w:r>
          </w:p>
        </w:tc>
        <w:tc>
          <w:tcPr>
            <w:tcW w:w="2438" w:type="dxa"/>
          </w:tcPr>
          <w:p w14:paraId="19720BD2" w14:textId="77777777" w:rsidR="005B0AE9" w:rsidRDefault="005B0AE9" w:rsidP="005B0AE9">
            <w:pPr>
              <w:pStyle w:val="TableText"/>
              <w:rPr>
                <w:szCs w:val="16"/>
              </w:rPr>
            </w:pPr>
            <w:r>
              <w:rPr>
                <w:szCs w:val="16"/>
                <w:lang w:val="en-US"/>
              </w:rPr>
              <w:t>80 per year (16</w:t>
            </w:r>
            <w:r w:rsidRPr="002C52F9">
              <w:rPr>
                <w:szCs w:val="16"/>
                <w:lang w:val="en-US"/>
              </w:rPr>
              <w:t xml:space="preserve">0 applications for </w:t>
            </w:r>
            <w:r>
              <w:rPr>
                <w:szCs w:val="16"/>
                <w:lang w:val="en-US"/>
              </w:rPr>
              <w:t>2024/25</w:t>
            </w:r>
            <w:r w:rsidRPr="002C52F9">
              <w:rPr>
                <w:szCs w:val="16"/>
                <w:lang w:val="en-US"/>
              </w:rPr>
              <w:t>)</w:t>
            </w:r>
          </w:p>
        </w:tc>
      </w:tr>
      <w:tr w:rsidR="005B0AE9" w14:paraId="40E272E6" w14:textId="77777777" w:rsidTr="005B0AE9">
        <w:trPr>
          <w:cantSplit/>
          <w:trHeight w:val="336"/>
        </w:trPr>
        <w:tc>
          <w:tcPr>
            <w:tcW w:w="2434" w:type="dxa"/>
          </w:tcPr>
          <w:p w14:paraId="6E6BE2E4" w14:textId="77777777" w:rsidR="005B0AE9" w:rsidRDefault="005B0AE9" w:rsidP="005B0AE9">
            <w:pPr>
              <w:pStyle w:val="TableTextBold"/>
              <w:rPr>
                <w:rStyle w:val="charColoured"/>
                <w:lang w:val="en-US"/>
              </w:rPr>
            </w:pPr>
          </w:p>
        </w:tc>
        <w:tc>
          <w:tcPr>
            <w:tcW w:w="2435" w:type="dxa"/>
          </w:tcPr>
          <w:p w14:paraId="3BEC4A33" w14:textId="77777777" w:rsidR="005B0AE9" w:rsidRDefault="005B0AE9" w:rsidP="005B0AE9">
            <w:pPr>
              <w:pStyle w:val="TableText"/>
              <w:ind w:left="115"/>
              <w:rPr>
                <w:lang w:val="en-US"/>
              </w:rPr>
            </w:pPr>
            <w:r>
              <w:rPr>
                <w:lang w:val="en-US"/>
              </w:rPr>
              <w:t>Renewals</w:t>
            </w:r>
          </w:p>
        </w:tc>
        <w:tc>
          <w:tcPr>
            <w:tcW w:w="2435" w:type="dxa"/>
          </w:tcPr>
          <w:p w14:paraId="72E76CA7" w14:textId="77777777" w:rsidR="005B0AE9" w:rsidRDefault="005B0AE9" w:rsidP="005B0AE9">
            <w:pPr>
              <w:pStyle w:val="TableText"/>
              <w:rPr>
                <w:lang w:val="en-US"/>
              </w:rPr>
            </w:pPr>
            <w:r>
              <w:rPr>
                <w:lang w:val="en-US"/>
              </w:rPr>
              <w:t>Madrid System: 38,265</w:t>
            </w:r>
          </w:p>
        </w:tc>
        <w:tc>
          <w:tcPr>
            <w:tcW w:w="2438" w:type="dxa"/>
          </w:tcPr>
          <w:p w14:paraId="3340329D" w14:textId="77777777" w:rsidR="005B0AE9" w:rsidRPr="005C08DC" w:rsidRDefault="005B0AE9" w:rsidP="005B0AE9">
            <w:pPr>
              <w:pStyle w:val="TableText"/>
              <w:rPr>
                <w:szCs w:val="16"/>
              </w:rPr>
            </w:pPr>
            <w:r w:rsidRPr="005C08DC">
              <w:rPr>
                <w:szCs w:val="16"/>
              </w:rPr>
              <w:t>2024: 38,400;      2025: 40,400</w:t>
            </w:r>
          </w:p>
        </w:tc>
      </w:tr>
      <w:tr w:rsidR="005B0AE9" w14:paraId="117F6466" w14:textId="77777777" w:rsidTr="004150FE">
        <w:trPr>
          <w:cantSplit/>
          <w:trHeight w:val="336"/>
        </w:trPr>
        <w:tc>
          <w:tcPr>
            <w:tcW w:w="2434" w:type="dxa"/>
            <w:tcBorders>
              <w:bottom w:val="single" w:sz="4" w:space="0" w:color="BFBFBF" w:themeColor="background1" w:themeShade="BF"/>
            </w:tcBorders>
          </w:tcPr>
          <w:p w14:paraId="4A5EAE6E" w14:textId="77777777" w:rsidR="005B0AE9" w:rsidRDefault="005B0AE9" w:rsidP="005B0AE9">
            <w:pPr>
              <w:pStyle w:val="TableTextBold"/>
              <w:rPr>
                <w:rStyle w:val="charColoured"/>
                <w:lang w:val="en-US"/>
              </w:rPr>
            </w:pPr>
          </w:p>
        </w:tc>
        <w:tc>
          <w:tcPr>
            <w:tcW w:w="2435" w:type="dxa"/>
            <w:tcBorders>
              <w:bottom w:val="single" w:sz="4" w:space="0" w:color="BFBFBF" w:themeColor="background1" w:themeShade="BF"/>
            </w:tcBorders>
          </w:tcPr>
          <w:p w14:paraId="2D5699BD" w14:textId="77777777" w:rsidR="005B0AE9" w:rsidRDefault="005B0AE9" w:rsidP="005B0AE9">
            <w:pPr>
              <w:pStyle w:val="TableText"/>
              <w:ind w:left="115"/>
              <w:rPr>
                <w:lang w:val="en-US"/>
              </w:rPr>
            </w:pPr>
          </w:p>
        </w:tc>
        <w:tc>
          <w:tcPr>
            <w:tcW w:w="2435" w:type="dxa"/>
            <w:tcBorders>
              <w:bottom w:val="single" w:sz="4" w:space="0" w:color="BFBFBF" w:themeColor="background1" w:themeShade="BF"/>
            </w:tcBorders>
          </w:tcPr>
          <w:p w14:paraId="6E54B116" w14:textId="77777777" w:rsidR="005B0AE9" w:rsidRPr="005C08DC" w:rsidRDefault="005B0AE9" w:rsidP="005B0AE9">
            <w:pPr>
              <w:pStyle w:val="TableText"/>
              <w:rPr>
                <w:lang w:val="en-US"/>
              </w:rPr>
            </w:pPr>
            <w:r w:rsidRPr="005C08DC">
              <w:rPr>
                <w:lang w:val="en-US"/>
              </w:rPr>
              <w:t>The Hague System: 5,284</w:t>
            </w:r>
          </w:p>
        </w:tc>
        <w:tc>
          <w:tcPr>
            <w:tcW w:w="2438" w:type="dxa"/>
            <w:tcBorders>
              <w:bottom w:val="single" w:sz="4" w:space="0" w:color="BFBFBF" w:themeColor="background1" w:themeShade="BF"/>
            </w:tcBorders>
          </w:tcPr>
          <w:p w14:paraId="421A997F" w14:textId="77777777" w:rsidR="005B0AE9" w:rsidRPr="005C08DC" w:rsidRDefault="005B0AE9" w:rsidP="005B0AE9">
            <w:pPr>
              <w:pStyle w:val="TableText"/>
              <w:rPr>
                <w:szCs w:val="16"/>
              </w:rPr>
            </w:pPr>
            <w:r w:rsidRPr="005C08DC">
              <w:rPr>
                <w:szCs w:val="16"/>
              </w:rPr>
              <w:t>2024: 5,570;        2025: 6,280</w:t>
            </w:r>
          </w:p>
        </w:tc>
      </w:tr>
      <w:tr w:rsidR="005B0AE9" w14:paraId="6097EF4A" w14:textId="77777777" w:rsidTr="005B0AE9">
        <w:trPr>
          <w:cantSplit/>
          <w:trHeight w:val="290"/>
        </w:trPr>
        <w:tc>
          <w:tcPr>
            <w:tcW w:w="2434" w:type="dxa"/>
            <w:vMerge w:val="restart"/>
            <w:tcBorders>
              <w:top w:val="single" w:sz="4" w:space="0" w:color="BFBFBF" w:themeColor="background1" w:themeShade="BF"/>
              <w:left w:val="nil"/>
              <w:right w:val="nil"/>
            </w:tcBorders>
            <w:hideMark/>
          </w:tcPr>
          <w:p w14:paraId="5F3B4690" w14:textId="77777777" w:rsidR="005B0AE9" w:rsidRDefault="005B0AE9" w:rsidP="005B0AE9">
            <w:pPr>
              <w:pStyle w:val="TableTextBold"/>
              <w:rPr>
                <w:lang w:val="en-US"/>
              </w:rPr>
            </w:pPr>
            <w:r>
              <w:rPr>
                <w:rStyle w:val="charColoured"/>
                <w:lang w:val="en-US"/>
              </w:rPr>
              <w:t>3.2</w:t>
            </w:r>
            <w:r>
              <w:rPr>
                <w:color w:val="005694"/>
                <w:lang w:val="en-US"/>
              </w:rPr>
              <w:t xml:space="preserve">  </w:t>
            </w:r>
            <w:r>
              <w:rPr>
                <w:lang w:val="en-US"/>
              </w:rPr>
              <w:t>Improved productivity and service quality of WIPO’s global IP systems, services, knowledge and data</w:t>
            </w:r>
          </w:p>
        </w:tc>
        <w:tc>
          <w:tcPr>
            <w:tcW w:w="2435" w:type="dxa"/>
            <w:vMerge w:val="restart"/>
            <w:tcBorders>
              <w:top w:val="single" w:sz="4" w:space="0" w:color="BFBFBF" w:themeColor="background1" w:themeShade="BF"/>
              <w:left w:val="nil"/>
              <w:right w:val="nil"/>
            </w:tcBorders>
            <w:hideMark/>
          </w:tcPr>
          <w:p w14:paraId="000EF448" w14:textId="77777777" w:rsidR="005B0AE9" w:rsidRDefault="005B0AE9" w:rsidP="005B0AE9">
            <w:pPr>
              <w:pStyle w:val="TableText"/>
              <w:rPr>
                <w:lang w:val="en-US"/>
              </w:rPr>
            </w:pPr>
            <w:r>
              <w:rPr>
                <w:lang w:val="en-US"/>
              </w:rPr>
              <w:t>Level of satisfaction of WIPO global IP system users with International Bureaus Services</w:t>
            </w:r>
          </w:p>
        </w:tc>
        <w:tc>
          <w:tcPr>
            <w:tcW w:w="2435" w:type="dxa"/>
            <w:tcBorders>
              <w:top w:val="single" w:sz="4" w:space="0" w:color="BFBFBF" w:themeColor="background1" w:themeShade="BF"/>
              <w:left w:val="nil"/>
              <w:right w:val="nil"/>
            </w:tcBorders>
          </w:tcPr>
          <w:p w14:paraId="58BE2C32" w14:textId="66CB1BC1" w:rsidR="005B0AE9" w:rsidRDefault="005B0AE9" w:rsidP="004150FE">
            <w:pPr>
              <w:pStyle w:val="TableText"/>
              <w:rPr>
                <w:lang w:val="en-US"/>
              </w:rPr>
            </w:pPr>
            <w:r w:rsidRPr="002C52F9">
              <w:rPr>
                <w:szCs w:val="16"/>
              </w:rPr>
              <w:t>Madrid System: 78%</w:t>
            </w:r>
            <w:r w:rsidR="004150FE">
              <w:rPr>
                <w:szCs w:val="16"/>
              </w:rPr>
              <w:t xml:space="preserve"> (2020/21 survey)</w:t>
            </w:r>
          </w:p>
        </w:tc>
        <w:tc>
          <w:tcPr>
            <w:tcW w:w="2438" w:type="dxa"/>
            <w:tcBorders>
              <w:top w:val="single" w:sz="4" w:space="0" w:color="BFBFBF" w:themeColor="background1" w:themeShade="BF"/>
              <w:left w:val="nil"/>
              <w:right w:val="nil"/>
            </w:tcBorders>
          </w:tcPr>
          <w:p w14:paraId="12B2634B" w14:textId="77777777" w:rsidR="005B0AE9" w:rsidRDefault="005B0AE9" w:rsidP="005B0AE9">
            <w:pPr>
              <w:pStyle w:val="TableText"/>
              <w:ind w:left="115"/>
              <w:rPr>
                <w:lang w:val="en-US"/>
              </w:rPr>
            </w:pPr>
            <w:r w:rsidRPr="002C52F9">
              <w:rPr>
                <w:szCs w:val="16"/>
              </w:rPr>
              <w:t>≥ 85% satisfied or very satisfied</w:t>
            </w:r>
          </w:p>
        </w:tc>
      </w:tr>
      <w:tr w:rsidR="005B0AE9" w14:paraId="613FBCD3" w14:textId="77777777" w:rsidTr="005B0AE9">
        <w:trPr>
          <w:cantSplit/>
          <w:trHeight w:val="290"/>
        </w:trPr>
        <w:tc>
          <w:tcPr>
            <w:tcW w:w="2434" w:type="dxa"/>
            <w:vMerge/>
            <w:tcBorders>
              <w:left w:val="nil"/>
              <w:right w:val="nil"/>
            </w:tcBorders>
          </w:tcPr>
          <w:p w14:paraId="3FC3C8D1" w14:textId="77777777" w:rsidR="005B0AE9" w:rsidRDefault="005B0AE9" w:rsidP="005B0AE9">
            <w:pPr>
              <w:pStyle w:val="TableTextBold"/>
              <w:rPr>
                <w:rStyle w:val="charColoured"/>
                <w:lang w:val="en-US"/>
              </w:rPr>
            </w:pPr>
          </w:p>
        </w:tc>
        <w:tc>
          <w:tcPr>
            <w:tcW w:w="2435" w:type="dxa"/>
            <w:vMerge/>
            <w:tcBorders>
              <w:left w:val="nil"/>
              <w:bottom w:val="nil"/>
              <w:right w:val="nil"/>
            </w:tcBorders>
          </w:tcPr>
          <w:p w14:paraId="54FBD915" w14:textId="77777777" w:rsidR="005B0AE9" w:rsidRDefault="005B0AE9" w:rsidP="005B0AE9">
            <w:pPr>
              <w:pStyle w:val="TableText"/>
              <w:rPr>
                <w:lang w:val="en-US"/>
              </w:rPr>
            </w:pPr>
          </w:p>
        </w:tc>
        <w:tc>
          <w:tcPr>
            <w:tcW w:w="2435" w:type="dxa"/>
            <w:tcBorders>
              <w:left w:val="nil"/>
              <w:bottom w:val="nil"/>
              <w:right w:val="nil"/>
            </w:tcBorders>
          </w:tcPr>
          <w:p w14:paraId="5CC3EEB1" w14:textId="2F0A278A" w:rsidR="005B0AE9" w:rsidRDefault="005B0AE9" w:rsidP="00EB77C0">
            <w:pPr>
              <w:pStyle w:val="TableText"/>
              <w:rPr>
                <w:lang w:val="en-US"/>
              </w:rPr>
            </w:pPr>
            <w:r w:rsidRPr="002C52F9">
              <w:rPr>
                <w:szCs w:val="16"/>
              </w:rPr>
              <w:t>The Hague System: 82%</w:t>
            </w:r>
            <w:r w:rsidR="004150FE">
              <w:rPr>
                <w:szCs w:val="16"/>
              </w:rPr>
              <w:t xml:space="preserve"> (2020/21 Survey)</w:t>
            </w:r>
          </w:p>
        </w:tc>
        <w:tc>
          <w:tcPr>
            <w:tcW w:w="2438" w:type="dxa"/>
            <w:tcBorders>
              <w:left w:val="nil"/>
              <w:bottom w:val="nil"/>
              <w:right w:val="nil"/>
            </w:tcBorders>
          </w:tcPr>
          <w:p w14:paraId="63A8E400" w14:textId="77777777" w:rsidR="005B0AE9" w:rsidRDefault="005B0AE9" w:rsidP="005B0AE9">
            <w:pPr>
              <w:pStyle w:val="TableText"/>
              <w:ind w:left="115"/>
              <w:rPr>
                <w:lang w:val="en-US"/>
              </w:rPr>
            </w:pPr>
            <w:r w:rsidRPr="002C52F9">
              <w:rPr>
                <w:szCs w:val="16"/>
              </w:rPr>
              <w:t>≥ 85% satisfied or very satisfied</w:t>
            </w:r>
          </w:p>
        </w:tc>
      </w:tr>
      <w:tr w:rsidR="005B0AE9" w14:paraId="78000E68" w14:textId="77777777" w:rsidTr="005B0AE9">
        <w:trPr>
          <w:cantSplit/>
          <w:trHeight w:val="312"/>
        </w:trPr>
        <w:tc>
          <w:tcPr>
            <w:tcW w:w="2434" w:type="dxa"/>
            <w:vMerge/>
            <w:tcBorders>
              <w:left w:val="nil"/>
              <w:right w:val="nil"/>
            </w:tcBorders>
            <w:vAlign w:val="center"/>
            <w:hideMark/>
          </w:tcPr>
          <w:p w14:paraId="653BC8E9" w14:textId="77777777" w:rsidR="005B0AE9" w:rsidRDefault="005B0AE9" w:rsidP="005B0AE9">
            <w:pPr>
              <w:rPr>
                <w:rFonts w:ascii="Arial Narrow" w:hAnsi="Arial Narrow"/>
                <w:b/>
                <w:sz w:val="16"/>
                <w:lang w:val="en-US"/>
              </w:rPr>
            </w:pPr>
          </w:p>
        </w:tc>
        <w:tc>
          <w:tcPr>
            <w:tcW w:w="2435" w:type="dxa"/>
            <w:hideMark/>
          </w:tcPr>
          <w:p w14:paraId="41977FD1" w14:textId="77777777" w:rsidR="005B0AE9" w:rsidRDefault="005B0AE9" w:rsidP="005B0AE9">
            <w:pPr>
              <w:pStyle w:val="TableText"/>
              <w:rPr>
                <w:lang w:val="en-US"/>
              </w:rPr>
            </w:pPr>
            <w:r>
              <w:rPr>
                <w:lang w:val="en-US"/>
              </w:rPr>
              <w:t>Unit Cost</w:t>
            </w:r>
          </w:p>
        </w:tc>
        <w:tc>
          <w:tcPr>
            <w:tcW w:w="2435" w:type="dxa"/>
          </w:tcPr>
          <w:p w14:paraId="6C0F415A" w14:textId="77777777" w:rsidR="005B0AE9" w:rsidRDefault="005B0AE9" w:rsidP="005B0AE9">
            <w:pPr>
              <w:pStyle w:val="TableText"/>
              <w:rPr>
                <w:lang w:val="en-US"/>
              </w:rPr>
            </w:pPr>
            <w:r>
              <w:rPr>
                <w:lang w:val="en-US"/>
              </w:rPr>
              <w:t>Madrid System new/renewed registration: 562 CHF</w:t>
            </w:r>
          </w:p>
        </w:tc>
        <w:tc>
          <w:tcPr>
            <w:tcW w:w="2438" w:type="dxa"/>
          </w:tcPr>
          <w:p w14:paraId="204AFE07" w14:textId="2327E5FA" w:rsidR="005B0AE9" w:rsidRDefault="005B0AE9" w:rsidP="005B0AE9">
            <w:pPr>
              <w:pStyle w:val="TableText"/>
              <w:rPr>
                <w:szCs w:val="16"/>
              </w:rPr>
            </w:pPr>
            <w:r>
              <w:rPr>
                <w:lang w:val="en-US"/>
              </w:rPr>
              <w:t xml:space="preserve">Madrid System new/renewed </w:t>
            </w:r>
            <w:r w:rsidRPr="00EB77C0">
              <w:rPr>
                <w:lang w:val="en-US"/>
              </w:rPr>
              <w:t>registration:</w:t>
            </w:r>
            <w:r w:rsidR="00EB77C0" w:rsidRPr="00EB77C0">
              <w:rPr>
                <w:lang w:val="en-US"/>
              </w:rPr>
              <w:t xml:space="preserve"> 576</w:t>
            </w:r>
            <w:r w:rsidR="004150FE">
              <w:rPr>
                <w:lang w:val="en-US"/>
              </w:rPr>
              <w:t xml:space="preserve"> CHF</w:t>
            </w:r>
          </w:p>
        </w:tc>
      </w:tr>
      <w:tr w:rsidR="005B0AE9" w14:paraId="09891990" w14:textId="77777777" w:rsidTr="004150FE">
        <w:trPr>
          <w:cantSplit/>
          <w:trHeight w:val="312"/>
        </w:trPr>
        <w:tc>
          <w:tcPr>
            <w:tcW w:w="2434" w:type="dxa"/>
            <w:vMerge/>
            <w:tcBorders>
              <w:left w:val="nil"/>
              <w:right w:val="nil"/>
            </w:tcBorders>
            <w:vAlign w:val="center"/>
          </w:tcPr>
          <w:p w14:paraId="3535B101" w14:textId="77777777" w:rsidR="005B0AE9" w:rsidRDefault="005B0AE9" w:rsidP="005B0AE9">
            <w:pPr>
              <w:rPr>
                <w:rFonts w:ascii="Arial Narrow" w:hAnsi="Arial Narrow"/>
                <w:b/>
                <w:sz w:val="16"/>
                <w:lang w:val="en-US"/>
              </w:rPr>
            </w:pPr>
          </w:p>
        </w:tc>
        <w:tc>
          <w:tcPr>
            <w:tcW w:w="2435" w:type="dxa"/>
          </w:tcPr>
          <w:p w14:paraId="67D44BB4" w14:textId="77777777" w:rsidR="005B0AE9" w:rsidRDefault="005B0AE9" w:rsidP="005B0AE9">
            <w:pPr>
              <w:pStyle w:val="TableText"/>
              <w:rPr>
                <w:lang w:val="en-US"/>
              </w:rPr>
            </w:pPr>
          </w:p>
        </w:tc>
        <w:tc>
          <w:tcPr>
            <w:tcW w:w="2435" w:type="dxa"/>
          </w:tcPr>
          <w:p w14:paraId="56691826" w14:textId="50E1E43E" w:rsidR="005B0AE9" w:rsidRDefault="005B0AE9" w:rsidP="005B0AE9">
            <w:pPr>
              <w:pStyle w:val="TableText"/>
              <w:rPr>
                <w:lang w:val="en-US"/>
              </w:rPr>
            </w:pPr>
            <w:r>
              <w:rPr>
                <w:lang w:val="en-US"/>
              </w:rPr>
              <w:t xml:space="preserve">The Hague System: </w:t>
            </w:r>
            <w:r w:rsidR="00F1076C">
              <w:rPr>
                <w:lang w:val="en-US"/>
              </w:rPr>
              <w:t>n</w:t>
            </w:r>
            <w:r>
              <w:rPr>
                <w:lang w:val="en-US"/>
              </w:rPr>
              <w:t>ew/renewed design: 455 CHF</w:t>
            </w:r>
          </w:p>
        </w:tc>
        <w:tc>
          <w:tcPr>
            <w:tcW w:w="2438" w:type="dxa"/>
          </w:tcPr>
          <w:p w14:paraId="18D048E4" w14:textId="04FDFDE9" w:rsidR="005B0AE9" w:rsidRDefault="005B0AE9" w:rsidP="005B0AE9">
            <w:pPr>
              <w:pStyle w:val="TableText"/>
              <w:rPr>
                <w:szCs w:val="16"/>
              </w:rPr>
            </w:pPr>
            <w:r>
              <w:rPr>
                <w:lang w:val="en-US"/>
              </w:rPr>
              <w:t xml:space="preserve">The Hague System: </w:t>
            </w:r>
            <w:r w:rsidR="0075425B">
              <w:rPr>
                <w:lang w:val="en-US"/>
              </w:rPr>
              <w:t>n</w:t>
            </w:r>
            <w:r>
              <w:rPr>
                <w:lang w:val="en-US"/>
              </w:rPr>
              <w:t>ew/renewed design: 390 CHF</w:t>
            </w:r>
          </w:p>
        </w:tc>
      </w:tr>
      <w:tr w:rsidR="005B0AE9" w14:paraId="3CADCF63" w14:textId="77777777" w:rsidTr="004150FE">
        <w:trPr>
          <w:cantSplit/>
          <w:trHeight w:val="431"/>
        </w:trPr>
        <w:tc>
          <w:tcPr>
            <w:tcW w:w="2434" w:type="dxa"/>
            <w:tcBorders>
              <w:left w:val="nil"/>
              <w:bottom w:val="nil"/>
              <w:right w:val="nil"/>
            </w:tcBorders>
            <w:shd w:val="clear" w:color="auto" w:fill="EDF0F3" w:themeFill="accent4" w:themeFillTint="33"/>
            <w:hideMark/>
          </w:tcPr>
          <w:p w14:paraId="6BA66EC5" w14:textId="77777777" w:rsidR="005B0AE9" w:rsidRDefault="005B0AE9" w:rsidP="005B0AE9">
            <w:pPr>
              <w:pStyle w:val="TableHeading"/>
              <w:rPr>
                <w:b w:val="0"/>
                <w:i/>
                <w:color w:val="005172" w:themeColor="text2"/>
                <w:lang w:val="en-US"/>
              </w:rPr>
            </w:pPr>
            <w:r>
              <w:rPr>
                <w:b w:val="0"/>
                <w:i/>
                <w:color w:val="005172" w:themeColor="text2"/>
                <w:lang w:val="en-US"/>
              </w:rPr>
              <w:t>Strategic Pillar 4</w:t>
            </w:r>
          </w:p>
        </w:tc>
        <w:tc>
          <w:tcPr>
            <w:tcW w:w="7308" w:type="dxa"/>
            <w:gridSpan w:val="3"/>
            <w:tcBorders>
              <w:left w:val="nil"/>
              <w:bottom w:val="nil"/>
              <w:right w:val="nil"/>
            </w:tcBorders>
            <w:shd w:val="clear" w:color="auto" w:fill="EDF0F3" w:themeFill="accent4" w:themeFillTint="33"/>
            <w:hideMark/>
          </w:tcPr>
          <w:p w14:paraId="6AF46404" w14:textId="77777777" w:rsidR="005B0AE9" w:rsidRDefault="005B0AE9" w:rsidP="005B0AE9">
            <w:pPr>
              <w:pStyle w:val="TableHeading"/>
              <w:rPr>
                <w:b w:val="0"/>
                <w:i/>
                <w:color w:val="005172" w:themeColor="text2"/>
                <w:lang w:val="en-US"/>
              </w:rPr>
            </w:pPr>
            <w:r>
              <w:rPr>
                <w:b w:val="0"/>
                <w:i/>
                <w:color w:val="005172" w:themeColor="text2"/>
                <w:lang w:val="en-US"/>
              </w:rPr>
              <w:t>Support governments, enterprises, communities and individuals to use intellectual property as a tool for growth and sustainable development</w:t>
            </w:r>
          </w:p>
        </w:tc>
      </w:tr>
      <w:tr w:rsidR="005B0AE9" w14:paraId="16E74E5C" w14:textId="77777777" w:rsidTr="005B0AE9">
        <w:trPr>
          <w:cantSplit/>
          <w:trHeight w:val="552"/>
        </w:trPr>
        <w:tc>
          <w:tcPr>
            <w:tcW w:w="2434" w:type="dxa"/>
            <w:tcBorders>
              <w:top w:val="nil"/>
              <w:left w:val="nil"/>
              <w:bottom w:val="single" w:sz="4" w:space="0" w:color="C6CFD7" w:themeColor="accent3" w:themeTint="66"/>
              <w:right w:val="nil"/>
            </w:tcBorders>
          </w:tcPr>
          <w:p w14:paraId="72F9CC06" w14:textId="2CEC4CA3" w:rsidR="005B0AE9" w:rsidRDefault="005B0AE9" w:rsidP="005B0AE9">
            <w:pPr>
              <w:pStyle w:val="TableTextBold"/>
              <w:rPr>
                <w:rStyle w:val="charColoured"/>
                <w:lang w:val="en-US"/>
              </w:rPr>
            </w:pPr>
            <w:r w:rsidRPr="00A94D2B">
              <w:rPr>
                <w:rStyle w:val="charColoured"/>
                <w:szCs w:val="16"/>
                <w:lang w:val="en-US"/>
              </w:rPr>
              <w:t xml:space="preserve">4.1  </w:t>
            </w:r>
            <w:r w:rsidR="001048EB">
              <w:rPr>
                <w:szCs w:val="16"/>
              </w:rPr>
              <w:t>More effective use of a balanced IP system to support growth</w:t>
            </w:r>
            <w:r w:rsidR="00D779AD">
              <w:rPr>
                <w:szCs w:val="16"/>
              </w:rPr>
              <w:t xml:space="preserve"> </w:t>
            </w:r>
            <w:r w:rsidRPr="00A94D2B">
              <w:rPr>
                <w:szCs w:val="16"/>
              </w:rPr>
              <w:t>and development of all Member States and their relevant regions and sub-regions, including through the mainstreaming of the Development Agenda recommendations</w:t>
            </w:r>
          </w:p>
        </w:tc>
        <w:tc>
          <w:tcPr>
            <w:tcW w:w="2435" w:type="dxa"/>
            <w:tcBorders>
              <w:top w:val="nil"/>
              <w:left w:val="nil"/>
              <w:bottom w:val="single" w:sz="4" w:space="0" w:color="C6CFD7" w:themeColor="accent3" w:themeTint="66"/>
              <w:right w:val="nil"/>
            </w:tcBorders>
          </w:tcPr>
          <w:p w14:paraId="7414F1D2" w14:textId="77777777" w:rsidR="005B0AE9" w:rsidRDefault="005B0AE9" w:rsidP="005B0AE9">
            <w:pPr>
              <w:pStyle w:val="TableText"/>
              <w:rPr>
                <w:lang w:val="en-US"/>
              </w:rPr>
            </w:pPr>
            <w:r w:rsidRPr="00A94D2B">
              <w:rPr>
                <w:szCs w:val="16"/>
                <w:lang w:val="en-US"/>
              </w:rPr>
              <w:t>No. of national, sub-regional and regional projects, including those implemented through partnership frameworks, that have achieved their expected benefits or completed important milestones</w:t>
            </w:r>
          </w:p>
        </w:tc>
        <w:tc>
          <w:tcPr>
            <w:tcW w:w="2435" w:type="dxa"/>
            <w:tcBorders>
              <w:top w:val="nil"/>
              <w:left w:val="nil"/>
              <w:bottom w:val="single" w:sz="4" w:space="0" w:color="C6CFD7" w:themeColor="accent3" w:themeTint="66"/>
              <w:right w:val="nil"/>
            </w:tcBorders>
          </w:tcPr>
          <w:p w14:paraId="628DF801" w14:textId="77777777" w:rsidR="005B0AE9" w:rsidRDefault="005B0AE9" w:rsidP="005B0AE9">
            <w:pPr>
              <w:pStyle w:val="TableText"/>
              <w:rPr>
                <w:lang w:val="en-US"/>
              </w:rPr>
            </w:pPr>
            <w:r>
              <w:rPr>
                <w:lang w:val="en-US"/>
              </w:rPr>
              <w:t>n/a</w:t>
            </w:r>
          </w:p>
        </w:tc>
        <w:tc>
          <w:tcPr>
            <w:tcW w:w="2438" w:type="dxa"/>
            <w:tcBorders>
              <w:top w:val="nil"/>
              <w:left w:val="nil"/>
              <w:bottom w:val="single" w:sz="4" w:space="0" w:color="C6CFD7" w:themeColor="accent3" w:themeTint="66"/>
              <w:right w:val="nil"/>
            </w:tcBorders>
          </w:tcPr>
          <w:p w14:paraId="7B701BCC" w14:textId="77777777" w:rsidR="005B0AE9" w:rsidRDefault="005B0AE9" w:rsidP="005B0AE9">
            <w:pPr>
              <w:pStyle w:val="TableText"/>
              <w:rPr>
                <w:szCs w:val="16"/>
              </w:rPr>
            </w:pPr>
            <w:r>
              <w:rPr>
                <w:szCs w:val="16"/>
              </w:rPr>
              <w:t>2</w:t>
            </w:r>
          </w:p>
        </w:tc>
      </w:tr>
      <w:tr w:rsidR="005B0AE9" w14:paraId="71995B79" w14:textId="77777777" w:rsidTr="005B0AE9">
        <w:trPr>
          <w:cantSplit/>
          <w:trHeight w:val="552"/>
        </w:trPr>
        <w:tc>
          <w:tcPr>
            <w:tcW w:w="2434" w:type="dxa"/>
            <w:tcBorders>
              <w:top w:val="nil"/>
              <w:left w:val="nil"/>
              <w:bottom w:val="single" w:sz="4" w:space="0" w:color="C6CFD7" w:themeColor="accent3" w:themeTint="66"/>
              <w:right w:val="nil"/>
            </w:tcBorders>
            <w:hideMark/>
          </w:tcPr>
          <w:p w14:paraId="42B5CC9B" w14:textId="0FE595CC" w:rsidR="005B0AE9" w:rsidRDefault="005B0AE9" w:rsidP="005B0AE9">
            <w:pPr>
              <w:pStyle w:val="TableTextBold"/>
              <w:rPr>
                <w:lang w:val="en-US"/>
              </w:rPr>
            </w:pPr>
            <w:r>
              <w:rPr>
                <w:rStyle w:val="charColoured"/>
                <w:lang w:val="en-US"/>
              </w:rPr>
              <w:t xml:space="preserve">4.2  </w:t>
            </w:r>
            <w:r>
              <w:rPr>
                <w:lang w:val="en-US"/>
              </w:rPr>
              <w:t xml:space="preserve">Development of </w:t>
            </w:r>
            <w:r w:rsidRPr="006D2FC9">
              <w:rPr>
                <w:lang w:val="en-US"/>
              </w:rPr>
              <w:t>balanced</w:t>
            </w:r>
            <w:r>
              <w:rPr>
                <w:lang w:val="en-US"/>
              </w:rPr>
              <w:t xml:space="preserve"> and effective IP, innovation and creative ecosystems in Member States</w:t>
            </w:r>
          </w:p>
        </w:tc>
        <w:tc>
          <w:tcPr>
            <w:tcW w:w="2435" w:type="dxa"/>
            <w:tcBorders>
              <w:top w:val="nil"/>
              <w:left w:val="nil"/>
              <w:bottom w:val="single" w:sz="4" w:space="0" w:color="C6CFD7" w:themeColor="accent3" w:themeTint="66"/>
              <w:right w:val="nil"/>
            </w:tcBorders>
            <w:hideMark/>
          </w:tcPr>
          <w:p w14:paraId="53771E17" w14:textId="77777777" w:rsidR="005B0AE9" w:rsidRDefault="005B0AE9" w:rsidP="005B0AE9">
            <w:pPr>
              <w:pStyle w:val="TableText"/>
              <w:rPr>
                <w:lang w:val="en-US"/>
              </w:rPr>
            </w:pPr>
            <w:r>
              <w:rPr>
                <w:lang w:val="en-US"/>
              </w:rPr>
              <w:t>No. and % of Member States satisfied with the legislative and policy advice provided</w:t>
            </w:r>
          </w:p>
        </w:tc>
        <w:tc>
          <w:tcPr>
            <w:tcW w:w="2435" w:type="dxa"/>
            <w:tcBorders>
              <w:top w:val="nil"/>
              <w:left w:val="nil"/>
              <w:bottom w:val="single" w:sz="4" w:space="0" w:color="C6CFD7" w:themeColor="accent3" w:themeTint="66"/>
              <w:right w:val="nil"/>
            </w:tcBorders>
          </w:tcPr>
          <w:p w14:paraId="1BCA32A6" w14:textId="77777777" w:rsidR="005B0AE9" w:rsidRDefault="005B0AE9" w:rsidP="005B0AE9">
            <w:pPr>
              <w:pStyle w:val="TableText"/>
              <w:rPr>
                <w:lang w:val="en-US"/>
              </w:rPr>
            </w:pPr>
            <w:r w:rsidRPr="00653914">
              <w:rPr>
                <w:szCs w:val="16"/>
                <w:lang w:val="en-US"/>
              </w:rPr>
              <w:t xml:space="preserve">100% </w:t>
            </w:r>
          </w:p>
        </w:tc>
        <w:tc>
          <w:tcPr>
            <w:tcW w:w="2438" w:type="dxa"/>
            <w:tcBorders>
              <w:top w:val="nil"/>
              <w:left w:val="nil"/>
              <w:bottom w:val="single" w:sz="4" w:space="0" w:color="C6CFD7" w:themeColor="accent3" w:themeTint="66"/>
              <w:right w:val="nil"/>
            </w:tcBorders>
          </w:tcPr>
          <w:p w14:paraId="3705B910" w14:textId="77777777" w:rsidR="005B0AE9" w:rsidRDefault="005B0AE9" w:rsidP="005B0AE9">
            <w:pPr>
              <w:pStyle w:val="TableText"/>
              <w:rPr>
                <w:lang w:val="en-US"/>
              </w:rPr>
            </w:pPr>
            <w:r w:rsidRPr="00851D14">
              <w:rPr>
                <w:szCs w:val="16"/>
              </w:rPr>
              <w:t>≥ 90% satisfied or very satisfied</w:t>
            </w:r>
          </w:p>
        </w:tc>
      </w:tr>
      <w:tr w:rsidR="005B0AE9" w14:paraId="6AFA6773" w14:textId="77777777" w:rsidTr="005B0AE9">
        <w:trPr>
          <w:cantSplit/>
          <w:trHeight w:val="964"/>
        </w:trPr>
        <w:tc>
          <w:tcPr>
            <w:tcW w:w="2434" w:type="dxa"/>
            <w:tcBorders>
              <w:top w:val="single" w:sz="4" w:space="0" w:color="C6CFD7" w:themeColor="accent3" w:themeTint="66"/>
              <w:left w:val="nil"/>
              <w:bottom w:val="single" w:sz="4" w:space="0" w:color="C6CFD7" w:themeColor="accent3" w:themeTint="66"/>
              <w:right w:val="nil"/>
            </w:tcBorders>
            <w:hideMark/>
          </w:tcPr>
          <w:p w14:paraId="235727CC" w14:textId="77777777" w:rsidR="005B0AE9" w:rsidRDefault="005B0AE9" w:rsidP="005B0AE9">
            <w:pPr>
              <w:pStyle w:val="TableTextBold"/>
              <w:rPr>
                <w:lang w:val="en-US"/>
              </w:rPr>
            </w:pPr>
            <w:r>
              <w:rPr>
                <w:rStyle w:val="charColoured"/>
              </w:rPr>
              <w:t xml:space="preserve">4.3  </w:t>
            </w:r>
            <w:r>
              <w:rPr>
                <w:lang w:val="en-US"/>
              </w:rPr>
              <w:t>Increased IP knowledge and skills in all Member States</w:t>
            </w:r>
          </w:p>
        </w:tc>
        <w:tc>
          <w:tcPr>
            <w:tcW w:w="2435" w:type="dxa"/>
            <w:tcBorders>
              <w:top w:val="single" w:sz="4" w:space="0" w:color="C6CFD7" w:themeColor="accent3" w:themeTint="66"/>
              <w:left w:val="nil"/>
              <w:bottom w:val="single" w:sz="4" w:space="0" w:color="C6CFD7" w:themeColor="accent3" w:themeTint="66"/>
              <w:right w:val="nil"/>
            </w:tcBorders>
            <w:hideMark/>
          </w:tcPr>
          <w:p w14:paraId="619E73E1" w14:textId="77777777" w:rsidR="005B0AE9" w:rsidRPr="004F2F31" w:rsidRDefault="005B0AE9" w:rsidP="005B0AE9">
            <w:pPr>
              <w:pStyle w:val="TableText"/>
            </w:pPr>
            <w:r w:rsidRPr="004F2F31">
              <w:rPr>
                <w:lang w:val="en-US"/>
              </w:rPr>
              <w:t xml:space="preserve">Level of satisfaction of participants in capacity building and training activities </w:t>
            </w:r>
            <w:r w:rsidRPr="00E474F2">
              <w:rPr>
                <w:lang w:val="en-US"/>
              </w:rPr>
              <w:t>on trademarks, industrial designs and geographical indications</w:t>
            </w:r>
          </w:p>
        </w:tc>
        <w:tc>
          <w:tcPr>
            <w:tcW w:w="2435" w:type="dxa"/>
            <w:tcBorders>
              <w:top w:val="single" w:sz="4" w:space="0" w:color="C6CFD7" w:themeColor="accent3" w:themeTint="66"/>
              <w:left w:val="nil"/>
              <w:bottom w:val="single" w:sz="4" w:space="0" w:color="C6CFD7" w:themeColor="accent3" w:themeTint="66"/>
              <w:right w:val="nil"/>
            </w:tcBorders>
            <w:shd w:val="clear" w:color="auto" w:fill="auto"/>
          </w:tcPr>
          <w:p w14:paraId="16D0767A" w14:textId="77777777" w:rsidR="005B0AE9" w:rsidRDefault="005B0AE9" w:rsidP="005B0AE9">
            <w:pPr>
              <w:pStyle w:val="TableText"/>
              <w:rPr>
                <w:lang w:val="en-US"/>
              </w:rPr>
            </w:pPr>
            <w:r w:rsidRPr="00B35058">
              <w:rPr>
                <w:szCs w:val="16"/>
                <w:lang w:val="en-US"/>
              </w:rPr>
              <w:t>97%</w:t>
            </w:r>
          </w:p>
        </w:tc>
        <w:tc>
          <w:tcPr>
            <w:tcW w:w="2438" w:type="dxa"/>
            <w:tcBorders>
              <w:top w:val="single" w:sz="4" w:space="0" w:color="C6CFD7" w:themeColor="accent3" w:themeTint="66"/>
              <w:left w:val="nil"/>
              <w:bottom w:val="single" w:sz="4" w:space="0" w:color="C6CFD7" w:themeColor="accent3" w:themeTint="66"/>
              <w:right w:val="nil"/>
            </w:tcBorders>
          </w:tcPr>
          <w:p w14:paraId="565DE3D6" w14:textId="77777777" w:rsidR="005B0AE9" w:rsidRDefault="005B0AE9" w:rsidP="005B0AE9">
            <w:pPr>
              <w:pStyle w:val="TableText"/>
              <w:rPr>
                <w:lang w:val="en-US"/>
              </w:rPr>
            </w:pPr>
            <w:r w:rsidRPr="00851D14">
              <w:rPr>
                <w:szCs w:val="16"/>
              </w:rPr>
              <w:t>≥ 90% satisfied or very satisfied</w:t>
            </w:r>
          </w:p>
        </w:tc>
      </w:tr>
    </w:tbl>
    <w:p w14:paraId="235F9766" w14:textId="5BE92BF5" w:rsidR="005B0AE9" w:rsidRDefault="005B0AE9" w:rsidP="007151FA">
      <w:pPr>
        <w:pStyle w:val="NormalAbb"/>
        <w:rPr>
          <w:lang w:val="en-US"/>
        </w:rPr>
      </w:pPr>
    </w:p>
    <w:p w14:paraId="1B48328B" w14:textId="77777777" w:rsidR="00F720BE" w:rsidRDefault="00F720BE" w:rsidP="007151FA">
      <w:pPr>
        <w:pStyle w:val="NormalAbb"/>
        <w:rPr>
          <w:lang w:val="en-US"/>
        </w:rPr>
      </w:pPr>
    </w:p>
    <w:p w14:paraId="253FD7D5" w14:textId="77777777" w:rsidR="005B0AE9" w:rsidRDefault="005B0AE9" w:rsidP="005B0AE9">
      <w:pPr>
        <w:spacing w:after="200" w:line="276" w:lineRule="auto"/>
        <w:rPr>
          <w:color w:val="005172" w:themeColor="text2"/>
          <w:sz w:val="32"/>
          <w:lang w:val="en-US"/>
        </w:rPr>
      </w:pPr>
      <w:r>
        <w:rPr>
          <w:lang w:val="en-US"/>
        </w:rPr>
        <w:br w:type="page"/>
      </w:r>
    </w:p>
    <w:p w14:paraId="1D47CD90" w14:textId="77777777" w:rsidR="005B0AE9" w:rsidRDefault="005B0AE9" w:rsidP="005B0AE9">
      <w:pPr>
        <w:pStyle w:val="Heading1NoNumb"/>
        <w:spacing w:before="480" w:after="120"/>
        <w:rPr>
          <w:lang w:val="en-US"/>
        </w:rPr>
      </w:pPr>
      <w:r>
        <w:rPr>
          <w:lang w:val="en-US"/>
        </w:rPr>
        <w:lastRenderedPageBreak/>
        <w:t>Resources</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5B0AE9" w:rsidRPr="00034525" w14:paraId="48AE5A34" w14:textId="77777777" w:rsidTr="005B0AE9">
        <w:trPr>
          <w:trHeight w:val="80"/>
        </w:trPr>
        <w:tc>
          <w:tcPr>
            <w:tcW w:w="9540" w:type="dxa"/>
          </w:tcPr>
          <w:p w14:paraId="0317F212" w14:textId="77777777" w:rsidR="005B0AE9" w:rsidRPr="00034525" w:rsidRDefault="005B0AE9" w:rsidP="00EF3B0C">
            <w:pPr>
              <w:spacing w:after="60" w:line="240" w:lineRule="auto"/>
              <w:jc w:val="center"/>
              <w:rPr>
                <w:rFonts w:cs="Arial"/>
                <w:b/>
                <w:bCs/>
                <w:color w:val="005172"/>
                <w:sz w:val="16"/>
                <w:szCs w:val="16"/>
              </w:rPr>
            </w:pPr>
            <w:r>
              <w:rPr>
                <w:rFonts w:eastAsia="SimHei" w:cs="Arial"/>
                <w:b/>
                <w:bCs/>
                <w:color w:val="005172"/>
                <w:szCs w:val="18"/>
                <w:lang w:val="en-US" w:eastAsia="zh-CN"/>
              </w:rPr>
              <w:t xml:space="preserve">Brands and Designs: Resources </w:t>
            </w:r>
            <w:r w:rsidRPr="00034525">
              <w:rPr>
                <w:rFonts w:cs="Arial"/>
                <w:b/>
                <w:bCs/>
                <w:color w:val="005172"/>
                <w:szCs w:val="16"/>
              </w:rPr>
              <w:t>by Cost Category</w:t>
            </w:r>
          </w:p>
        </w:tc>
      </w:tr>
      <w:tr w:rsidR="005B0AE9" w:rsidRPr="00034525" w14:paraId="5760FF8D" w14:textId="77777777" w:rsidTr="005B0AE9">
        <w:trPr>
          <w:trHeight w:val="15"/>
        </w:trPr>
        <w:tc>
          <w:tcPr>
            <w:tcW w:w="9540" w:type="dxa"/>
          </w:tcPr>
          <w:p w14:paraId="7428AC25" w14:textId="74A2DAF5" w:rsidR="005B0AE9" w:rsidRPr="00034525" w:rsidRDefault="005B0AE9"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2DF8547" w14:textId="60B22A5C" w:rsidR="007704E5" w:rsidRDefault="007704E5" w:rsidP="00792A58">
      <w:pPr>
        <w:spacing w:after="0" w:line="276" w:lineRule="auto"/>
        <w:rPr>
          <w:rFonts w:asciiTheme="minorHAnsi" w:hAnsiTheme="minorHAnsi"/>
          <w:sz w:val="22"/>
        </w:rPr>
      </w:pPr>
    </w:p>
    <w:tbl>
      <w:tblPr>
        <w:tblW w:w="8740" w:type="dxa"/>
        <w:jc w:val="center"/>
        <w:tblLook w:val="04A0" w:firstRow="1" w:lastRow="0" w:firstColumn="1" w:lastColumn="0" w:noHBand="0" w:noVBand="1"/>
      </w:tblPr>
      <w:tblGrid>
        <w:gridCol w:w="253"/>
        <w:gridCol w:w="222"/>
        <w:gridCol w:w="2977"/>
        <w:gridCol w:w="253"/>
        <w:gridCol w:w="1060"/>
        <w:gridCol w:w="1180"/>
        <w:gridCol w:w="1180"/>
        <w:gridCol w:w="1060"/>
        <w:gridCol w:w="1060"/>
      </w:tblGrid>
      <w:tr w:rsidR="007704E5" w:rsidRPr="007704E5" w14:paraId="564EB7C1" w14:textId="77777777" w:rsidTr="005A1D34">
        <w:trPr>
          <w:trHeight w:val="420"/>
          <w:jc w:val="center"/>
        </w:trPr>
        <w:tc>
          <w:tcPr>
            <w:tcW w:w="3200" w:type="dxa"/>
            <w:gridSpan w:val="4"/>
            <w:vMerge w:val="restart"/>
            <w:tcBorders>
              <w:top w:val="nil"/>
              <w:left w:val="nil"/>
              <w:bottom w:val="nil"/>
              <w:right w:val="nil"/>
            </w:tcBorders>
            <w:shd w:val="clear" w:color="000000" w:fill="C7CFD8"/>
            <w:hideMark/>
          </w:tcPr>
          <w:p w14:paraId="239051EA" w14:textId="18F46551" w:rsidR="007704E5" w:rsidRPr="007704E5" w:rsidRDefault="007704E5" w:rsidP="007704E5">
            <w:pPr>
              <w:spacing w:after="0" w:line="240" w:lineRule="auto"/>
              <w:rPr>
                <w:rFonts w:ascii="Arial Narrow" w:eastAsia="Times New Roman" w:hAnsi="Arial Narrow" w:cs="Times New Roman"/>
                <w:b/>
                <w:bCs/>
                <w:i/>
                <w:iCs/>
                <w:sz w:val="16"/>
                <w:szCs w:val="16"/>
                <w:lang w:val="en-US"/>
              </w:rPr>
            </w:pPr>
            <w:r w:rsidRPr="007704E5">
              <w:rPr>
                <w:rFonts w:ascii="Arial Narrow" w:eastAsia="Times New Roman" w:hAnsi="Arial Narrow" w:cs="Times New Roman"/>
                <w:b/>
                <w:bCs/>
                <w:i/>
                <w:i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72A34E8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2024/25 </w:t>
            </w:r>
            <w:r w:rsidRPr="007704E5">
              <w:rPr>
                <w:rFonts w:ascii="Arial Narrow" w:eastAsia="Times New Roman" w:hAnsi="Arial Narrow" w:cs="Times New Roman"/>
                <w:b/>
                <w:bCs/>
                <w:sz w:val="16"/>
                <w:szCs w:val="16"/>
                <w:lang w:val="en-US"/>
              </w:rPr>
              <w:br/>
              <w:t>Proposed</w:t>
            </w:r>
            <w:r w:rsidRPr="007704E5">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7E098189"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2022/23</w:t>
            </w:r>
            <w:r w:rsidRPr="007704E5">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4DBB70F6"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2022/23 </w:t>
            </w:r>
            <w:r w:rsidRPr="007704E5">
              <w:rPr>
                <w:rFonts w:ascii="Arial Narrow" w:eastAsia="Times New Roman" w:hAnsi="Arial Narrow" w:cs="Times New Roman"/>
                <w:b/>
                <w:bCs/>
                <w:sz w:val="16"/>
                <w:szCs w:val="16"/>
                <w:lang w:val="en-US"/>
              </w:rPr>
              <w:br/>
              <w:t>Budget after</w:t>
            </w:r>
            <w:r w:rsidRPr="007704E5">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2AE96183" w14:textId="77777777" w:rsidR="007704E5" w:rsidRPr="007704E5" w:rsidRDefault="007704E5" w:rsidP="007704E5">
            <w:pPr>
              <w:spacing w:after="0" w:line="240" w:lineRule="auto"/>
              <w:jc w:val="center"/>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2024/25 </w:t>
            </w:r>
            <w:r w:rsidRPr="007704E5">
              <w:rPr>
                <w:rFonts w:ascii="Arial Narrow" w:eastAsia="Times New Roman" w:hAnsi="Arial Narrow" w:cs="Times New Roman"/>
                <w:b/>
                <w:bCs/>
                <w:sz w:val="16"/>
                <w:szCs w:val="16"/>
                <w:lang w:val="en-US"/>
              </w:rPr>
              <w:br/>
              <w:t xml:space="preserve">vs. 2022/23 PoW&amp;B </w:t>
            </w:r>
          </w:p>
        </w:tc>
      </w:tr>
      <w:tr w:rsidR="007704E5" w:rsidRPr="007704E5" w14:paraId="6AC22C1E" w14:textId="77777777" w:rsidTr="005A1D34">
        <w:trPr>
          <w:trHeight w:val="315"/>
          <w:jc w:val="center"/>
        </w:trPr>
        <w:tc>
          <w:tcPr>
            <w:tcW w:w="3200" w:type="dxa"/>
            <w:gridSpan w:val="4"/>
            <w:vMerge/>
            <w:tcBorders>
              <w:top w:val="nil"/>
              <w:left w:val="nil"/>
              <w:bottom w:val="nil"/>
              <w:right w:val="nil"/>
            </w:tcBorders>
            <w:vAlign w:val="center"/>
            <w:hideMark/>
          </w:tcPr>
          <w:p w14:paraId="24EC46CC" w14:textId="77777777" w:rsidR="007704E5" w:rsidRPr="007704E5" w:rsidRDefault="007704E5" w:rsidP="007704E5">
            <w:pPr>
              <w:spacing w:after="0" w:line="240" w:lineRule="auto"/>
              <w:rPr>
                <w:rFonts w:ascii="Arial Narrow" w:eastAsia="Times New Roman" w:hAnsi="Arial Narrow" w:cs="Times New Roman"/>
                <w:b/>
                <w:bCs/>
                <w:i/>
                <w:iCs/>
                <w:sz w:val="16"/>
                <w:szCs w:val="16"/>
                <w:lang w:val="en-US"/>
              </w:rPr>
            </w:pPr>
          </w:p>
        </w:tc>
        <w:tc>
          <w:tcPr>
            <w:tcW w:w="1060" w:type="dxa"/>
            <w:vMerge/>
            <w:tcBorders>
              <w:top w:val="nil"/>
              <w:left w:val="nil"/>
              <w:bottom w:val="nil"/>
              <w:right w:val="nil"/>
            </w:tcBorders>
            <w:vAlign w:val="center"/>
            <w:hideMark/>
          </w:tcPr>
          <w:p w14:paraId="1764D83A"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12C7F3ED"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1BE5902F"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50D920AF" w14:textId="77777777" w:rsidR="007704E5" w:rsidRPr="007704E5" w:rsidRDefault="007704E5" w:rsidP="007704E5">
            <w:pPr>
              <w:spacing w:after="0" w:line="240" w:lineRule="auto"/>
              <w:ind w:firstLineChars="100" w:firstLine="160"/>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34C7A999" w14:textId="77777777" w:rsidR="007704E5" w:rsidRPr="007704E5" w:rsidRDefault="007704E5" w:rsidP="007704E5">
            <w:pPr>
              <w:spacing w:after="0" w:line="240" w:lineRule="auto"/>
              <w:ind w:firstLineChars="200" w:firstLine="320"/>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w:t>
            </w:r>
          </w:p>
        </w:tc>
      </w:tr>
      <w:tr w:rsidR="007704E5" w:rsidRPr="007704E5" w14:paraId="5D547292" w14:textId="77777777" w:rsidTr="008A121C">
        <w:trPr>
          <w:trHeight w:hRule="exact" w:val="216"/>
          <w:jc w:val="center"/>
        </w:trPr>
        <w:tc>
          <w:tcPr>
            <w:tcW w:w="3200" w:type="dxa"/>
            <w:gridSpan w:val="4"/>
            <w:tcBorders>
              <w:top w:val="nil"/>
              <w:left w:val="nil"/>
              <w:bottom w:val="nil"/>
              <w:right w:val="nil"/>
            </w:tcBorders>
            <w:shd w:val="clear" w:color="auto" w:fill="auto"/>
            <w:noWrap/>
            <w:hideMark/>
          </w:tcPr>
          <w:p w14:paraId="36237D6D"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r w:rsidRPr="007704E5">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0A8F821D"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3E7F38E6"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1B6A965"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78D595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4AA1E2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r>
      <w:tr w:rsidR="007704E5" w:rsidRPr="007704E5" w14:paraId="5F1458FA" w14:textId="77777777" w:rsidTr="008A121C">
        <w:trPr>
          <w:trHeight w:hRule="exact" w:val="216"/>
          <w:jc w:val="center"/>
        </w:trPr>
        <w:tc>
          <w:tcPr>
            <w:tcW w:w="103" w:type="dxa"/>
            <w:tcBorders>
              <w:top w:val="nil"/>
              <w:left w:val="nil"/>
              <w:bottom w:val="nil"/>
              <w:right w:val="nil"/>
            </w:tcBorders>
            <w:shd w:val="clear" w:color="auto" w:fill="auto"/>
            <w:noWrap/>
            <w:hideMark/>
          </w:tcPr>
          <w:p w14:paraId="0BBC3D29"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4F82F382"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DC4A31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Posts</w:t>
            </w:r>
          </w:p>
        </w:tc>
        <w:tc>
          <w:tcPr>
            <w:tcW w:w="103" w:type="dxa"/>
            <w:tcBorders>
              <w:top w:val="nil"/>
              <w:left w:val="nil"/>
              <w:bottom w:val="nil"/>
              <w:right w:val="nil"/>
            </w:tcBorders>
            <w:shd w:val="clear" w:color="auto" w:fill="auto"/>
            <w:noWrap/>
            <w:hideMark/>
          </w:tcPr>
          <w:p w14:paraId="2BB23DB1"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FF584F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58,488</w:t>
            </w:r>
          </w:p>
        </w:tc>
        <w:tc>
          <w:tcPr>
            <w:tcW w:w="1180" w:type="dxa"/>
            <w:tcBorders>
              <w:top w:val="nil"/>
              <w:left w:val="nil"/>
              <w:bottom w:val="nil"/>
              <w:right w:val="nil"/>
            </w:tcBorders>
            <w:shd w:val="clear" w:color="auto" w:fill="auto"/>
            <w:noWrap/>
            <w:hideMark/>
          </w:tcPr>
          <w:p w14:paraId="38FA02F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57,731</w:t>
            </w:r>
          </w:p>
        </w:tc>
        <w:tc>
          <w:tcPr>
            <w:tcW w:w="1180" w:type="dxa"/>
            <w:tcBorders>
              <w:top w:val="nil"/>
              <w:left w:val="nil"/>
              <w:bottom w:val="nil"/>
              <w:right w:val="nil"/>
            </w:tcBorders>
            <w:shd w:val="clear" w:color="auto" w:fill="auto"/>
            <w:noWrap/>
            <w:hideMark/>
          </w:tcPr>
          <w:p w14:paraId="6A51A46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56,111</w:t>
            </w:r>
          </w:p>
        </w:tc>
        <w:tc>
          <w:tcPr>
            <w:tcW w:w="1060" w:type="dxa"/>
            <w:tcBorders>
              <w:top w:val="nil"/>
              <w:left w:val="nil"/>
              <w:bottom w:val="nil"/>
              <w:right w:val="nil"/>
            </w:tcBorders>
            <w:shd w:val="clear" w:color="auto" w:fill="auto"/>
            <w:noWrap/>
            <w:hideMark/>
          </w:tcPr>
          <w:p w14:paraId="591D3DB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758</w:t>
            </w:r>
          </w:p>
        </w:tc>
        <w:tc>
          <w:tcPr>
            <w:tcW w:w="1060" w:type="dxa"/>
            <w:tcBorders>
              <w:top w:val="nil"/>
              <w:left w:val="nil"/>
              <w:bottom w:val="nil"/>
              <w:right w:val="nil"/>
            </w:tcBorders>
            <w:shd w:val="clear" w:color="auto" w:fill="auto"/>
            <w:noWrap/>
            <w:hideMark/>
          </w:tcPr>
          <w:p w14:paraId="51D4783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w:t>
            </w:r>
          </w:p>
        </w:tc>
      </w:tr>
      <w:tr w:rsidR="007704E5" w:rsidRPr="007704E5" w14:paraId="083BC7EE" w14:textId="77777777" w:rsidTr="008A121C">
        <w:trPr>
          <w:trHeight w:hRule="exact" w:val="216"/>
          <w:jc w:val="center"/>
        </w:trPr>
        <w:tc>
          <w:tcPr>
            <w:tcW w:w="103" w:type="dxa"/>
            <w:tcBorders>
              <w:top w:val="nil"/>
              <w:left w:val="nil"/>
              <w:bottom w:val="nil"/>
              <w:right w:val="nil"/>
            </w:tcBorders>
            <w:shd w:val="clear" w:color="auto" w:fill="auto"/>
            <w:noWrap/>
            <w:hideMark/>
          </w:tcPr>
          <w:p w14:paraId="2AA652D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49C53B7A"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E879FB2"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Temporary Staff</w:t>
            </w:r>
          </w:p>
        </w:tc>
        <w:tc>
          <w:tcPr>
            <w:tcW w:w="103" w:type="dxa"/>
            <w:tcBorders>
              <w:top w:val="nil"/>
              <w:left w:val="nil"/>
              <w:bottom w:val="nil"/>
              <w:right w:val="nil"/>
            </w:tcBorders>
            <w:shd w:val="clear" w:color="auto" w:fill="auto"/>
            <w:noWrap/>
            <w:hideMark/>
          </w:tcPr>
          <w:p w14:paraId="24064A7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06409D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1,193</w:t>
            </w:r>
          </w:p>
        </w:tc>
        <w:tc>
          <w:tcPr>
            <w:tcW w:w="1180" w:type="dxa"/>
            <w:tcBorders>
              <w:top w:val="nil"/>
              <w:left w:val="nil"/>
              <w:bottom w:val="nil"/>
              <w:right w:val="nil"/>
            </w:tcBorders>
            <w:shd w:val="clear" w:color="auto" w:fill="auto"/>
            <w:noWrap/>
            <w:hideMark/>
          </w:tcPr>
          <w:p w14:paraId="38DAE0B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2,004</w:t>
            </w:r>
          </w:p>
        </w:tc>
        <w:tc>
          <w:tcPr>
            <w:tcW w:w="1180" w:type="dxa"/>
            <w:tcBorders>
              <w:top w:val="nil"/>
              <w:left w:val="nil"/>
              <w:bottom w:val="nil"/>
              <w:right w:val="nil"/>
            </w:tcBorders>
            <w:shd w:val="clear" w:color="auto" w:fill="auto"/>
            <w:noWrap/>
            <w:hideMark/>
          </w:tcPr>
          <w:p w14:paraId="3FEC85C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2,360</w:t>
            </w:r>
          </w:p>
        </w:tc>
        <w:tc>
          <w:tcPr>
            <w:tcW w:w="1060" w:type="dxa"/>
            <w:tcBorders>
              <w:top w:val="nil"/>
              <w:left w:val="nil"/>
              <w:bottom w:val="nil"/>
              <w:right w:val="nil"/>
            </w:tcBorders>
            <w:shd w:val="clear" w:color="auto" w:fill="auto"/>
            <w:noWrap/>
            <w:hideMark/>
          </w:tcPr>
          <w:p w14:paraId="6FD427C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(811)</w:t>
            </w:r>
          </w:p>
        </w:tc>
        <w:tc>
          <w:tcPr>
            <w:tcW w:w="1060" w:type="dxa"/>
            <w:tcBorders>
              <w:top w:val="nil"/>
              <w:left w:val="nil"/>
              <w:bottom w:val="nil"/>
              <w:right w:val="nil"/>
            </w:tcBorders>
            <w:shd w:val="clear" w:color="auto" w:fill="auto"/>
            <w:noWrap/>
            <w:hideMark/>
          </w:tcPr>
          <w:p w14:paraId="3908233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-40%</w:t>
            </w:r>
          </w:p>
        </w:tc>
      </w:tr>
      <w:tr w:rsidR="007704E5" w:rsidRPr="007704E5" w14:paraId="2868FCB3" w14:textId="77777777" w:rsidTr="008A121C">
        <w:trPr>
          <w:trHeight w:hRule="exact" w:val="216"/>
          <w:jc w:val="center"/>
        </w:trPr>
        <w:tc>
          <w:tcPr>
            <w:tcW w:w="103" w:type="dxa"/>
            <w:tcBorders>
              <w:top w:val="nil"/>
              <w:left w:val="nil"/>
              <w:bottom w:val="nil"/>
              <w:right w:val="nil"/>
            </w:tcBorders>
            <w:shd w:val="clear" w:color="auto" w:fill="auto"/>
            <w:noWrap/>
            <w:hideMark/>
          </w:tcPr>
          <w:p w14:paraId="7871ABD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3BDAEBD1"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895831F"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Other Staff Costs</w:t>
            </w:r>
          </w:p>
        </w:tc>
        <w:tc>
          <w:tcPr>
            <w:tcW w:w="103" w:type="dxa"/>
            <w:tcBorders>
              <w:top w:val="nil"/>
              <w:left w:val="nil"/>
              <w:bottom w:val="nil"/>
              <w:right w:val="nil"/>
            </w:tcBorders>
            <w:shd w:val="clear" w:color="auto" w:fill="auto"/>
            <w:noWrap/>
            <w:hideMark/>
          </w:tcPr>
          <w:p w14:paraId="7AD42010"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6DF03E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24A61CD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3AC84F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5C751DE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40895D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3E039CA5" w14:textId="77777777" w:rsidTr="008A121C">
        <w:trPr>
          <w:trHeight w:hRule="exact" w:val="216"/>
          <w:jc w:val="center"/>
        </w:trPr>
        <w:tc>
          <w:tcPr>
            <w:tcW w:w="103" w:type="dxa"/>
            <w:tcBorders>
              <w:top w:val="single" w:sz="4" w:space="0" w:color="C7CFD8"/>
              <w:left w:val="nil"/>
              <w:bottom w:val="single" w:sz="8" w:space="0" w:color="C7CFD8"/>
              <w:right w:val="nil"/>
            </w:tcBorders>
            <w:shd w:val="clear" w:color="auto" w:fill="auto"/>
            <w:noWrap/>
            <w:hideMark/>
          </w:tcPr>
          <w:p w14:paraId="5EB31D37"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1874BE0B"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 A</w:t>
            </w:r>
          </w:p>
        </w:tc>
        <w:tc>
          <w:tcPr>
            <w:tcW w:w="103" w:type="dxa"/>
            <w:tcBorders>
              <w:top w:val="single" w:sz="4" w:space="0" w:color="C7CFD8"/>
              <w:left w:val="nil"/>
              <w:bottom w:val="single" w:sz="8" w:space="0" w:color="C7CFD8"/>
              <w:right w:val="nil"/>
            </w:tcBorders>
            <w:shd w:val="clear" w:color="auto" w:fill="auto"/>
            <w:noWrap/>
            <w:hideMark/>
          </w:tcPr>
          <w:p w14:paraId="51AB7786"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3A152D1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59,682</w:t>
            </w:r>
          </w:p>
        </w:tc>
        <w:tc>
          <w:tcPr>
            <w:tcW w:w="1180" w:type="dxa"/>
            <w:tcBorders>
              <w:top w:val="single" w:sz="4" w:space="0" w:color="C7CFD8"/>
              <w:left w:val="nil"/>
              <w:bottom w:val="single" w:sz="8" w:space="0" w:color="C7CFD8"/>
              <w:right w:val="nil"/>
            </w:tcBorders>
            <w:shd w:val="clear" w:color="auto" w:fill="auto"/>
            <w:noWrap/>
            <w:vAlign w:val="center"/>
            <w:hideMark/>
          </w:tcPr>
          <w:p w14:paraId="59709EC8"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59,735</w:t>
            </w:r>
          </w:p>
        </w:tc>
        <w:tc>
          <w:tcPr>
            <w:tcW w:w="1180" w:type="dxa"/>
            <w:tcBorders>
              <w:top w:val="single" w:sz="4" w:space="0" w:color="C7CFD8"/>
              <w:left w:val="nil"/>
              <w:bottom w:val="single" w:sz="8" w:space="0" w:color="C7CFD8"/>
              <w:right w:val="nil"/>
            </w:tcBorders>
            <w:shd w:val="clear" w:color="auto" w:fill="auto"/>
            <w:noWrap/>
            <w:vAlign w:val="center"/>
            <w:hideMark/>
          </w:tcPr>
          <w:p w14:paraId="5088320D"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58,470</w:t>
            </w:r>
          </w:p>
        </w:tc>
        <w:tc>
          <w:tcPr>
            <w:tcW w:w="1060" w:type="dxa"/>
            <w:tcBorders>
              <w:top w:val="single" w:sz="4" w:space="0" w:color="C7CFD8"/>
              <w:left w:val="nil"/>
              <w:bottom w:val="single" w:sz="8" w:space="0" w:color="C7CFD8"/>
              <w:right w:val="nil"/>
            </w:tcBorders>
            <w:shd w:val="clear" w:color="auto" w:fill="auto"/>
            <w:noWrap/>
            <w:vAlign w:val="center"/>
            <w:hideMark/>
          </w:tcPr>
          <w:p w14:paraId="13F4FCEF"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(54)</w:t>
            </w:r>
          </w:p>
        </w:tc>
        <w:tc>
          <w:tcPr>
            <w:tcW w:w="1060" w:type="dxa"/>
            <w:tcBorders>
              <w:top w:val="single" w:sz="4" w:space="0" w:color="C7CFD8"/>
              <w:left w:val="nil"/>
              <w:bottom w:val="single" w:sz="8" w:space="0" w:color="C7CFD8"/>
              <w:right w:val="nil"/>
            </w:tcBorders>
            <w:shd w:val="clear" w:color="auto" w:fill="auto"/>
            <w:noWrap/>
            <w:vAlign w:val="center"/>
            <w:hideMark/>
          </w:tcPr>
          <w:p w14:paraId="389818F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0%</w:t>
            </w:r>
          </w:p>
        </w:tc>
      </w:tr>
      <w:tr w:rsidR="007704E5" w:rsidRPr="007704E5" w14:paraId="37D7F12E" w14:textId="77777777" w:rsidTr="008A121C">
        <w:trPr>
          <w:trHeight w:hRule="exact" w:val="216"/>
          <w:jc w:val="center"/>
        </w:trPr>
        <w:tc>
          <w:tcPr>
            <w:tcW w:w="3200" w:type="dxa"/>
            <w:gridSpan w:val="4"/>
            <w:tcBorders>
              <w:top w:val="nil"/>
              <w:left w:val="nil"/>
              <w:bottom w:val="nil"/>
              <w:right w:val="nil"/>
            </w:tcBorders>
            <w:shd w:val="clear" w:color="auto" w:fill="auto"/>
            <w:noWrap/>
            <w:hideMark/>
          </w:tcPr>
          <w:p w14:paraId="2B9D2DA6"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r w:rsidRPr="007704E5">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47ED0CA0" w14:textId="77777777" w:rsidR="007704E5" w:rsidRPr="007704E5" w:rsidRDefault="007704E5" w:rsidP="007704E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6C0A2F5D"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DC7E96F"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95341D5"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A11618B"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31A17404" w14:textId="77777777" w:rsidTr="008A121C">
        <w:trPr>
          <w:trHeight w:hRule="exact" w:val="216"/>
          <w:jc w:val="center"/>
        </w:trPr>
        <w:tc>
          <w:tcPr>
            <w:tcW w:w="103" w:type="dxa"/>
            <w:tcBorders>
              <w:top w:val="nil"/>
              <w:left w:val="nil"/>
              <w:bottom w:val="nil"/>
              <w:right w:val="nil"/>
            </w:tcBorders>
            <w:shd w:val="clear" w:color="auto" w:fill="auto"/>
            <w:noWrap/>
            <w:hideMark/>
          </w:tcPr>
          <w:p w14:paraId="724C49D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97" w:type="dxa"/>
            <w:gridSpan w:val="3"/>
            <w:tcBorders>
              <w:top w:val="nil"/>
              <w:left w:val="nil"/>
              <w:bottom w:val="nil"/>
              <w:right w:val="nil"/>
            </w:tcBorders>
            <w:shd w:val="clear" w:color="auto" w:fill="auto"/>
            <w:noWrap/>
            <w:hideMark/>
          </w:tcPr>
          <w:p w14:paraId="73B914DE"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1E62742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420F88A3"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8F9A815"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CB229C9"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9F9DD08"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2BA439A9" w14:textId="77777777" w:rsidTr="008A121C">
        <w:trPr>
          <w:trHeight w:hRule="exact" w:val="216"/>
          <w:jc w:val="center"/>
        </w:trPr>
        <w:tc>
          <w:tcPr>
            <w:tcW w:w="103" w:type="dxa"/>
            <w:tcBorders>
              <w:top w:val="nil"/>
              <w:left w:val="nil"/>
              <w:bottom w:val="nil"/>
              <w:right w:val="nil"/>
            </w:tcBorders>
            <w:shd w:val="clear" w:color="auto" w:fill="auto"/>
            <w:noWrap/>
            <w:hideMark/>
          </w:tcPr>
          <w:p w14:paraId="19EC9DD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256EFEAB"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E2CB240"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Internships</w:t>
            </w:r>
          </w:p>
        </w:tc>
        <w:tc>
          <w:tcPr>
            <w:tcW w:w="103" w:type="dxa"/>
            <w:tcBorders>
              <w:top w:val="nil"/>
              <w:left w:val="nil"/>
              <w:bottom w:val="nil"/>
              <w:right w:val="nil"/>
            </w:tcBorders>
            <w:shd w:val="clear" w:color="auto" w:fill="auto"/>
            <w:noWrap/>
            <w:hideMark/>
          </w:tcPr>
          <w:p w14:paraId="03BF09B6"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52E4310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132</w:t>
            </w:r>
          </w:p>
        </w:tc>
        <w:tc>
          <w:tcPr>
            <w:tcW w:w="1180" w:type="dxa"/>
            <w:tcBorders>
              <w:top w:val="nil"/>
              <w:left w:val="nil"/>
              <w:bottom w:val="nil"/>
              <w:right w:val="nil"/>
            </w:tcBorders>
            <w:shd w:val="clear" w:color="auto" w:fill="auto"/>
            <w:noWrap/>
            <w:hideMark/>
          </w:tcPr>
          <w:p w14:paraId="1739D64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143</w:t>
            </w:r>
          </w:p>
        </w:tc>
        <w:tc>
          <w:tcPr>
            <w:tcW w:w="1180" w:type="dxa"/>
            <w:tcBorders>
              <w:top w:val="nil"/>
              <w:left w:val="nil"/>
              <w:bottom w:val="nil"/>
              <w:right w:val="nil"/>
            </w:tcBorders>
            <w:shd w:val="clear" w:color="auto" w:fill="auto"/>
            <w:noWrap/>
            <w:hideMark/>
          </w:tcPr>
          <w:p w14:paraId="20DF0C0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52</w:t>
            </w:r>
          </w:p>
        </w:tc>
        <w:tc>
          <w:tcPr>
            <w:tcW w:w="1060" w:type="dxa"/>
            <w:tcBorders>
              <w:top w:val="nil"/>
              <w:left w:val="nil"/>
              <w:bottom w:val="nil"/>
              <w:right w:val="nil"/>
            </w:tcBorders>
            <w:shd w:val="clear" w:color="auto" w:fill="auto"/>
            <w:noWrap/>
            <w:hideMark/>
          </w:tcPr>
          <w:p w14:paraId="27DC7FD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(11)</w:t>
            </w:r>
          </w:p>
        </w:tc>
        <w:tc>
          <w:tcPr>
            <w:tcW w:w="1060" w:type="dxa"/>
            <w:tcBorders>
              <w:top w:val="nil"/>
              <w:left w:val="nil"/>
              <w:bottom w:val="nil"/>
              <w:right w:val="nil"/>
            </w:tcBorders>
            <w:shd w:val="clear" w:color="auto" w:fill="auto"/>
            <w:noWrap/>
            <w:hideMark/>
          </w:tcPr>
          <w:p w14:paraId="51224B0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w:t>
            </w:r>
          </w:p>
        </w:tc>
      </w:tr>
      <w:tr w:rsidR="007704E5" w:rsidRPr="007704E5" w14:paraId="0907D8B7" w14:textId="77777777" w:rsidTr="008A121C">
        <w:trPr>
          <w:trHeight w:hRule="exact" w:val="216"/>
          <w:jc w:val="center"/>
        </w:trPr>
        <w:tc>
          <w:tcPr>
            <w:tcW w:w="103" w:type="dxa"/>
            <w:tcBorders>
              <w:top w:val="nil"/>
              <w:left w:val="nil"/>
              <w:bottom w:val="nil"/>
              <w:right w:val="nil"/>
            </w:tcBorders>
            <w:shd w:val="clear" w:color="auto" w:fill="auto"/>
            <w:noWrap/>
            <w:hideMark/>
          </w:tcPr>
          <w:p w14:paraId="5644C92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7E4F4CB"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58FE89D"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WIPO Fellowships</w:t>
            </w:r>
          </w:p>
        </w:tc>
        <w:tc>
          <w:tcPr>
            <w:tcW w:w="103" w:type="dxa"/>
            <w:tcBorders>
              <w:top w:val="nil"/>
              <w:left w:val="nil"/>
              <w:bottom w:val="nil"/>
              <w:right w:val="nil"/>
            </w:tcBorders>
            <w:shd w:val="clear" w:color="auto" w:fill="auto"/>
            <w:noWrap/>
            <w:hideMark/>
          </w:tcPr>
          <w:p w14:paraId="4CDB92D8"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E9D511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4,208</w:t>
            </w:r>
          </w:p>
        </w:tc>
        <w:tc>
          <w:tcPr>
            <w:tcW w:w="1180" w:type="dxa"/>
            <w:tcBorders>
              <w:top w:val="nil"/>
              <w:left w:val="nil"/>
              <w:bottom w:val="nil"/>
              <w:right w:val="nil"/>
            </w:tcBorders>
            <w:shd w:val="clear" w:color="auto" w:fill="auto"/>
            <w:noWrap/>
            <w:hideMark/>
          </w:tcPr>
          <w:p w14:paraId="143BE8E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3,430</w:t>
            </w:r>
          </w:p>
        </w:tc>
        <w:tc>
          <w:tcPr>
            <w:tcW w:w="1180" w:type="dxa"/>
            <w:tcBorders>
              <w:top w:val="nil"/>
              <w:left w:val="nil"/>
              <w:bottom w:val="nil"/>
              <w:right w:val="nil"/>
            </w:tcBorders>
            <w:shd w:val="clear" w:color="auto" w:fill="auto"/>
            <w:noWrap/>
            <w:hideMark/>
          </w:tcPr>
          <w:p w14:paraId="59626C5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3,851</w:t>
            </w:r>
          </w:p>
        </w:tc>
        <w:tc>
          <w:tcPr>
            <w:tcW w:w="1060" w:type="dxa"/>
            <w:tcBorders>
              <w:top w:val="nil"/>
              <w:left w:val="nil"/>
              <w:bottom w:val="nil"/>
              <w:right w:val="nil"/>
            </w:tcBorders>
            <w:shd w:val="clear" w:color="auto" w:fill="auto"/>
            <w:noWrap/>
            <w:hideMark/>
          </w:tcPr>
          <w:p w14:paraId="2FE3F71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778</w:t>
            </w:r>
          </w:p>
        </w:tc>
        <w:tc>
          <w:tcPr>
            <w:tcW w:w="1060" w:type="dxa"/>
            <w:tcBorders>
              <w:top w:val="nil"/>
              <w:left w:val="nil"/>
              <w:bottom w:val="nil"/>
              <w:right w:val="nil"/>
            </w:tcBorders>
            <w:shd w:val="clear" w:color="auto" w:fill="auto"/>
            <w:noWrap/>
            <w:hideMark/>
          </w:tcPr>
          <w:p w14:paraId="578AF5E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23%</w:t>
            </w:r>
          </w:p>
        </w:tc>
      </w:tr>
      <w:tr w:rsidR="007704E5" w:rsidRPr="007704E5" w14:paraId="60D863ED"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0D119064"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75DD10BC"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3CD7F648"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440FF6E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4,340</w:t>
            </w:r>
          </w:p>
        </w:tc>
        <w:tc>
          <w:tcPr>
            <w:tcW w:w="1180" w:type="dxa"/>
            <w:tcBorders>
              <w:top w:val="nil"/>
              <w:left w:val="nil"/>
              <w:bottom w:val="single" w:sz="4" w:space="0" w:color="C7CFD8"/>
              <w:right w:val="nil"/>
            </w:tcBorders>
            <w:shd w:val="clear" w:color="auto" w:fill="auto"/>
            <w:noWrap/>
            <w:hideMark/>
          </w:tcPr>
          <w:p w14:paraId="337FF87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3,573</w:t>
            </w:r>
          </w:p>
        </w:tc>
        <w:tc>
          <w:tcPr>
            <w:tcW w:w="1180" w:type="dxa"/>
            <w:tcBorders>
              <w:top w:val="nil"/>
              <w:left w:val="nil"/>
              <w:bottom w:val="single" w:sz="4" w:space="0" w:color="C7CFD8"/>
              <w:right w:val="nil"/>
            </w:tcBorders>
            <w:shd w:val="clear" w:color="auto" w:fill="auto"/>
            <w:noWrap/>
            <w:hideMark/>
          </w:tcPr>
          <w:p w14:paraId="4F6B294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3,903</w:t>
            </w:r>
          </w:p>
        </w:tc>
        <w:tc>
          <w:tcPr>
            <w:tcW w:w="1060" w:type="dxa"/>
            <w:tcBorders>
              <w:top w:val="nil"/>
              <w:left w:val="nil"/>
              <w:bottom w:val="single" w:sz="4" w:space="0" w:color="C7CFD8"/>
              <w:right w:val="nil"/>
            </w:tcBorders>
            <w:shd w:val="clear" w:color="auto" w:fill="auto"/>
            <w:noWrap/>
            <w:hideMark/>
          </w:tcPr>
          <w:p w14:paraId="5D1B1F9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767</w:t>
            </w:r>
          </w:p>
        </w:tc>
        <w:tc>
          <w:tcPr>
            <w:tcW w:w="1060" w:type="dxa"/>
            <w:tcBorders>
              <w:top w:val="nil"/>
              <w:left w:val="nil"/>
              <w:bottom w:val="single" w:sz="4" w:space="0" w:color="C7CFD8"/>
              <w:right w:val="nil"/>
            </w:tcBorders>
            <w:shd w:val="clear" w:color="auto" w:fill="auto"/>
            <w:noWrap/>
            <w:hideMark/>
          </w:tcPr>
          <w:p w14:paraId="7497064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21%</w:t>
            </w:r>
          </w:p>
        </w:tc>
      </w:tr>
      <w:tr w:rsidR="007704E5" w:rsidRPr="007704E5" w14:paraId="7349B2A1" w14:textId="77777777" w:rsidTr="008A121C">
        <w:trPr>
          <w:trHeight w:hRule="exact" w:val="216"/>
          <w:jc w:val="center"/>
        </w:trPr>
        <w:tc>
          <w:tcPr>
            <w:tcW w:w="103" w:type="dxa"/>
            <w:tcBorders>
              <w:top w:val="nil"/>
              <w:left w:val="nil"/>
              <w:bottom w:val="nil"/>
              <w:right w:val="nil"/>
            </w:tcBorders>
            <w:shd w:val="clear" w:color="auto" w:fill="auto"/>
            <w:noWrap/>
            <w:hideMark/>
          </w:tcPr>
          <w:p w14:paraId="687E537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5153CF72"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174A278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12DA203C"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5136341"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3D39D1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83D5098"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141CBE15" w14:textId="77777777" w:rsidTr="008A121C">
        <w:trPr>
          <w:trHeight w:hRule="exact" w:val="216"/>
          <w:jc w:val="center"/>
        </w:trPr>
        <w:tc>
          <w:tcPr>
            <w:tcW w:w="103" w:type="dxa"/>
            <w:tcBorders>
              <w:top w:val="nil"/>
              <w:left w:val="nil"/>
              <w:bottom w:val="nil"/>
              <w:right w:val="nil"/>
            </w:tcBorders>
            <w:shd w:val="clear" w:color="auto" w:fill="auto"/>
            <w:noWrap/>
            <w:hideMark/>
          </w:tcPr>
          <w:p w14:paraId="6D56BB67"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3360546E"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193DD1A"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Staff Missions</w:t>
            </w:r>
          </w:p>
        </w:tc>
        <w:tc>
          <w:tcPr>
            <w:tcW w:w="103" w:type="dxa"/>
            <w:tcBorders>
              <w:top w:val="nil"/>
              <w:left w:val="nil"/>
              <w:bottom w:val="nil"/>
              <w:right w:val="nil"/>
            </w:tcBorders>
            <w:shd w:val="clear" w:color="auto" w:fill="auto"/>
            <w:noWrap/>
            <w:hideMark/>
          </w:tcPr>
          <w:p w14:paraId="7095D97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FC41B0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1,030</w:t>
            </w:r>
          </w:p>
        </w:tc>
        <w:tc>
          <w:tcPr>
            <w:tcW w:w="1180" w:type="dxa"/>
            <w:tcBorders>
              <w:top w:val="nil"/>
              <w:left w:val="nil"/>
              <w:bottom w:val="nil"/>
              <w:right w:val="nil"/>
            </w:tcBorders>
            <w:shd w:val="clear" w:color="auto" w:fill="auto"/>
            <w:noWrap/>
            <w:hideMark/>
          </w:tcPr>
          <w:p w14:paraId="614D6D9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1,035</w:t>
            </w:r>
          </w:p>
        </w:tc>
        <w:tc>
          <w:tcPr>
            <w:tcW w:w="1180" w:type="dxa"/>
            <w:tcBorders>
              <w:top w:val="nil"/>
              <w:left w:val="nil"/>
              <w:bottom w:val="nil"/>
              <w:right w:val="nil"/>
            </w:tcBorders>
            <w:shd w:val="clear" w:color="auto" w:fill="auto"/>
            <w:noWrap/>
            <w:hideMark/>
          </w:tcPr>
          <w:p w14:paraId="72727E2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609</w:t>
            </w:r>
          </w:p>
        </w:tc>
        <w:tc>
          <w:tcPr>
            <w:tcW w:w="1060" w:type="dxa"/>
            <w:tcBorders>
              <w:top w:val="nil"/>
              <w:left w:val="nil"/>
              <w:bottom w:val="nil"/>
              <w:right w:val="nil"/>
            </w:tcBorders>
            <w:shd w:val="clear" w:color="auto" w:fill="auto"/>
            <w:noWrap/>
            <w:hideMark/>
          </w:tcPr>
          <w:p w14:paraId="2D5F0D9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w:t>
            </w:r>
          </w:p>
        </w:tc>
        <w:tc>
          <w:tcPr>
            <w:tcW w:w="1060" w:type="dxa"/>
            <w:tcBorders>
              <w:top w:val="nil"/>
              <w:left w:val="nil"/>
              <w:bottom w:val="nil"/>
              <w:right w:val="nil"/>
            </w:tcBorders>
            <w:shd w:val="clear" w:color="auto" w:fill="auto"/>
            <w:noWrap/>
            <w:hideMark/>
          </w:tcPr>
          <w:p w14:paraId="3298345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0%</w:t>
            </w:r>
          </w:p>
        </w:tc>
      </w:tr>
      <w:tr w:rsidR="007704E5" w:rsidRPr="007704E5" w14:paraId="335FD8D4" w14:textId="77777777" w:rsidTr="008A121C">
        <w:trPr>
          <w:trHeight w:hRule="exact" w:val="216"/>
          <w:jc w:val="center"/>
        </w:trPr>
        <w:tc>
          <w:tcPr>
            <w:tcW w:w="103" w:type="dxa"/>
            <w:tcBorders>
              <w:top w:val="nil"/>
              <w:left w:val="nil"/>
              <w:bottom w:val="nil"/>
              <w:right w:val="nil"/>
            </w:tcBorders>
            <w:shd w:val="clear" w:color="auto" w:fill="auto"/>
            <w:noWrap/>
            <w:hideMark/>
          </w:tcPr>
          <w:p w14:paraId="2DB4E24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F589B0D"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541077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Third-party Travel</w:t>
            </w:r>
          </w:p>
        </w:tc>
        <w:tc>
          <w:tcPr>
            <w:tcW w:w="103" w:type="dxa"/>
            <w:tcBorders>
              <w:top w:val="nil"/>
              <w:left w:val="nil"/>
              <w:bottom w:val="nil"/>
              <w:right w:val="nil"/>
            </w:tcBorders>
            <w:shd w:val="clear" w:color="auto" w:fill="auto"/>
            <w:noWrap/>
            <w:hideMark/>
          </w:tcPr>
          <w:p w14:paraId="3AC8D7A5"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605A63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2,912</w:t>
            </w:r>
          </w:p>
        </w:tc>
        <w:tc>
          <w:tcPr>
            <w:tcW w:w="1180" w:type="dxa"/>
            <w:tcBorders>
              <w:top w:val="nil"/>
              <w:left w:val="nil"/>
              <w:bottom w:val="nil"/>
              <w:right w:val="nil"/>
            </w:tcBorders>
            <w:shd w:val="clear" w:color="auto" w:fill="auto"/>
            <w:noWrap/>
            <w:hideMark/>
          </w:tcPr>
          <w:p w14:paraId="61C74F1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2,095</w:t>
            </w:r>
          </w:p>
        </w:tc>
        <w:tc>
          <w:tcPr>
            <w:tcW w:w="1180" w:type="dxa"/>
            <w:tcBorders>
              <w:top w:val="nil"/>
              <w:left w:val="nil"/>
              <w:bottom w:val="nil"/>
              <w:right w:val="nil"/>
            </w:tcBorders>
            <w:shd w:val="clear" w:color="auto" w:fill="auto"/>
            <w:noWrap/>
            <w:hideMark/>
          </w:tcPr>
          <w:p w14:paraId="3631485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1,972</w:t>
            </w:r>
          </w:p>
        </w:tc>
        <w:tc>
          <w:tcPr>
            <w:tcW w:w="1060" w:type="dxa"/>
            <w:tcBorders>
              <w:top w:val="nil"/>
              <w:left w:val="nil"/>
              <w:bottom w:val="nil"/>
              <w:right w:val="nil"/>
            </w:tcBorders>
            <w:shd w:val="clear" w:color="auto" w:fill="auto"/>
            <w:noWrap/>
            <w:hideMark/>
          </w:tcPr>
          <w:p w14:paraId="1BB22E6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817</w:t>
            </w:r>
          </w:p>
        </w:tc>
        <w:tc>
          <w:tcPr>
            <w:tcW w:w="1060" w:type="dxa"/>
            <w:tcBorders>
              <w:top w:val="nil"/>
              <w:left w:val="nil"/>
              <w:bottom w:val="nil"/>
              <w:right w:val="nil"/>
            </w:tcBorders>
            <w:shd w:val="clear" w:color="auto" w:fill="auto"/>
            <w:noWrap/>
            <w:hideMark/>
          </w:tcPr>
          <w:p w14:paraId="1DAA8FE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w:t>
            </w:r>
          </w:p>
        </w:tc>
      </w:tr>
      <w:tr w:rsidR="007704E5" w:rsidRPr="007704E5" w14:paraId="7F5C7C16"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7F0E082A"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585C3A94"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65401B67"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67681DE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3,941</w:t>
            </w:r>
          </w:p>
        </w:tc>
        <w:tc>
          <w:tcPr>
            <w:tcW w:w="1180" w:type="dxa"/>
            <w:tcBorders>
              <w:top w:val="nil"/>
              <w:left w:val="nil"/>
              <w:bottom w:val="single" w:sz="4" w:space="0" w:color="C7CFD8"/>
              <w:right w:val="nil"/>
            </w:tcBorders>
            <w:shd w:val="clear" w:color="auto" w:fill="auto"/>
            <w:noWrap/>
            <w:hideMark/>
          </w:tcPr>
          <w:p w14:paraId="204F03F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3,130</w:t>
            </w:r>
          </w:p>
        </w:tc>
        <w:tc>
          <w:tcPr>
            <w:tcW w:w="1180" w:type="dxa"/>
            <w:tcBorders>
              <w:top w:val="nil"/>
              <w:left w:val="nil"/>
              <w:bottom w:val="single" w:sz="4" w:space="0" w:color="C7CFD8"/>
              <w:right w:val="nil"/>
            </w:tcBorders>
            <w:shd w:val="clear" w:color="auto" w:fill="auto"/>
            <w:noWrap/>
            <w:hideMark/>
          </w:tcPr>
          <w:p w14:paraId="1257587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2,582</w:t>
            </w:r>
          </w:p>
        </w:tc>
        <w:tc>
          <w:tcPr>
            <w:tcW w:w="1060" w:type="dxa"/>
            <w:tcBorders>
              <w:top w:val="nil"/>
              <w:left w:val="nil"/>
              <w:bottom w:val="single" w:sz="4" w:space="0" w:color="C7CFD8"/>
              <w:right w:val="nil"/>
            </w:tcBorders>
            <w:shd w:val="clear" w:color="auto" w:fill="auto"/>
            <w:noWrap/>
            <w:hideMark/>
          </w:tcPr>
          <w:p w14:paraId="3BEAC41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812</w:t>
            </w:r>
          </w:p>
        </w:tc>
        <w:tc>
          <w:tcPr>
            <w:tcW w:w="1060" w:type="dxa"/>
            <w:tcBorders>
              <w:top w:val="nil"/>
              <w:left w:val="nil"/>
              <w:bottom w:val="single" w:sz="4" w:space="0" w:color="C7CFD8"/>
              <w:right w:val="nil"/>
            </w:tcBorders>
            <w:shd w:val="clear" w:color="auto" w:fill="auto"/>
            <w:noWrap/>
            <w:hideMark/>
          </w:tcPr>
          <w:p w14:paraId="3871C34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26%</w:t>
            </w:r>
          </w:p>
        </w:tc>
      </w:tr>
      <w:tr w:rsidR="007704E5" w:rsidRPr="007704E5" w14:paraId="48BD7A95" w14:textId="77777777" w:rsidTr="008A121C">
        <w:trPr>
          <w:trHeight w:hRule="exact" w:val="216"/>
          <w:jc w:val="center"/>
        </w:trPr>
        <w:tc>
          <w:tcPr>
            <w:tcW w:w="103" w:type="dxa"/>
            <w:tcBorders>
              <w:top w:val="nil"/>
              <w:left w:val="nil"/>
              <w:bottom w:val="nil"/>
              <w:right w:val="nil"/>
            </w:tcBorders>
            <w:shd w:val="clear" w:color="auto" w:fill="auto"/>
            <w:noWrap/>
            <w:hideMark/>
          </w:tcPr>
          <w:p w14:paraId="1A11524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258E320E"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5B2308C5"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A14448E"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696F75F"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89CADB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DBFF8EC"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597BFB59" w14:textId="77777777" w:rsidTr="008A121C">
        <w:trPr>
          <w:trHeight w:hRule="exact" w:val="216"/>
          <w:jc w:val="center"/>
        </w:trPr>
        <w:tc>
          <w:tcPr>
            <w:tcW w:w="103" w:type="dxa"/>
            <w:tcBorders>
              <w:top w:val="nil"/>
              <w:left w:val="nil"/>
              <w:bottom w:val="nil"/>
              <w:right w:val="nil"/>
            </w:tcBorders>
            <w:shd w:val="clear" w:color="auto" w:fill="auto"/>
            <w:noWrap/>
            <w:hideMark/>
          </w:tcPr>
          <w:p w14:paraId="281481EB"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35C8DB67"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595DFBF"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Conferences</w:t>
            </w:r>
          </w:p>
        </w:tc>
        <w:tc>
          <w:tcPr>
            <w:tcW w:w="103" w:type="dxa"/>
            <w:tcBorders>
              <w:top w:val="nil"/>
              <w:left w:val="nil"/>
              <w:bottom w:val="nil"/>
              <w:right w:val="nil"/>
            </w:tcBorders>
            <w:shd w:val="clear" w:color="auto" w:fill="auto"/>
            <w:noWrap/>
            <w:hideMark/>
          </w:tcPr>
          <w:p w14:paraId="11B5A0B8"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FE36FE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1,305</w:t>
            </w:r>
          </w:p>
        </w:tc>
        <w:tc>
          <w:tcPr>
            <w:tcW w:w="1180" w:type="dxa"/>
            <w:tcBorders>
              <w:top w:val="nil"/>
              <w:left w:val="nil"/>
              <w:bottom w:val="nil"/>
              <w:right w:val="nil"/>
            </w:tcBorders>
            <w:shd w:val="clear" w:color="auto" w:fill="auto"/>
            <w:noWrap/>
            <w:hideMark/>
          </w:tcPr>
          <w:p w14:paraId="534918E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1,065</w:t>
            </w:r>
          </w:p>
        </w:tc>
        <w:tc>
          <w:tcPr>
            <w:tcW w:w="1180" w:type="dxa"/>
            <w:tcBorders>
              <w:top w:val="nil"/>
              <w:left w:val="nil"/>
              <w:bottom w:val="nil"/>
              <w:right w:val="nil"/>
            </w:tcBorders>
            <w:shd w:val="clear" w:color="auto" w:fill="auto"/>
            <w:noWrap/>
            <w:hideMark/>
          </w:tcPr>
          <w:p w14:paraId="364D5F6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1,075</w:t>
            </w:r>
          </w:p>
        </w:tc>
        <w:tc>
          <w:tcPr>
            <w:tcW w:w="1060" w:type="dxa"/>
            <w:tcBorders>
              <w:top w:val="nil"/>
              <w:left w:val="nil"/>
              <w:bottom w:val="nil"/>
              <w:right w:val="nil"/>
            </w:tcBorders>
            <w:shd w:val="clear" w:color="auto" w:fill="auto"/>
            <w:noWrap/>
            <w:hideMark/>
          </w:tcPr>
          <w:p w14:paraId="515224E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240</w:t>
            </w:r>
          </w:p>
        </w:tc>
        <w:tc>
          <w:tcPr>
            <w:tcW w:w="1060" w:type="dxa"/>
            <w:tcBorders>
              <w:top w:val="nil"/>
              <w:left w:val="nil"/>
              <w:bottom w:val="nil"/>
              <w:right w:val="nil"/>
            </w:tcBorders>
            <w:shd w:val="clear" w:color="auto" w:fill="auto"/>
            <w:noWrap/>
            <w:hideMark/>
          </w:tcPr>
          <w:p w14:paraId="575E58A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23%</w:t>
            </w:r>
          </w:p>
        </w:tc>
      </w:tr>
      <w:tr w:rsidR="007704E5" w:rsidRPr="007704E5" w14:paraId="4E672A16" w14:textId="77777777" w:rsidTr="008A121C">
        <w:trPr>
          <w:trHeight w:hRule="exact" w:val="216"/>
          <w:jc w:val="center"/>
        </w:trPr>
        <w:tc>
          <w:tcPr>
            <w:tcW w:w="103" w:type="dxa"/>
            <w:tcBorders>
              <w:top w:val="nil"/>
              <w:left w:val="nil"/>
              <w:bottom w:val="nil"/>
              <w:right w:val="nil"/>
            </w:tcBorders>
            <w:shd w:val="clear" w:color="auto" w:fill="auto"/>
            <w:noWrap/>
            <w:hideMark/>
          </w:tcPr>
          <w:p w14:paraId="046668C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7CDDC1A"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F81B46D"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Publishing</w:t>
            </w:r>
          </w:p>
        </w:tc>
        <w:tc>
          <w:tcPr>
            <w:tcW w:w="103" w:type="dxa"/>
            <w:tcBorders>
              <w:top w:val="nil"/>
              <w:left w:val="nil"/>
              <w:bottom w:val="nil"/>
              <w:right w:val="nil"/>
            </w:tcBorders>
            <w:shd w:val="clear" w:color="auto" w:fill="auto"/>
            <w:noWrap/>
            <w:hideMark/>
          </w:tcPr>
          <w:p w14:paraId="0DF3916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541E64D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2D0FD4C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35</w:t>
            </w:r>
          </w:p>
        </w:tc>
        <w:tc>
          <w:tcPr>
            <w:tcW w:w="1180" w:type="dxa"/>
            <w:tcBorders>
              <w:top w:val="nil"/>
              <w:left w:val="nil"/>
              <w:bottom w:val="nil"/>
              <w:right w:val="nil"/>
            </w:tcBorders>
            <w:shd w:val="clear" w:color="auto" w:fill="auto"/>
            <w:noWrap/>
            <w:hideMark/>
          </w:tcPr>
          <w:p w14:paraId="5362275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20</w:t>
            </w:r>
          </w:p>
        </w:tc>
        <w:tc>
          <w:tcPr>
            <w:tcW w:w="1060" w:type="dxa"/>
            <w:tcBorders>
              <w:top w:val="nil"/>
              <w:left w:val="nil"/>
              <w:bottom w:val="nil"/>
              <w:right w:val="nil"/>
            </w:tcBorders>
            <w:shd w:val="clear" w:color="auto" w:fill="auto"/>
            <w:noWrap/>
            <w:hideMark/>
          </w:tcPr>
          <w:p w14:paraId="778B062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(35)</w:t>
            </w:r>
          </w:p>
        </w:tc>
        <w:tc>
          <w:tcPr>
            <w:tcW w:w="1060" w:type="dxa"/>
            <w:tcBorders>
              <w:top w:val="nil"/>
              <w:left w:val="nil"/>
              <w:bottom w:val="nil"/>
              <w:right w:val="nil"/>
            </w:tcBorders>
            <w:shd w:val="clear" w:color="auto" w:fill="auto"/>
            <w:noWrap/>
            <w:hideMark/>
          </w:tcPr>
          <w:p w14:paraId="2B78A53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-100%</w:t>
            </w:r>
          </w:p>
        </w:tc>
      </w:tr>
      <w:tr w:rsidR="007704E5" w:rsidRPr="007704E5" w14:paraId="03B04010" w14:textId="77777777" w:rsidTr="008A121C">
        <w:trPr>
          <w:trHeight w:hRule="exact" w:val="216"/>
          <w:jc w:val="center"/>
        </w:trPr>
        <w:tc>
          <w:tcPr>
            <w:tcW w:w="103" w:type="dxa"/>
            <w:tcBorders>
              <w:top w:val="nil"/>
              <w:left w:val="nil"/>
              <w:bottom w:val="nil"/>
              <w:right w:val="nil"/>
            </w:tcBorders>
            <w:shd w:val="clear" w:color="auto" w:fill="auto"/>
            <w:noWrap/>
            <w:hideMark/>
          </w:tcPr>
          <w:p w14:paraId="66C6788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70B2B36"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328591BB"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493487F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1,701</w:t>
            </w:r>
          </w:p>
        </w:tc>
        <w:tc>
          <w:tcPr>
            <w:tcW w:w="1180" w:type="dxa"/>
            <w:tcBorders>
              <w:top w:val="nil"/>
              <w:left w:val="nil"/>
              <w:bottom w:val="nil"/>
              <w:right w:val="nil"/>
            </w:tcBorders>
            <w:shd w:val="clear" w:color="auto" w:fill="auto"/>
            <w:noWrap/>
            <w:hideMark/>
          </w:tcPr>
          <w:p w14:paraId="7F5161E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1,482</w:t>
            </w:r>
          </w:p>
        </w:tc>
        <w:tc>
          <w:tcPr>
            <w:tcW w:w="1180" w:type="dxa"/>
            <w:tcBorders>
              <w:top w:val="nil"/>
              <w:left w:val="nil"/>
              <w:bottom w:val="nil"/>
              <w:right w:val="nil"/>
            </w:tcBorders>
            <w:shd w:val="clear" w:color="auto" w:fill="auto"/>
            <w:noWrap/>
            <w:hideMark/>
          </w:tcPr>
          <w:p w14:paraId="7024C95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1,462</w:t>
            </w:r>
          </w:p>
        </w:tc>
        <w:tc>
          <w:tcPr>
            <w:tcW w:w="1060" w:type="dxa"/>
            <w:tcBorders>
              <w:top w:val="nil"/>
              <w:left w:val="nil"/>
              <w:bottom w:val="nil"/>
              <w:right w:val="nil"/>
            </w:tcBorders>
            <w:shd w:val="clear" w:color="auto" w:fill="auto"/>
            <w:noWrap/>
            <w:hideMark/>
          </w:tcPr>
          <w:p w14:paraId="4E4C9E9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219</w:t>
            </w:r>
          </w:p>
        </w:tc>
        <w:tc>
          <w:tcPr>
            <w:tcW w:w="1060" w:type="dxa"/>
            <w:tcBorders>
              <w:top w:val="nil"/>
              <w:left w:val="nil"/>
              <w:bottom w:val="nil"/>
              <w:right w:val="nil"/>
            </w:tcBorders>
            <w:shd w:val="clear" w:color="auto" w:fill="auto"/>
            <w:noWrap/>
            <w:hideMark/>
          </w:tcPr>
          <w:p w14:paraId="6C6BEEA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15%</w:t>
            </w:r>
          </w:p>
        </w:tc>
      </w:tr>
      <w:tr w:rsidR="007704E5" w:rsidRPr="007704E5" w14:paraId="0B6E8249" w14:textId="77777777" w:rsidTr="008A121C">
        <w:trPr>
          <w:trHeight w:hRule="exact" w:val="216"/>
          <w:jc w:val="center"/>
        </w:trPr>
        <w:tc>
          <w:tcPr>
            <w:tcW w:w="103" w:type="dxa"/>
            <w:tcBorders>
              <w:top w:val="nil"/>
              <w:left w:val="nil"/>
              <w:bottom w:val="nil"/>
              <w:right w:val="nil"/>
            </w:tcBorders>
            <w:shd w:val="clear" w:color="auto" w:fill="auto"/>
            <w:noWrap/>
            <w:hideMark/>
          </w:tcPr>
          <w:p w14:paraId="1B9657C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1B2C023"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1820429"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23E6861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7,282</w:t>
            </w:r>
          </w:p>
        </w:tc>
        <w:tc>
          <w:tcPr>
            <w:tcW w:w="1180" w:type="dxa"/>
            <w:tcBorders>
              <w:top w:val="nil"/>
              <w:left w:val="nil"/>
              <w:bottom w:val="nil"/>
              <w:right w:val="nil"/>
            </w:tcBorders>
            <w:shd w:val="clear" w:color="auto" w:fill="auto"/>
            <w:noWrap/>
            <w:hideMark/>
          </w:tcPr>
          <w:p w14:paraId="5DB206A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10,391</w:t>
            </w:r>
          </w:p>
        </w:tc>
        <w:tc>
          <w:tcPr>
            <w:tcW w:w="1180" w:type="dxa"/>
            <w:tcBorders>
              <w:top w:val="nil"/>
              <w:left w:val="nil"/>
              <w:bottom w:val="nil"/>
              <w:right w:val="nil"/>
            </w:tcBorders>
            <w:shd w:val="clear" w:color="auto" w:fill="auto"/>
            <w:noWrap/>
            <w:hideMark/>
          </w:tcPr>
          <w:p w14:paraId="11B7062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12,569</w:t>
            </w:r>
          </w:p>
        </w:tc>
        <w:tc>
          <w:tcPr>
            <w:tcW w:w="1060" w:type="dxa"/>
            <w:tcBorders>
              <w:top w:val="nil"/>
              <w:left w:val="nil"/>
              <w:bottom w:val="nil"/>
              <w:right w:val="nil"/>
            </w:tcBorders>
            <w:shd w:val="clear" w:color="auto" w:fill="auto"/>
            <w:noWrap/>
            <w:hideMark/>
          </w:tcPr>
          <w:p w14:paraId="3573977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(3,108)</w:t>
            </w:r>
          </w:p>
        </w:tc>
        <w:tc>
          <w:tcPr>
            <w:tcW w:w="1060" w:type="dxa"/>
            <w:tcBorders>
              <w:top w:val="nil"/>
              <w:left w:val="nil"/>
              <w:bottom w:val="nil"/>
              <w:right w:val="nil"/>
            </w:tcBorders>
            <w:shd w:val="clear" w:color="auto" w:fill="auto"/>
            <w:noWrap/>
            <w:hideMark/>
          </w:tcPr>
          <w:p w14:paraId="2E86FB9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-30%</w:t>
            </w:r>
          </w:p>
        </w:tc>
      </w:tr>
      <w:tr w:rsidR="007704E5" w:rsidRPr="007704E5" w14:paraId="0311960C"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2988E75D"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0420A126"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2D2D16B"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1CB8F2E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10,288</w:t>
            </w:r>
          </w:p>
        </w:tc>
        <w:tc>
          <w:tcPr>
            <w:tcW w:w="1180" w:type="dxa"/>
            <w:tcBorders>
              <w:top w:val="nil"/>
              <w:left w:val="nil"/>
              <w:bottom w:val="single" w:sz="4" w:space="0" w:color="C7CFD8"/>
              <w:right w:val="nil"/>
            </w:tcBorders>
            <w:shd w:val="clear" w:color="auto" w:fill="auto"/>
            <w:noWrap/>
            <w:hideMark/>
          </w:tcPr>
          <w:p w14:paraId="7E4C4E1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12,973</w:t>
            </w:r>
          </w:p>
        </w:tc>
        <w:tc>
          <w:tcPr>
            <w:tcW w:w="1180" w:type="dxa"/>
            <w:tcBorders>
              <w:top w:val="nil"/>
              <w:left w:val="nil"/>
              <w:bottom w:val="single" w:sz="4" w:space="0" w:color="C7CFD8"/>
              <w:right w:val="nil"/>
            </w:tcBorders>
            <w:shd w:val="clear" w:color="auto" w:fill="auto"/>
            <w:noWrap/>
            <w:hideMark/>
          </w:tcPr>
          <w:p w14:paraId="505C494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15,125</w:t>
            </w:r>
          </w:p>
        </w:tc>
        <w:tc>
          <w:tcPr>
            <w:tcW w:w="1060" w:type="dxa"/>
            <w:tcBorders>
              <w:top w:val="nil"/>
              <w:left w:val="nil"/>
              <w:bottom w:val="single" w:sz="4" w:space="0" w:color="C7CFD8"/>
              <w:right w:val="nil"/>
            </w:tcBorders>
            <w:shd w:val="clear" w:color="auto" w:fill="auto"/>
            <w:noWrap/>
            <w:hideMark/>
          </w:tcPr>
          <w:p w14:paraId="7F73235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(2,684)</w:t>
            </w:r>
          </w:p>
        </w:tc>
        <w:tc>
          <w:tcPr>
            <w:tcW w:w="1060" w:type="dxa"/>
            <w:tcBorders>
              <w:top w:val="nil"/>
              <w:left w:val="nil"/>
              <w:bottom w:val="single" w:sz="4" w:space="0" w:color="C7CFD8"/>
              <w:right w:val="nil"/>
            </w:tcBorders>
            <w:shd w:val="clear" w:color="auto" w:fill="auto"/>
            <w:noWrap/>
            <w:hideMark/>
          </w:tcPr>
          <w:p w14:paraId="7F1FD3E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-21%</w:t>
            </w:r>
          </w:p>
        </w:tc>
      </w:tr>
      <w:tr w:rsidR="007704E5" w:rsidRPr="007704E5" w14:paraId="0CF8DD5E" w14:textId="77777777" w:rsidTr="008A121C">
        <w:trPr>
          <w:trHeight w:hRule="exact" w:val="216"/>
          <w:jc w:val="center"/>
        </w:trPr>
        <w:tc>
          <w:tcPr>
            <w:tcW w:w="103" w:type="dxa"/>
            <w:tcBorders>
              <w:top w:val="nil"/>
              <w:left w:val="nil"/>
              <w:bottom w:val="nil"/>
              <w:right w:val="nil"/>
            </w:tcBorders>
            <w:shd w:val="clear" w:color="auto" w:fill="auto"/>
            <w:noWrap/>
            <w:hideMark/>
          </w:tcPr>
          <w:p w14:paraId="54B5FC5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649E4F0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Finance Costs</w:t>
            </w:r>
          </w:p>
        </w:tc>
        <w:tc>
          <w:tcPr>
            <w:tcW w:w="103" w:type="dxa"/>
            <w:tcBorders>
              <w:top w:val="nil"/>
              <w:left w:val="nil"/>
              <w:bottom w:val="nil"/>
              <w:right w:val="nil"/>
            </w:tcBorders>
            <w:shd w:val="clear" w:color="auto" w:fill="auto"/>
            <w:noWrap/>
            <w:hideMark/>
          </w:tcPr>
          <w:p w14:paraId="2849A917"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2CE8950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1A9CD7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A3C103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D47F56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C9EA3A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4D862E3C"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42510C41"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3A5000CA"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2A3B23CB"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39D8F77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539B60F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0AE37C1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541C0CB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5321AA1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3ED06D66" w14:textId="77777777" w:rsidTr="008A121C">
        <w:trPr>
          <w:trHeight w:hRule="exact" w:val="216"/>
          <w:jc w:val="center"/>
        </w:trPr>
        <w:tc>
          <w:tcPr>
            <w:tcW w:w="103" w:type="dxa"/>
            <w:tcBorders>
              <w:top w:val="nil"/>
              <w:left w:val="nil"/>
              <w:bottom w:val="nil"/>
              <w:right w:val="nil"/>
            </w:tcBorders>
            <w:shd w:val="clear" w:color="auto" w:fill="auto"/>
            <w:noWrap/>
            <w:hideMark/>
          </w:tcPr>
          <w:p w14:paraId="2FA8886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6F8540F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Operating Expenses</w:t>
            </w:r>
          </w:p>
        </w:tc>
        <w:tc>
          <w:tcPr>
            <w:tcW w:w="103" w:type="dxa"/>
            <w:tcBorders>
              <w:top w:val="nil"/>
              <w:left w:val="nil"/>
              <w:bottom w:val="nil"/>
              <w:right w:val="nil"/>
            </w:tcBorders>
            <w:shd w:val="clear" w:color="auto" w:fill="auto"/>
            <w:noWrap/>
            <w:hideMark/>
          </w:tcPr>
          <w:p w14:paraId="66192482"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6D9A69AA"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7D481D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E84E78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BB1D24C"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FDD7B5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78DBAF02" w14:textId="77777777" w:rsidTr="008A121C">
        <w:trPr>
          <w:trHeight w:hRule="exact" w:val="216"/>
          <w:jc w:val="center"/>
        </w:trPr>
        <w:tc>
          <w:tcPr>
            <w:tcW w:w="103" w:type="dxa"/>
            <w:tcBorders>
              <w:top w:val="nil"/>
              <w:left w:val="nil"/>
              <w:bottom w:val="nil"/>
              <w:right w:val="nil"/>
            </w:tcBorders>
            <w:shd w:val="clear" w:color="auto" w:fill="auto"/>
            <w:noWrap/>
            <w:hideMark/>
          </w:tcPr>
          <w:p w14:paraId="5D01CAE1"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28D0F800"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3C6DECE"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2F5E77A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5620197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287D594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47</w:t>
            </w:r>
          </w:p>
        </w:tc>
        <w:tc>
          <w:tcPr>
            <w:tcW w:w="1060" w:type="dxa"/>
            <w:tcBorders>
              <w:top w:val="nil"/>
              <w:left w:val="nil"/>
              <w:bottom w:val="nil"/>
              <w:right w:val="nil"/>
            </w:tcBorders>
            <w:shd w:val="clear" w:color="auto" w:fill="auto"/>
            <w:noWrap/>
            <w:hideMark/>
          </w:tcPr>
          <w:p w14:paraId="6BD7907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7CF5AD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0E4603DD" w14:textId="77777777" w:rsidTr="008A121C">
        <w:trPr>
          <w:trHeight w:hRule="exact" w:val="216"/>
          <w:jc w:val="center"/>
        </w:trPr>
        <w:tc>
          <w:tcPr>
            <w:tcW w:w="103" w:type="dxa"/>
            <w:tcBorders>
              <w:top w:val="nil"/>
              <w:left w:val="nil"/>
              <w:bottom w:val="nil"/>
              <w:right w:val="nil"/>
            </w:tcBorders>
            <w:shd w:val="clear" w:color="auto" w:fill="auto"/>
            <w:noWrap/>
            <w:hideMark/>
          </w:tcPr>
          <w:p w14:paraId="1ED5CA9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AC94425"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647F1A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Communication</w:t>
            </w:r>
          </w:p>
        </w:tc>
        <w:tc>
          <w:tcPr>
            <w:tcW w:w="103" w:type="dxa"/>
            <w:tcBorders>
              <w:top w:val="nil"/>
              <w:left w:val="nil"/>
              <w:bottom w:val="nil"/>
              <w:right w:val="nil"/>
            </w:tcBorders>
            <w:shd w:val="clear" w:color="auto" w:fill="auto"/>
            <w:noWrap/>
            <w:hideMark/>
          </w:tcPr>
          <w:p w14:paraId="710E153D"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451BE3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600</w:t>
            </w:r>
          </w:p>
        </w:tc>
        <w:tc>
          <w:tcPr>
            <w:tcW w:w="1180" w:type="dxa"/>
            <w:tcBorders>
              <w:top w:val="nil"/>
              <w:left w:val="nil"/>
              <w:bottom w:val="nil"/>
              <w:right w:val="nil"/>
            </w:tcBorders>
            <w:shd w:val="clear" w:color="auto" w:fill="auto"/>
            <w:noWrap/>
            <w:hideMark/>
          </w:tcPr>
          <w:p w14:paraId="0EFC3EB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770</w:t>
            </w:r>
          </w:p>
        </w:tc>
        <w:tc>
          <w:tcPr>
            <w:tcW w:w="1180" w:type="dxa"/>
            <w:tcBorders>
              <w:top w:val="nil"/>
              <w:left w:val="nil"/>
              <w:bottom w:val="nil"/>
              <w:right w:val="nil"/>
            </w:tcBorders>
            <w:shd w:val="clear" w:color="auto" w:fill="auto"/>
            <w:noWrap/>
            <w:hideMark/>
          </w:tcPr>
          <w:p w14:paraId="7DFFE04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560</w:t>
            </w:r>
          </w:p>
        </w:tc>
        <w:tc>
          <w:tcPr>
            <w:tcW w:w="1060" w:type="dxa"/>
            <w:tcBorders>
              <w:top w:val="nil"/>
              <w:left w:val="nil"/>
              <w:bottom w:val="nil"/>
              <w:right w:val="nil"/>
            </w:tcBorders>
            <w:shd w:val="clear" w:color="auto" w:fill="auto"/>
            <w:noWrap/>
            <w:hideMark/>
          </w:tcPr>
          <w:p w14:paraId="5C4BFB2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(170)</w:t>
            </w:r>
          </w:p>
        </w:tc>
        <w:tc>
          <w:tcPr>
            <w:tcW w:w="1060" w:type="dxa"/>
            <w:tcBorders>
              <w:top w:val="nil"/>
              <w:left w:val="nil"/>
              <w:bottom w:val="nil"/>
              <w:right w:val="nil"/>
            </w:tcBorders>
            <w:shd w:val="clear" w:color="auto" w:fill="auto"/>
            <w:noWrap/>
            <w:hideMark/>
          </w:tcPr>
          <w:p w14:paraId="69EEEEA4"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-22%</w:t>
            </w:r>
          </w:p>
        </w:tc>
      </w:tr>
      <w:tr w:rsidR="007704E5" w:rsidRPr="007704E5" w14:paraId="3D4A04AE" w14:textId="77777777" w:rsidTr="008A121C">
        <w:trPr>
          <w:trHeight w:hRule="exact" w:val="216"/>
          <w:jc w:val="center"/>
        </w:trPr>
        <w:tc>
          <w:tcPr>
            <w:tcW w:w="103" w:type="dxa"/>
            <w:tcBorders>
              <w:top w:val="nil"/>
              <w:left w:val="nil"/>
              <w:bottom w:val="nil"/>
              <w:right w:val="nil"/>
            </w:tcBorders>
            <w:shd w:val="clear" w:color="auto" w:fill="auto"/>
            <w:noWrap/>
            <w:hideMark/>
          </w:tcPr>
          <w:p w14:paraId="2F0EF98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C88358A"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hideMark/>
          </w:tcPr>
          <w:p w14:paraId="407AEC7D"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46CF4CE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309</w:t>
            </w:r>
          </w:p>
        </w:tc>
        <w:tc>
          <w:tcPr>
            <w:tcW w:w="1180" w:type="dxa"/>
            <w:tcBorders>
              <w:top w:val="nil"/>
              <w:left w:val="nil"/>
              <w:bottom w:val="nil"/>
              <w:right w:val="nil"/>
            </w:tcBorders>
            <w:shd w:val="clear" w:color="auto" w:fill="auto"/>
            <w:noWrap/>
            <w:hideMark/>
          </w:tcPr>
          <w:p w14:paraId="19C61D6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210</w:t>
            </w:r>
          </w:p>
        </w:tc>
        <w:tc>
          <w:tcPr>
            <w:tcW w:w="1180" w:type="dxa"/>
            <w:tcBorders>
              <w:top w:val="nil"/>
              <w:left w:val="nil"/>
              <w:bottom w:val="nil"/>
              <w:right w:val="nil"/>
            </w:tcBorders>
            <w:shd w:val="clear" w:color="auto" w:fill="auto"/>
            <w:noWrap/>
            <w:hideMark/>
          </w:tcPr>
          <w:p w14:paraId="60639A7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214</w:t>
            </w:r>
          </w:p>
        </w:tc>
        <w:tc>
          <w:tcPr>
            <w:tcW w:w="1060" w:type="dxa"/>
            <w:tcBorders>
              <w:top w:val="nil"/>
              <w:left w:val="nil"/>
              <w:bottom w:val="nil"/>
              <w:right w:val="nil"/>
            </w:tcBorders>
            <w:shd w:val="clear" w:color="auto" w:fill="auto"/>
            <w:noWrap/>
            <w:hideMark/>
          </w:tcPr>
          <w:p w14:paraId="6829A61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99</w:t>
            </w:r>
          </w:p>
        </w:tc>
        <w:tc>
          <w:tcPr>
            <w:tcW w:w="1060" w:type="dxa"/>
            <w:tcBorders>
              <w:top w:val="nil"/>
              <w:left w:val="nil"/>
              <w:bottom w:val="nil"/>
              <w:right w:val="nil"/>
            </w:tcBorders>
            <w:shd w:val="clear" w:color="auto" w:fill="auto"/>
            <w:noWrap/>
            <w:hideMark/>
          </w:tcPr>
          <w:p w14:paraId="20D5988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47%</w:t>
            </w:r>
          </w:p>
        </w:tc>
      </w:tr>
      <w:tr w:rsidR="007704E5" w:rsidRPr="007704E5" w14:paraId="2C003249" w14:textId="77777777" w:rsidTr="008A121C">
        <w:trPr>
          <w:trHeight w:hRule="exact" w:val="216"/>
          <w:jc w:val="center"/>
        </w:trPr>
        <w:tc>
          <w:tcPr>
            <w:tcW w:w="103" w:type="dxa"/>
            <w:tcBorders>
              <w:top w:val="nil"/>
              <w:left w:val="nil"/>
              <w:bottom w:val="nil"/>
              <w:right w:val="nil"/>
            </w:tcBorders>
            <w:shd w:val="clear" w:color="auto" w:fill="auto"/>
            <w:noWrap/>
            <w:hideMark/>
          </w:tcPr>
          <w:p w14:paraId="5BA26E89"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1776A1F"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D2ECD66"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UN Joint Services</w:t>
            </w:r>
          </w:p>
        </w:tc>
        <w:tc>
          <w:tcPr>
            <w:tcW w:w="103" w:type="dxa"/>
            <w:tcBorders>
              <w:top w:val="nil"/>
              <w:left w:val="nil"/>
              <w:bottom w:val="nil"/>
              <w:right w:val="nil"/>
            </w:tcBorders>
            <w:shd w:val="clear" w:color="auto" w:fill="auto"/>
            <w:noWrap/>
            <w:hideMark/>
          </w:tcPr>
          <w:p w14:paraId="678AAD5A"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E293F3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F6A316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7F6779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5556ABA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90410A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5FB70402"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1E95DCFC" w14:textId="77777777" w:rsidR="007704E5" w:rsidRPr="007704E5" w:rsidRDefault="007704E5" w:rsidP="007704E5">
            <w:pPr>
              <w:spacing w:after="0" w:line="240" w:lineRule="auto"/>
              <w:rPr>
                <w:rFonts w:ascii="Arial Narrow" w:eastAsia="Times New Roman" w:hAnsi="Arial Narrow" w:cs="Times New Roman"/>
                <w:b/>
                <w:bCs/>
                <w:i/>
                <w:iCs/>
                <w:sz w:val="16"/>
                <w:szCs w:val="16"/>
                <w:lang w:val="en-US"/>
              </w:rPr>
            </w:pPr>
            <w:r w:rsidRPr="007704E5">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764B6771"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45CC4739"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48D5223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909</w:t>
            </w:r>
          </w:p>
        </w:tc>
        <w:tc>
          <w:tcPr>
            <w:tcW w:w="1180" w:type="dxa"/>
            <w:tcBorders>
              <w:top w:val="nil"/>
              <w:left w:val="nil"/>
              <w:bottom w:val="single" w:sz="4" w:space="0" w:color="C7CFD8"/>
              <w:right w:val="nil"/>
            </w:tcBorders>
            <w:shd w:val="clear" w:color="auto" w:fill="auto"/>
            <w:noWrap/>
            <w:hideMark/>
          </w:tcPr>
          <w:p w14:paraId="338E368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980</w:t>
            </w:r>
          </w:p>
        </w:tc>
        <w:tc>
          <w:tcPr>
            <w:tcW w:w="1180" w:type="dxa"/>
            <w:tcBorders>
              <w:top w:val="nil"/>
              <w:left w:val="nil"/>
              <w:bottom w:val="single" w:sz="4" w:space="0" w:color="C7CFD8"/>
              <w:right w:val="nil"/>
            </w:tcBorders>
            <w:shd w:val="clear" w:color="auto" w:fill="auto"/>
            <w:noWrap/>
            <w:hideMark/>
          </w:tcPr>
          <w:p w14:paraId="71CF9D4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821</w:t>
            </w:r>
          </w:p>
        </w:tc>
        <w:tc>
          <w:tcPr>
            <w:tcW w:w="1060" w:type="dxa"/>
            <w:tcBorders>
              <w:top w:val="nil"/>
              <w:left w:val="nil"/>
              <w:bottom w:val="single" w:sz="4" w:space="0" w:color="C7CFD8"/>
              <w:right w:val="nil"/>
            </w:tcBorders>
            <w:shd w:val="clear" w:color="auto" w:fill="auto"/>
            <w:noWrap/>
            <w:hideMark/>
          </w:tcPr>
          <w:p w14:paraId="44D0C53E"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(71)</w:t>
            </w:r>
          </w:p>
        </w:tc>
        <w:tc>
          <w:tcPr>
            <w:tcW w:w="1060" w:type="dxa"/>
            <w:tcBorders>
              <w:top w:val="nil"/>
              <w:left w:val="nil"/>
              <w:bottom w:val="single" w:sz="4" w:space="0" w:color="C7CFD8"/>
              <w:right w:val="nil"/>
            </w:tcBorders>
            <w:shd w:val="clear" w:color="auto" w:fill="auto"/>
            <w:noWrap/>
            <w:hideMark/>
          </w:tcPr>
          <w:p w14:paraId="182BB477"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w:t>
            </w:r>
          </w:p>
        </w:tc>
      </w:tr>
      <w:tr w:rsidR="007704E5" w:rsidRPr="007704E5" w14:paraId="46968562" w14:textId="77777777" w:rsidTr="008A121C">
        <w:trPr>
          <w:trHeight w:hRule="exact" w:val="216"/>
          <w:jc w:val="center"/>
        </w:trPr>
        <w:tc>
          <w:tcPr>
            <w:tcW w:w="103" w:type="dxa"/>
            <w:tcBorders>
              <w:top w:val="nil"/>
              <w:left w:val="nil"/>
              <w:bottom w:val="nil"/>
              <w:right w:val="nil"/>
            </w:tcBorders>
            <w:shd w:val="clear" w:color="auto" w:fill="auto"/>
            <w:noWrap/>
            <w:hideMark/>
          </w:tcPr>
          <w:p w14:paraId="0B21A53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24CBABFC"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3491B232"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546E0539"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BCB4C7A"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141A5F5"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E888657"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436B1F89" w14:textId="77777777" w:rsidTr="008A121C">
        <w:trPr>
          <w:trHeight w:hRule="exact" w:val="216"/>
          <w:jc w:val="center"/>
        </w:trPr>
        <w:tc>
          <w:tcPr>
            <w:tcW w:w="103" w:type="dxa"/>
            <w:tcBorders>
              <w:top w:val="nil"/>
              <w:left w:val="nil"/>
              <w:bottom w:val="nil"/>
              <w:right w:val="nil"/>
            </w:tcBorders>
            <w:shd w:val="clear" w:color="auto" w:fill="auto"/>
            <w:noWrap/>
            <w:hideMark/>
          </w:tcPr>
          <w:p w14:paraId="1787C8E9"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4F3350FC"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EB6B22E"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41DE785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w:t>
            </w:r>
          </w:p>
        </w:tc>
        <w:tc>
          <w:tcPr>
            <w:tcW w:w="1180" w:type="dxa"/>
            <w:tcBorders>
              <w:top w:val="nil"/>
              <w:left w:val="nil"/>
              <w:bottom w:val="nil"/>
              <w:right w:val="nil"/>
            </w:tcBorders>
            <w:shd w:val="clear" w:color="auto" w:fill="auto"/>
            <w:noWrap/>
            <w:hideMark/>
          </w:tcPr>
          <w:p w14:paraId="0EBC3FC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6E6C34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13</w:t>
            </w:r>
          </w:p>
        </w:tc>
        <w:tc>
          <w:tcPr>
            <w:tcW w:w="1060" w:type="dxa"/>
            <w:tcBorders>
              <w:top w:val="nil"/>
              <w:left w:val="nil"/>
              <w:bottom w:val="nil"/>
              <w:right w:val="nil"/>
            </w:tcBorders>
            <w:shd w:val="clear" w:color="auto" w:fill="auto"/>
            <w:noWrap/>
            <w:hideMark/>
          </w:tcPr>
          <w:p w14:paraId="3DDD5CEB"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14</w:t>
            </w:r>
          </w:p>
        </w:tc>
        <w:tc>
          <w:tcPr>
            <w:tcW w:w="1060" w:type="dxa"/>
            <w:tcBorders>
              <w:top w:val="nil"/>
              <w:left w:val="nil"/>
              <w:bottom w:val="nil"/>
              <w:right w:val="nil"/>
            </w:tcBorders>
            <w:shd w:val="clear" w:color="auto" w:fill="auto"/>
            <w:noWrap/>
            <w:hideMark/>
          </w:tcPr>
          <w:p w14:paraId="70428812"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n/a</w:t>
            </w:r>
          </w:p>
        </w:tc>
      </w:tr>
      <w:tr w:rsidR="007704E5" w:rsidRPr="007704E5" w14:paraId="3CBB0830" w14:textId="77777777" w:rsidTr="008A121C">
        <w:trPr>
          <w:trHeight w:hRule="exact" w:val="216"/>
          <w:jc w:val="center"/>
        </w:trPr>
        <w:tc>
          <w:tcPr>
            <w:tcW w:w="103" w:type="dxa"/>
            <w:tcBorders>
              <w:top w:val="nil"/>
              <w:left w:val="nil"/>
              <w:bottom w:val="nil"/>
              <w:right w:val="nil"/>
            </w:tcBorders>
            <w:shd w:val="clear" w:color="auto" w:fill="auto"/>
            <w:noWrap/>
            <w:hideMark/>
          </w:tcPr>
          <w:p w14:paraId="7FA5B47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30A2AEE"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081DA855"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74CF7D5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56</w:t>
            </w:r>
          </w:p>
        </w:tc>
        <w:tc>
          <w:tcPr>
            <w:tcW w:w="1180" w:type="dxa"/>
            <w:tcBorders>
              <w:top w:val="nil"/>
              <w:left w:val="nil"/>
              <w:bottom w:val="nil"/>
              <w:right w:val="nil"/>
            </w:tcBorders>
            <w:shd w:val="clear" w:color="auto" w:fill="auto"/>
            <w:noWrap/>
            <w:hideMark/>
          </w:tcPr>
          <w:p w14:paraId="5709A411"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40</w:t>
            </w:r>
          </w:p>
        </w:tc>
        <w:tc>
          <w:tcPr>
            <w:tcW w:w="1180" w:type="dxa"/>
            <w:tcBorders>
              <w:top w:val="nil"/>
              <w:left w:val="nil"/>
              <w:bottom w:val="nil"/>
              <w:right w:val="nil"/>
            </w:tcBorders>
            <w:shd w:val="clear" w:color="auto" w:fill="auto"/>
            <w:noWrap/>
            <w:hideMark/>
          </w:tcPr>
          <w:p w14:paraId="27E7F21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37</w:t>
            </w:r>
          </w:p>
        </w:tc>
        <w:tc>
          <w:tcPr>
            <w:tcW w:w="1060" w:type="dxa"/>
            <w:tcBorders>
              <w:top w:val="nil"/>
              <w:left w:val="nil"/>
              <w:bottom w:val="nil"/>
              <w:right w:val="nil"/>
            </w:tcBorders>
            <w:shd w:val="clear" w:color="auto" w:fill="auto"/>
            <w:noWrap/>
            <w:hideMark/>
          </w:tcPr>
          <w:p w14:paraId="083E8AD6"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16</w:t>
            </w:r>
          </w:p>
        </w:tc>
        <w:tc>
          <w:tcPr>
            <w:tcW w:w="1060" w:type="dxa"/>
            <w:tcBorders>
              <w:top w:val="nil"/>
              <w:left w:val="nil"/>
              <w:bottom w:val="nil"/>
              <w:right w:val="nil"/>
            </w:tcBorders>
            <w:shd w:val="clear" w:color="auto" w:fill="auto"/>
            <w:noWrap/>
            <w:hideMark/>
          </w:tcPr>
          <w:p w14:paraId="6260F59A"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40%</w:t>
            </w:r>
          </w:p>
        </w:tc>
      </w:tr>
      <w:tr w:rsidR="007704E5" w:rsidRPr="007704E5" w14:paraId="699F09FC"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6E35DAD9" w14:textId="77777777" w:rsidR="007704E5" w:rsidRPr="007704E5" w:rsidRDefault="007704E5" w:rsidP="007704E5">
            <w:pPr>
              <w:spacing w:after="0" w:line="240" w:lineRule="auto"/>
              <w:rPr>
                <w:rFonts w:ascii="Arial Narrow" w:eastAsia="Times New Roman" w:hAnsi="Arial Narrow" w:cs="Times New Roman"/>
                <w:b/>
                <w:bCs/>
                <w:i/>
                <w:iCs/>
                <w:sz w:val="16"/>
                <w:szCs w:val="16"/>
                <w:lang w:val="en-US"/>
              </w:rPr>
            </w:pPr>
            <w:r w:rsidRPr="007704E5">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2319A6A1"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2A1A2244" w14:textId="77777777" w:rsidR="007704E5" w:rsidRPr="007704E5" w:rsidRDefault="007704E5" w:rsidP="007704E5">
            <w:pPr>
              <w:spacing w:after="0" w:line="240" w:lineRule="auto"/>
              <w:rPr>
                <w:rFonts w:ascii="Arial Narrow" w:eastAsia="Times New Roman" w:hAnsi="Arial Narrow" w:cs="Times New Roman"/>
                <w:i/>
                <w:iCs/>
                <w:sz w:val="16"/>
                <w:szCs w:val="16"/>
                <w:lang w:val="en-US"/>
              </w:rPr>
            </w:pPr>
            <w:r w:rsidRPr="007704E5">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47A151E3"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70</w:t>
            </w:r>
          </w:p>
        </w:tc>
        <w:tc>
          <w:tcPr>
            <w:tcW w:w="1180" w:type="dxa"/>
            <w:tcBorders>
              <w:top w:val="nil"/>
              <w:left w:val="nil"/>
              <w:bottom w:val="single" w:sz="4" w:space="0" w:color="C7CFD8"/>
              <w:right w:val="nil"/>
            </w:tcBorders>
            <w:shd w:val="clear" w:color="auto" w:fill="auto"/>
            <w:noWrap/>
            <w:hideMark/>
          </w:tcPr>
          <w:p w14:paraId="12CF3A60"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40</w:t>
            </w:r>
          </w:p>
        </w:tc>
        <w:tc>
          <w:tcPr>
            <w:tcW w:w="1180" w:type="dxa"/>
            <w:tcBorders>
              <w:top w:val="nil"/>
              <w:left w:val="nil"/>
              <w:bottom w:val="single" w:sz="4" w:space="0" w:color="C7CFD8"/>
              <w:right w:val="nil"/>
            </w:tcBorders>
            <w:shd w:val="clear" w:color="auto" w:fill="auto"/>
            <w:noWrap/>
            <w:hideMark/>
          </w:tcPr>
          <w:p w14:paraId="32FF1E3D"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50</w:t>
            </w:r>
          </w:p>
        </w:tc>
        <w:tc>
          <w:tcPr>
            <w:tcW w:w="1060" w:type="dxa"/>
            <w:tcBorders>
              <w:top w:val="nil"/>
              <w:left w:val="nil"/>
              <w:bottom w:val="single" w:sz="4" w:space="0" w:color="C7CFD8"/>
              <w:right w:val="nil"/>
            </w:tcBorders>
            <w:shd w:val="clear" w:color="auto" w:fill="auto"/>
            <w:noWrap/>
            <w:hideMark/>
          </w:tcPr>
          <w:p w14:paraId="0037C7D5"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30</w:t>
            </w:r>
          </w:p>
        </w:tc>
        <w:tc>
          <w:tcPr>
            <w:tcW w:w="1060" w:type="dxa"/>
            <w:tcBorders>
              <w:top w:val="nil"/>
              <w:left w:val="nil"/>
              <w:bottom w:val="single" w:sz="4" w:space="0" w:color="C7CFD8"/>
              <w:right w:val="nil"/>
            </w:tcBorders>
            <w:shd w:val="clear" w:color="auto" w:fill="auto"/>
            <w:noWrap/>
            <w:hideMark/>
          </w:tcPr>
          <w:p w14:paraId="76F9D64C"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75%</w:t>
            </w:r>
          </w:p>
        </w:tc>
      </w:tr>
      <w:tr w:rsidR="007704E5" w:rsidRPr="007704E5" w14:paraId="2FD6970A" w14:textId="77777777" w:rsidTr="008A121C">
        <w:trPr>
          <w:trHeight w:hRule="exact" w:val="216"/>
          <w:jc w:val="center"/>
        </w:trPr>
        <w:tc>
          <w:tcPr>
            <w:tcW w:w="103" w:type="dxa"/>
            <w:tcBorders>
              <w:top w:val="nil"/>
              <w:left w:val="nil"/>
              <w:bottom w:val="single" w:sz="8" w:space="0" w:color="C7CFD8"/>
              <w:right w:val="nil"/>
            </w:tcBorders>
            <w:shd w:val="clear" w:color="auto" w:fill="auto"/>
            <w:noWrap/>
            <w:hideMark/>
          </w:tcPr>
          <w:p w14:paraId="154EF1D3"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109FE700"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 B</w:t>
            </w:r>
          </w:p>
        </w:tc>
        <w:tc>
          <w:tcPr>
            <w:tcW w:w="103" w:type="dxa"/>
            <w:tcBorders>
              <w:top w:val="nil"/>
              <w:left w:val="nil"/>
              <w:bottom w:val="single" w:sz="8" w:space="0" w:color="C7CFD8"/>
              <w:right w:val="nil"/>
            </w:tcBorders>
            <w:shd w:val="clear" w:color="auto" w:fill="auto"/>
            <w:noWrap/>
            <w:hideMark/>
          </w:tcPr>
          <w:p w14:paraId="616D9914"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4496894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19,548</w:t>
            </w:r>
          </w:p>
        </w:tc>
        <w:tc>
          <w:tcPr>
            <w:tcW w:w="1180" w:type="dxa"/>
            <w:tcBorders>
              <w:top w:val="nil"/>
              <w:left w:val="nil"/>
              <w:bottom w:val="single" w:sz="8" w:space="0" w:color="C7CFD8"/>
              <w:right w:val="nil"/>
            </w:tcBorders>
            <w:shd w:val="clear" w:color="auto" w:fill="auto"/>
            <w:noWrap/>
            <w:vAlign w:val="center"/>
            <w:hideMark/>
          </w:tcPr>
          <w:p w14:paraId="5E1E4489"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20,695</w:t>
            </w:r>
          </w:p>
        </w:tc>
        <w:tc>
          <w:tcPr>
            <w:tcW w:w="1180" w:type="dxa"/>
            <w:tcBorders>
              <w:top w:val="nil"/>
              <w:left w:val="nil"/>
              <w:bottom w:val="single" w:sz="8" w:space="0" w:color="C7CFD8"/>
              <w:right w:val="nil"/>
            </w:tcBorders>
            <w:shd w:val="clear" w:color="auto" w:fill="auto"/>
            <w:noWrap/>
            <w:vAlign w:val="center"/>
            <w:hideMark/>
          </w:tcPr>
          <w:p w14:paraId="4A381562"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22,481</w:t>
            </w:r>
          </w:p>
        </w:tc>
        <w:tc>
          <w:tcPr>
            <w:tcW w:w="1060" w:type="dxa"/>
            <w:tcBorders>
              <w:top w:val="nil"/>
              <w:left w:val="nil"/>
              <w:bottom w:val="single" w:sz="8" w:space="0" w:color="C7CFD8"/>
              <w:right w:val="nil"/>
            </w:tcBorders>
            <w:shd w:val="clear" w:color="auto" w:fill="auto"/>
            <w:noWrap/>
            <w:vAlign w:val="center"/>
            <w:hideMark/>
          </w:tcPr>
          <w:p w14:paraId="649933BB"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(1,147)</w:t>
            </w:r>
          </w:p>
        </w:tc>
        <w:tc>
          <w:tcPr>
            <w:tcW w:w="1060" w:type="dxa"/>
            <w:tcBorders>
              <w:top w:val="nil"/>
              <w:left w:val="nil"/>
              <w:bottom w:val="single" w:sz="8" w:space="0" w:color="C7CFD8"/>
              <w:right w:val="nil"/>
            </w:tcBorders>
            <w:shd w:val="clear" w:color="auto" w:fill="auto"/>
            <w:noWrap/>
            <w:vAlign w:val="center"/>
            <w:hideMark/>
          </w:tcPr>
          <w:p w14:paraId="646272AF"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-6%</w:t>
            </w:r>
          </w:p>
        </w:tc>
      </w:tr>
      <w:tr w:rsidR="007704E5" w:rsidRPr="007704E5" w14:paraId="5901AC19" w14:textId="77777777" w:rsidTr="008A121C">
        <w:trPr>
          <w:trHeight w:hRule="exact" w:val="216"/>
          <w:jc w:val="center"/>
        </w:trPr>
        <w:tc>
          <w:tcPr>
            <w:tcW w:w="103" w:type="dxa"/>
            <w:tcBorders>
              <w:top w:val="nil"/>
              <w:left w:val="nil"/>
              <w:bottom w:val="single" w:sz="8" w:space="0" w:color="C7CFD8"/>
              <w:right w:val="nil"/>
            </w:tcBorders>
            <w:shd w:val="clear" w:color="auto" w:fill="auto"/>
            <w:noWrap/>
            <w:hideMark/>
          </w:tcPr>
          <w:p w14:paraId="566D30F3"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2994" w:type="dxa"/>
            <w:gridSpan w:val="2"/>
            <w:tcBorders>
              <w:top w:val="nil"/>
              <w:left w:val="nil"/>
              <w:bottom w:val="single" w:sz="8" w:space="0" w:color="C7CFD8"/>
              <w:right w:val="nil"/>
            </w:tcBorders>
            <w:shd w:val="clear" w:color="auto" w:fill="auto"/>
            <w:noWrap/>
            <w:vAlign w:val="center"/>
            <w:hideMark/>
          </w:tcPr>
          <w:p w14:paraId="35FBBDB5"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TOTAL</w:t>
            </w:r>
          </w:p>
        </w:tc>
        <w:tc>
          <w:tcPr>
            <w:tcW w:w="103" w:type="dxa"/>
            <w:tcBorders>
              <w:top w:val="nil"/>
              <w:left w:val="nil"/>
              <w:bottom w:val="single" w:sz="8" w:space="0" w:color="C7CFD8"/>
              <w:right w:val="nil"/>
            </w:tcBorders>
            <w:shd w:val="clear" w:color="auto" w:fill="auto"/>
            <w:noWrap/>
            <w:hideMark/>
          </w:tcPr>
          <w:p w14:paraId="15A9A405" w14:textId="77777777" w:rsidR="007704E5" w:rsidRPr="007704E5" w:rsidRDefault="007704E5" w:rsidP="007704E5">
            <w:pPr>
              <w:spacing w:after="0" w:line="240" w:lineRule="auto"/>
              <w:jc w:val="center"/>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2806106F"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79,230</w:t>
            </w:r>
          </w:p>
        </w:tc>
        <w:tc>
          <w:tcPr>
            <w:tcW w:w="1180" w:type="dxa"/>
            <w:tcBorders>
              <w:top w:val="nil"/>
              <w:left w:val="nil"/>
              <w:bottom w:val="single" w:sz="8" w:space="0" w:color="C7CFD8"/>
              <w:right w:val="nil"/>
            </w:tcBorders>
            <w:shd w:val="clear" w:color="auto" w:fill="auto"/>
            <w:noWrap/>
            <w:vAlign w:val="center"/>
            <w:hideMark/>
          </w:tcPr>
          <w:p w14:paraId="0BB14A25"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80,430</w:t>
            </w:r>
          </w:p>
        </w:tc>
        <w:tc>
          <w:tcPr>
            <w:tcW w:w="1180" w:type="dxa"/>
            <w:tcBorders>
              <w:top w:val="nil"/>
              <w:left w:val="nil"/>
              <w:bottom w:val="single" w:sz="8" w:space="0" w:color="C7CFD8"/>
              <w:right w:val="nil"/>
            </w:tcBorders>
            <w:shd w:val="clear" w:color="auto" w:fill="auto"/>
            <w:noWrap/>
            <w:vAlign w:val="center"/>
            <w:hideMark/>
          </w:tcPr>
          <w:p w14:paraId="2B761C6C"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80,951</w:t>
            </w:r>
          </w:p>
        </w:tc>
        <w:tc>
          <w:tcPr>
            <w:tcW w:w="1060" w:type="dxa"/>
            <w:tcBorders>
              <w:top w:val="nil"/>
              <w:left w:val="nil"/>
              <w:bottom w:val="single" w:sz="8" w:space="0" w:color="C7CFD8"/>
              <w:right w:val="nil"/>
            </w:tcBorders>
            <w:shd w:val="clear" w:color="auto" w:fill="auto"/>
            <w:noWrap/>
            <w:vAlign w:val="center"/>
            <w:hideMark/>
          </w:tcPr>
          <w:p w14:paraId="6D2D30CD"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(1,200)</w:t>
            </w:r>
          </w:p>
        </w:tc>
        <w:tc>
          <w:tcPr>
            <w:tcW w:w="1060" w:type="dxa"/>
            <w:tcBorders>
              <w:top w:val="nil"/>
              <w:left w:val="nil"/>
              <w:bottom w:val="single" w:sz="8" w:space="0" w:color="C7CFD8"/>
              <w:right w:val="nil"/>
            </w:tcBorders>
            <w:shd w:val="clear" w:color="auto" w:fill="auto"/>
            <w:noWrap/>
            <w:vAlign w:val="center"/>
            <w:hideMark/>
          </w:tcPr>
          <w:p w14:paraId="79B612F1"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-1%</w:t>
            </w:r>
          </w:p>
        </w:tc>
      </w:tr>
      <w:tr w:rsidR="007704E5" w:rsidRPr="007704E5" w14:paraId="56BC0F6F" w14:textId="77777777" w:rsidTr="008A121C">
        <w:trPr>
          <w:trHeight w:hRule="exact" w:val="216"/>
          <w:jc w:val="center"/>
        </w:trPr>
        <w:tc>
          <w:tcPr>
            <w:tcW w:w="103" w:type="dxa"/>
            <w:tcBorders>
              <w:top w:val="nil"/>
              <w:left w:val="nil"/>
              <w:bottom w:val="nil"/>
              <w:right w:val="nil"/>
            </w:tcBorders>
            <w:shd w:val="clear" w:color="auto" w:fill="auto"/>
            <w:noWrap/>
            <w:hideMark/>
          </w:tcPr>
          <w:p w14:paraId="3034215C"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p>
        </w:tc>
        <w:tc>
          <w:tcPr>
            <w:tcW w:w="2994" w:type="dxa"/>
            <w:gridSpan w:val="2"/>
            <w:tcBorders>
              <w:top w:val="nil"/>
              <w:left w:val="nil"/>
              <w:bottom w:val="nil"/>
              <w:right w:val="nil"/>
            </w:tcBorders>
            <w:shd w:val="clear" w:color="auto" w:fill="auto"/>
            <w:noWrap/>
            <w:hideMark/>
          </w:tcPr>
          <w:p w14:paraId="5AF09DF0" w14:textId="77777777" w:rsidR="007704E5" w:rsidRPr="007704E5" w:rsidRDefault="007704E5" w:rsidP="007704E5">
            <w:pPr>
              <w:spacing w:after="0" w:line="240" w:lineRule="auto"/>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of which</w:t>
            </w:r>
          </w:p>
        </w:tc>
        <w:tc>
          <w:tcPr>
            <w:tcW w:w="103" w:type="dxa"/>
            <w:tcBorders>
              <w:top w:val="nil"/>
              <w:left w:val="nil"/>
              <w:bottom w:val="nil"/>
              <w:right w:val="nil"/>
            </w:tcBorders>
            <w:shd w:val="clear" w:color="auto" w:fill="auto"/>
            <w:noWrap/>
            <w:hideMark/>
          </w:tcPr>
          <w:p w14:paraId="5BE7E005" w14:textId="77777777" w:rsidR="007704E5" w:rsidRPr="007704E5" w:rsidRDefault="007704E5" w:rsidP="007704E5">
            <w:pPr>
              <w:spacing w:after="0" w:line="240" w:lineRule="auto"/>
              <w:rPr>
                <w:rFonts w:ascii="Arial Narrow" w:eastAsia="Times New Roman" w:hAnsi="Arial Narrow" w:cs="Times New Roman"/>
                <w:sz w:val="16"/>
                <w:szCs w:val="16"/>
                <w:lang w:val="en-US"/>
              </w:rPr>
            </w:pPr>
          </w:p>
        </w:tc>
        <w:tc>
          <w:tcPr>
            <w:tcW w:w="1060" w:type="dxa"/>
            <w:tcBorders>
              <w:top w:val="nil"/>
              <w:left w:val="nil"/>
              <w:bottom w:val="nil"/>
              <w:right w:val="nil"/>
            </w:tcBorders>
            <w:shd w:val="clear" w:color="auto" w:fill="auto"/>
            <w:noWrap/>
            <w:hideMark/>
          </w:tcPr>
          <w:p w14:paraId="698A05DE"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F0FFE9F" w14:textId="77777777" w:rsidR="007704E5" w:rsidRPr="007704E5" w:rsidRDefault="007704E5" w:rsidP="007704E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3A805F5"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FF96CEE"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ED4DA00" w14:textId="77777777" w:rsidR="007704E5" w:rsidRPr="007704E5" w:rsidRDefault="007704E5" w:rsidP="007704E5">
            <w:pPr>
              <w:spacing w:after="0" w:line="240" w:lineRule="auto"/>
              <w:jc w:val="right"/>
              <w:rPr>
                <w:rFonts w:ascii="Times New Roman" w:eastAsia="Times New Roman" w:hAnsi="Times New Roman" w:cs="Times New Roman"/>
                <w:sz w:val="20"/>
                <w:szCs w:val="20"/>
                <w:lang w:val="en-US"/>
              </w:rPr>
            </w:pPr>
          </w:p>
        </w:tc>
      </w:tr>
      <w:tr w:rsidR="007704E5" w:rsidRPr="007704E5" w14:paraId="5C7894E1" w14:textId="77777777" w:rsidTr="008A121C">
        <w:trPr>
          <w:trHeight w:hRule="exact" w:val="216"/>
          <w:jc w:val="center"/>
        </w:trPr>
        <w:tc>
          <w:tcPr>
            <w:tcW w:w="103" w:type="dxa"/>
            <w:tcBorders>
              <w:top w:val="nil"/>
              <w:left w:val="nil"/>
              <w:bottom w:val="single" w:sz="4" w:space="0" w:color="C7CFD8"/>
              <w:right w:val="nil"/>
            </w:tcBorders>
            <w:shd w:val="clear" w:color="auto" w:fill="auto"/>
            <w:noWrap/>
            <w:hideMark/>
          </w:tcPr>
          <w:p w14:paraId="07A90293"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3097" w:type="dxa"/>
            <w:gridSpan w:val="3"/>
            <w:tcBorders>
              <w:top w:val="nil"/>
              <w:left w:val="nil"/>
              <w:bottom w:val="single" w:sz="4" w:space="0" w:color="C7CFD8"/>
              <w:right w:val="nil"/>
            </w:tcBorders>
            <w:shd w:val="clear" w:color="auto" w:fill="auto"/>
            <w:noWrap/>
            <w:hideMark/>
          </w:tcPr>
          <w:p w14:paraId="79D46E6E" w14:textId="77777777" w:rsidR="007704E5" w:rsidRPr="007704E5" w:rsidRDefault="007704E5" w:rsidP="007704E5">
            <w:pPr>
              <w:spacing w:after="0" w:line="240" w:lineRule="auto"/>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Development Agenda Project</w:t>
            </w:r>
          </w:p>
        </w:tc>
        <w:tc>
          <w:tcPr>
            <w:tcW w:w="1060" w:type="dxa"/>
            <w:tcBorders>
              <w:top w:val="nil"/>
              <w:left w:val="nil"/>
              <w:bottom w:val="single" w:sz="4" w:space="0" w:color="C7CFD8"/>
              <w:right w:val="nil"/>
            </w:tcBorders>
            <w:shd w:val="clear" w:color="auto" w:fill="auto"/>
            <w:noWrap/>
            <w:hideMark/>
          </w:tcPr>
          <w:p w14:paraId="659D7888"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197</w:t>
            </w:r>
          </w:p>
        </w:tc>
        <w:tc>
          <w:tcPr>
            <w:tcW w:w="1180" w:type="dxa"/>
            <w:tcBorders>
              <w:top w:val="nil"/>
              <w:left w:val="nil"/>
              <w:bottom w:val="single" w:sz="4" w:space="0" w:color="C7CFD8"/>
              <w:right w:val="nil"/>
            </w:tcBorders>
            <w:shd w:val="clear" w:color="auto" w:fill="auto"/>
            <w:noWrap/>
            <w:hideMark/>
          </w:tcPr>
          <w:p w14:paraId="6525DBEF" w14:textId="77777777" w:rsidR="007704E5" w:rsidRPr="007704E5" w:rsidRDefault="007704E5" w:rsidP="007704E5">
            <w:pPr>
              <w:spacing w:after="0" w:line="240" w:lineRule="auto"/>
              <w:jc w:val="right"/>
              <w:rPr>
                <w:rFonts w:ascii="Arial Narrow" w:eastAsia="Times New Roman" w:hAnsi="Arial Narrow" w:cs="Times New Roman"/>
                <w:sz w:val="16"/>
                <w:szCs w:val="16"/>
                <w:lang w:val="en-US"/>
              </w:rPr>
            </w:pPr>
            <w:r w:rsidRPr="007704E5">
              <w:rPr>
                <w:rFonts w:ascii="Arial Narrow" w:eastAsia="Times New Roman" w:hAnsi="Arial Narrow" w:cs="Times New Roman"/>
                <w:sz w:val="16"/>
                <w:szCs w:val="16"/>
                <w:lang w:val="en-US"/>
              </w:rPr>
              <w:t> </w:t>
            </w:r>
          </w:p>
        </w:tc>
        <w:tc>
          <w:tcPr>
            <w:tcW w:w="1180" w:type="dxa"/>
            <w:tcBorders>
              <w:top w:val="nil"/>
              <w:left w:val="nil"/>
              <w:bottom w:val="single" w:sz="4" w:space="0" w:color="C7CFD8"/>
              <w:right w:val="nil"/>
            </w:tcBorders>
            <w:shd w:val="clear" w:color="auto" w:fill="auto"/>
            <w:noWrap/>
            <w:hideMark/>
          </w:tcPr>
          <w:p w14:paraId="78735A8E" w14:textId="77777777" w:rsidR="007704E5" w:rsidRPr="007704E5" w:rsidRDefault="007704E5" w:rsidP="007704E5">
            <w:pPr>
              <w:spacing w:after="0" w:line="240" w:lineRule="auto"/>
              <w:jc w:val="right"/>
              <w:rPr>
                <w:rFonts w:ascii="Arial Narrow" w:eastAsia="Times New Roman" w:hAnsi="Arial Narrow" w:cs="Times New Roman"/>
                <w:b/>
                <w:bCs/>
                <w:sz w:val="16"/>
                <w:szCs w:val="16"/>
                <w:lang w:val="en-US"/>
              </w:rPr>
            </w:pPr>
            <w:r w:rsidRPr="007704E5">
              <w:rPr>
                <w:rFonts w:ascii="Arial Narrow" w:eastAsia="Times New Roman" w:hAnsi="Arial Narrow" w:cs="Times New Roman"/>
                <w:b/>
                <w:bCs/>
                <w:sz w:val="16"/>
                <w:szCs w:val="16"/>
                <w:lang w:val="en-US"/>
              </w:rPr>
              <w:t> </w:t>
            </w:r>
          </w:p>
        </w:tc>
        <w:tc>
          <w:tcPr>
            <w:tcW w:w="1060" w:type="dxa"/>
            <w:tcBorders>
              <w:top w:val="nil"/>
              <w:left w:val="nil"/>
              <w:bottom w:val="single" w:sz="4" w:space="0" w:color="C7CFD8"/>
              <w:right w:val="nil"/>
            </w:tcBorders>
            <w:shd w:val="clear" w:color="auto" w:fill="auto"/>
            <w:noWrap/>
            <w:hideMark/>
          </w:tcPr>
          <w:p w14:paraId="7C65E7A7" w14:textId="77777777" w:rsidR="007704E5" w:rsidRPr="007704E5" w:rsidRDefault="007704E5" w:rsidP="007704E5">
            <w:pPr>
              <w:spacing w:after="0" w:line="240" w:lineRule="auto"/>
              <w:jc w:val="right"/>
              <w:rPr>
                <w:rFonts w:ascii="Arial Narrow" w:eastAsia="Times New Roman" w:hAnsi="Arial Narrow" w:cs="Times New Roman"/>
                <w:b/>
                <w:bCs/>
                <w:color w:val="FF0000"/>
                <w:sz w:val="16"/>
                <w:szCs w:val="16"/>
                <w:lang w:val="en-US"/>
              </w:rPr>
            </w:pPr>
            <w:r w:rsidRPr="007704E5">
              <w:rPr>
                <w:rFonts w:ascii="Arial Narrow" w:eastAsia="Times New Roman" w:hAnsi="Arial Narrow" w:cs="Times New Roman"/>
                <w:b/>
                <w:bCs/>
                <w:color w:val="FF0000"/>
                <w:sz w:val="16"/>
                <w:szCs w:val="16"/>
                <w:lang w:val="en-US"/>
              </w:rPr>
              <w:t> </w:t>
            </w:r>
          </w:p>
        </w:tc>
        <w:tc>
          <w:tcPr>
            <w:tcW w:w="1060" w:type="dxa"/>
            <w:tcBorders>
              <w:top w:val="nil"/>
              <w:left w:val="nil"/>
              <w:bottom w:val="single" w:sz="4" w:space="0" w:color="C7CFD8"/>
              <w:right w:val="nil"/>
            </w:tcBorders>
            <w:shd w:val="clear" w:color="auto" w:fill="auto"/>
            <w:noWrap/>
            <w:hideMark/>
          </w:tcPr>
          <w:p w14:paraId="6C74EB6D" w14:textId="77777777" w:rsidR="007704E5" w:rsidRPr="007704E5" w:rsidRDefault="007704E5" w:rsidP="007704E5">
            <w:pPr>
              <w:spacing w:after="0" w:line="240" w:lineRule="auto"/>
              <w:rPr>
                <w:rFonts w:ascii="Arial Narrow" w:eastAsia="Times New Roman" w:hAnsi="Arial Narrow" w:cs="Times New Roman"/>
                <w:b/>
                <w:bCs/>
                <w:color w:val="FF0000"/>
                <w:sz w:val="16"/>
                <w:szCs w:val="16"/>
                <w:lang w:val="en-US"/>
              </w:rPr>
            </w:pPr>
            <w:r w:rsidRPr="007704E5">
              <w:rPr>
                <w:rFonts w:ascii="Arial Narrow" w:eastAsia="Times New Roman" w:hAnsi="Arial Narrow" w:cs="Times New Roman"/>
                <w:b/>
                <w:bCs/>
                <w:color w:val="FF0000"/>
                <w:sz w:val="16"/>
                <w:szCs w:val="16"/>
                <w:lang w:val="en-US"/>
              </w:rPr>
              <w:t> </w:t>
            </w:r>
          </w:p>
        </w:tc>
      </w:tr>
    </w:tbl>
    <w:p w14:paraId="53014A3C" w14:textId="726D285B" w:rsidR="00F720BE" w:rsidRDefault="00F720BE" w:rsidP="005B0AE9">
      <w:pPr>
        <w:spacing w:after="200" w:line="276" w:lineRule="auto"/>
        <w:rPr>
          <w:lang w:val="en-US"/>
        </w:rPr>
      </w:pPr>
    </w:p>
    <w:p w14:paraId="5E273B30" w14:textId="6F275553" w:rsidR="005B0AE9" w:rsidRDefault="005B0AE9" w:rsidP="005B0AE9">
      <w:pPr>
        <w:spacing w:after="200" w:line="276" w:lineRule="auto"/>
        <w:rPr>
          <w:lang w:val="en-US"/>
        </w:rPr>
      </w:pPr>
      <w:r>
        <w:rPr>
          <w:lang w:val="en-U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5B0AE9" w:rsidRPr="00034525" w14:paraId="5457DC36" w14:textId="77777777" w:rsidTr="005B0AE9">
        <w:trPr>
          <w:trHeight w:val="72"/>
        </w:trPr>
        <w:tc>
          <w:tcPr>
            <w:tcW w:w="9540" w:type="dxa"/>
          </w:tcPr>
          <w:p w14:paraId="221680CC" w14:textId="77777777" w:rsidR="005B0AE9" w:rsidRPr="00034525" w:rsidRDefault="005B0AE9" w:rsidP="00EF3B0C">
            <w:pPr>
              <w:spacing w:after="60" w:line="240" w:lineRule="auto"/>
              <w:jc w:val="center"/>
              <w:rPr>
                <w:rFonts w:cs="Arial"/>
                <w:b/>
                <w:bCs/>
                <w:color w:val="005172"/>
                <w:sz w:val="16"/>
                <w:szCs w:val="16"/>
              </w:rPr>
            </w:pPr>
            <w:r>
              <w:rPr>
                <w:rFonts w:eastAsia="SimHei" w:cs="Arial"/>
                <w:b/>
                <w:bCs/>
                <w:color w:val="005172"/>
                <w:szCs w:val="18"/>
                <w:lang w:val="en-US" w:eastAsia="zh-CN"/>
              </w:rPr>
              <w:lastRenderedPageBreak/>
              <w:t xml:space="preserve">Brands and Designs: </w:t>
            </w:r>
            <w:r w:rsidRPr="00034525">
              <w:rPr>
                <w:rFonts w:cs="Arial"/>
                <w:b/>
                <w:bCs/>
                <w:color w:val="005172"/>
                <w:szCs w:val="16"/>
              </w:rPr>
              <w:t>Resources by Result</w:t>
            </w:r>
          </w:p>
        </w:tc>
      </w:tr>
      <w:tr w:rsidR="005B0AE9" w:rsidRPr="00034525" w14:paraId="54E9E4C4" w14:textId="77777777" w:rsidTr="005B0AE9">
        <w:trPr>
          <w:trHeight w:val="80"/>
        </w:trPr>
        <w:tc>
          <w:tcPr>
            <w:tcW w:w="9540" w:type="dxa"/>
          </w:tcPr>
          <w:p w14:paraId="4B9958A1" w14:textId="4D7251AA" w:rsidR="005B0AE9" w:rsidRPr="00034525" w:rsidRDefault="005B0AE9"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3E701F77" w14:textId="71695EF7" w:rsidR="00B52DEF" w:rsidRDefault="00B52DEF" w:rsidP="00B52DEF">
      <w:pPr>
        <w:spacing w:after="0"/>
        <w:rPr>
          <w:rFonts w:asciiTheme="minorHAnsi" w:hAnsiTheme="minorHAnsi"/>
          <w:sz w:val="22"/>
        </w:rPr>
      </w:pPr>
    </w:p>
    <w:tbl>
      <w:tblPr>
        <w:tblW w:w="9495" w:type="dxa"/>
        <w:tblLook w:val="04A0" w:firstRow="1" w:lastRow="0" w:firstColumn="1" w:lastColumn="0" w:noHBand="0" w:noVBand="1"/>
      </w:tblPr>
      <w:tblGrid>
        <w:gridCol w:w="399"/>
        <w:gridCol w:w="6070"/>
        <w:gridCol w:w="1018"/>
        <w:gridCol w:w="1018"/>
        <w:gridCol w:w="1019"/>
      </w:tblGrid>
      <w:tr w:rsidR="00B52DEF" w:rsidRPr="00B52DEF" w14:paraId="003B7F7E" w14:textId="77777777" w:rsidTr="00B52DEF">
        <w:trPr>
          <w:divId w:val="927160040"/>
          <w:trHeight w:val="565"/>
        </w:trPr>
        <w:tc>
          <w:tcPr>
            <w:tcW w:w="6440" w:type="dxa"/>
            <w:gridSpan w:val="2"/>
            <w:tcBorders>
              <w:top w:val="nil"/>
              <w:left w:val="nil"/>
              <w:bottom w:val="nil"/>
              <w:right w:val="nil"/>
            </w:tcBorders>
            <w:shd w:val="clear" w:color="000000" w:fill="C7CFD8"/>
            <w:noWrap/>
            <w:vAlign w:val="center"/>
            <w:hideMark/>
          </w:tcPr>
          <w:p w14:paraId="137F9091" w14:textId="07FAE000" w:rsidR="00B52DEF" w:rsidRPr="00B52DEF" w:rsidRDefault="00B52DEF" w:rsidP="00B52DEF">
            <w:pPr>
              <w:spacing w:after="0" w:line="240" w:lineRule="auto"/>
              <w:ind w:firstLineChars="100" w:firstLine="160"/>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 xml:space="preserve">Expected Result </w:t>
            </w:r>
          </w:p>
        </w:tc>
        <w:tc>
          <w:tcPr>
            <w:tcW w:w="1018" w:type="dxa"/>
            <w:tcBorders>
              <w:top w:val="nil"/>
              <w:left w:val="nil"/>
              <w:bottom w:val="nil"/>
              <w:right w:val="nil"/>
            </w:tcBorders>
            <w:shd w:val="clear" w:color="000000" w:fill="C7CFD8"/>
            <w:vAlign w:val="center"/>
            <w:hideMark/>
          </w:tcPr>
          <w:p w14:paraId="1FD9D1C9" w14:textId="77777777" w:rsidR="00B52DEF" w:rsidRPr="00B52DEF" w:rsidRDefault="00B52DEF" w:rsidP="00B52DEF">
            <w:pPr>
              <w:spacing w:after="0" w:line="240" w:lineRule="auto"/>
              <w:ind w:firstLineChars="100" w:firstLine="160"/>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 xml:space="preserve"> 2024/25 </w:t>
            </w:r>
            <w:r w:rsidRPr="00B52DEF">
              <w:rPr>
                <w:rFonts w:ascii="Arial Narrow" w:eastAsia="Times New Roman" w:hAnsi="Arial Narrow" w:cs="Arial"/>
                <w:b/>
                <w:bCs/>
                <w:sz w:val="16"/>
                <w:szCs w:val="16"/>
                <w:lang w:val="en-US"/>
              </w:rPr>
              <w:br/>
              <w:t>Proposed</w:t>
            </w:r>
            <w:r w:rsidRPr="00B52DEF">
              <w:rPr>
                <w:rFonts w:ascii="Arial Narrow" w:eastAsia="Times New Roman" w:hAnsi="Arial Narrow" w:cs="Arial"/>
                <w:b/>
                <w:bCs/>
                <w:sz w:val="16"/>
                <w:szCs w:val="16"/>
                <w:lang w:val="en-US"/>
              </w:rPr>
              <w:br/>
              <w:t xml:space="preserve"> Budget </w:t>
            </w:r>
          </w:p>
        </w:tc>
        <w:tc>
          <w:tcPr>
            <w:tcW w:w="1018" w:type="dxa"/>
            <w:tcBorders>
              <w:top w:val="nil"/>
              <w:left w:val="nil"/>
              <w:bottom w:val="nil"/>
              <w:right w:val="nil"/>
            </w:tcBorders>
            <w:shd w:val="clear" w:color="000000" w:fill="C7CFD8"/>
            <w:vAlign w:val="center"/>
            <w:hideMark/>
          </w:tcPr>
          <w:p w14:paraId="0251CDF6" w14:textId="77777777" w:rsidR="00B52DEF" w:rsidRPr="00B52DEF" w:rsidRDefault="00B52DEF" w:rsidP="00B52DEF">
            <w:pPr>
              <w:spacing w:after="0" w:line="240" w:lineRule="auto"/>
              <w:ind w:firstLineChars="100" w:firstLine="160"/>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 xml:space="preserve"> 2022/23 </w:t>
            </w:r>
            <w:r w:rsidRPr="00B52DEF">
              <w:rPr>
                <w:rFonts w:ascii="Arial Narrow" w:eastAsia="Times New Roman" w:hAnsi="Arial Narrow" w:cs="Arial"/>
                <w:b/>
                <w:bCs/>
                <w:sz w:val="16"/>
                <w:szCs w:val="16"/>
                <w:lang w:val="en-US"/>
              </w:rPr>
              <w:br/>
              <w:t xml:space="preserve">PoW&amp;B </w:t>
            </w:r>
          </w:p>
        </w:tc>
        <w:tc>
          <w:tcPr>
            <w:tcW w:w="1019" w:type="dxa"/>
            <w:tcBorders>
              <w:top w:val="nil"/>
              <w:left w:val="nil"/>
              <w:bottom w:val="nil"/>
              <w:right w:val="nil"/>
            </w:tcBorders>
            <w:shd w:val="clear" w:color="000000" w:fill="C7CFD8"/>
            <w:vAlign w:val="center"/>
            <w:hideMark/>
          </w:tcPr>
          <w:p w14:paraId="175703DA" w14:textId="77777777" w:rsidR="00B52DEF" w:rsidRPr="00B52DEF" w:rsidRDefault="00B52DEF" w:rsidP="00B52DEF">
            <w:pPr>
              <w:spacing w:after="0" w:line="240" w:lineRule="auto"/>
              <w:ind w:firstLineChars="100" w:firstLine="160"/>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 xml:space="preserve"> 2022/23 </w:t>
            </w:r>
            <w:r w:rsidRPr="00B52DEF">
              <w:rPr>
                <w:rFonts w:ascii="Arial Narrow" w:eastAsia="Times New Roman" w:hAnsi="Arial Narrow" w:cs="Arial"/>
                <w:b/>
                <w:bCs/>
                <w:sz w:val="16"/>
                <w:szCs w:val="16"/>
                <w:lang w:val="en-US"/>
              </w:rPr>
              <w:br/>
              <w:t xml:space="preserve">Budget after Transfers </w:t>
            </w:r>
          </w:p>
        </w:tc>
      </w:tr>
      <w:tr w:rsidR="00B52DEF" w:rsidRPr="00B52DEF" w14:paraId="45E940C9" w14:textId="77777777" w:rsidTr="00B52DEF">
        <w:trPr>
          <w:divId w:val="927160040"/>
          <w:trHeight w:val="36"/>
        </w:trPr>
        <w:tc>
          <w:tcPr>
            <w:tcW w:w="370" w:type="dxa"/>
            <w:tcBorders>
              <w:top w:val="nil"/>
              <w:left w:val="nil"/>
              <w:bottom w:val="nil"/>
              <w:right w:val="nil"/>
            </w:tcBorders>
            <w:shd w:val="clear" w:color="auto" w:fill="auto"/>
            <w:noWrap/>
            <w:vAlign w:val="center"/>
            <w:hideMark/>
          </w:tcPr>
          <w:p w14:paraId="0596BF39" w14:textId="77777777" w:rsidR="00B52DEF" w:rsidRPr="00B52DEF" w:rsidRDefault="00B52DEF" w:rsidP="00B52DEF">
            <w:pPr>
              <w:spacing w:after="0" w:line="240" w:lineRule="auto"/>
              <w:ind w:firstLineChars="100" w:firstLine="160"/>
              <w:jc w:val="right"/>
              <w:rPr>
                <w:rFonts w:ascii="Arial Narrow" w:eastAsia="Times New Roman" w:hAnsi="Arial Narrow" w:cs="Arial"/>
                <w:b/>
                <w:bCs/>
                <w:sz w:val="16"/>
                <w:szCs w:val="16"/>
                <w:lang w:val="en-US"/>
              </w:rPr>
            </w:pPr>
          </w:p>
        </w:tc>
        <w:tc>
          <w:tcPr>
            <w:tcW w:w="6070" w:type="dxa"/>
            <w:tcBorders>
              <w:top w:val="nil"/>
              <w:left w:val="nil"/>
              <w:bottom w:val="nil"/>
              <w:right w:val="nil"/>
            </w:tcBorders>
            <w:shd w:val="clear" w:color="auto" w:fill="auto"/>
            <w:noWrap/>
            <w:vAlign w:val="center"/>
            <w:hideMark/>
          </w:tcPr>
          <w:p w14:paraId="033294E6" w14:textId="77777777" w:rsidR="00B52DEF" w:rsidRPr="00B52DEF" w:rsidRDefault="00B52DEF" w:rsidP="00B52DEF">
            <w:pPr>
              <w:spacing w:after="0" w:line="240" w:lineRule="auto"/>
              <w:ind w:firstLineChars="100" w:firstLine="200"/>
              <w:rPr>
                <w:rFonts w:ascii="Times New Roman" w:eastAsia="Times New Roman" w:hAnsi="Times New Roman" w:cs="Times New Roman"/>
                <w:sz w:val="20"/>
                <w:szCs w:val="20"/>
                <w:lang w:val="en-US"/>
              </w:rPr>
            </w:pPr>
          </w:p>
        </w:tc>
        <w:tc>
          <w:tcPr>
            <w:tcW w:w="1018" w:type="dxa"/>
            <w:tcBorders>
              <w:top w:val="nil"/>
              <w:left w:val="nil"/>
              <w:bottom w:val="nil"/>
              <w:right w:val="nil"/>
            </w:tcBorders>
            <w:shd w:val="clear" w:color="auto" w:fill="auto"/>
            <w:noWrap/>
            <w:vAlign w:val="center"/>
            <w:hideMark/>
          </w:tcPr>
          <w:p w14:paraId="4686FD54" w14:textId="77777777" w:rsidR="00B52DEF" w:rsidRPr="00B52DEF" w:rsidRDefault="00B52DEF" w:rsidP="00B52DEF">
            <w:pPr>
              <w:spacing w:after="0" w:line="240" w:lineRule="auto"/>
              <w:ind w:firstLineChars="100" w:firstLine="200"/>
              <w:rPr>
                <w:rFonts w:ascii="Times New Roman" w:eastAsia="Times New Roman" w:hAnsi="Times New Roman" w:cs="Times New Roman"/>
                <w:sz w:val="20"/>
                <w:szCs w:val="20"/>
                <w:lang w:val="en-US"/>
              </w:rPr>
            </w:pPr>
          </w:p>
        </w:tc>
        <w:tc>
          <w:tcPr>
            <w:tcW w:w="1018" w:type="dxa"/>
            <w:tcBorders>
              <w:top w:val="nil"/>
              <w:left w:val="nil"/>
              <w:bottom w:val="nil"/>
              <w:right w:val="nil"/>
            </w:tcBorders>
            <w:shd w:val="clear" w:color="auto" w:fill="auto"/>
            <w:vAlign w:val="center"/>
            <w:hideMark/>
          </w:tcPr>
          <w:p w14:paraId="43B154E7" w14:textId="77777777" w:rsidR="00B52DEF" w:rsidRPr="00B52DEF" w:rsidRDefault="00B52DEF" w:rsidP="00B52DEF">
            <w:pPr>
              <w:spacing w:after="0" w:line="240" w:lineRule="auto"/>
              <w:ind w:firstLineChars="100" w:firstLine="200"/>
              <w:rPr>
                <w:rFonts w:ascii="Times New Roman" w:eastAsia="Times New Roman" w:hAnsi="Times New Roman" w:cs="Times New Roman"/>
                <w:sz w:val="20"/>
                <w:szCs w:val="20"/>
                <w:lang w:val="en-US"/>
              </w:rPr>
            </w:pPr>
          </w:p>
        </w:tc>
        <w:tc>
          <w:tcPr>
            <w:tcW w:w="1019" w:type="dxa"/>
            <w:tcBorders>
              <w:top w:val="nil"/>
              <w:left w:val="nil"/>
              <w:bottom w:val="nil"/>
              <w:right w:val="nil"/>
            </w:tcBorders>
            <w:shd w:val="clear" w:color="auto" w:fill="auto"/>
            <w:vAlign w:val="center"/>
            <w:hideMark/>
          </w:tcPr>
          <w:p w14:paraId="05130667" w14:textId="77777777" w:rsidR="00B52DEF" w:rsidRPr="00B52DEF" w:rsidRDefault="00B52DEF" w:rsidP="00B52DEF">
            <w:pPr>
              <w:spacing w:after="0" w:line="240" w:lineRule="auto"/>
              <w:ind w:firstLineChars="100" w:firstLine="200"/>
              <w:jc w:val="right"/>
              <w:rPr>
                <w:rFonts w:ascii="Times New Roman" w:eastAsia="Times New Roman" w:hAnsi="Times New Roman" w:cs="Times New Roman"/>
                <w:sz w:val="20"/>
                <w:szCs w:val="20"/>
                <w:lang w:val="en-US"/>
              </w:rPr>
            </w:pPr>
          </w:p>
        </w:tc>
      </w:tr>
      <w:tr w:rsidR="00B52DEF" w:rsidRPr="00B52DEF" w14:paraId="35E19D67" w14:textId="77777777" w:rsidTr="00B52DEF">
        <w:trPr>
          <w:divId w:val="927160040"/>
          <w:trHeight w:val="245"/>
        </w:trPr>
        <w:tc>
          <w:tcPr>
            <w:tcW w:w="370" w:type="dxa"/>
            <w:tcBorders>
              <w:top w:val="nil"/>
              <w:left w:val="nil"/>
              <w:bottom w:val="nil"/>
              <w:right w:val="nil"/>
            </w:tcBorders>
            <w:shd w:val="clear" w:color="auto" w:fill="auto"/>
            <w:noWrap/>
            <w:hideMark/>
          </w:tcPr>
          <w:p w14:paraId="20672EAC"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2.1</w:t>
            </w:r>
          </w:p>
        </w:tc>
        <w:tc>
          <w:tcPr>
            <w:tcW w:w="6070" w:type="dxa"/>
            <w:tcBorders>
              <w:top w:val="nil"/>
              <w:left w:val="nil"/>
              <w:bottom w:val="nil"/>
              <w:right w:val="nil"/>
            </w:tcBorders>
            <w:shd w:val="clear" w:color="auto" w:fill="auto"/>
            <w:hideMark/>
          </w:tcPr>
          <w:p w14:paraId="3176332F"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Development of balanced and effective international normative frameworks for IP</w:t>
            </w:r>
          </w:p>
        </w:tc>
        <w:tc>
          <w:tcPr>
            <w:tcW w:w="1018" w:type="dxa"/>
            <w:tcBorders>
              <w:top w:val="nil"/>
              <w:left w:val="nil"/>
              <w:bottom w:val="nil"/>
              <w:right w:val="nil"/>
            </w:tcBorders>
            <w:shd w:val="clear" w:color="auto" w:fill="auto"/>
            <w:noWrap/>
            <w:hideMark/>
          </w:tcPr>
          <w:p w14:paraId="1E965C7B"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4,161</w:t>
            </w:r>
          </w:p>
        </w:tc>
        <w:tc>
          <w:tcPr>
            <w:tcW w:w="1018" w:type="dxa"/>
            <w:tcBorders>
              <w:top w:val="nil"/>
              <w:left w:val="nil"/>
              <w:bottom w:val="nil"/>
              <w:right w:val="nil"/>
            </w:tcBorders>
            <w:shd w:val="clear" w:color="auto" w:fill="auto"/>
            <w:noWrap/>
            <w:hideMark/>
          </w:tcPr>
          <w:p w14:paraId="09669C53"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2,440</w:t>
            </w:r>
          </w:p>
        </w:tc>
        <w:tc>
          <w:tcPr>
            <w:tcW w:w="1019" w:type="dxa"/>
            <w:tcBorders>
              <w:top w:val="nil"/>
              <w:left w:val="nil"/>
              <w:bottom w:val="nil"/>
              <w:right w:val="nil"/>
            </w:tcBorders>
            <w:shd w:val="clear" w:color="auto" w:fill="auto"/>
            <w:noWrap/>
            <w:hideMark/>
          </w:tcPr>
          <w:p w14:paraId="4087D420"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2,575</w:t>
            </w:r>
          </w:p>
        </w:tc>
      </w:tr>
      <w:tr w:rsidR="00B52DEF" w:rsidRPr="00B52DEF" w14:paraId="3F536C00" w14:textId="77777777" w:rsidTr="00B52DEF">
        <w:trPr>
          <w:divId w:val="927160040"/>
          <w:trHeight w:val="245"/>
        </w:trPr>
        <w:tc>
          <w:tcPr>
            <w:tcW w:w="370" w:type="dxa"/>
            <w:tcBorders>
              <w:top w:val="nil"/>
              <w:left w:val="nil"/>
              <w:bottom w:val="nil"/>
              <w:right w:val="nil"/>
            </w:tcBorders>
            <w:shd w:val="clear" w:color="auto" w:fill="auto"/>
            <w:noWrap/>
            <w:hideMark/>
          </w:tcPr>
          <w:p w14:paraId="2B6040BA"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3.1</w:t>
            </w:r>
          </w:p>
        </w:tc>
        <w:tc>
          <w:tcPr>
            <w:tcW w:w="6070" w:type="dxa"/>
            <w:tcBorders>
              <w:top w:val="nil"/>
              <w:left w:val="nil"/>
              <w:bottom w:val="nil"/>
              <w:right w:val="nil"/>
            </w:tcBorders>
            <w:shd w:val="clear" w:color="auto" w:fill="auto"/>
            <w:hideMark/>
          </w:tcPr>
          <w:p w14:paraId="269FDDEA"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Wider and more effective use of WIPO’s global IP systems, services, knowledge and data</w:t>
            </w:r>
          </w:p>
        </w:tc>
        <w:tc>
          <w:tcPr>
            <w:tcW w:w="1018" w:type="dxa"/>
            <w:tcBorders>
              <w:top w:val="nil"/>
              <w:left w:val="nil"/>
              <w:bottom w:val="nil"/>
              <w:right w:val="nil"/>
            </w:tcBorders>
            <w:shd w:val="clear" w:color="auto" w:fill="auto"/>
            <w:noWrap/>
            <w:hideMark/>
          </w:tcPr>
          <w:p w14:paraId="5E111247"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14,350</w:t>
            </w:r>
          </w:p>
        </w:tc>
        <w:tc>
          <w:tcPr>
            <w:tcW w:w="1018" w:type="dxa"/>
            <w:tcBorders>
              <w:top w:val="nil"/>
              <w:left w:val="nil"/>
              <w:bottom w:val="nil"/>
              <w:right w:val="nil"/>
            </w:tcBorders>
            <w:shd w:val="clear" w:color="auto" w:fill="auto"/>
            <w:noWrap/>
            <w:hideMark/>
          </w:tcPr>
          <w:p w14:paraId="4FF71771"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13,324</w:t>
            </w:r>
          </w:p>
        </w:tc>
        <w:tc>
          <w:tcPr>
            <w:tcW w:w="1019" w:type="dxa"/>
            <w:tcBorders>
              <w:top w:val="nil"/>
              <w:left w:val="nil"/>
              <w:bottom w:val="nil"/>
              <w:right w:val="nil"/>
            </w:tcBorders>
            <w:shd w:val="clear" w:color="auto" w:fill="auto"/>
            <w:noWrap/>
            <w:hideMark/>
          </w:tcPr>
          <w:p w14:paraId="554B283C"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12,714</w:t>
            </w:r>
          </w:p>
        </w:tc>
      </w:tr>
      <w:tr w:rsidR="00B52DEF" w:rsidRPr="00B52DEF" w14:paraId="0753490F" w14:textId="77777777" w:rsidTr="00B52DEF">
        <w:trPr>
          <w:divId w:val="927160040"/>
          <w:trHeight w:val="245"/>
        </w:trPr>
        <w:tc>
          <w:tcPr>
            <w:tcW w:w="370" w:type="dxa"/>
            <w:tcBorders>
              <w:top w:val="nil"/>
              <w:left w:val="nil"/>
              <w:bottom w:val="nil"/>
              <w:right w:val="nil"/>
            </w:tcBorders>
            <w:shd w:val="clear" w:color="auto" w:fill="auto"/>
            <w:noWrap/>
            <w:hideMark/>
          </w:tcPr>
          <w:p w14:paraId="7E630C8B"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3.2</w:t>
            </w:r>
          </w:p>
        </w:tc>
        <w:tc>
          <w:tcPr>
            <w:tcW w:w="6070" w:type="dxa"/>
            <w:tcBorders>
              <w:top w:val="nil"/>
              <w:left w:val="nil"/>
              <w:bottom w:val="nil"/>
              <w:right w:val="nil"/>
            </w:tcBorders>
            <w:shd w:val="clear" w:color="auto" w:fill="auto"/>
            <w:hideMark/>
          </w:tcPr>
          <w:p w14:paraId="0E2B5C73" w14:textId="77777777" w:rsid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Improved productivity and service quality of WIPO’s global IP systems, services, knowledge and data</w:t>
            </w:r>
          </w:p>
          <w:p w14:paraId="38E53AD1" w14:textId="1ECF34DA" w:rsidR="00B52DEF" w:rsidRPr="00B52DEF" w:rsidRDefault="00B52DEF" w:rsidP="00B52DEF">
            <w:pPr>
              <w:spacing w:after="0" w:line="240" w:lineRule="auto"/>
              <w:rPr>
                <w:rFonts w:ascii="Arial Narrow" w:eastAsia="Times New Roman" w:hAnsi="Arial Narrow" w:cs="Arial"/>
                <w:sz w:val="8"/>
                <w:szCs w:val="8"/>
                <w:lang w:val="en-US"/>
              </w:rPr>
            </w:pPr>
          </w:p>
        </w:tc>
        <w:tc>
          <w:tcPr>
            <w:tcW w:w="1018" w:type="dxa"/>
            <w:tcBorders>
              <w:top w:val="nil"/>
              <w:left w:val="nil"/>
              <w:bottom w:val="nil"/>
              <w:right w:val="nil"/>
            </w:tcBorders>
            <w:shd w:val="clear" w:color="auto" w:fill="auto"/>
            <w:noWrap/>
            <w:hideMark/>
          </w:tcPr>
          <w:p w14:paraId="4D0E2364"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58,074</w:t>
            </w:r>
          </w:p>
        </w:tc>
        <w:tc>
          <w:tcPr>
            <w:tcW w:w="1018" w:type="dxa"/>
            <w:tcBorders>
              <w:top w:val="nil"/>
              <w:left w:val="nil"/>
              <w:bottom w:val="nil"/>
              <w:right w:val="nil"/>
            </w:tcBorders>
            <w:shd w:val="clear" w:color="auto" w:fill="auto"/>
            <w:noWrap/>
            <w:hideMark/>
          </w:tcPr>
          <w:p w14:paraId="32708766"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61,877</w:t>
            </w:r>
          </w:p>
        </w:tc>
        <w:tc>
          <w:tcPr>
            <w:tcW w:w="1019" w:type="dxa"/>
            <w:tcBorders>
              <w:top w:val="nil"/>
              <w:left w:val="nil"/>
              <w:bottom w:val="nil"/>
              <w:right w:val="nil"/>
            </w:tcBorders>
            <w:shd w:val="clear" w:color="auto" w:fill="auto"/>
            <w:noWrap/>
            <w:hideMark/>
          </w:tcPr>
          <w:p w14:paraId="22072641"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62,614</w:t>
            </w:r>
          </w:p>
        </w:tc>
      </w:tr>
      <w:tr w:rsidR="00B52DEF" w:rsidRPr="00B52DEF" w14:paraId="12F1B60A" w14:textId="77777777" w:rsidTr="00B52DEF">
        <w:trPr>
          <w:divId w:val="927160040"/>
          <w:trHeight w:val="430"/>
        </w:trPr>
        <w:tc>
          <w:tcPr>
            <w:tcW w:w="370" w:type="dxa"/>
            <w:tcBorders>
              <w:top w:val="nil"/>
              <w:left w:val="nil"/>
              <w:bottom w:val="nil"/>
              <w:right w:val="nil"/>
            </w:tcBorders>
            <w:shd w:val="clear" w:color="auto" w:fill="auto"/>
            <w:noWrap/>
            <w:hideMark/>
          </w:tcPr>
          <w:p w14:paraId="212675D4"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4.1</w:t>
            </w:r>
          </w:p>
        </w:tc>
        <w:tc>
          <w:tcPr>
            <w:tcW w:w="6070" w:type="dxa"/>
            <w:tcBorders>
              <w:top w:val="nil"/>
              <w:left w:val="nil"/>
              <w:bottom w:val="nil"/>
              <w:right w:val="nil"/>
            </w:tcBorders>
            <w:shd w:val="clear" w:color="auto" w:fill="auto"/>
            <w:hideMark/>
          </w:tcPr>
          <w:p w14:paraId="609F22A6" w14:textId="70E0C568" w:rsidR="00B52DEF" w:rsidRDefault="001048EB" w:rsidP="00B52DEF">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More effective use of a balanced IP system to support growth</w:t>
            </w:r>
            <w:r w:rsidR="00D779AD">
              <w:rPr>
                <w:rFonts w:ascii="Arial Narrow" w:eastAsia="Times New Roman" w:hAnsi="Arial Narrow" w:cs="Arial"/>
                <w:sz w:val="16"/>
                <w:szCs w:val="16"/>
                <w:lang w:val="en-US"/>
              </w:rPr>
              <w:t xml:space="preserve"> </w:t>
            </w:r>
            <w:r w:rsidR="00B52DEF" w:rsidRPr="00B52DEF">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p w14:paraId="5B831464" w14:textId="00D403B7" w:rsidR="00B52DEF" w:rsidRPr="00B52DEF" w:rsidRDefault="00B52DEF" w:rsidP="00B52DEF">
            <w:pPr>
              <w:spacing w:after="0" w:line="240" w:lineRule="auto"/>
              <w:rPr>
                <w:rFonts w:ascii="Arial Narrow" w:eastAsia="Times New Roman" w:hAnsi="Arial Narrow" w:cs="Arial"/>
                <w:sz w:val="8"/>
                <w:szCs w:val="8"/>
                <w:lang w:val="en-US"/>
              </w:rPr>
            </w:pPr>
          </w:p>
        </w:tc>
        <w:tc>
          <w:tcPr>
            <w:tcW w:w="1018" w:type="dxa"/>
            <w:tcBorders>
              <w:top w:val="nil"/>
              <w:left w:val="nil"/>
              <w:bottom w:val="nil"/>
              <w:right w:val="nil"/>
            </w:tcBorders>
            <w:shd w:val="clear" w:color="auto" w:fill="auto"/>
            <w:noWrap/>
            <w:hideMark/>
          </w:tcPr>
          <w:p w14:paraId="4EB21A04"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675</w:t>
            </w:r>
          </w:p>
        </w:tc>
        <w:tc>
          <w:tcPr>
            <w:tcW w:w="1018" w:type="dxa"/>
            <w:tcBorders>
              <w:top w:val="nil"/>
              <w:left w:val="nil"/>
              <w:bottom w:val="nil"/>
              <w:right w:val="nil"/>
            </w:tcBorders>
            <w:shd w:val="clear" w:color="auto" w:fill="auto"/>
            <w:noWrap/>
            <w:hideMark/>
          </w:tcPr>
          <w:p w14:paraId="219CF58E"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w:t>
            </w:r>
          </w:p>
        </w:tc>
        <w:tc>
          <w:tcPr>
            <w:tcW w:w="1019" w:type="dxa"/>
            <w:tcBorders>
              <w:top w:val="nil"/>
              <w:left w:val="nil"/>
              <w:bottom w:val="nil"/>
              <w:right w:val="nil"/>
            </w:tcBorders>
            <w:shd w:val="clear" w:color="auto" w:fill="auto"/>
            <w:noWrap/>
            <w:hideMark/>
          </w:tcPr>
          <w:p w14:paraId="1D8503DB"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199</w:t>
            </w:r>
          </w:p>
        </w:tc>
      </w:tr>
      <w:tr w:rsidR="00B52DEF" w:rsidRPr="00B52DEF" w14:paraId="6605CA76" w14:textId="77777777" w:rsidTr="00B52DEF">
        <w:trPr>
          <w:divId w:val="927160040"/>
          <w:trHeight w:val="245"/>
        </w:trPr>
        <w:tc>
          <w:tcPr>
            <w:tcW w:w="370" w:type="dxa"/>
            <w:tcBorders>
              <w:top w:val="nil"/>
              <w:left w:val="nil"/>
              <w:bottom w:val="nil"/>
              <w:right w:val="nil"/>
            </w:tcBorders>
            <w:shd w:val="clear" w:color="auto" w:fill="auto"/>
            <w:noWrap/>
            <w:hideMark/>
          </w:tcPr>
          <w:p w14:paraId="5DE14A10"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4.2</w:t>
            </w:r>
          </w:p>
        </w:tc>
        <w:tc>
          <w:tcPr>
            <w:tcW w:w="6070" w:type="dxa"/>
            <w:tcBorders>
              <w:top w:val="nil"/>
              <w:left w:val="nil"/>
              <w:bottom w:val="nil"/>
              <w:right w:val="nil"/>
            </w:tcBorders>
            <w:shd w:val="clear" w:color="auto" w:fill="auto"/>
            <w:hideMark/>
          </w:tcPr>
          <w:p w14:paraId="26E33D01"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Development of balanced and effective IP, innovation and creative ecosystems in Member States</w:t>
            </w:r>
          </w:p>
        </w:tc>
        <w:tc>
          <w:tcPr>
            <w:tcW w:w="1018" w:type="dxa"/>
            <w:tcBorders>
              <w:top w:val="nil"/>
              <w:left w:val="nil"/>
              <w:bottom w:val="nil"/>
              <w:right w:val="nil"/>
            </w:tcBorders>
            <w:shd w:val="clear" w:color="auto" w:fill="auto"/>
            <w:noWrap/>
            <w:hideMark/>
          </w:tcPr>
          <w:p w14:paraId="76A80622"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730</w:t>
            </w:r>
          </w:p>
        </w:tc>
        <w:tc>
          <w:tcPr>
            <w:tcW w:w="1018" w:type="dxa"/>
            <w:tcBorders>
              <w:top w:val="nil"/>
              <w:left w:val="nil"/>
              <w:bottom w:val="nil"/>
              <w:right w:val="nil"/>
            </w:tcBorders>
            <w:shd w:val="clear" w:color="auto" w:fill="auto"/>
            <w:noWrap/>
            <w:hideMark/>
          </w:tcPr>
          <w:p w14:paraId="27003E17"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1,069</w:t>
            </w:r>
          </w:p>
        </w:tc>
        <w:tc>
          <w:tcPr>
            <w:tcW w:w="1019" w:type="dxa"/>
            <w:tcBorders>
              <w:top w:val="nil"/>
              <w:left w:val="nil"/>
              <w:bottom w:val="nil"/>
              <w:right w:val="nil"/>
            </w:tcBorders>
            <w:shd w:val="clear" w:color="auto" w:fill="auto"/>
            <w:noWrap/>
            <w:hideMark/>
          </w:tcPr>
          <w:p w14:paraId="4F5AB605"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1,176</w:t>
            </w:r>
          </w:p>
        </w:tc>
      </w:tr>
      <w:tr w:rsidR="00B52DEF" w:rsidRPr="00B52DEF" w14:paraId="3F3ADE6C" w14:textId="77777777" w:rsidTr="00B52DEF">
        <w:trPr>
          <w:divId w:val="927160040"/>
          <w:trHeight w:val="245"/>
        </w:trPr>
        <w:tc>
          <w:tcPr>
            <w:tcW w:w="370" w:type="dxa"/>
            <w:tcBorders>
              <w:top w:val="nil"/>
              <w:left w:val="nil"/>
              <w:bottom w:val="nil"/>
              <w:right w:val="nil"/>
            </w:tcBorders>
            <w:shd w:val="clear" w:color="auto" w:fill="auto"/>
            <w:noWrap/>
            <w:hideMark/>
          </w:tcPr>
          <w:p w14:paraId="0734F93F"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4.3</w:t>
            </w:r>
          </w:p>
        </w:tc>
        <w:tc>
          <w:tcPr>
            <w:tcW w:w="6070" w:type="dxa"/>
            <w:tcBorders>
              <w:top w:val="nil"/>
              <w:left w:val="nil"/>
              <w:bottom w:val="nil"/>
              <w:right w:val="nil"/>
            </w:tcBorders>
            <w:shd w:val="clear" w:color="auto" w:fill="auto"/>
            <w:hideMark/>
          </w:tcPr>
          <w:p w14:paraId="164A9A57"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Increased IP knowledge and skills in all Member States</w:t>
            </w:r>
          </w:p>
        </w:tc>
        <w:tc>
          <w:tcPr>
            <w:tcW w:w="1018" w:type="dxa"/>
            <w:tcBorders>
              <w:top w:val="nil"/>
              <w:left w:val="nil"/>
              <w:bottom w:val="nil"/>
              <w:right w:val="nil"/>
            </w:tcBorders>
            <w:shd w:val="clear" w:color="auto" w:fill="auto"/>
            <w:noWrap/>
            <w:hideMark/>
          </w:tcPr>
          <w:p w14:paraId="470FB4C7"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1,240</w:t>
            </w:r>
          </w:p>
        </w:tc>
        <w:tc>
          <w:tcPr>
            <w:tcW w:w="1018" w:type="dxa"/>
            <w:tcBorders>
              <w:top w:val="nil"/>
              <w:left w:val="nil"/>
              <w:bottom w:val="nil"/>
              <w:right w:val="nil"/>
            </w:tcBorders>
            <w:shd w:val="clear" w:color="auto" w:fill="auto"/>
            <w:noWrap/>
            <w:hideMark/>
          </w:tcPr>
          <w:p w14:paraId="40970079"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1,521</w:t>
            </w:r>
          </w:p>
        </w:tc>
        <w:tc>
          <w:tcPr>
            <w:tcW w:w="1019" w:type="dxa"/>
            <w:tcBorders>
              <w:top w:val="nil"/>
              <w:left w:val="nil"/>
              <w:bottom w:val="nil"/>
              <w:right w:val="nil"/>
            </w:tcBorders>
            <w:shd w:val="clear" w:color="auto" w:fill="auto"/>
            <w:noWrap/>
            <w:hideMark/>
          </w:tcPr>
          <w:p w14:paraId="7BF9F50D"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1,632</w:t>
            </w:r>
          </w:p>
        </w:tc>
      </w:tr>
      <w:tr w:rsidR="00B52DEF" w:rsidRPr="00B52DEF" w14:paraId="46E967F4" w14:textId="77777777" w:rsidTr="00B52DEF">
        <w:trPr>
          <w:divId w:val="927160040"/>
          <w:trHeight w:val="405"/>
        </w:trPr>
        <w:tc>
          <w:tcPr>
            <w:tcW w:w="370" w:type="dxa"/>
            <w:tcBorders>
              <w:top w:val="nil"/>
              <w:left w:val="nil"/>
              <w:bottom w:val="nil"/>
              <w:right w:val="nil"/>
            </w:tcBorders>
            <w:shd w:val="clear" w:color="auto" w:fill="auto"/>
            <w:noWrap/>
            <w:hideMark/>
          </w:tcPr>
          <w:p w14:paraId="5073A1E3"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4.4</w:t>
            </w:r>
          </w:p>
        </w:tc>
        <w:tc>
          <w:tcPr>
            <w:tcW w:w="6070" w:type="dxa"/>
            <w:tcBorders>
              <w:top w:val="nil"/>
              <w:left w:val="nil"/>
              <w:bottom w:val="nil"/>
              <w:right w:val="nil"/>
            </w:tcBorders>
            <w:shd w:val="clear" w:color="auto" w:fill="auto"/>
            <w:hideMark/>
          </w:tcPr>
          <w:p w14:paraId="7F165455" w14:textId="77777777" w:rsidR="00B52DEF" w:rsidRPr="00B52DEF" w:rsidRDefault="00B52DEF" w:rsidP="00B52DEF">
            <w:pPr>
              <w:spacing w:after="0" w:line="240" w:lineRule="auto"/>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More innovators, creators, SMEs, universities, research institutions and communities leverage IP successfully</w:t>
            </w:r>
          </w:p>
        </w:tc>
        <w:tc>
          <w:tcPr>
            <w:tcW w:w="1018" w:type="dxa"/>
            <w:tcBorders>
              <w:top w:val="nil"/>
              <w:left w:val="nil"/>
              <w:bottom w:val="nil"/>
              <w:right w:val="nil"/>
            </w:tcBorders>
            <w:shd w:val="clear" w:color="auto" w:fill="auto"/>
            <w:noWrap/>
            <w:hideMark/>
          </w:tcPr>
          <w:p w14:paraId="16AE3D0A"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w:t>
            </w:r>
          </w:p>
        </w:tc>
        <w:tc>
          <w:tcPr>
            <w:tcW w:w="1018" w:type="dxa"/>
            <w:tcBorders>
              <w:top w:val="nil"/>
              <w:left w:val="nil"/>
              <w:bottom w:val="nil"/>
              <w:right w:val="nil"/>
            </w:tcBorders>
            <w:shd w:val="clear" w:color="auto" w:fill="auto"/>
            <w:noWrap/>
            <w:hideMark/>
          </w:tcPr>
          <w:p w14:paraId="35685B5C"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200</w:t>
            </w:r>
          </w:p>
        </w:tc>
        <w:tc>
          <w:tcPr>
            <w:tcW w:w="1019" w:type="dxa"/>
            <w:tcBorders>
              <w:top w:val="nil"/>
              <w:left w:val="nil"/>
              <w:bottom w:val="nil"/>
              <w:right w:val="nil"/>
            </w:tcBorders>
            <w:shd w:val="clear" w:color="auto" w:fill="auto"/>
            <w:noWrap/>
            <w:hideMark/>
          </w:tcPr>
          <w:p w14:paraId="7F85B122" w14:textId="77777777" w:rsidR="00B52DEF" w:rsidRPr="00B52DEF" w:rsidRDefault="00B52DEF" w:rsidP="00B52DEF">
            <w:pPr>
              <w:spacing w:after="0" w:line="240" w:lineRule="auto"/>
              <w:jc w:val="right"/>
              <w:rPr>
                <w:rFonts w:ascii="Arial Narrow" w:eastAsia="Times New Roman" w:hAnsi="Arial Narrow" w:cs="Arial"/>
                <w:sz w:val="16"/>
                <w:szCs w:val="16"/>
                <w:lang w:val="en-US"/>
              </w:rPr>
            </w:pPr>
            <w:r w:rsidRPr="00B52DEF">
              <w:rPr>
                <w:rFonts w:ascii="Arial Narrow" w:eastAsia="Times New Roman" w:hAnsi="Arial Narrow" w:cs="Arial"/>
                <w:sz w:val="16"/>
                <w:szCs w:val="16"/>
                <w:lang w:val="en-US"/>
              </w:rPr>
              <w:t>42</w:t>
            </w:r>
          </w:p>
        </w:tc>
      </w:tr>
      <w:tr w:rsidR="00B52DEF" w:rsidRPr="00B52DEF" w14:paraId="0F569766" w14:textId="77777777" w:rsidTr="00B52DEF">
        <w:trPr>
          <w:divId w:val="927160040"/>
          <w:trHeight w:val="245"/>
        </w:trPr>
        <w:tc>
          <w:tcPr>
            <w:tcW w:w="370" w:type="dxa"/>
            <w:tcBorders>
              <w:top w:val="single" w:sz="4" w:space="0" w:color="BFBFBF"/>
              <w:left w:val="nil"/>
              <w:bottom w:val="single" w:sz="8" w:space="0" w:color="C7CFD8"/>
              <w:right w:val="nil"/>
            </w:tcBorders>
            <w:shd w:val="clear" w:color="auto" w:fill="auto"/>
            <w:noWrap/>
            <w:vAlign w:val="center"/>
            <w:hideMark/>
          </w:tcPr>
          <w:p w14:paraId="0345C633" w14:textId="77777777" w:rsidR="00B52DEF" w:rsidRPr="00B52DEF" w:rsidRDefault="00B52DEF" w:rsidP="00B52DEF">
            <w:pPr>
              <w:spacing w:after="0" w:line="240" w:lineRule="auto"/>
              <w:rPr>
                <w:rFonts w:ascii="Arial Narrow" w:eastAsia="Times New Roman" w:hAnsi="Arial Narrow" w:cs="Arial"/>
                <w:color w:val="005172"/>
                <w:sz w:val="16"/>
                <w:szCs w:val="16"/>
                <w:lang w:val="en-US"/>
              </w:rPr>
            </w:pPr>
            <w:r w:rsidRPr="00B52DEF">
              <w:rPr>
                <w:rFonts w:ascii="Arial Narrow" w:eastAsia="Times New Roman" w:hAnsi="Arial Narrow" w:cs="Arial"/>
                <w:color w:val="005172"/>
                <w:sz w:val="16"/>
                <w:szCs w:val="16"/>
                <w:lang w:val="en-US"/>
              </w:rPr>
              <w:t> </w:t>
            </w:r>
          </w:p>
        </w:tc>
        <w:tc>
          <w:tcPr>
            <w:tcW w:w="6070" w:type="dxa"/>
            <w:tcBorders>
              <w:top w:val="single" w:sz="4" w:space="0" w:color="BFBFBF"/>
              <w:left w:val="nil"/>
              <w:bottom w:val="single" w:sz="8" w:space="0" w:color="C7CFD8"/>
              <w:right w:val="nil"/>
            </w:tcBorders>
            <w:shd w:val="clear" w:color="auto" w:fill="auto"/>
            <w:noWrap/>
            <w:vAlign w:val="center"/>
            <w:hideMark/>
          </w:tcPr>
          <w:p w14:paraId="26D13BBD" w14:textId="77777777" w:rsidR="00B52DEF" w:rsidRPr="00B52DEF" w:rsidRDefault="00B52DEF" w:rsidP="00B52DEF">
            <w:pPr>
              <w:spacing w:after="0" w:line="240" w:lineRule="auto"/>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Total</w:t>
            </w:r>
          </w:p>
        </w:tc>
        <w:tc>
          <w:tcPr>
            <w:tcW w:w="1018" w:type="dxa"/>
            <w:tcBorders>
              <w:top w:val="single" w:sz="4" w:space="0" w:color="BFBFBF"/>
              <w:left w:val="nil"/>
              <w:bottom w:val="single" w:sz="8" w:space="0" w:color="C7CFD8"/>
              <w:right w:val="nil"/>
            </w:tcBorders>
            <w:shd w:val="clear" w:color="auto" w:fill="auto"/>
            <w:noWrap/>
            <w:vAlign w:val="center"/>
            <w:hideMark/>
          </w:tcPr>
          <w:p w14:paraId="43ED97C1" w14:textId="77777777" w:rsidR="00B52DEF" w:rsidRPr="00B52DEF" w:rsidRDefault="00B52DEF" w:rsidP="00B52DEF">
            <w:pPr>
              <w:spacing w:after="0" w:line="240" w:lineRule="auto"/>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79,230</w:t>
            </w:r>
          </w:p>
        </w:tc>
        <w:tc>
          <w:tcPr>
            <w:tcW w:w="1018" w:type="dxa"/>
            <w:tcBorders>
              <w:top w:val="single" w:sz="4" w:space="0" w:color="BFBFBF"/>
              <w:left w:val="nil"/>
              <w:bottom w:val="single" w:sz="8" w:space="0" w:color="C7CFD8"/>
              <w:right w:val="nil"/>
            </w:tcBorders>
            <w:shd w:val="clear" w:color="auto" w:fill="auto"/>
            <w:noWrap/>
            <w:vAlign w:val="center"/>
            <w:hideMark/>
          </w:tcPr>
          <w:p w14:paraId="0CE3ACA5" w14:textId="77777777" w:rsidR="00B52DEF" w:rsidRPr="00B52DEF" w:rsidRDefault="00B52DEF" w:rsidP="00B52DEF">
            <w:pPr>
              <w:spacing w:after="0" w:line="240" w:lineRule="auto"/>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80,430</w:t>
            </w:r>
          </w:p>
        </w:tc>
        <w:tc>
          <w:tcPr>
            <w:tcW w:w="1019" w:type="dxa"/>
            <w:tcBorders>
              <w:top w:val="single" w:sz="4" w:space="0" w:color="BFBFBF"/>
              <w:left w:val="nil"/>
              <w:bottom w:val="single" w:sz="8" w:space="0" w:color="C7CFD8"/>
              <w:right w:val="nil"/>
            </w:tcBorders>
            <w:shd w:val="clear" w:color="auto" w:fill="auto"/>
            <w:noWrap/>
            <w:vAlign w:val="center"/>
            <w:hideMark/>
          </w:tcPr>
          <w:p w14:paraId="1562EE24" w14:textId="77777777" w:rsidR="00B52DEF" w:rsidRPr="00B52DEF" w:rsidRDefault="00B52DEF" w:rsidP="00B52DEF">
            <w:pPr>
              <w:spacing w:after="0" w:line="240" w:lineRule="auto"/>
              <w:jc w:val="right"/>
              <w:rPr>
                <w:rFonts w:ascii="Arial Narrow" w:eastAsia="Times New Roman" w:hAnsi="Arial Narrow" w:cs="Arial"/>
                <w:b/>
                <w:bCs/>
                <w:sz w:val="16"/>
                <w:szCs w:val="16"/>
                <w:lang w:val="en-US"/>
              </w:rPr>
            </w:pPr>
            <w:r w:rsidRPr="00B52DEF">
              <w:rPr>
                <w:rFonts w:ascii="Arial Narrow" w:eastAsia="Times New Roman" w:hAnsi="Arial Narrow" w:cs="Arial"/>
                <w:b/>
                <w:bCs/>
                <w:sz w:val="16"/>
                <w:szCs w:val="16"/>
                <w:lang w:val="en-US"/>
              </w:rPr>
              <w:t>80,951</w:t>
            </w:r>
          </w:p>
        </w:tc>
      </w:tr>
    </w:tbl>
    <w:p w14:paraId="5B7B6A71" w14:textId="50E4B7BB" w:rsidR="00792A58" w:rsidRDefault="00792A58" w:rsidP="005B0A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5B0AE9" w:rsidRPr="00034525" w14:paraId="50A9068E" w14:textId="77777777" w:rsidTr="005B0AE9">
        <w:trPr>
          <w:trHeight w:val="72"/>
        </w:trPr>
        <w:tc>
          <w:tcPr>
            <w:tcW w:w="9540" w:type="dxa"/>
          </w:tcPr>
          <w:p w14:paraId="73E5C44F" w14:textId="06199042" w:rsidR="005B0AE9" w:rsidRPr="00034525" w:rsidRDefault="005B0AE9" w:rsidP="001A3F3C">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p>
        </w:tc>
      </w:tr>
      <w:tr w:rsidR="005B0AE9" w:rsidRPr="00034525" w14:paraId="7960283D" w14:textId="77777777" w:rsidTr="005B0AE9">
        <w:trPr>
          <w:trHeight w:val="80"/>
        </w:trPr>
        <w:tc>
          <w:tcPr>
            <w:tcW w:w="9540" w:type="dxa"/>
          </w:tcPr>
          <w:p w14:paraId="21028976" w14:textId="2001E03D" w:rsidR="005B0AE9" w:rsidRPr="00034525" w:rsidRDefault="005B0AE9"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56D841F0" w14:textId="7D91793B" w:rsidR="00B214A5" w:rsidRDefault="00B214A5" w:rsidP="00792A58">
      <w:pPr>
        <w:spacing w:after="0" w:line="276" w:lineRule="auto"/>
        <w:rPr>
          <w:rFonts w:asciiTheme="minorHAnsi" w:hAnsiTheme="minorHAnsi"/>
          <w:sz w:val="22"/>
        </w:rPr>
      </w:pPr>
    </w:p>
    <w:tbl>
      <w:tblPr>
        <w:tblW w:w="9280" w:type="dxa"/>
        <w:jc w:val="center"/>
        <w:tblLook w:val="04A0" w:firstRow="1" w:lastRow="0" w:firstColumn="1" w:lastColumn="0" w:noHBand="0" w:noVBand="1"/>
      </w:tblPr>
      <w:tblGrid>
        <w:gridCol w:w="2320"/>
        <w:gridCol w:w="1120"/>
        <w:gridCol w:w="1120"/>
        <w:gridCol w:w="1120"/>
        <w:gridCol w:w="1120"/>
        <w:gridCol w:w="1120"/>
        <w:gridCol w:w="1360"/>
      </w:tblGrid>
      <w:tr w:rsidR="00B214A5" w:rsidRPr="00B214A5" w14:paraId="738C69DE" w14:textId="77777777" w:rsidTr="001A3F3C">
        <w:trPr>
          <w:divId w:val="727413642"/>
          <w:trHeight w:val="855"/>
          <w:jc w:val="center"/>
        </w:trPr>
        <w:tc>
          <w:tcPr>
            <w:tcW w:w="2320" w:type="dxa"/>
            <w:tcBorders>
              <w:top w:val="nil"/>
              <w:left w:val="nil"/>
              <w:bottom w:val="nil"/>
              <w:right w:val="nil"/>
            </w:tcBorders>
            <w:shd w:val="clear" w:color="000000" w:fill="C7CFD8"/>
            <w:vAlign w:val="center"/>
            <w:hideMark/>
          </w:tcPr>
          <w:p w14:paraId="0D8FB0D8" w14:textId="30054FEF" w:rsidR="00B214A5" w:rsidRPr="00B214A5" w:rsidRDefault="00B214A5" w:rsidP="00B214A5">
            <w:pPr>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Fund-in-Trust (FIT)</w:t>
            </w:r>
          </w:p>
        </w:tc>
        <w:tc>
          <w:tcPr>
            <w:tcW w:w="1120" w:type="dxa"/>
            <w:tcBorders>
              <w:top w:val="nil"/>
              <w:left w:val="nil"/>
              <w:bottom w:val="nil"/>
              <w:right w:val="nil"/>
            </w:tcBorders>
            <w:shd w:val="clear" w:color="000000" w:fill="C7CFD8"/>
            <w:vAlign w:val="center"/>
            <w:hideMark/>
          </w:tcPr>
          <w:p w14:paraId="5C800A2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Balance as of December 31, 2022</w:t>
            </w:r>
          </w:p>
        </w:tc>
        <w:tc>
          <w:tcPr>
            <w:tcW w:w="1120" w:type="dxa"/>
            <w:tcBorders>
              <w:top w:val="nil"/>
              <w:left w:val="nil"/>
              <w:bottom w:val="nil"/>
              <w:right w:val="nil"/>
            </w:tcBorders>
            <w:shd w:val="clear" w:color="000000" w:fill="C7CFD8"/>
            <w:vAlign w:val="center"/>
            <w:hideMark/>
          </w:tcPr>
          <w:p w14:paraId="3713A45C" w14:textId="2BD89D40"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w:t>
            </w:r>
            <w:r w:rsidRPr="00B214A5">
              <w:rPr>
                <w:rFonts w:ascii="Arial Narrow" w:eastAsia="Times New Roman" w:hAnsi="Arial Narrow" w:cs="Times New Roman"/>
                <w:b/>
                <w:bCs/>
                <w:sz w:val="16"/>
                <w:szCs w:val="16"/>
                <w:lang w:val="en-US"/>
              </w:rPr>
              <w:br/>
              <w:t xml:space="preserve">2023 </w:t>
            </w:r>
          </w:p>
        </w:tc>
        <w:tc>
          <w:tcPr>
            <w:tcW w:w="1120" w:type="dxa"/>
            <w:tcBorders>
              <w:top w:val="nil"/>
              <w:left w:val="nil"/>
              <w:bottom w:val="nil"/>
              <w:right w:val="nil"/>
            </w:tcBorders>
            <w:shd w:val="clear" w:color="000000" w:fill="C7CFD8"/>
            <w:vAlign w:val="center"/>
            <w:hideMark/>
          </w:tcPr>
          <w:p w14:paraId="07953DDC" w14:textId="33AC9981"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expenditure end 2023 </w:t>
            </w:r>
          </w:p>
        </w:tc>
        <w:tc>
          <w:tcPr>
            <w:tcW w:w="1120" w:type="dxa"/>
            <w:tcBorders>
              <w:top w:val="nil"/>
              <w:left w:val="nil"/>
              <w:bottom w:val="nil"/>
              <w:right w:val="nil"/>
            </w:tcBorders>
            <w:shd w:val="clear" w:color="000000" w:fill="C7CFD8"/>
            <w:vAlign w:val="center"/>
            <w:hideMark/>
          </w:tcPr>
          <w:p w14:paraId="0372CBA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Expected balance end 2023 </w:t>
            </w:r>
          </w:p>
        </w:tc>
        <w:tc>
          <w:tcPr>
            <w:tcW w:w="1120" w:type="dxa"/>
            <w:tcBorders>
              <w:top w:val="nil"/>
              <w:left w:val="nil"/>
              <w:bottom w:val="nil"/>
              <w:right w:val="nil"/>
            </w:tcBorders>
            <w:shd w:val="clear" w:color="000000" w:fill="C7CFD8"/>
            <w:vAlign w:val="center"/>
            <w:hideMark/>
          </w:tcPr>
          <w:p w14:paraId="65FACDDB" w14:textId="22AB18DB"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2024/25 </w:t>
            </w:r>
          </w:p>
        </w:tc>
        <w:tc>
          <w:tcPr>
            <w:tcW w:w="1360" w:type="dxa"/>
            <w:tcBorders>
              <w:top w:val="nil"/>
              <w:left w:val="nil"/>
              <w:bottom w:val="nil"/>
              <w:right w:val="nil"/>
            </w:tcBorders>
            <w:shd w:val="clear" w:color="000000" w:fill="C7CFD8"/>
            <w:vAlign w:val="center"/>
            <w:hideMark/>
          </w:tcPr>
          <w:p w14:paraId="61B839C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Estimated amount available for programming in 2024/25 </w:t>
            </w:r>
          </w:p>
        </w:tc>
      </w:tr>
      <w:tr w:rsidR="00B214A5" w:rsidRPr="00B214A5" w14:paraId="77C91F92" w14:textId="77777777" w:rsidTr="001A3F3C">
        <w:trPr>
          <w:divId w:val="727413642"/>
          <w:trHeight w:val="60"/>
          <w:jc w:val="center"/>
        </w:trPr>
        <w:tc>
          <w:tcPr>
            <w:tcW w:w="2320" w:type="dxa"/>
            <w:tcBorders>
              <w:top w:val="nil"/>
              <w:left w:val="nil"/>
              <w:bottom w:val="nil"/>
              <w:right w:val="nil"/>
            </w:tcBorders>
            <w:shd w:val="clear" w:color="auto" w:fill="auto"/>
            <w:vAlign w:val="center"/>
            <w:hideMark/>
          </w:tcPr>
          <w:p w14:paraId="6CC651CC"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vAlign w:val="center"/>
            <w:hideMark/>
          </w:tcPr>
          <w:p w14:paraId="0F3CEB89" w14:textId="77777777" w:rsidR="00B214A5" w:rsidRPr="00B214A5" w:rsidRDefault="00B214A5" w:rsidP="00B214A5">
            <w:pPr>
              <w:spacing w:after="0" w:line="240" w:lineRule="auto"/>
              <w:jc w:val="center"/>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2F2493F4"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294CBF6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00586C87"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5B4825C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vAlign w:val="center"/>
            <w:hideMark/>
          </w:tcPr>
          <w:p w14:paraId="79DEEA2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077E12DB" w14:textId="77777777" w:rsidTr="001A3F3C">
        <w:trPr>
          <w:divId w:val="727413642"/>
          <w:trHeight w:val="285"/>
          <w:jc w:val="center"/>
        </w:trPr>
        <w:tc>
          <w:tcPr>
            <w:tcW w:w="2320" w:type="dxa"/>
            <w:tcBorders>
              <w:top w:val="nil"/>
              <w:left w:val="nil"/>
              <w:bottom w:val="nil"/>
              <w:right w:val="nil"/>
            </w:tcBorders>
            <w:shd w:val="clear" w:color="000000" w:fill="FFFFFF"/>
            <w:noWrap/>
            <w:hideMark/>
          </w:tcPr>
          <w:p w14:paraId="79CD22BD"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China</w:t>
            </w:r>
          </w:p>
        </w:tc>
        <w:tc>
          <w:tcPr>
            <w:tcW w:w="1120" w:type="dxa"/>
            <w:tcBorders>
              <w:top w:val="nil"/>
              <w:left w:val="nil"/>
              <w:bottom w:val="nil"/>
              <w:right w:val="nil"/>
            </w:tcBorders>
            <w:shd w:val="clear" w:color="000000" w:fill="FFFFFF"/>
            <w:noWrap/>
            <w:hideMark/>
          </w:tcPr>
          <w:p w14:paraId="4DBAB2D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557</w:t>
            </w:r>
          </w:p>
        </w:tc>
        <w:tc>
          <w:tcPr>
            <w:tcW w:w="1120" w:type="dxa"/>
            <w:tcBorders>
              <w:top w:val="nil"/>
              <w:left w:val="nil"/>
              <w:bottom w:val="nil"/>
              <w:right w:val="nil"/>
            </w:tcBorders>
            <w:shd w:val="clear" w:color="000000" w:fill="FFFFFF"/>
            <w:noWrap/>
            <w:hideMark/>
          </w:tcPr>
          <w:p w14:paraId="0E6C61B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279</w:t>
            </w:r>
          </w:p>
        </w:tc>
        <w:tc>
          <w:tcPr>
            <w:tcW w:w="1120" w:type="dxa"/>
            <w:tcBorders>
              <w:top w:val="nil"/>
              <w:left w:val="nil"/>
              <w:bottom w:val="nil"/>
              <w:right w:val="nil"/>
            </w:tcBorders>
            <w:shd w:val="clear" w:color="000000" w:fill="FFFFFF"/>
            <w:noWrap/>
            <w:hideMark/>
          </w:tcPr>
          <w:p w14:paraId="6EEC668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223</w:t>
            </w:r>
          </w:p>
        </w:tc>
        <w:tc>
          <w:tcPr>
            <w:tcW w:w="1120" w:type="dxa"/>
            <w:tcBorders>
              <w:top w:val="nil"/>
              <w:left w:val="nil"/>
              <w:bottom w:val="nil"/>
              <w:right w:val="nil"/>
            </w:tcBorders>
            <w:shd w:val="clear" w:color="000000" w:fill="FFFFFF"/>
            <w:noWrap/>
            <w:hideMark/>
          </w:tcPr>
          <w:p w14:paraId="7E25BE0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614</w:t>
            </w:r>
          </w:p>
        </w:tc>
        <w:tc>
          <w:tcPr>
            <w:tcW w:w="1120" w:type="dxa"/>
            <w:tcBorders>
              <w:top w:val="nil"/>
              <w:left w:val="nil"/>
              <w:bottom w:val="nil"/>
              <w:right w:val="nil"/>
            </w:tcBorders>
            <w:shd w:val="clear" w:color="000000" w:fill="FFFFFF"/>
            <w:noWrap/>
            <w:hideMark/>
          </w:tcPr>
          <w:p w14:paraId="08F7F7E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558</w:t>
            </w:r>
          </w:p>
        </w:tc>
        <w:tc>
          <w:tcPr>
            <w:tcW w:w="1360" w:type="dxa"/>
            <w:tcBorders>
              <w:top w:val="nil"/>
              <w:left w:val="nil"/>
              <w:bottom w:val="nil"/>
              <w:right w:val="nil"/>
            </w:tcBorders>
            <w:shd w:val="clear" w:color="000000" w:fill="FFFFFF"/>
            <w:noWrap/>
            <w:hideMark/>
          </w:tcPr>
          <w:p w14:paraId="2BEEE96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1,172</w:t>
            </w:r>
          </w:p>
        </w:tc>
      </w:tr>
      <w:tr w:rsidR="00B214A5" w:rsidRPr="00B214A5" w14:paraId="00A39C75" w14:textId="77777777" w:rsidTr="001A3F3C">
        <w:trPr>
          <w:divId w:val="727413642"/>
          <w:trHeight w:val="285"/>
          <w:jc w:val="center"/>
        </w:trPr>
        <w:tc>
          <w:tcPr>
            <w:tcW w:w="2320" w:type="dxa"/>
            <w:tcBorders>
              <w:top w:val="nil"/>
              <w:left w:val="nil"/>
              <w:bottom w:val="nil"/>
              <w:right w:val="nil"/>
            </w:tcBorders>
            <w:shd w:val="clear" w:color="000000" w:fill="FFFFFF"/>
            <w:noWrap/>
            <w:hideMark/>
          </w:tcPr>
          <w:p w14:paraId="0AA612A2"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China (HR)</w:t>
            </w:r>
          </w:p>
        </w:tc>
        <w:tc>
          <w:tcPr>
            <w:tcW w:w="1120" w:type="dxa"/>
            <w:tcBorders>
              <w:top w:val="nil"/>
              <w:left w:val="nil"/>
              <w:bottom w:val="nil"/>
              <w:right w:val="nil"/>
            </w:tcBorders>
            <w:shd w:val="clear" w:color="000000" w:fill="FFFFFF"/>
            <w:noWrap/>
            <w:hideMark/>
          </w:tcPr>
          <w:p w14:paraId="202597B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411</w:t>
            </w:r>
          </w:p>
        </w:tc>
        <w:tc>
          <w:tcPr>
            <w:tcW w:w="1120" w:type="dxa"/>
            <w:tcBorders>
              <w:top w:val="nil"/>
              <w:left w:val="nil"/>
              <w:bottom w:val="nil"/>
              <w:right w:val="nil"/>
            </w:tcBorders>
            <w:shd w:val="clear" w:color="000000" w:fill="FFFFFF"/>
            <w:noWrap/>
            <w:hideMark/>
          </w:tcPr>
          <w:p w14:paraId="5D3ADAB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833</w:t>
            </w:r>
          </w:p>
        </w:tc>
        <w:tc>
          <w:tcPr>
            <w:tcW w:w="1120" w:type="dxa"/>
            <w:tcBorders>
              <w:top w:val="nil"/>
              <w:left w:val="nil"/>
              <w:bottom w:val="nil"/>
              <w:right w:val="nil"/>
            </w:tcBorders>
            <w:shd w:val="clear" w:color="000000" w:fill="FFFFFF"/>
            <w:noWrap/>
            <w:hideMark/>
          </w:tcPr>
          <w:p w14:paraId="35E4988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567</w:t>
            </w:r>
          </w:p>
        </w:tc>
        <w:tc>
          <w:tcPr>
            <w:tcW w:w="1120" w:type="dxa"/>
            <w:tcBorders>
              <w:top w:val="nil"/>
              <w:left w:val="nil"/>
              <w:bottom w:val="nil"/>
              <w:right w:val="nil"/>
            </w:tcBorders>
            <w:shd w:val="clear" w:color="000000" w:fill="FFFFFF"/>
            <w:noWrap/>
            <w:hideMark/>
          </w:tcPr>
          <w:p w14:paraId="1DBB95C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676</w:t>
            </w:r>
          </w:p>
        </w:tc>
        <w:tc>
          <w:tcPr>
            <w:tcW w:w="1120" w:type="dxa"/>
            <w:tcBorders>
              <w:top w:val="nil"/>
              <w:left w:val="nil"/>
              <w:bottom w:val="nil"/>
              <w:right w:val="nil"/>
            </w:tcBorders>
            <w:shd w:val="clear" w:color="000000" w:fill="FFFFFF"/>
            <w:noWrap/>
            <w:hideMark/>
          </w:tcPr>
          <w:p w14:paraId="406D07D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1,665</w:t>
            </w:r>
          </w:p>
        </w:tc>
        <w:tc>
          <w:tcPr>
            <w:tcW w:w="1360" w:type="dxa"/>
            <w:tcBorders>
              <w:top w:val="nil"/>
              <w:left w:val="nil"/>
              <w:bottom w:val="nil"/>
              <w:right w:val="nil"/>
            </w:tcBorders>
            <w:shd w:val="clear" w:color="000000" w:fill="FFFFFF"/>
            <w:noWrap/>
            <w:hideMark/>
          </w:tcPr>
          <w:p w14:paraId="31D2D78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2,342</w:t>
            </w:r>
          </w:p>
        </w:tc>
      </w:tr>
      <w:tr w:rsidR="00B214A5" w:rsidRPr="00B214A5" w14:paraId="7D2FFF95" w14:textId="77777777" w:rsidTr="001A3F3C">
        <w:trPr>
          <w:divId w:val="727413642"/>
          <w:trHeight w:val="300"/>
          <w:jc w:val="center"/>
        </w:trPr>
        <w:tc>
          <w:tcPr>
            <w:tcW w:w="2320" w:type="dxa"/>
            <w:tcBorders>
              <w:top w:val="single" w:sz="4" w:space="0" w:color="BFBFBF"/>
              <w:left w:val="nil"/>
              <w:bottom w:val="single" w:sz="4" w:space="0" w:color="BFBFBF"/>
              <w:right w:val="nil"/>
            </w:tcBorders>
            <w:shd w:val="clear" w:color="000000" w:fill="FFFFFF"/>
            <w:vAlign w:val="center"/>
            <w:hideMark/>
          </w:tcPr>
          <w:p w14:paraId="1FB5E762" w14:textId="77777777" w:rsidR="00B214A5" w:rsidRPr="00B214A5" w:rsidRDefault="00B214A5" w:rsidP="00B214A5">
            <w:pPr>
              <w:spacing w:after="0" w:line="240" w:lineRule="auto"/>
              <w:ind w:firstLineChars="200" w:firstLine="320"/>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w:t>
            </w:r>
          </w:p>
        </w:tc>
        <w:tc>
          <w:tcPr>
            <w:tcW w:w="1120" w:type="dxa"/>
            <w:tcBorders>
              <w:top w:val="single" w:sz="4" w:space="0" w:color="BFBFBF"/>
              <w:left w:val="nil"/>
              <w:bottom w:val="single" w:sz="4" w:space="0" w:color="BFBFBF"/>
              <w:right w:val="nil"/>
            </w:tcBorders>
            <w:shd w:val="clear" w:color="000000" w:fill="FFFFFF"/>
            <w:vAlign w:val="center"/>
            <w:hideMark/>
          </w:tcPr>
          <w:p w14:paraId="207A5AE5"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968</w:t>
            </w:r>
          </w:p>
        </w:tc>
        <w:tc>
          <w:tcPr>
            <w:tcW w:w="1120" w:type="dxa"/>
            <w:tcBorders>
              <w:top w:val="single" w:sz="4" w:space="0" w:color="BFBFBF"/>
              <w:left w:val="nil"/>
              <w:bottom w:val="single" w:sz="4" w:space="0" w:color="BFBFBF"/>
              <w:right w:val="nil"/>
            </w:tcBorders>
            <w:shd w:val="clear" w:color="000000" w:fill="FFFFFF"/>
            <w:vAlign w:val="center"/>
            <w:hideMark/>
          </w:tcPr>
          <w:p w14:paraId="10FDBC5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1,112</w:t>
            </w:r>
          </w:p>
        </w:tc>
        <w:tc>
          <w:tcPr>
            <w:tcW w:w="1120" w:type="dxa"/>
            <w:tcBorders>
              <w:top w:val="single" w:sz="4" w:space="0" w:color="BFBFBF"/>
              <w:left w:val="nil"/>
              <w:bottom w:val="single" w:sz="4" w:space="0" w:color="BFBFBF"/>
              <w:right w:val="nil"/>
            </w:tcBorders>
            <w:shd w:val="clear" w:color="000000" w:fill="FFFFFF"/>
            <w:vAlign w:val="center"/>
            <w:hideMark/>
          </w:tcPr>
          <w:p w14:paraId="712E9607"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789</w:t>
            </w:r>
          </w:p>
        </w:tc>
        <w:tc>
          <w:tcPr>
            <w:tcW w:w="1120" w:type="dxa"/>
            <w:tcBorders>
              <w:top w:val="single" w:sz="4" w:space="0" w:color="BFBFBF"/>
              <w:left w:val="nil"/>
              <w:bottom w:val="single" w:sz="4" w:space="0" w:color="BFBFBF"/>
              <w:right w:val="nil"/>
            </w:tcBorders>
            <w:shd w:val="clear" w:color="000000" w:fill="FFFFFF"/>
            <w:vAlign w:val="center"/>
            <w:hideMark/>
          </w:tcPr>
          <w:p w14:paraId="233E72E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1,290</w:t>
            </w:r>
          </w:p>
        </w:tc>
        <w:tc>
          <w:tcPr>
            <w:tcW w:w="1120" w:type="dxa"/>
            <w:tcBorders>
              <w:top w:val="single" w:sz="4" w:space="0" w:color="BFBFBF"/>
              <w:left w:val="nil"/>
              <w:bottom w:val="single" w:sz="4" w:space="0" w:color="BFBFBF"/>
              <w:right w:val="nil"/>
            </w:tcBorders>
            <w:shd w:val="clear" w:color="000000" w:fill="FFFFFF"/>
            <w:vAlign w:val="center"/>
            <w:hideMark/>
          </w:tcPr>
          <w:p w14:paraId="2DCA0C5D"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2,223</w:t>
            </w:r>
          </w:p>
        </w:tc>
        <w:tc>
          <w:tcPr>
            <w:tcW w:w="1360" w:type="dxa"/>
            <w:tcBorders>
              <w:top w:val="single" w:sz="4" w:space="0" w:color="BFBFBF"/>
              <w:left w:val="nil"/>
              <w:bottom w:val="single" w:sz="4" w:space="0" w:color="BFBFBF"/>
              <w:right w:val="nil"/>
            </w:tcBorders>
            <w:shd w:val="clear" w:color="000000" w:fill="FFFFFF"/>
            <w:vAlign w:val="center"/>
            <w:hideMark/>
          </w:tcPr>
          <w:p w14:paraId="3B49117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3,514</w:t>
            </w:r>
          </w:p>
        </w:tc>
      </w:tr>
      <w:tr w:rsidR="00B214A5" w:rsidRPr="00B214A5" w14:paraId="1587D45A" w14:textId="77777777" w:rsidTr="001A3F3C">
        <w:trPr>
          <w:divId w:val="727413642"/>
          <w:trHeight w:val="75"/>
          <w:jc w:val="center"/>
        </w:trPr>
        <w:tc>
          <w:tcPr>
            <w:tcW w:w="2320" w:type="dxa"/>
            <w:tcBorders>
              <w:top w:val="nil"/>
              <w:left w:val="nil"/>
              <w:bottom w:val="nil"/>
              <w:right w:val="nil"/>
            </w:tcBorders>
            <w:shd w:val="clear" w:color="auto" w:fill="auto"/>
            <w:noWrap/>
            <w:vAlign w:val="bottom"/>
            <w:hideMark/>
          </w:tcPr>
          <w:p w14:paraId="356CF2E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noWrap/>
            <w:vAlign w:val="bottom"/>
            <w:hideMark/>
          </w:tcPr>
          <w:p w14:paraId="2FAFB12F"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022D181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1700FC4D"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1BDBCB54"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5A14063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4D3F6EB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r w:rsidR="00B214A5" w:rsidRPr="00B214A5" w14:paraId="33CEB76A" w14:textId="77777777" w:rsidTr="001A3F3C">
        <w:trPr>
          <w:divId w:val="727413642"/>
          <w:trHeight w:val="300"/>
          <w:jc w:val="center"/>
        </w:trPr>
        <w:tc>
          <w:tcPr>
            <w:tcW w:w="9280" w:type="dxa"/>
            <w:gridSpan w:val="7"/>
            <w:tcBorders>
              <w:top w:val="nil"/>
              <w:left w:val="nil"/>
              <w:bottom w:val="nil"/>
              <w:right w:val="nil"/>
            </w:tcBorders>
            <w:shd w:val="clear" w:color="auto" w:fill="auto"/>
          </w:tcPr>
          <w:p w14:paraId="16EA4110" w14:textId="3B241596" w:rsidR="00B214A5" w:rsidRPr="00B214A5" w:rsidRDefault="00B214A5" w:rsidP="00974F71">
            <w:pPr>
              <w:spacing w:after="0" w:line="240" w:lineRule="auto"/>
              <w:rPr>
                <w:rFonts w:ascii="Arial Narrow" w:eastAsia="Times New Roman" w:hAnsi="Arial Narrow" w:cs="Times New Roman"/>
                <w:sz w:val="16"/>
                <w:szCs w:val="16"/>
                <w:lang w:val="en-US"/>
              </w:rPr>
            </w:pPr>
          </w:p>
        </w:tc>
      </w:tr>
      <w:tr w:rsidR="00B214A5" w:rsidRPr="00B214A5" w14:paraId="090C8357" w14:textId="77777777" w:rsidTr="001A3F3C">
        <w:trPr>
          <w:divId w:val="727413642"/>
          <w:trHeight w:val="450"/>
          <w:jc w:val="center"/>
        </w:trPr>
        <w:tc>
          <w:tcPr>
            <w:tcW w:w="9280" w:type="dxa"/>
            <w:gridSpan w:val="7"/>
            <w:tcBorders>
              <w:top w:val="nil"/>
              <w:left w:val="nil"/>
              <w:bottom w:val="nil"/>
              <w:right w:val="nil"/>
            </w:tcBorders>
            <w:shd w:val="clear" w:color="auto" w:fill="auto"/>
          </w:tcPr>
          <w:p w14:paraId="1C5F249E" w14:textId="333ECDD2" w:rsidR="00B214A5" w:rsidRPr="00B214A5" w:rsidRDefault="00B214A5" w:rsidP="00B214A5">
            <w:pPr>
              <w:spacing w:after="0" w:line="240" w:lineRule="auto"/>
              <w:rPr>
                <w:rFonts w:ascii="Arial Narrow" w:eastAsia="Times New Roman" w:hAnsi="Arial Narrow" w:cs="Times New Roman"/>
                <w:sz w:val="16"/>
                <w:szCs w:val="16"/>
                <w:lang w:val="en-US"/>
              </w:rPr>
            </w:pPr>
          </w:p>
        </w:tc>
      </w:tr>
      <w:tr w:rsidR="00B214A5" w:rsidRPr="00B214A5" w14:paraId="49111953" w14:textId="77777777" w:rsidTr="001A3F3C">
        <w:trPr>
          <w:divId w:val="727413642"/>
          <w:trHeight w:val="300"/>
          <w:jc w:val="center"/>
        </w:trPr>
        <w:tc>
          <w:tcPr>
            <w:tcW w:w="5680" w:type="dxa"/>
            <w:gridSpan w:val="4"/>
            <w:tcBorders>
              <w:top w:val="nil"/>
              <w:left w:val="nil"/>
              <w:bottom w:val="nil"/>
              <w:right w:val="nil"/>
            </w:tcBorders>
            <w:shd w:val="clear" w:color="auto" w:fill="auto"/>
            <w:noWrap/>
          </w:tcPr>
          <w:p w14:paraId="40174E16" w14:textId="725CFD9C" w:rsidR="00B214A5" w:rsidRPr="00B214A5" w:rsidRDefault="00B214A5" w:rsidP="00B214A5">
            <w:pPr>
              <w:spacing w:after="0" w:line="240" w:lineRule="auto"/>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bottom"/>
            <w:hideMark/>
          </w:tcPr>
          <w:p w14:paraId="591B85A5" w14:textId="77777777" w:rsidR="00B214A5" w:rsidRPr="00B214A5" w:rsidRDefault="00B214A5" w:rsidP="00B214A5">
            <w:pPr>
              <w:spacing w:after="0" w:line="240" w:lineRule="auto"/>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noWrap/>
            <w:vAlign w:val="bottom"/>
            <w:hideMark/>
          </w:tcPr>
          <w:p w14:paraId="0FE2FB1D"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11C837C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bl>
    <w:p w14:paraId="46A2DCF8" w14:textId="4371BDF7" w:rsidR="00140D97" w:rsidRDefault="00140D97">
      <w:pPr>
        <w:spacing w:after="200" w:line="276" w:lineRule="auto"/>
        <w:rPr>
          <w:lang w:val="en-US"/>
        </w:rPr>
      </w:pPr>
    </w:p>
    <w:p w14:paraId="29F461E9" w14:textId="5B22D3B6" w:rsidR="0055134D" w:rsidRPr="00611CC3" w:rsidRDefault="00792A58">
      <w:pPr>
        <w:spacing w:after="200" w:line="276" w:lineRule="auto"/>
        <w:rPr>
          <w:lang w:val="en-US"/>
        </w:rPr>
      </w:pPr>
      <w:r>
        <w:rPr>
          <w:lang w:val="en-US"/>
        </w:rPr>
        <w:br w:type="page"/>
      </w:r>
    </w:p>
    <w:p w14:paraId="0E3942DF" w14:textId="19F76A69" w:rsidR="005B18FB" w:rsidRPr="00D350B5" w:rsidRDefault="003F4607" w:rsidP="005320C7">
      <w:pPr>
        <w:pStyle w:val="SectorTitle"/>
      </w:pPr>
      <w:bookmarkStart w:id="25" w:name="_Toc131175985"/>
      <w:r w:rsidRPr="00D350B5">
        <w:lastRenderedPageBreak/>
        <w:t xml:space="preserve">Copyright and </w:t>
      </w:r>
      <w:r w:rsidR="008C0096">
        <w:t>Creative Industries</w:t>
      </w:r>
      <w:bookmarkEnd w:id="25"/>
    </w:p>
    <w:p w14:paraId="1BB7283D" w14:textId="25B5F923" w:rsidR="006C54DA" w:rsidRPr="00D56626" w:rsidRDefault="00192178" w:rsidP="00D56626">
      <w:pPr>
        <w:tabs>
          <w:tab w:val="left" w:pos="2715"/>
        </w:tabs>
        <w:rPr>
          <w:lang w:val="en-US"/>
        </w:rPr>
      </w:pPr>
      <w:r>
        <w:rPr>
          <w:noProof/>
          <w:lang w:val="en-US"/>
        </w:rPr>
        <w:drawing>
          <wp:inline distT="0" distB="0" distL="0" distR="0" wp14:anchorId="6C98C8F3" wp14:editId="5A3FCEDE">
            <wp:extent cx="1097280" cy="36576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365760"/>
                    </a:xfrm>
                    <a:prstGeom prst="rect">
                      <a:avLst/>
                    </a:prstGeom>
                    <a:noFill/>
                  </pic:spPr>
                </pic:pic>
              </a:graphicData>
            </a:graphic>
          </wp:inline>
        </w:drawing>
      </w:r>
      <w:r w:rsidR="005B18FB" w:rsidRPr="00D350B5">
        <w:rPr>
          <w:lang w:val="en-US"/>
        </w:rPr>
        <w:tab/>
      </w:r>
    </w:p>
    <w:p w14:paraId="184DE8CF" w14:textId="77777777" w:rsidR="00D56626" w:rsidRPr="00D95649" w:rsidRDefault="00D56626" w:rsidP="00D56626">
      <w:pPr>
        <w:pStyle w:val="Heading1NoNumb"/>
        <w:rPr>
          <w:rFonts w:cs="Arial"/>
          <w:szCs w:val="32"/>
          <w:lang w:val="en-US"/>
        </w:rPr>
      </w:pPr>
      <w:r w:rsidRPr="00D95649">
        <w:rPr>
          <w:rFonts w:cs="Arial"/>
          <w:szCs w:val="32"/>
          <w:lang w:val="en-US"/>
        </w:rPr>
        <w:t>Implementation Strategies</w:t>
      </w:r>
    </w:p>
    <w:p w14:paraId="7FE90C0F" w14:textId="2569DE74" w:rsidR="00D56626" w:rsidRPr="00D95649" w:rsidRDefault="00D56626" w:rsidP="00D56626">
      <w:pPr>
        <w:tabs>
          <w:tab w:val="left" w:pos="8188"/>
        </w:tabs>
        <w:rPr>
          <w:rFonts w:cs="Arial"/>
          <w:szCs w:val="18"/>
        </w:rPr>
      </w:pPr>
      <w:r>
        <w:rPr>
          <w:rFonts w:cs="Arial"/>
          <w:noProof/>
          <w:szCs w:val="18"/>
          <w:lang w:val="en-US"/>
        </w:rPr>
        <w:drawing>
          <wp:anchor distT="0" distB="0" distL="114300" distR="114300" simplePos="0" relativeHeight="251823616" behindDoc="0" locked="0" layoutInCell="1" allowOverlap="1" wp14:anchorId="747263F1" wp14:editId="63710444">
            <wp:simplePos x="0" y="0"/>
            <wp:positionH relativeFrom="margin">
              <wp:align>right</wp:align>
            </wp:positionH>
            <wp:positionV relativeFrom="paragraph">
              <wp:posOffset>5937</wp:posOffset>
            </wp:positionV>
            <wp:extent cx="1439959" cy="2286000"/>
            <wp:effectExtent l="0" t="0" r="8255" b="0"/>
            <wp:wrapSquare wrapText="bothSides"/>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39959" cy="2286000"/>
                    </a:xfrm>
                    <a:prstGeom prst="rect">
                      <a:avLst/>
                    </a:prstGeom>
                    <a:noFill/>
                  </pic:spPr>
                </pic:pic>
              </a:graphicData>
            </a:graphic>
          </wp:anchor>
        </w:drawing>
      </w:r>
      <w:r w:rsidRPr="00D95649">
        <w:rPr>
          <w:rFonts w:cs="Arial"/>
          <w:szCs w:val="18"/>
        </w:rPr>
        <w:t xml:space="preserve">The creative economy has firmly established itself as an essential component of sustainable development. </w:t>
      </w:r>
      <w:r>
        <w:rPr>
          <w:rFonts w:cs="Arial"/>
          <w:szCs w:val="18"/>
        </w:rPr>
        <w:t xml:space="preserve"> </w:t>
      </w:r>
      <w:r w:rsidRPr="00D95649">
        <w:rPr>
          <w:rFonts w:cs="Arial"/>
          <w:szCs w:val="18"/>
        </w:rPr>
        <w:t>Increasingly</w:t>
      </w:r>
      <w:r w:rsidR="00974F71">
        <w:rPr>
          <w:rFonts w:cs="Arial"/>
          <w:szCs w:val="18"/>
        </w:rPr>
        <w:t>,</w:t>
      </w:r>
      <w:r w:rsidRPr="00D95649">
        <w:rPr>
          <w:rFonts w:cs="Arial"/>
          <w:szCs w:val="18"/>
        </w:rPr>
        <w:t xml:space="preserve"> countries are adopting growth models based on creativity. </w:t>
      </w:r>
      <w:r>
        <w:rPr>
          <w:rFonts w:cs="Arial"/>
          <w:szCs w:val="18"/>
        </w:rPr>
        <w:t xml:space="preserve"> </w:t>
      </w:r>
      <w:r w:rsidRPr="00D95649">
        <w:rPr>
          <w:rFonts w:cs="Arial"/>
          <w:szCs w:val="18"/>
        </w:rPr>
        <w:t xml:space="preserve">Copyright and related rights remain a key mechanism for monetizing creativity and ensuring fair allocation of revenues to stakeholders in the value chain, especially in view of the increasing digitalization of this industry. </w:t>
      </w:r>
      <w:r>
        <w:rPr>
          <w:rFonts w:cs="Arial"/>
          <w:szCs w:val="18"/>
        </w:rPr>
        <w:t xml:space="preserve"> </w:t>
      </w:r>
      <w:r w:rsidRPr="00D95649">
        <w:rPr>
          <w:rFonts w:cs="Arial"/>
          <w:szCs w:val="18"/>
        </w:rPr>
        <w:t>WIPO supported research indicates that the creative ind</w:t>
      </w:r>
      <w:r w:rsidR="004150FE">
        <w:rPr>
          <w:rFonts w:cs="Arial"/>
          <w:szCs w:val="18"/>
        </w:rPr>
        <w:t>ustries generate globally 5.54 per cent</w:t>
      </w:r>
      <w:r w:rsidRPr="00D95649">
        <w:rPr>
          <w:rFonts w:cs="Arial"/>
          <w:szCs w:val="18"/>
        </w:rPr>
        <w:t xml:space="preserve"> of the GDP and 5.87</w:t>
      </w:r>
      <w:r w:rsidR="004150FE">
        <w:rPr>
          <w:rFonts w:cs="Arial"/>
          <w:szCs w:val="18"/>
        </w:rPr>
        <w:t xml:space="preserve"> per cent</w:t>
      </w:r>
      <w:r w:rsidRPr="00D95649">
        <w:rPr>
          <w:rFonts w:cs="Arial"/>
          <w:szCs w:val="18"/>
        </w:rPr>
        <w:t xml:space="preserve"> of employment. </w:t>
      </w:r>
      <w:r>
        <w:rPr>
          <w:rFonts w:cs="Arial"/>
          <w:szCs w:val="18"/>
        </w:rPr>
        <w:t xml:space="preserve"> </w:t>
      </w:r>
      <w:r w:rsidRPr="00D95649">
        <w:rPr>
          <w:rFonts w:cs="Arial"/>
          <w:szCs w:val="18"/>
        </w:rPr>
        <w:t>They are positively correlated with competitiveness, capacity to innovate, government effectiveness, promotion of soft-power</w:t>
      </w:r>
      <w:r w:rsidR="0026419C">
        <w:rPr>
          <w:rFonts w:cs="Arial"/>
          <w:szCs w:val="18"/>
        </w:rPr>
        <w:t>,</w:t>
      </w:r>
      <w:r w:rsidRPr="00D95649">
        <w:rPr>
          <w:rFonts w:cs="Arial"/>
          <w:szCs w:val="18"/>
        </w:rPr>
        <w:t xml:space="preserve"> and real GDP growth. </w:t>
      </w:r>
      <w:r>
        <w:rPr>
          <w:rFonts w:cs="Arial"/>
          <w:szCs w:val="18"/>
        </w:rPr>
        <w:t xml:space="preserve"> </w:t>
      </w:r>
      <w:r w:rsidRPr="00D95649">
        <w:rPr>
          <w:rFonts w:cs="Arial"/>
          <w:szCs w:val="18"/>
        </w:rPr>
        <w:t>In order for the creative industries to perform better in the digital environment they need to be supported by a sound and balanced copyright framework and adequate policies, which will ensure the growth of creative output and diversity as well as contribute to economic, social and cultural development.</w:t>
      </w:r>
    </w:p>
    <w:p w14:paraId="2A80AADD" w14:textId="77777777" w:rsidR="00D56626" w:rsidRPr="00D95649" w:rsidRDefault="00D56626" w:rsidP="00D56626">
      <w:pPr>
        <w:tabs>
          <w:tab w:val="left" w:pos="8188"/>
        </w:tabs>
        <w:rPr>
          <w:rFonts w:cs="Arial"/>
          <w:szCs w:val="18"/>
        </w:rPr>
      </w:pPr>
      <w:r w:rsidRPr="00D95649">
        <w:rPr>
          <w:rFonts w:cs="Arial"/>
          <w:szCs w:val="18"/>
        </w:rPr>
        <w:t xml:space="preserve">Within this context, the Copyright and Creative Industries Sector is responsible for several key aspects of WIPO’s work.  </w:t>
      </w:r>
    </w:p>
    <w:p w14:paraId="2527AD3D" w14:textId="77777777" w:rsidR="00D56626" w:rsidRPr="00D95649" w:rsidRDefault="00D56626" w:rsidP="00D56626">
      <w:pPr>
        <w:rPr>
          <w:rFonts w:cs="Arial"/>
          <w:szCs w:val="18"/>
        </w:rPr>
      </w:pPr>
      <w:r w:rsidRPr="00D95649">
        <w:rPr>
          <w:rFonts w:cs="Arial"/>
          <w:szCs w:val="18"/>
        </w:rPr>
        <w:t>First, it contributes to the development of balanced and effective international normative frameworks for copyright and related rights under Strategic Pillar 2 of the MTSP.  It facilitates international cooperation under the WIPO copyright and related rights treaties, in particular the Internet Treaties – The WIPO Copyright Treaty (WCT) and the WIPO Performances and Phonograms Treaty (WPPT) – the Beijing Treaty, and the Marrakesh Treaty, and supports the work of the Standing Committee on Copyright and Related Rights (SCCR).  As part of this work it brings Member States, creators, and copyright stakeholders everywhere together to discuss the future of the global copyright ecosystem.</w:t>
      </w:r>
    </w:p>
    <w:p w14:paraId="7E2DC58A" w14:textId="77777777" w:rsidR="00D56626" w:rsidRPr="00D95649" w:rsidRDefault="00D56626" w:rsidP="00D56626">
      <w:pPr>
        <w:rPr>
          <w:rFonts w:cs="Arial"/>
          <w:szCs w:val="18"/>
        </w:rPr>
      </w:pPr>
      <w:r w:rsidRPr="00D95649">
        <w:rPr>
          <w:rFonts w:cs="Arial"/>
          <w:szCs w:val="18"/>
        </w:rPr>
        <w:t xml:space="preserve">Second, in line with Strategic Pillar 4 of the MTSP the Sector fosters the development of viable creative ecosystems in Member States by providing policy, legislative, regulatory, infrastructure and management advice to WIPO Member States and national copyright authorities.  It supports the use of copyright and related rights as a tool for growth and sustainable development, encouraging enhanced copyright and related rights knowledge and skills in all Member States, with training and capacity building tailored to developing countries and LDCs.  It encourages youth and women, creative start-ups and SMEs, cultural heritage and educational and research institutions, athletes, and communities to leverage copyright and related rights, including through its support of collective management organizations (CMOs) and persons with print disabilities.  </w:t>
      </w:r>
    </w:p>
    <w:p w14:paraId="3D002ACE" w14:textId="4C8038C7" w:rsidR="00D56626" w:rsidRPr="00D95649" w:rsidRDefault="00D56626" w:rsidP="00D56626">
      <w:pPr>
        <w:rPr>
          <w:rFonts w:cs="Arial"/>
          <w:szCs w:val="18"/>
        </w:rPr>
      </w:pPr>
      <w:r w:rsidRPr="00D95649">
        <w:rPr>
          <w:rFonts w:cs="Arial"/>
          <w:szCs w:val="18"/>
        </w:rPr>
        <w:t xml:space="preserve">Third, the Sector supports </w:t>
      </w:r>
      <w:r w:rsidR="004150FE">
        <w:rPr>
          <w:rFonts w:cs="Arial"/>
          <w:szCs w:val="18"/>
        </w:rPr>
        <w:t>Expected Result</w:t>
      </w:r>
      <w:r w:rsidRPr="00D95649">
        <w:rPr>
          <w:rFonts w:cs="Arial"/>
          <w:szCs w:val="18"/>
        </w:rPr>
        <w:t xml:space="preserve"> 1.1 of the MTSP by reaching out worldwide to explain the potential for IP to improve the lives of everyone, everywhere, and will use more effective communication and engagement to raise awareness of and increase knowledge about this potential, including through the WIPO website and WIPO publications, search engine optimization and search engine advertising.  This outreach is also supported by the expanded WIPO Global Awards Program, including the recently established WIPO Global IP Awards.</w:t>
      </w:r>
    </w:p>
    <w:p w14:paraId="4A76FB6D" w14:textId="77777777" w:rsidR="00D56626" w:rsidRPr="00CE7001" w:rsidRDefault="00D56626"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Copyright Law </w:t>
      </w:r>
    </w:p>
    <w:p w14:paraId="51984F3A" w14:textId="77777777" w:rsidR="00D56626" w:rsidRPr="00D95649" w:rsidRDefault="00D56626" w:rsidP="00D56626">
      <w:pPr>
        <w:rPr>
          <w:rFonts w:cs="Arial"/>
          <w:szCs w:val="18"/>
          <w:lang w:val="en-US"/>
        </w:rPr>
      </w:pPr>
      <w:r w:rsidRPr="00D95649">
        <w:rPr>
          <w:rFonts w:cs="Arial"/>
          <w:szCs w:val="18"/>
        </w:rPr>
        <w:t>The Copyright Law area leads the Organization’s substantive work to shape the global copyright and related rights ecosystem by supporting Member States in joining WIPO copyright and related rights treaties, through updating their copyright laws as well as their legal and policy frameworks to facilitate full participation in the global creative marketplace.  Specific initiatives in the next biennium include:</w:t>
      </w:r>
    </w:p>
    <w:p w14:paraId="5B243A9C" w14:textId="77F78630"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Facilitating discussions in the SCCR on substantive agenda items and copyright-related emerging issues</w:t>
      </w:r>
      <w:r w:rsidR="00E647AE">
        <w:rPr>
          <w:rFonts w:ascii="Arial" w:hAnsi="Arial"/>
          <w:sz w:val="18"/>
          <w:szCs w:val="18"/>
        </w:rPr>
        <w:t xml:space="preserve">, </w:t>
      </w:r>
      <w:r w:rsidR="00E647AE" w:rsidRPr="006D2FC9">
        <w:rPr>
          <w:rFonts w:ascii="Arial" w:hAnsi="Arial"/>
          <w:sz w:val="18"/>
          <w:szCs w:val="18"/>
        </w:rPr>
        <w:t>including exceptions and limitations</w:t>
      </w:r>
      <w:r w:rsidRPr="00D95649">
        <w:rPr>
          <w:rFonts w:ascii="Arial" w:hAnsi="Arial"/>
          <w:sz w:val="18"/>
          <w:szCs w:val="18"/>
        </w:rPr>
        <w:t xml:space="preserve"> as per the SCCR agenda;</w:t>
      </w:r>
    </w:p>
    <w:p w14:paraId="17E96B02" w14:textId="77777777" w:rsidR="00D56626" w:rsidRPr="00D95649" w:rsidRDefault="00D56626" w:rsidP="00D56626">
      <w:pPr>
        <w:pStyle w:val="ListParagraph"/>
        <w:contextualSpacing w:val="0"/>
        <w:rPr>
          <w:rFonts w:ascii="Arial" w:hAnsi="Arial"/>
          <w:sz w:val="18"/>
          <w:szCs w:val="18"/>
        </w:rPr>
      </w:pPr>
    </w:p>
    <w:p w14:paraId="70BAFAA0"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Supporting Member States regarding joining and implementing copyright treaties, in particular the Internet Treaties – the WCT and WPPT – the Beijing Treaty, and the Marrakesh Treaty;</w:t>
      </w:r>
    </w:p>
    <w:p w14:paraId="502DB03B" w14:textId="77777777" w:rsidR="00D56626" w:rsidRPr="00D95649" w:rsidRDefault="00D56626" w:rsidP="00D56626">
      <w:pPr>
        <w:pStyle w:val="ListParagraph"/>
        <w:rPr>
          <w:rFonts w:ascii="Arial" w:hAnsi="Arial"/>
          <w:sz w:val="18"/>
          <w:szCs w:val="18"/>
        </w:rPr>
      </w:pPr>
    </w:p>
    <w:p w14:paraId="03CE94B0"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Facilitating the most constructive ways to make the SCCR not just a forum for norm-setting discussions, but also a venue for addressing non-binding/soft law solutions;</w:t>
      </w:r>
    </w:p>
    <w:p w14:paraId="272AE1D5" w14:textId="77777777" w:rsidR="00D56626" w:rsidRPr="00D95649" w:rsidRDefault="00D56626" w:rsidP="00D56626">
      <w:pPr>
        <w:pStyle w:val="ListParagraph"/>
        <w:rPr>
          <w:rFonts w:ascii="Arial" w:hAnsi="Arial"/>
          <w:sz w:val="18"/>
          <w:szCs w:val="18"/>
        </w:rPr>
      </w:pPr>
    </w:p>
    <w:p w14:paraId="33265D34" w14:textId="6CB20A7B"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lastRenderedPageBreak/>
        <w:t xml:space="preserve">Providing legislative advice to Member States to update and adopt balanced and effective national laws consistent with WIPO copyright and related </w:t>
      </w:r>
      <w:r w:rsidRPr="006D2FC9">
        <w:rPr>
          <w:rFonts w:ascii="Arial" w:hAnsi="Arial"/>
          <w:sz w:val="18"/>
          <w:szCs w:val="18"/>
        </w:rPr>
        <w:t>rights treaties</w:t>
      </w:r>
      <w:r w:rsidR="00E647AE" w:rsidRPr="006D2FC9">
        <w:rPr>
          <w:rFonts w:ascii="Arial" w:hAnsi="Arial"/>
          <w:sz w:val="18"/>
          <w:szCs w:val="18"/>
        </w:rPr>
        <w:t xml:space="preserve"> and exceptions and limitations</w:t>
      </w:r>
      <w:r w:rsidRPr="005D7F78">
        <w:rPr>
          <w:rFonts w:ascii="Arial" w:hAnsi="Arial"/>
          <w:sz w:val="18"/>
          <w:szCs w:val="18"/>
        </w:rPr>
        <w:t>;</w:t>
      </w:r>
    </w:p>
    <w:p w14:paraId="61D26FE7" w14:textId="77777777" w:rsidR="00D56626" w:rsidRPr="00D95649" w:rsidRDefault="00D56626" w:rsidP="00D56626">
      <w:pPr>
        <w:pStyle w:val="ListParagraph"/>
        <w:rPr>
          <w:rFonts w:ascii="Arial" w:hAnsi="Arial"/>
          <w:sz w:val="18"/>
          <w:szCs w:val="18"/>
        </w:rPr>
      </w:pPr>
    </w:p>
    <w:p w14:paraId="611BCCDA"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Developing toolkits to facilitate the work of cultural as well as educational and research institutions, and to support their digital and cross-border activities.</w:t>
      </w:r>
    </w:p>
    <w:p w14:paraId="028EC288" w14:textId="77777777" w:rsidR="00D56626" w:rsidRPr="00CE7001" w:rsidRDefault="00D56626"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Copyright Development </w:t>
      </w:r>
    </w:p>
    <w:p w14:paraId="39C98E22" w14:textId="77777777" w:rsidR="00D56626" w:rsidRPr="00D95649" w:rsidRDefault="00D56626" w:rsidP="00D56626">
      <w:pPr>
        <w:rPr>
          <w:rFonts w:cs="Arial"/>
          <w:szCs w:val="18"/>
          <w:lang w:val="en-US"/>
        </w:rPr>
      </w:pPr>
      <w:r w:rsidRPr="00D95649">
        <w:rPr>
          <w:rFonts w:cs="Arial"/>
          <w:szCs w:val="18"/>
        </w:rPr>
        <w:t>The Copyright Development area of work supports the participation of developing countries and LDCs in the copyright ecosystem to derive greater economic value from their cultural and other creative works and industries.  It does this by providing technical, legal and policy related capacity building and skills development, at the national, regional and inter-regional levels, including through projects financed by donors through Funds-in-Trust arrangements.  Some of the specific initiatives in the next biennium will include:</w:t>
      </w:r>
    </w:p>
    <w:p w14:paraId="045E8713" w14:textId="77777777" w:rsidR="00D56626"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Assisting national copyright offices and other competent public institutions in copyright related strategic planning and policymaking, as well as in their implementation of these strategies and policies, with the aim of supporting Member States in making more effective use of the copyright ecosystem to achieve their goals for sustainable development;</w:t>
      </w:r>
    </w:p>
    <w:p w14:paraId="39708A6B" w14:textId="77777777" w:rsidR="00D56626" w:rsidRPr="00D95649" w:rsidRDefault="00D56626" w:rsidP="00D56626">
      <w:pPr>
        <w:pStyle w:val="ListParagraph"/>
        <w:contextualSpacing w:val="0"/>
        <w:rPr>
          <w:rFonts w:ascii="Arial" w:hAnsi="Arial"/>
          <w:sz w:val="18"/>
          <w:szCs w:val="18"/>
        </w:rPr>
      </w:pPr>
    </w:p>
    <w:p w14:paraId="2D7AEC49"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In addition to supporting governments, enhancing engagement and support to enterprises, particularly SMEs, communities and individual creators, to use copyright as a tool for growth and development through upgrading skills and capabilities at the institutional as well as individual levels;</w:t>
      </w:r>
    </w:p>
    <w:p w14:paraId="5FC775F3" w14:textId="77777777" w:rsidR="00D56626" w:rsidRDefault="00D56626" w:rsidP="00D56626">
      <w:pPr>
        <w:pStyle w:val="ListParagraph"/>
        <w:contextualSpacing w:val="0"/>
        <w:rPr>
          <w:rFonts w:ascii="Arial" w:hAnsi="Arial"/>
          <w:sz w:val="18"/>
          <w:szCs w:val="18"/>
        </w:rPr>
      </w:pPr>
    </w:p>
    <w:p w14:paraId="0204C56C"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Designing and delivering tailor-made country-focused and creative sector-focused technical assistance programs, projects and tools to empower creators, cultural institutions and creative enterprises, other stakeholders in the value chain, as well as youth and women, to leverage copyright more effectively and successfully.</w:t>
      </w:r>
    </w:p>
    <w:p w14:paraId="0C16610E" w14:textId="77777777" w:rsidR="00D56626" w:rsidRPr="00CE7001" w:rsidRDefault="00D56626"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Copyright Management</w:t>
      </w:r>
    </w:p>
    <w:p w14:paraId="51961EFE" w14:textId="77777777" w:rsidR="00D56626" w:rsidRPr="00D95649" w:rsidRDefault="00D56626" w:rsidP="00D56626">
      <w:pPr>
        <w:rPr>
          <w:rFonts w:cs="Arial"/>
          <w:szCs w:val="18"/>
          <w:lang w:val="en-US"/>
        </w:rPr>
      </w:pPr>
      <w:r w:rsidRPr="00D95649">
        <w:rPr>
          <w:rFonts w:cs="Arial"/>
          <w:szCs w:val="18"/>
          <w:lang w:val="en-US"/>
        </w:rPr>
        <w:t xml:space="preserve">The Copyright Management area supports governments, enterprises, communities and individuals to use IP as a tool for growth and sustainable development.  This is achieved </w:t>
      </w:r>
      <w:r w:rsidRPr="00D95649">
        <w:rPr>
          <w:rFonts w:cs="Arial"/>
          <w:szCs w:val="18"/>
        </w:rPr>
        <w:t>through facilitating sound copyright management and infrastructure, including for the collective management of copyright and related rights and through the WIPO Connect IT solution for CMOs, as well as in the form of innovative public-private partnerships that are focused on individuals</w:t>
      </w:r>
      <w:r>
        <w:rPr>
          <w:rFonts w:cs="Arial"/>
          <w:szCs w:val="18"/>
        </w:rPr>
        <w:t>,</w:t>
      </w:r>
      <w:r w:rsidRPr="00D95649">
        <w:rPr>
          <w:rFonts w:cs="Arial"/>
          <w:szCs w:val="18"/>
        </w:rPr>
        <w:t xml:space="preserve"> including the Accessible Books Consortium (ABC) and WIPO for Creators.  The focus in the next biennium will be to:</w:t>
      </w:r>
    </w:p>
    <w:p w14:paraId="072FDCFF"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Provide legal and technical advice to Member States and CMOs on laws, regulations and infrastructure underpinning copyright and related rights, contributing to the development of balanced, effective and efficient creative ecosystems around the world;</w:t>
      </w:r>
    </w:p>
    <w:p w14:paraId="523DC7F3" w14:textId="77777777" w:rsidR="00D56626" w:rsidRPr="00D95649" w:rsidRDefault="00D56626" w:rsidP="00D56626">
      <w:pPr>
        <w:pStyle w:val="ListParagraph"/>
        <w:contextualSpacing w:val="0"/>
        <w:rPr>
          <w:rFonts w:ascii="Arial" w:hAnsi="Arial"/>
          <w:sz w:val="18"/>
          <w:szCs w:val="18"/>
        </w:rPr>
      </w:pPr>
    </w:p>
    <w:p w14:paraId="272CA0A7"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Develop and deploy WIPO Connect, provide tools, information and assistance in support of the development of local markets and access to the global marketplace for creative content, in order for more individuals and enterprises to receive remuneration or license content, while facilitating knowledge transfer;</w:t>
      </w:r>
    </w:p>
    <w:p w14:paraId="761BE54E" w14:textId="77777777" w:rsidR="00D56626" w:rsidRPr="00D95649" w:rsidRDefault="00D56626" w:rsidP="00D56626">
      <w:pPr>
        <w:pStyle w:val="ListParagraph"/>
        <w:rPr>
          <w:rFonts w:ascii="Arial" w:hAnsi="Arial"/>
          <w:sz w:val="18"/>
          <w:szCs w:val="18"/>
        </w:rPr>
      </w:pPr>
    </w:p>
    <w:p w14:paraId="2738DBD8" w14:textId="3B19EB60"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Expand the use of the ABC Global Book Service by fostering the discovery of</w:t>
      </w:r>
      <w:r w:rsidR="00974F71">
        <w:rPr>
          <w:rFonts w:ascii="Arial" w:hAnsi="Arial"/>
          <w:sz w:val="18"/>
          <w:szCs w:val="18"/>
        </w:rPr>
        <w:t>,</w:t>
      </w:r>
      <w:r w:rsidRPr="00D95649">
        <w:rPr>
          <w:rFonts w:ascii="Arial" w:hAnsi="Arial"/>
          <w:sz w:val="18"/>
          <w:szCs w:val="18"/>
        </w:rPr>
        <w:t xml:space="preserve"> and access to</w:t>
      </w:r>
      <w:r w:rsidR="00974F71">
        <w:rPr>
          <w:rFonts w:ascii="Arial" w:hAnsi="Arial"/>
          <w:sz w:val="18"/>
          <w:szCs w:val="18"/>
        </w:rPr>
        <w:t>,</w:t>
      </w:r>
      <w:r w:rsidRPr="00D95649">
        <w:rPr>
          <w:rFonts w:ascii="Arial" w:hAnsi="Arial"/>
          <w:sz w:val="18"/>
          <w:szCs w:val="18"/>
        </w:rPr>
        <w:t xml:space="preserve"> more titles in accessible formats in the widest possible range of languages, so that more persons with print disabilities have access to educational and other publications; </w:t>
      </w:r>
    </w:p>
    <w:p w14:paraId="4B56C6B5" w14:textId="77777777" w:rsidR="00D56626" w:rsidRPr="00D95649" w:rsidRDefault="00D56626" w:rsidP="00D56626">
      <w:pPr>
        <w:pStyle w:val="ListParagraph"/>
        <w:rPr>
          <w:rFonts w:ascii="Arial" w:hAnsi="Arial"/>
          <w:sz w:val="18"/>
          <w:szCs w:val="18"/>
        </w:rPr>
      </w:pPr>
    </w:p>
    <w:p w14:paraId="5B11F468" w14:textId="77777777" w:rsidR="00D56626" w:rsidRPr="00D95649" w:rsidRDefault="00D56626" w:rsidP="008407D7">
      <w:pPr>
        <w:pStyle w:val="ListParagraph"/>
        <w:numPr>
          <w:ilvl w:val="0"/>
          <w:numId w:val="37"/>
        </w:numPr>
        <w:contextualSpacing w:val="0"/>
        <w:rPr>
          <w:rFonts w:ascii="Arial" w:hAnsi="Arial"/>
          <w:sz w:val="18"/>
          <w:szCs w:val="18"/>
        </w:rPr>
      </w:pPr>
      <w:r w:rsidRPr="00D95649">
        <w:rPr>
          <w:rFonts w:ascii="Arial" w:hAnsi="Arial"/>
          <w:sz w:val="18"/>
          <w:szCs w:val="18"/>
        </w:rPr>
        <w:t>Develop the WIPO for Creators platform in partnership with entities from the public and private sector, to provide an innovative solution to raise awareness and increase knowledge of creators’ rights and related management practices.  Ensuring recognition and fair reward for all creators regardless of their geographical, cultural or economic conditions, will thus contribute to more innovators, creators and SMEs leveraging IP successfully.</w:t>
      </w:r>
    </w:p>
    <w:p w14:paraId="5ADA0DC6" w14:textId="77777777" w:rsidR="00D56626" w:rsidRPr="00CE7001" w:rsidRDefault="00D56626"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Information and Digital Outreach</w:t>
      </w:r>
    </w:p>
    <w:p w14:paraId="7A4F5685" w14:textId="77777777" w:rsidR="00D56626" w:rsidRPr="00D95649" w:rsidRDefault="00D56626" w:rsidP="00D56626">
      <w:pPr>
        <w:rPr>
          <w:rFonts w:cs="Arial"/>
          <w:szCs w:val="18"/>
          <w:lang w:val="en-US"/>
        </w:rPr>
      </w:pPr>
      <w:r w:rsidRPr="00D95649">
        <w:rPr>
          <w:rFonts w:cs="Arial"/>
          <w:szCs w:val="18"/>
        </w:rPr>
        <w:t xml:space="preserve">Information and Digital Outreach initiatives aim at supporting the development and digital distribution of inspirational content about the potential for IP to improve the lives of everyone, everywhere.  It will do this through effective communication about all aspects of IP and WIPO’s work, for all audiences, with a coherent visual identity, through multiple channels: </w:t>
      </w:r>
    </w:p>
    <w:p w14:paraId="50B7143E" w14:textId="77777777" w:rsidR="00D56626" w:rsidRPr="00D95649" w:rsidRDefault="00D56626" w:rsidP="00D56626">
      <w:pPr>
        <w:pStyle w:val="ListParagraph"/>
        <w:rPr>
          <w:rFonts w:ascii="Arial" w:hAnsi="Arial"/>
          <w:sz w:val="18"/>
          <w:szCs w:val="18"/>
        </w:rPr>
      </w:pPr>
    </w:p>
    <w:p w14:paraId="1A9065F8" w14:textId="77777777" w:rsidR="00D56626" w:rsidRPr="00D95649" w:rsidRDefault="00D56626" w:rsidP="008407D7">
      <w:pPr>
        <w:pStyle w:val="ListParagraph"/>
        <w:numPr>
          <w:ilvl w:val="0"/>
          <w:numId w:val="37"/>
        </w:numPr>
        <w:rPr>
          <w:rFonts w:ascii="Arial" w:hAnsi="Arial"/>
          <w:sz w:val="18"/>
          <w:szCs w:val="18"/>
        </w:rPr>
      </w:pPr>
      <w:r w:rsidRPr="00D95649">
        <w:rPr>
          <w:rFonts w:ascii="Arial" w:hAnsi="Arial"/>
          <w:sz w:val="18"/>
          <w:szCs w:val="18"/>
        </w:rPr>
        <w:t>Customer focus:  Re-focus to one-brand one-WIPO.  Deliver a universal look and feel and single navigation for the entirety of our online presence.  Change the tone of voice of our website by using plain and friendly language.  Reduce the number of clicks to get to our online services</w:t>
      </w:r>
      <w:r>
        <w:rPr>
          <w:rFonts w:ascii="Arial" w:hAnsi="Arial"/>
          <w:sz w:val="18"/>
          <w:szCs w:val="18"/>
        </w:rPr>
        <w:t>;</w:t>
      </w:r>
      <w:r w:rsidRPr="00D95649">
        <w:rPr>
          <w:rFonts w:ascii="Arial" w:hAnsi="Arial"/>
          <w:sz w:val="18"/>
          <w:szCs w:val="18"/>
        </w:rPr>
        <w:t xml:space="preserve">  </w:t>
      </w:r>
    </w:p>
    <w:p w14:paraId="30A48D99" w14:textId="77777777" w:rsidR="00D56626" w:rsidRPr="00D95649" w:rsidRDefault="00D56626" w:rsidP="00D56626">
      <w:pPr>
        <w:pStyle w:val="ListParagraph"/>
        <w:rPr>
          <w:rFonts w:ascii="Arial" w:hAnsi="Arial"/>
          <w:sz w:val="18"/>
          <w:szCs w:val="18"/>
        </w:rPr>
      </w:pPr>
    </w:p>
    <w:p w14:paraId="33D8EA65" w14:textId="77777777" w:rsidR="00D56626" w:rsidRPr="00D95649" w:rsidRDefault="00D56626" w:rsidP="008407D7">
      <w:pPr>
        <w:pStyle w:val="ListParagraph"/>
        <w:numPr>
          <w:ilvl w:val="0"/>
          <w:numId w:val="37"/>
        </w:numPr>
        <w:rPr>
          <w:rFonts w:ascii="Arial" w:hAnsi="Arial"/>
          <w:sz w:val="18"/>
          <w:szCs w:val="18"/>
        </w:rPr>
      </w:pPr>
      <w:r w:rsidRPr="00D95649">
        <w:rPr>
          <w:rFonts w:ascii="Arial" w:hAnsi="Arial"/>
          <w:sz w:val="18"/>
          <w:szCs w:val="18"/>
        </w:rPr>
        <w:t>Increase the reach and impact of our digital outreach activities:  Deliver inspirational and well-researched content for the website, our published works, virtual exhibitions and the World IP Day campaign.  Ensure that our content reaches the widest audiences through search engine optimization and search engine advertising.  Deliver digital-first content to more platforms, more efficiently, through a new Digital Publishing Platform</w:t>
      </w:r>
      <w:r>
        <w:rPr>
          <w:rFonts w:ascii="Arial" w:hAnsi="Arial"/>
          <w:sz w:val="18"/>
          <w:szCs w:val="18"/>
        </w:rPr>
        <w:t>;</w:t>
      </w:r>
    </w:p>
    <w:p w14:paraId="23A4E6EE" w14:textId="77777777" w:rsidR="00D56626" w:rsidRDefault="00D56626" w:rsidP="00D56626">
      <w:pPr>
        <w:pStyle w:val="ListParagraph"/>
        <w:rPr>
          <w:rFonts w:ascii="Arial" w:hAnsi="Arial"/>
          <w:sz w:val="18"/>
          <w:szCs w:val="18"/>
        </w:rPr>
      </w:pPr>
    </w:p>
    <w:p w14:paraId="083C01D2" w14:textId="77777777" w:rsidR="00D56626" w:rsidRPr="00D95649" w:rsidRDefault="00D56626" w:rsidP="008407D7">
      <w:pPr>
        <w:pStyle w:val="ListParagraph"/>
        <w:numPr>
          <w:ilvl w:val="0"/>
          <w:numId w:val="37"/>
        </w:numPr>
        <w:rPr>
          <w:rFonts w:ascii="Arial" w:hAnsi="Arial"/>
          <w:sz w:val="18"/>
          <w:szCs w:val="18"/>
        </w:rPr>
      </w:pPr>
      <w:r w:rsidRPr="00D95649">
        <w:rPr>
          <w:rFonts w:ascii="Arial" w:hAnsi="Arial"/>
          <w:sz w:val="18"/>
          <w:szCs w:val="18"/>
        </w:rPr>
        <w:t>Empower our people and improve their working environment:  Deliver a new Intranet with enhanced functionalities and effective search capability</w:t>
      </w:r>
      <w:r>
        <w:rPr>
          <w:rFonts w:ascii="Arial" w:hAnsi="Arial"/>
          <w:sz w:val="18"/>
          <w:szCs w:val="18"/>
        </w:rPr>
        <w:t>;</w:t>
      </w:r>
      <w:r w:rsidRPr="00D95649">
        <w:rPr>
          <w:rFonts w:ascii="Arial" w:hAnsi="Arial"/>
          <w:sz w:val="18"/>
          <w:szCs w:val="18"/>
        </w:rPr>
        <w:t> </w:t>
      </w:r>
    </w:p>
    <w:p w14:paraId="011E821A" w14:textId="77777777" w:rsidR="00D56626" w:rsidRDefault="00D56626" w:rsidP="00D56626">
      <w:pPr>
        <w:pStyle w:val="ListParagraph"/>
        <w:rPr>
          <w:rFonts w:ascii="Arial" w:hAnsi="Arial"/>
          <w:sz w:val="18"/>
          <w:szCs w:val="18"/>
        </w:rPr>
      </w:pPr>
    </w:p>
    <w:p w14:paraId="0A71C463" w14:textId="77777777" w:rsidR="00D56626" w:rsidRPr="00D95649" w:rsidRDefault="00D56626" w:rsidP="008407D7">
      <w:pPr>
        <w:pStyle w:val="ListParagraph"/>
        <w:numPr>
          <w:ilvl w:val="0"/>
          <w:numId w:val="37"/>
        </w:numPr>
        <w:rPr>
          <w:rFonts w:ascii="Arial" w:hAnsi="Arial"/>
          <w:sz w:val="18"/>
          <w:szCs w:val="18"/>
        </w:rPr>
      </w:pPr>
      <w:r w:rsidRPr="00D95649">
        <w:rPr>
          <w:rFonts w:ascii="Arial" w:hAnsi="Arial"/>
          <w:sz w:val="18"/>
          <w:szCs w:val="18"/>
        </w:rPr>
        <w:t>Build skills in Member States in the methodology for gathering and analyzing data on the creative industries.  Deliver value to users around the world by presenting these data in relevant presentations/reports/publications highlighting economic data about the creative industries.</w:t>
      </w:r>
    </w:p>
    <w:p w14:paraId="4987D27F" w14:textId="77777777" w:rsidR="00D56626" w:rsidRPr="00CE7001" w:rsidRDefault="00D56626"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WIPO Global Awards Program </w:t>
      </w:r>
    </w:p>
    <w:p w14:paraId="7AA330E1" w14:textId="77777777" w:rsidR="00D56626" w:rsidRDefault="00D56626" w:rsidP="00D56626">
      <w:pPr>
        <w:rPr>
          <w:rFonts w:cs="Arial"/>
          <w:szCs w:val="18"/>
        </w:rPr>
      </w:pPr>
      <w:r w:rsidRPr="00D95649">
        <w:rPr>
          <w:rFonts w:cs="Arial"/>
          <w:szCs w:val="18"/>
        </w:rPr>
        <w:t>The WIPO Awards Program supports the use of IP as a tool for growth and sustainable development by encouraging and rewarding innovators and creators.  The main feature is the Global IP Awards for innovation and creativity</w:t>
      </w:r>
      <w:r>
        <w:rPr>
          <w:rFonts w:cs="Arial"/>
          <w:szCs w:val="18"/>
        </w:rPr>
        <w:t>,</w:t>
      </w:r>
      <w:r w:rsidRPr="00D95649">
        <w:rPr>
          <w:rFonts w:cs="Arial"/>
          <w:szCs w:val="18"/>
        </w:rPr>
        <w:t xml:space="preserve"> which runs an open worldwide competition for SMEs, with an international jury, and rewards winners with an international promotional campaign and a customized mentorship program for facilitating access to financial mechanisms and commercial partnership.  The Program will also explore future editions of such awards centered on other themes, including possibly women and youth. </w:t>
      </w:r>
      <w:r>
        <w:rPr>
          <w:rFonts w:cs="Arial"/>
          <w:szCs w:val="18"/>
        </w:rPr>
        <w:t xml:space="preserve"> </w:t>
      </w:r>
      <w:r w:rsidRPr="00D95649">
        <w:rPr>
          <w:rFonts w:cs="Arial"/>
          <w:szCs w:val="18"/>
        </w:rPr>
        <w:t xml:space="preserve">The </w:t>
      </w:r>
      <w:r>
        <w:rPr>
          <w:rFonts w:cs="Arial"/>
          <w:szCs w:val="18"/>
        </w:rPr>
        <w:t>P</w:t>
      </w:r>
      <w:r w:rsidRPr="00D95649">
        <w:rPr>
          <w:rFonts w:cs="Arial"/>
          <w:szCs w:val="18"/>
        </w:rPr>
        <w:t xml:space="preserve">rogram also supports the conferring of similar awards at the national level. </w:t>
      </w:r>
    </w:p>
    <w:p w14:paraId="7FF52E15" w14:textId="77777777" w:rsidR="00D56626" w:rsidRPr="006F1BC2" w:rsidRDefault="00D56626"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9530" w:type="dxa"/>
        <w:tblInd w:w="10" w:type="dxa"/>
        <w:tblLayout w:type="fixed"/>
        <w:tblCellMar>
          <w:left w:w="0" w:type="dxa"/>
          <w:right w:w="0" w:type="dxa"/>
        </w:tblCellMar>
        <w:tblLook w:val="04A0" w:firstRow="1" w:lastRow="0" w:firstColumn="1" w:lastColumn="0" w:noHBand="0" w:noVBand="1"/>
      </w:tblPr>
      <w:tblGrid>
        <w:gridCol w:w="2512"/>
        <w:gridCol w:w="2320"/>
        <w:gridCol w:w="3168"/>
        <w:gridCol w:w="1530"/>
      </w:tblGrid>
      <w:tr w:rsidR="00D56626" w:rsidRPr="002B2F19" w14:paraId="029D9D91" w14:textId="77777777" w:rsidTr="005B0AE9">
        <w:trPr>
          <w:trHeight w:val="279"/>
        </w:trPr>
        <w:tc>
          <w:tcPr>
            <w:tcW w:w="2512" w:type="dxa"/>
            <w:tcBorders>
              <w:right w:val="nil"/>
            </w:tcBorders>
            <w:shd w:val="clear" w:color="auto" w:fill="C6CFD7" w:themeFill="accent3" w:themeFillTint="66"/>
            <w:tcMar>
              <w:top w:w="0" w:type="dxa"/>
              <w:left w:w="108" w:type="dxa"/>
              <w:bottom w:w="0" w:type="dxa"/>
              <w:right w:w="108" w:type="dxa"/>
            </w:tcMar>
            <w:hideMark/>
          </w:tcPr>
          <w:p w14:paraId="7BF5E173" w14:textId="77777777" w:rsidR="00D56626" w:rsidRPr="005929E1" w:rsidRDefault="00D56626" w:rsidP="00750B3E">
            <w:pPr>
              <w:autoSpaceDE w:val="0"/>
              <w:autoSpaceDN w:val="0"/>
              <w:spacing w:after="0" w:line="252" w:lineRule="auto"/>
              <w:outlineLvl w:val="2"/>
              <w:rPr>
                <w:rFonts w:ascii="Arial Narrow" w:eastAsia="Times New Roman" w:hAnsi="Arial Narrow" w:cs="Arial"/>
                <w:b/>
                <w:bCs/>
                <w:sz w:val="16"/>
                <w:szCs w:val="16"/>
                <w:lang w:val="en-US"/>
              </w:rPr>
            </w:pPr>
            <w:r w:rsidRPr="005929E1">
              <w:rPr>
                <w:rFonts w:ascii="Arial Narrow" w:eastAsia="Times New Roman" w:hAnsi="Arial Narrow" w:cs="Arial"/>
                <w:b/>
                <w:bCs/>
                <w:sz w:val="16"/>
                <w:szCs w:val="16"/>
                <w:lang w:val="en-US"/>
              </w:rPr>
              <w:t xml:space="preserve">Expected Result  </w:t>
            </w:r>
          </w:p>
        </w:tc>
        <w:tc>
          <w:tcPr>
            <w:tcW w:w="2320" w:type="dxa"/>
            <w:tcBorders>
              <w:left w:val="nil"/>
              <w:right w:val="nil"/>
            </w:tcBorders>
            <w:shd w:val="clear" w:color="auto" w:fill="C6CFD7" w:themeFill="accent3" w:themeFillTint="66"/>
            <w:tcMar>
              <w:top w:w="0" w:type="dxa"/>
              <w:left w:w="108" w:type="dxa"/>
              <w:bottom w:w="0" w:type="dxa"/>
              <w:right w:w="108" w:type="dxa"/>
            </w:tcMar>
            <w:hideMark/>
          </w:tcPr>
          <w:p w14:paraId="22D6E281" w14:textId="77777777" w:rsidR="00D56626" w:rsidRPr="005929E1" w:rsidRDefault="00D56626" w:rsidP="00750B3E">
            <w:pPr>
              <w:autoSpaceDE w:val="0"/>
              <w:autoSpaceDN w:val="0"/>
              <w:spacing w:after="0" w:line="252" w:lineRule="auto"/>
              <w:outlineLvl w:val="2"/>
              <w:rPr>
                <w:rFonts w:ascii="Arial Narrow" w:eastAsia="Times New Roman" w:hAnsi="Arial Narrow" w:cs="Arial"/>
                <w:b/>
                <w:bCs/>
                <w:sz w:val="16"/>
                <w:szCs w:val="16"/>
                <w:lang w:val="en-US"/>
              </w:rPr>
            </w:pPr>
            <w:r w:rsidRPr="005929E1">
              <w:rPr>
                <w:rFonts w:ascii="Arial Narrow" w:eastAsia="Times New Roman" w:hAnsi="Arial Narrow" w:cs="Arial"/>
                <w:b/>
                <w:bCs/>
                <w:sz w:val="16"/>
                <w:szCs w:val="16"/>
                <w:lang w:val="en-US"/>
              </w:rPr>
              <w:t>Risk</w:t>
            </w:r>
          </w:p>
        </w:tc>
        <w:tc>
          <w:tcPr>
            <w:tcW w:w="3168" w:type="dxa"/>
            <w:tcBorders>
              <w:left w:val="nil"/>
              <w:right w:val="nil"/>
            </w:tcBorders>
            <w:shd w:val="clear" w:color="auto" w:fill="C6CFD7" w:themeFill="accent3" w:themeFillTint="66"/>
            <w:tcMar>
              <w:top w:w="0" w:type="dxa"/>
              <w:left w:w="108" w:type="dxa"/>
              <w:bottom w:w="0" w:type="dxa"/>
              <w:right w:w="108" w:type="dxa"/>
            </w:tcMar>
            <w:hideMark/>
          </w:tcPr>
          <w:p w14:paraId="28BC2DBB" w14:textId="77777777" w:rsidR="00D56626" w:rsidRPr="005929E1" w:rsidRDefault="00D56626" w:rsidP="00750B3E">
            <w:pPr>
              <w:autoSpaceDE w:val="0"/>
              <w:autoSpaceDN w:val="0"/>
              <w:spacing w:after="0" w:line="252" w:lineRule="auto"/>
              <w:outlineLvl w:val="2"/>
              <w:rPr>
                <w:rFonts w:ascii="Arial Narrow" w:eastAsia="Times New Roman" w:hAnsi="Arial Narrow" w:cs="Arial"/>
                <w:b/>
                <w:bCs/>
                <w:sz w:val="16"/>
                <w:szCs w:val="16"/>
                <w:lang w:val="en-US"/>
              </w:rPr>
            </w:pPr>
            <w:r w:rsidRPr="005929E1">
              <w:rPr>
                <w:rFonts w:ascii="Arial Narrow" w:eastAsia="Times New Roman" w:hAnsi="Arial Narrow" w:cs="Arial"/>
                <w:b/>
                <w:bCs/>
                <w:sz w:val="16"/>
                <w:szCs w:val="16"/>
                <w:lang w:val="en-US"/>
              </w:rPr>
              <w:t>Risk Response</w:t>
            </w:r>
          </w:p>
        </w:tc>
        <w:tc>
          <w:tcPr>
            <w:tcW w:w="1530" w:type="dxa"/>
            <w:tcBorders>
              <w:left w:val="nil"/>
            </w:tcBorders>
            <w:shd w:val="clear" w:color="auto" w:fill="C6CFD7" w:themeFill="accent3" w:themeFillTint="66"/>
            <w:tcMar>
              <w:top w:w="0" w:type="dxa"/>
              <w:left w:w="108" w:type="dxa"/>
              <w:bottom w:w="0" w:type="dxa"/>
              <w:right w:w="108" w:type="dxa"/>
            </w:tcMar>
            <w:hideMark/>
          </w:tcPr>
          <w:p w14:paraId="5633219E" w14:textId="77777777" w:rsidR="00D56626" w:rsidRPr="005929E1" w:rsidRDefault="00D56626" w:rsidP="00750B3E">
            <w:pPr>
              <w:autoSpaceDE w:val="0"/>
              <w:autoSpaceDN w:val="0"/>
              <w:spacing w:after="0" w:line="252" w:lineRule="auto"/>
              <w:outlineLvl w:val="2"/>
              <w:rPr>
                <w:rFonts w:ascii="Arial Narrow" w:eastAsia="Times New Roman" w:hAnsi="Arial Narrow" w:cs="Arial"/>
                <w:b/>
                <w:bCs/>
                <w:sz w:val="16"/>
                <w:szCs w:val="16"/>
                <w:lang w:val="en-US"/>
              </w:rPr>
            </w:pPr>
            <w:r w:rsidRPr="005929E1">
              <w:rPr>
                <w:rFonts w:ascii="Arial Narrow" w:eastAsia="Times New Roman" w:hAnsi="Arial Narrow" w:cs="Arial"/>
                <w:b/>
                <w:bCs/>
                <w:color w:val="000000"/>
                <w:sz w:val="16"/>
                <w:szCs w:val="16"/>
                <w:lang w:val="en-US"/>
              </w:rPr>
              <w:t xml:space="preserve">Target Residual Risk </w:t>
            </w:r>
          </w:p>
        </w:tc>
      </w:tr>
      <w:tr w:rsidR="00D56626" w:rsidRPr="002B2F19" w14:paraId="2A37804A" w14:textId="77777777" w:rsidTr="005B0AE9">
        <w:tc>
          <w:tcPr>
            <w:tcW w:w="9530" w:type="dxa"/>
            <w:gridSpan w:val="4"/>
            <w:shd w:val="clear" w:color="auto" w:fill="EDF0F3" w:themeFill="accent4" w:themeFillTint="33"/>
            <w:tcMar>
              <w:top w:w="0" w:type="dxa"/>
              <w:left w:w="108" w:type="dxa"/>
              <w:bottom w:w="0" w:type="dxa"/>
              <w:right w:w="108" w:type="dxa"/>
            </w:tcMar>
            <w:hideMark/>
          </w:tcPr>
          <w:tbl>
            <w:tblPr>
              <w:tblW w:w="9517" w:type="dxa"/>
              <w:tblLayout w:type="fixed"/>
              <w:tblCellMar>
                <w:left w:w="0" w:type="dxa"/>
                <w:right w:w="0" w:type="dxa"/>
              </w:tblCellMar>
              <w:tblLook w:val="04A0" w:firstRow="1" w:lastRow="0" w:firstColumn="1" w:lastColumn="0" w:noHBand="0" w:noVBand="1"/>
            </w:tblPr>
            <w:tblGrid>
              <w:gridCol w:w="1129"/>
              <w:gridCol w:w="8388"/>
            </w:tblGrid>
            <w:tr w:rsidR="00D56626" w:rsidRPr="005929E1" w14:paraId="27997455" w14:textId="77777777" w:rsidTr="005B0AE9">
              <w:trPr>
                <w:trHeight w:val="313"/>
              </w:trPr>
              <w:tc>
                <w:tcPr>
                  <w:tcW w:w="1129" w:type="dxa"/>
                  <w:tcMar>
                    <w:top w:w="0" w:type="dxa"/>
                    <w:left w:w="108" w:type="dxa"/>
                    <w:bottom w:w="0" w:type="dxa"/>
                    <w:right w:w="108" w:type="dxa"/>
                  </w:tcMar>
                  <w:hideMark/>
                </w:tcPr>
                <w:p w14:paraId="73B27E1E" w14:textId="713DC908" w:rsidR="00D56626" w:rsidRPr="005929E1" w:rsidRDefault="007C5188" w:rsidP="00750B3E">
                  <w:pPr>
                    <w:widowControl w:val="0"/>
                    <w:autoSpaceDE w:val="0"/>
                    <w:autoSpaceDN w:val="0"/>
                    <w:spacing w:after="0" w:line="252" w:lineRule="auto"/>
                    <w:ind w:hanging="360"/>
                    <w:jc w:val="right"/>
                    <w:rPr>
                      <w:rFonts w:ascii="Arial Narrow" w:eastAsia="Arial Narrow"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4 </w:t>
                  </w:r>
                  <w:r w:rsidR="00D56626" w:rsidRPr="005929E1">
                    <w:rPr>
                      <w:rFonts w:ascii="Arial Narrow" w:eastAsia="Arial Narrow" w:hAnsi="Arial Narrow" w:cs="Arial Narrow"/>
                      <w:i/>
                      <w:iCs/>
                      <w:color w:val="005172" w:themeColor="text2"/>
                      <w:sz w:val="16"/>
                      <w:szCs w:val="16"/>
                      <w:lang w:val="en-US" w:bidi="en-US"/>
                    </w:rPr>
                    <w:t xml:space="preserve">  </w:t>
                  </w:r>
                </w:p>
              </w:tc>
              <w:tc>
                <w:tcPr>
                  <w:tcW w:w="8388" w:type="dxa"/>
                  <w:tcMar>
                    <w:top w:w="0" w:type="dxa"/>
                    <w:left w:w="108" w:type="dxa"/>
                    <w:bottom w:w="0" w:type="dxa"/>
                    <w:right w:w="108" w:type="dxa"/>
                  </w:tcMar>
                  <w:hideMark/>
                </w:tcPr>
                <w:p w14:paraId="219D38D1" w14:textId="77777777" w:rsidR="00D56626" w:rsidRPr="005929E1" w:rsidRDefault="00D56626" w:rsidP="00750B3E">
                  <w:pPr>
                    <w:widowControl w:val="0"/>
                    <w:autoSpaceDE w:val="0"/>
                    <w:autoSpaceDN w:val="0"/>
                    <w:spacing w:after="0" w:line="252" w:lineRule="auto"/>
                    <w:rPr>
                      <w:rFonts w:ascii="Arial Narrow" w:eastAsia="Arial Narrow" w:hAnsi="Arial Narrow" w:cs="Arial Narrow"/>
                      <w:color w:val="005172" w:themeColor="text2"/>
                      <w:sz w:val="16"/>
                      <w:szCs w:val="16"/>
                      <w:lang w:val="en-US" w:bidi="en-US"/>
                    </w:rPr>
                  </w:pPr>
                  <w:r w:rsidRPr="005929E1">
                    <w:rPr>
                      <w:rFonts w:ascii="Arial Narrow" w:eastAsia="Arial Narrow" w:hAnsi="Arial Narrow" w:cs="Arial Narrow"/>
                      <w:i/>
                      <w:iCs/>
                      <w:color w:val="005172" w:themeColor="text2"/>
                      <w:sz w:val="16"/>
                      <w:szCs w:val="16"/>
                      <w:lang w:val="en-US" w:bidi="en-US"/>
                    </w:rPr>
                    <w:t>Support governments, enterprises, communities and individuals to use intellectual property as a tool for growth and sustainable development</w:t>
                  </w:r>
                </w:p>
              </w:tc>
            </w:tr>
          </w:tbl>
          <w:p w14:paraId="4510A284" w14:textId="77777777" w:rsidR="00D56626" w:rsidRPr="005929E1" w:rsidRDefault="00D56626" w:rsidP="00750B3E">
            <w:pPr>
              <w:widowControl w:val="0"/>
              <w:autoSpaceDE w:val="0"/>
              <w:autoSpaceDN w:val="0"/>
              <w:spacing w:after="0" w:line="240" w:lineRule="auto"/>
              <w:rPr>
                <w:rFonts w:ascii="Times New Roman" w:eastAsia="Times New Roman" w:hAnsi="Times New Roman" w:cs="Times New Roman"/>
                <w:color w:val="005172" w:themeColor="text2"/>
                <w:sz w:val="20"/>
                <w:szCs w:val="20"/>
                <w:lang w:val="en-US" w:bidi="en-US"/>
              </w:rPr>
            </w:pPr>
          </w:p>
        </w:tc>
      </w:tr>
      <w:tr w:rsidR="00D56626" w:rsidRPr="002B2F19" w14:paraId="1FBBC2F7" w14:textId="77777777" w:rsidTr="005B0AE9">
        <w:trPr>
          <w:trHeight w:val="1420"/>
        </w:trPr>
        <w:tc>
          <w:tcPr>
            <w:tcW w:w="2512" w:type="dxa"/>
            <w:shd w:val="clear" w:color="auto" w:fill="FFFFFF"/>
            <w:tcMar>
              <w:top w:w="0" w:type="dxa"/>
              <w:left w:w="108" w:type="dxa"/>
              <w:bottom w:w="0" w:type="dxa"/>
              <w:right w:w="108" w:type="dxa"/>
            </w:tcMar>
            <w:hideMark/>
          </w:tcPr>
          <w:p w14:paraId="2E4164A9" w14:textId="77777777"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F639BD">
              <w:rPr>
                <w:rFonts w:ascii="Arial Narrow" w:eastAsia="Times New Roman" w:hAnsi="Arial Narrow" w:cstheme="minorHAnsi"/>
                <w:color w:val="005172" w:themeColor="accent1"/>
                <w:sz w:val="16"/>
                <w:szCs w:val="16"/>
                <w:lang w:val="en-US"/>
              </w:rPr>
              <w:t>4.2</w:t>
            </w:r>
            <w:r w:rsidRPr="00D4735A">
              <w:rPr>
                <w:rFonts w:ascii="Arial Narrow" w:eastAsia="Times New Roman" w:hAnsi="Arial Narrow" w:cs="Arial"/>
                <w:color w:val="005172" w:themeColor="accent1"/>
                <w:sz w:val="16"/>
                <w:szCs w:val="16"/>
                <w:lang w:val="en-US"/>
              </w:rPr>
              <w:t xml:space="preserve">  </w:t>
            </w:r>
            <w:r w:rsidRPr="002B2F19">
              <w:rPr>
                <w:rFonts w:ascii="Arial Narrow" w:eastAsia="Times New Roman" w:hAnsi="Arial Narrow" w:cs="Arial"/>
                <w:sz w:val="16"/>
                <w:szCs w:val="16"/>
                <w:lang w:val="en-US"/>
              </w:rPr>
              <w:t>Development of balanced and effective IP, innovation and creative ecosystems in Member States</w:t>
            </w:r>
          </w:p>
          <w:p w14:paraId="1DBF6FB4" w14:textId="77777777" w:rsidR="00D56626" w:rsidRPr="002B2F19" w:rsidRDefault="00D56626" w:rsidP="00750B3E">
            <w:pPr>
              <w:autoSpaceDE w:val="0"/>
              <w:autoSpaceDN w:val="0"/>
              <w:spacing w:after="0" w:line="252" w:lineRule="auto"/>
              <w:outlineLvl w:val="2"/>
              <w:rPr>
                <w:rFonts w:ascii="Arial Narrow" w:eastAsia="Times New Roman" w:hAnsi="Arial Narrow" w:cs="Arial"/>
                <w:b/>
                <w:bCs/>
                <w:i/>
                <w:iCs/>
                <w:sz w:val="16"/>
                <w:szCs w:val="16"/>
                <w:lang w:val="en-US"/>
              </w:rPr>
            </w:pPr>
            <w:r w:rsidRPr="002B2F19">
              <w:rPr>
                <w:rFonts w:ascii="Arial Narrow" w:eastAsia="Times New Roman" w:hAnsi="Arial Narrow" w:cs="Arial"/>
                <w:b/>
                <w:bCs/>
                <w:i/>
                <w:iCs/>
                <w:sz w:val="16"/>
                <w:szCs w:val="16"/>
                <w:lang w:val="en-US"/>
              </w:rPr>
              <w:t>Medium risk appetite</w:t>
            </w:r>
          </w:p>
        </w:tc>
        <w:tc>
          <w:tcPr>
            <w:tcW w:w="2320" w:type="dxa"/>
            <w:shd w:val="clear" w:color="auto" w:fill="FFFFFF"/>
            <w:tcMar>
              <w:top w:w="0" w:type="dxa"/>
              <w:left w:w="108" w:type="dxa"/>
              <w:bottom w:w="0" w:type="dxa"/>
              <w:right w:w="108" w:type="dxa"/>
            </w:tcMar>
            <w:hideMark/>
          </w:tcPr>
          <w:p w14:paraId="542D0ABB" w14:textId="77777777"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Uncertainties in the international context may slow down or impact the efforts of Member States to continue strengthening and securing the global copyright framework in order to support development of thriving creative industries.</w:t>
            </w:r>
          </w:p>
        </w:tc>
        <w:tc>
          <w:tcPr>
            <w:tcW w:w="3168" w:type="dxa"/>
            <w:shd w:val="clear" w:color="auto" w:fill="FFFFFF"/>
            <w:tcMar>
              <w:top w:w="0" w:type="dxa"/>
              <w:left w:w="108" w:type="dxa"/>
              <w:bottom w:w="0" w:type="dxa"/>
              <w:right w:w="108" w:type="dxa"/>
            </w:tcMar>
            <w:hideMark/>
          </w:tcPr>
          <w:p w14:paraId="5F018691" w14:textId="77777777"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WIPO will develop new tools and projects/programs to demonstrate the potential and importance of the creative industries sector and IP for relaunching economic growth and strengthening cultural and social resilience.</w:t>
            </w:r>
          </w:p>
        </w:tc>
        <w:tc>
          <w:tcPr>
            <w:tcW w:w="1530" w:type="dxa"/>
            <w:shd w:val="clear" w:color="auto" w:fill="FFFFFF"/>
            <w:tcMar>
              <w:top w:w="0" w:type="dxa"/>
              <w:left w:w="108" w:type="dxa"/>
              <w:bottom w:w="0" w:type="dxa"/>
              <w:right w:w="108" w:type="dxa"/>
            </w:tcMar>
          </w:tcPr>
          <w:p w14:paraId="58945253" w14:textId="396C1E2D" w:rsidR="00D56626"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 xml:space="preserve">Medium </w:t>
            </w:r>
            <w:r w:rsidR="00EB4125">
              <w:rPr>
                <w:rFonts w:ascii="Arial Narrow" w:eastAsia="Times New Roman" w:hAnsi="Arial Narrow" w:cs="Arial"/>
                <w:sz w:val="16"/>
                <w:szCs w:val="16"/>
                <w:lang w:val="en-US"/>
              </w:rPr>
              <w:t xml:space="preserve">– </w:t>
            </w:r>
          </w:p>
          <w:p w14:paraId="4D271856" w14:textId="54AE48A1" w:rsidR="00D56626" w:rsidRPr="002B2F19" w:rsidRDefault="00EB4125" w:rsidP="00EF3B0C">
            <w:pPr>
              <w:autoSpaceDE w:val="0"/>
              <w:autoSpaceDN w:val="0"/>
              <w:spacing w:after="0" w:line="252"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00D56626" w:rsidRPr="002B2F19">
              <w:rPr>
                <w:rFonts w:ascii="Arial Narrow" w:eastAsia="Times New Roman" w:hAnsi="Arial Narrow" w:cs="Arial"/>
                <w:sz w:val="16"/>
                <w:szCs w:val="16"/>
                <w:lang w:val="en-US"/>
              </w:rPr>
              <w:t>n line with risk appetite</w:t>
            </w:r>
          </w:p>
          <w:p w14:paraId="6FDD8171" w14:textId="77777777" w:rsidR="00D56626" w:rsidRPr="002B2F19" w:rsidRDefault="00D56626" w:rsidP="00750B3E">
            <w:pPr>
              <w:autoSpaceDE w:val="0"/>
              <w:autoSpaceDN w:val="0"/>
              <w:spacing w:after="0" w:line="252" w:lineRule="auto"/>
              <w:outlineLvl w:val="2"/>
              <w:rPr>
                <w:rFonts w:eastAsia="Times New Roman" w:cs="Arial"/>
                <w:sz w:val="20"/>
                <w:szCs w:val="20"/>
                <w:lang w:val="en-US"/>
              </w:rPr>
            </w:pPr>
          </w:p>
        </w:tc>
      </w:tr>
      <w:tr w:rsidR="00D56626" w:rsidRPr="002B2F19" w14:paraId="2CCF9F9B" w14:textId="77777777" w:rsidTr="005B0AE9">
        <w:trPr>
          <w:trHeight w:val="1150"/>
        </w:trPr>
        <w:tc>
          <w:tcPr>
            <w:tcW w:w="2512" w:type="dxa"/>
            <w:tcBorders>
              <w:bottom w:val="single" w:sz="4" w:space="0" w:color="CBD4DB" w:themeColor="accent4" w:themeTint="99"/>
            </w:tcBorders>
            <w:shd w:val="clear" w:color="auto" w:fill="FFFFFF"/>
            <w:tcMar>
              <w:top w:w="0" w:type="dxa"/>
              <w:left w:w="108" w:type="dxa"/>
              <w:bottom w:w="0" w:type="dxa"/>
              <w:right w:w="108" w:type="dxa"/>
            </w:tcMar>
          </w:tcPr>
          <w:p w14:paraId="01333B67" w14:textId="092B93F2"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F639BD">
              <w:rPr>
                <w:rFonts w:ascii="Arial Narrow" w:eastAsia="Times New Roman" w:hAnsi="Arial Narrow" w:cstheme="minorHAnsi"/>
                <w:color w:val="005172" w:themeColor="accent1"/>
                <w:sz w:val="16"/>
                <w:szCs w:val="16"/>
                <w:lang w:val="en-US"/>
              </w:rPr>
              <w:t>4.4</w:t>
            </w:r>
            <w:r w:rsidRPr="002B2F19">
              <w:rPr>
                <w:rFonts w:ascii="Arial Narrow" w:eastAsia="Times New Roman" w:hAnsi="Arial Narrow" w:cs="Arial"/>
                <w:sz w:val="16"/>
                <w:szCs w:val="16"/>
                <w:lang w:val="en-US"/>
              </w:rPr>
              <w:t xml:space="preserve"> </w:t>
            </w:r>
            <w:r w:rsidR="006D0039">
              <w:rPr>
                <w:rFonts w:ascii="Arial Narrow" w:eastAsia="Times New Roman" w:hAnsi="Arial Narrow" w:cs="Arial"/>
                <w:sz w:val="16"/>
                <w:szCs w:val="16"/>
                <w:lang w:val="en-US"/>
              </w:rPr>
              <w:t xml:space="preserve"> </w:t>
            </w:r>
            <w:r w:rsidRPr="002B2F19">
              <w:rPr>
                <w:rFonts w:ascii="Arial Narrow" w:eastAsia="Times New Roman" w:hAnsi="Arial Narrow" w:cs="Arial"/>
                <w:sz w:val="16"/>
                <w:szCs w:val="16"/>
                <w:lang w:val="en-US"/>
              </w:rPr>
              <w:t xml:space="preserve">More innovators, creators, SMEs, universities, research institutions and communities leverage IP successfully </w:t>
            </w:r>
          </w:p>
          <w:p w14:paraId="257A7E57" w14:textId="77777777" w:rsidR="00D56626" w:rsidRPr="002B2F19" w:rsidRDefault="00D56626" w:rsidP="00750B3E">
            <w:pPr>
              <w:autoSpaceDE w:val="0"/>
              <w:autoSpaceDN w:val="0"/>
              <w:spacing w:after="0" w:line="252" w:lineRule="auto"/>
              <w:outlineLvl w:val="2"/>
              <w:rPr>
                <w:rFonts w:ascii="Arial Narrow" w:eastAsia="Times New Roman" w:hAnsi="Arial Narrow" w:cs="Arial"/>
                <w:b/>
                <w:i/>
                <w:sz w:val="16"/>
                <w:szCs w:val="16"/>
                <w:lang w:val="en-US"/>
              </w:rPr>
            </w:pPr>
            <w:r w:rsidRPr="002B2F19">
              <w:rPr>
                <w:rFonts w:ascii="Arial Narrow" w:eastAsia="Times New Roman" w:hAnsi="Arial Narrow" w:cs="Arial"/>
                <w:b/>
                <w:i/>
                <w:sz w:val="16"/>
                <w:szCs w:val="16"/>
                <w:lang w:val="en-US"/>
              </w:rPr>
              <w:t>High risk appetite</w:t>
            </w:r>
          </w:p>
        </w:tc>
        <w:tc>
          <w:tcPr>
            <w:tcW w:w="2320" w:type="dxa"/>
            <w:tcBorders>
              <w:bottom w:val="single" w:sz="4" w:space="0" w:color="CBD4DB" w:themeColor="accent4" w:themeTint="99"/>
            </w:tcBorders>
            <w:shd w:val="clear" w:color="auto" w:fill="FFFFFF"/>
            <w:tcMar>
              <w:top w:w="0" w:type="dxa"/>
              <w:left w:w="108" w:type="dxa"/>
              <w:bottom w:w="0" w:type="dxa"/>
              <w:right w:w="108" w:type="dxa"/>
            </w:tcMar>
          </w:tcPr>
          <w:p w14:paraId="674D919E" w14:textId="6C7247D3"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WIPO for Creators was conceived as a public-private partnership. There is a risk that voluntary contribution</w:t>
            </w:r>
            <w:r w:rsidR="00974F71">
              <w:rPr>
                <w:rFonts w:ascii="Arial Narrow" w:eastAsia="Times New Roman" w:hAnsi="Arial Narrow" w:cs="Arial"/>
                <w:sz w:val="16"/>
                <w:szCs w:val="16"/>
                <w:lang w:val="en-US"/>
              </w:rPr>
              <w:t xml:space="preserve">s might not suffice to </w:t>
            </w:r>
            <w:r w:rsidRPr="002B2F19">
              <w:rPr>
                <w:rFonts w:ascii="Arial Narrow" w:eastAsia="Times New Roman" w:hAnsi="Arial Narrow" w:cs="Arial"/>
                <w:sz w:val="16"/>
                <w:szCs w:val="16"/>
                <w:lang w:val="en-US"/>
              </w:rPr>
              <w:t>finance the project</w:t>
            </w:r>
            <w:r w:rsidR="00974F71">
              <w:rPr>
                <w:rFonts w:ascii="Arial Narrow" w:eastAsia="Times New Roman" w:hAnsi="Arial Narrow" w:cs="Arial"/>
                <w:sz w:val="16"/>
                <w:szCs w:val="16"/>
                <w:lang w:val="en-US"/>
              </w:rPr>
              <w:t xml:space="preserve"> as foreseen</w:t>
            </w:r>
            <w:r w:rsidRPr="002B2F19">
              <w:rPr>
                <w:rFonts w:ascii="Arial Narrow" w:eastAsia="Times New Roman" w:hAnsi="Arial Narrow" w:cs="Arial"/>
                <w:sz w:val="16"/>
                <w:szCs w:val="16"/>
                <w:lang w:val="en-US"/>
              </w:rPr>
              <w:t>.</w:t>
            </w:r>
          </w:p>
        </w:tc>
        <w:tc>
          <w:tcPr>
            <w:tcW w:w="3168" w:type="dxa"/>
            <w:tcBorders>
              <w:bottom w:val="single" w:sz="4" w:space="0" w:color="CBD4DB" w:themeColor="accent4" w:themeTint="99"/>
            </w:tcBorders>
            <w:shd w:val="clear" w:color="auto" w:fill="FFFFFF"/>
            <w:tcMar>
              <w:top w:w="0" w:type="dxa"/>
              <w:left w:w="108" w:type="dxa"/>
              <w:bottom w:w="0" w:type="dxa"/>
              <w:right w:w="108" w:type="dxa"/>
            </w:tcMar>
          </w:tcPr>
          <w:p w14:paraId="25D840B7" w14:textId="178FDF2A" w:rsidR="00D56626" w:rsidRPr="002B2F19"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 xml:space="preserve">WIPO will continue to demonstrate the value of the project to governments, private sector, foundations and other potential donors and if required reconsider the roadmap, </w:t>
            </w:r>
            <w:r w:rsidR="00673255">
              <w:rPr>
                <w:rFonts w:ascii="Arial Narrow" w:eastAsia="Times New Roman" w:hAnsi="Arial Narrow" w:cs="Arial"/>
                <w:sz w:val="16"/>
                <w:szCs w:val="16"/>
                <w:lang w:val="en-US"/>
              </w:rPr>
              <w:t xml:space="preserve">scope, </w:t>
            </w:r>
            <w:r w:rsidRPr="002B2F19">
              <w:rPr>
                <w:rFonts w:ascii="Arial Narrow" w:eastAsia="Times New Roman" w:hAnsi="Arial Narrow" w:cs="Arial"/>
                <w:sz w:val="16"/>
                <w:szCs w:val="16"/>
                <w:lang w:val="en-US"/>
              </w:rPr>
              <w:t>funding model</w:t>
            </w:r>
            <w:r w:rsidR="00673255">
              <w:rPr>
                <w:rFonts w:ascii="Arial Narrow" w:eastAsia="Times New Roman" w:hAnsi="Arial Narrow" w:cs="Arial"/>
                <w:sz w:val="16"/>
                <w:szCs w:val="16"/>
                <w:lang w:val="en-US"/>
              </w:rPr>
              <w:t xml:space="preserve"> and </w:t>
            </w:r>
            <w:r w:rsidRPr="002B2F19">
              <w:rPr>
                <w:rFonts w:ascii="Arial Narrow" w:eastAsia="Times New Roman" w:hAnsi="Arial Narrow" w:cs="Arial"/>
                <w:sz w:val="16"/>
                <w:szCs w:val="16"/>
                <w:lang w:val="en-US"/>
              </w:rPr>
              <w:t>governance structure</w:t>
            </w:r>
            <w:r w:rsidR="00974F71">
              <w:rPr>
                <w:rFonts w:ascii="Arial Narrow" w:eastAsia="Times New Roman" w:hAnsi="Arial Narrow" w:cs="Arial"/>
                <w:sz w:val="16"/>
                <w:szCs w:val="16"/>
                <w:lang w:val="en-US"/>
              </w:rPr>
              <w:t xml:space="preserve"> of the project</w:t>
            </w:r>
            <w:r w:rsidRPr="002B2F19">
              <w:rPr>
                <w:rFonts w:ascii="Arial Narrow" w:eastAsia="Times New Roman" w:hAnsi="Arial Narrow" w:cs="Arial"/>
                <w:sz w:val="16"/>
                <w:szCs w:val="16"/>
                <w:lang w:val="en-US"/>
              </w:rPr>
              <w:t xml:space="preserve">. </w:t>
            </w:r>
          </w:p>
          <w:p w14:paraId="74377442" w14:textId="77777777" w:rsidR="00D56626" w:rsidRPr="002B2F19" w:rsidRDefault="00D56626" w:rsidP="00750B3E">
            <w:pPr>
              <w:autoSpaceDE w:val="0"/>
              <w:autoSpaceDN w:val="0"/>
              <w:spacing w:after="0" w:line="252" w:lineRule="auto"/>
              <w:outlineLvl w:val="2"/>
              <w:rPr>
                <w:rFonts w:ascii="Arial Narrow" w:eastAsia="Times New Roman" w:hAnsi="Arial Narrow" w:cs="Arial"/>
                <w:sz w:val="16"/>
                <w:szCs w:val="16"/>
                <w:lang w:val="en-US"/>
              </w:rPr>
            </w:pPr>
          </w:p>
        </w:tc>
        <w:tc>
          <w:tcPr>
            <w:tcW w:w="1530" w:type="dxa"/>
            <w:tcBorders>
              <w:bottom w:val="single" w:sz="4" w:space="0" w:color="CBD4DB" w:themeColor="accent4" w:themeTint="99"/>
            </w:tcBorders>
            <w:shd w:val="clear" w:color="auto" w:fill="FFFFFF"/>
            <w:tcMar>
              <w:top w:w="0" w:type="dxa"/>
              <w:left w:w="108" w:type="dxa"/>
              <w:bottom w:w="0" w:type="dxa"/>
              <w:right w:w="108" w:type="dxa"/>
            </w:tcMar>
          </w:tcPr>
          <w:p w14:paraId="0E7408A2" w14:textId="14C35677" w:rsidR="00D56626" w:rsidRDefault="00D56626" w:rsidP="00750B3E">
            <w:pPr>
              <w:autoSpaceDE w:val="0"/>
              <w:autoSpaceDN w:val="0"/>
              <w:spacing w:before="89"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High</w:t>
            </w:r>
            <w:r w:rsidR="00EB4125">
              <w:rPr>
                <w:rFonts w:ascii="Arial Narrow" w:eastAsia="Times New Roman" w:hAnsi="Arial Narrow" w:cs="Arial"/>
                <w:sz w:val="16"/>
                <w:szCs w:val="16"/>
                <w:lang w:val="en-US"/>
              </w:rPr>
              <w:t xml:space="preserve"> – </w:t>
            </w:r>
          </w:p>
          <w:p w14:paraId="147BDDAF" w14:textId="7E2270A9" w:rsidR="00D56626" w:rsidRPr="002B2F19" w:rsidRDefault="00EB4125" w:rsidP="00EF3B0C">
            <w:pPr>
              <w:autoSpaceDE w:val="0"/>
              <w:autoSpaceDN w:val="0"/>
              <w:spacing w:after="0" w:line="252"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00D56626" w:rsidRPr="002B2F19">
              <w:rPr>
                <w:rFonts w:ascii="Arial Narrow" w:eastAsia="Times New Roman" w:hAnsi="Arial Narrow" w:cs="Arial"/>
                <w:sz w:val="16"/>
                <w:szCs w:val="16"/>
                <w:lang w:val="en-US"/>
              </w:rPr>
              <w:t>n line with risk appetite</w:t>
            </w:r>
          </w:p>
          <w:p w14:paraId="6EF44A34" w14:textId="77777777" w:rsidR="00D56626" w:rsidRPr="002B2F19" w:rsidRDefault="00D56626" w:rsidP="00750B3E">
            <w:pPr>
              <w:autoSpaceDE w:val="0"/>
              <w:autoSpaceDN w:val="0"/>
              <w:spacing w:after="0" w:line="252" w:lineRule="auto"/>
              <w:outlineLvl w:val="2"/>
              <w:rPr>
                <w:rFonts w:ascii="Arial Narrow" w:eastAsia="Times New Roman" w:hAnsi="Arial Narrow" w:cs="Arial"/>
                <w:sz w:val="16"/>
                <w:szCs w:val="16"/>
                <w:lang w:val="en-US"/>
              </w:rPr>
            </w:pPr>
            <w:r w:rsidRPr="002B2F19">
              <w:rPr>
                <w:rFonts w:ascii="Arial Narrow" w:eastAsia="Times New Roman" w:hAnsi="Arial Narrow" w:cs="Arial"/>
                <w:sz w:val="16"/>
                <w:szCs w:val="16"/>
                <w:lang w:val="en-US"/>
              </w:rPr>
              <w:t> </w:t>
            </w:r>
          </w:p>
        </w:tc>
      </w:tr>
    </w:tbl>
    <w:p w14:paraId="342ADABF" w14:textId="77777777" w:rsidR="00D56626" w:rsidRDefault="00D56626" w:rsidP="00D56626">
      <w:pPr>
        <w:rPr>
          <w:rFonts w:cs="Arial"/>
          <w:szCs w:val="18"/>
        </w:rPr>
      </w:pPr>
    </w:p>
    <w:p w14:paraId="6B169844" w14:textId="77777777" w:rsidR="00D56626" w:rsidRPr="007F1A58" w:rsidRDefault="00D56626" w:rsidP="00D56626">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9"/>
        <w:tblW w:w="9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393"/>
        <w:gridCol w:w="2394"/>
        <w:gridCol w:w="2394"/>
        <w:gridCol w:w="2397"/>
      </w:tblGrid>
      <w:tr w:rsidR="00D56626" w:rsidRPr="00192178" w14:paraId="38BF4293" w14:textId="77777777" w:rsidTr="00750B3E">
        <w:trPr>
          <w:cantSplit/>
          <w:trHeight w:val="286"/>
          <w:tblHeader/>
        </w:trPr>
        <w:tc>
          <w:tcPr>
            <w:tcW w:w="2393" w:type="dxa"/>
            <w:shd w:val="clear" w:color="auto" w:fill="C6CFD7" w:themeFill="accent3" w:themeFillTint="66"/>
          </w:tcPr>
          <w:p w14:paraId="5CDC6276" w14:textId="77777777" w:rsidR="00D56626" w:rsidRPr="00192178" w:rsidRDefault="00D56626" w:rsidP="00750B3E">
            <w:pPr>
              <w:keepNext/>
              <w:spacing w:before="40" w:after="20" w:line="200" w:lineRule="atLeast"/>
              <w:ind w:left="113"/>
              <w:rPr>
                <w:rFonts w:ascii="Arial Narrow" w:hAnsi="Arial Narrow"/>
                <w:b/>
                <w:sz w:val="16"/>
                <w:lang w:val="en-US"/>
              </w:rPr>
            </w:pPr>
            <w:r w:rsidRPr="00192178">
              <w:rPr>
                <w:rFonts w:ascii="Arial Narrow" w:hAnsi="Arial Narrow"/>
                <w:b/>
                <w:sz w:val="16"/>
                <w:lang w:val="en-US"/>
              </w:rPr>
              <w:t>Expected Result</w:t>
            </w:r>
          </w:p>
        </w:tc>
        <w:tc>
          <w:tcPr>
            <w:tcW w:w="2394" w:type="dxa"/>
            <w:shd w:val="clear" w:color="auto" w:fill="C6CFD7" w:themeFill="accent3" w:themeFillTint="66"/>
          </w:tcPr>
          <w:p w14:paraId="0DBA2927" w14:textId="77777777" w:rsidR="00D56626" w:rsidRPr="00192178" w:rsidRDefault="00D56626" w:rsidP="00750B3E">
            <w:pPr>
              <w:keepNext/>
              <w:spacing w:before="40" w:after="20" w:line="200" w:lineRule="atLeast"/>
              <w:ind w:left="113"/>
              <w:rPr>
                <w:rFonts w:ascii="Arial Narrow" w:hAnsi="Arial Narrow"/>
                <w:b/>
                <w:sz w:val="16"/>
                <w:lang w:val="en-US"/>
              </w:rPr>
            </w:pPr>
            <w:r w:rsidRPr="00192178">
              <w:rPr>
                <w:rFonts w:ascii="Arial Narrow" w:hAnsi="Arial Narrow"/>
                <w:b/>
                <w:sz w:val="16"/>
                <w:lang w:val="en-US"/>
              </w:rPr>
              <w:t>Performance Indicators</w:t>
            </w:r>
          </w:p>
        </w:tc>
        <w:tc>
          <w:tcPr>
            <w:tcW w:w="2394" w:type="dxa"/>
            <w:shd w:val="clear" w:color="auto" w:fill="C6CFD7" w:themeFill="accent3" w:themeFillTint="66"/>
          </w:tcPr>
          <w:p w14:paraId="39C9804E" w14:textId="77777777" w:rsidR="00D56626" w:rsidRPr="00192178" w:rsidRDefault="00D56626" w:rsidP="00750B3E">
            <w:pPr>
              <w:keepNext/>
              <w:spacing w:before="40" w:after="20" w:line="200" w:lineRule="atLeast"/>
              <w:ind w:left="113"/>
              <w:rPr>
                <w:rFonts w:ascii="Arial Narrow" w:hAnsi="Arial Narrow"/>
                <w:b/>
                <w:sz w:val="16"/>
                <w:lang w:val="en-US"/>
              </w:rPr>
            </w:pPr>
            <w:r w:rsidRPr="00192178">
              <w:rPr>
                <w:rFonts w:ascii="Arial Narrow" w:hAnsi="Arial Narrow"/>
                <w:b/>
                <w:sz w:val="16"/>
                <w:lang w:val="en-US"/>
              </w:rPr>
              <w:t>Baselines</w:t>
            </w:r>
          </w:p>
        </w:tc>
        <w:tc>
          <w:tcPr>
            <w:tcW w:w="2397" w:type="dxa"/>
            <w:shd w:val="clear" w:color="auto" w:fill="C6CFD7" w:themeFill="accent3" w:themeFillTint="66"/>
          </w:tcPr>
          <w:p w14:paraId="024C0097" w14:textId="77777777" w:rsidR="00D56626" w:rsidRPr="00192178" w:rsidRDefault="00D56626" w:rsidP="00750B3E">
            <w:pPr>
              <w:keepNext/>
              <w:spacing w:before="40" w:after="20" w:line="200" w:lineRule="atLeast"/>
              <w:ind w:left="113"/>
              <w:rPr>
                <w:rFonts w:ascii="Arial Narrow" w:hAnsi="Arial Narrow"/>
                <w:b/>
                <w:sz w:val="16"/>
                <w:lang w:val="en-US"/>
              </w:rPr>
            </w:pPr>
            <w:r w:rsidRPr="00192178">
              <w:rPr>
                <w:rFonts w:ascii="Arial Narrow" w:hAnsi="Arial Narrow"/>
                <w:b/>
                <w:sz w:val="16"/>
                <w:lang w:val="en-US"/>
              </w:rPr>
              <w:t>Targets</w:t>
            </w:r>
          </w:p>
        </w:tc>
      </w:tr>
      <w:tr w:rsidR="00D56626" w:rsidRPr="00192178" w14:paraId="5FA78180" w14:textId="77777777" w:rsidTr="004150FE">
        <w:trPr>
          <w:cantSplit/>
          <w:trHeight w:val="286"/>
        </w:trPr>
        <w:tc>
          <w:tcPr>
            <w:tcW w:w="2393" w:type="dxa"/>
            <w:shd w:val="clear" w:color="auto" w:fill="EDF0F3" w:themeFill="accent4" w:themeFillTint="33"/>
          </w:tcPr>
          <w:p w14:paraId="1C69D135" w14:textId="77777777" w:rsidR="00D56626" w:rsidRPr="00192178" w:rsidRDefault="00D56626" w:rsidP="00750B3E">
            <w:pPr>
              <w:keepNext/>
              <w:spacing w:before="40" w:after="20" w:line="200" w:lineRule="atLeast"/>
              <w:ind w:left="113"/>
              <w:rPr>
                <w:rFonts w:ascii="Arial Narrow" w:hAnsi="Arial Narrow"/>
                <w:i/>
                <w:color w:val="005172" w:themeColor="text2"/>
                <w:sz w:val="16"/>
                <w:lang w:val="en-US"/>
              </w:rPr>
            </w:pPr>
            <w:r w:rsidRPr="00192178">
              <w:rPr>
                <w:rFonts w:ascii="Arial Narrow" w:hAnsi="Arial Narrow"/>
                <w:i/>
                <w:color w:val="005172" w:themeColor="text2"/>
                <w:sz w:val="16"/>
                <w:lang w:val="en-US"/>
              </w:rPr>
              <w:t xml:space="preserve">Strategic </w:t>
            </w:r>
            <w:r>
              <w:rPr>
                <w:rFonts w:ascii="Arial Narrow" w:hAnsi="Arial Narrow"/>
                <w:i/>
                <w:color w:val="005172" w:themeColor="text2"/>
                <w:sz w:val="16"/>
                <w:lang w:val="en-US"/>
              </w:rPr>
              <w:t>Pillar</w:t>
            </w:r>
            <w:r w:rsidRPr="00192178">
              <w:rPr>
                <w:rFonts w:ascii="Arial Narrow" w:hAnsi="Arial Narrow"/>
                <w:i/>
                <w:color w:val="005172" w:themeColor="text2"/>
                <w:sz w:val="16"/>
                <w:lang w:val="en-US"/>
              </w:rPr>
              <w:t xml:space="preserve"> 1</w:t>
            </w:r>
          </w:p>
        </w:tc>
        <w:tc>
          <w:tcPr>
            <w:tcW w:w="7185" w:type="dxa"/>
            <w:gridSpan w:val="3"/>
            <w:shd w:val="clear" w:color="auto" w:fill="EDF0F3" w:themeFill="accent4" w:themeFillTint="33"/>
          </w:tcPr>
          <w:p w14:paraId="228B9388" w14:textId="77777777" w:rsidR="00D56626" w:rsidRPr="00192178" w:rsidRDefault="00D56626" w:rsidP="00750B3E">
            <w:pPr>
              <w:keepNext/>
              <w:spacing w:before="40" w:after="20" w:line="200" w:lineRule="atLeast"/>
              <w:ind w:left="113"/>
              <w:rPr>
                <w:rFonts w:ascii="Arial Narrow" w:hAnsi="Arial Narrow"/>
                <w:i/>
                <w:color w:val="005172" w:themeColor="text2"/>
                <w:sz w:val="16"/>
                <w:lang w:val="en-US"/>
              </w:rPr>
            </w:pPr>
            <w:r w:rsidRPr="00192178">
              <w:rPr>
                <w:rFonts w:ascii="Arial Narrow" w:hAnsi="Arial Narrow"/>
                <w:i/>
                <w:color w:val="005172" w:themeColor="text2"/>
                <w:sz w:val="16"/>
                <w:lang w:val="en-US"/>
              </w:rPr>
              <w:t>Reach out worldwide to explain the potential for intellectual property to improve the lives of everyone, everywhere</w:t>
            </w:r>
          </w:p>
        </w:tc>
      </w:tr>
      <w:tr w:rsidR="00D56626" w:rsidRPr="00192178" w14:paraId="35F53737" w14:textId="77777777" w:rsidTr="00750B3E">
        <w:trPr>
          <w:cantSplit/>
          <w:trHeight w:val="392"/>
        </w:trPr>
        <w:tc>
          <w:tcPr>
            <w:tcW w:w="2393" w:type="dxa"/>
            <w:vMerge w:val="restart"/>
            <w:shd w:val="clear" w:color="auto" w:fill="auto"/>
          </w:tcPr>
          <w:p w14:paraId="381FF513" w14:textId="77777777" w:rsidR="00D56626" w:rsidRPr="00192178" w:rsidRDefault="00D56626" w:rsidP="00750B3E">
            <w:pPr>
              <w:spacing w:after="0" w:line="200" w:lineRule="atLeast"/>
              <w:ind w:left="113"/>
              <w:rPr>
                <w:rFonts w:ascii="Arial Narrow" w:hAnsi="Arial Narrow"/>
                <w:b/>
                <w:sz w:val="16"/>
                <w:lang w:val="en-US"/>
              </w:rPr>
            </w:pPr>
            <w:r w:rsidRPr="00192178">
              <w:rPr>
                <w:rFonts w:ascii="Arial Narrow" w:hAnsi="Arial Narrow"/>
                <w:b/>
                <w:color w:val="005172" w:themeColor="text2"/>
                <w:sz w:val="16"/>
                <w:lang w:val="en-US"/>
              </w:rPr>
              <w:t>1.1</w:t>
            </w:r>
            <w:r w:rsidRPr="00192178">
              <w:rPr>
                <w:rFonts w:ascii="Arial Narrow" w:hAnsi="Arial Narrow"/>
                <w:b/>
                <w:color w:val="005694"/>
                <w:sz w:val="16"/>
                <w:lang w:val="en-US"/>
              </w:rPr>
              <w:t xml:space="preserve">  </w:t>
            </w:r>
            <w:r w:rsidRPr="00192178">
              <w:rPr>
                <w:rFonts w:ascii="Arial Narrow" w:hAnsi="Arial Narrow"/>
                <w:b/>
                <w:sz w:val="16"/>
                <w:lang w:val="en-US"/>
              </w:rPr>
              <w:t>More effective communication and engagement worldwide to raise awareness of and increase knowledge about the potential of IP to improve the lives of everyone, everywhere</w:t>
            </w:r>
          </w:p>
        </w:tc>
        <w:tc>
          <w:tcPr>
            <w:tcW w:w="2394" w:type="dxa"/>
            <w:shd w:val="clear" w:color="auto" w:fill="auto"/>
          </w:tcPr>
          <w:p w14:paraId="3D09B11F" w14:textId="52568EAE" w:rsidR="00D56626" w:rsidRPr="00192178" w:rsidRDefault="00D56626" w:rsidP="00750B3E">
            <w:pPr>
              <w:spacing w:after="0" w:line="200" w:lineRule="atLeast"/>
              <w:ind w:left="113"/>
              <w:rPr>
                <w:rFonts w:ascii="Arial Narrow" w:hAnsi="Arial Narrow"/>
                <w:sz w:val="16"/>
                <w:lang w:val="en-US"/>
              </w:rPr>
            </w:pPr>
            <w:r w:rsidRPr="008C316F">
              <w:rPr>
                <w:rFonts w:ascii="Arial Narrow" w:hAnsi="Arial Narrow"/>
                <w:sz w:val="16"/>
                <w:lang w:val="en-US"/>
              </w:rPr>
              <w:t xml:space="preserve">No. of unique </w:t>
            </w:r>
            <w:r w:rsidRPr="00D756DB">
              <w:rPr>
                <w:rFonts w:ascii="Arial Narrow" w:hAnsi="Arial Narrow"/>
                <w:sz w:val="16"/>
                <w:lang w:val="en-US"/>
              </w:rPr>
              <w:t xml:space="preserve">visitors </w:t>
            </w:r>
            <w:r w:rsidRPr="008C316F">
              <w:rPr>
                <w:rFonts w:ascii="Arial Narrow" w:hAnsi="Arial Narrow"/>
                <w:sz w:val="16"/>
                <w:lang w:val="en-US"/>
              </w:rPr>
              <w:t>to the WIPO website and the websites of the External Offices</w:t>
            </w:r>
          </w:p>
        </w:tc>
        <w:tc>
          <w:tcPr>
            <w:tcW w:w="2394" w:type="dxa"/>
            <w:shd w:val="clear" w:color="auto" w:fill="auto"/>
          </w:tcPr>
          <w:p w14:paraId="37DCB639" w14:textId="0DBA142A" w:rsidR="00D56626" w:rsidRPr="00192178" w:rsidRDefault="00D56626" w:rsidP="00750B3E">
            <w:pPr>
              <w:spacing w:after="0" w:line="200" w:lineRule="atLeast"/>
              <w:ind w:left="113"/>
              <w:rPr>
                <w:rFonts w:ascii="Arial Narrow" w:hAnsi="Arial Narrow"/>
                <w:sz w:val="16"/>
                <w:lang w:val="en-US"/>
              </w:rPr>
            </w:pPr>
            <w:r w:rsidRPr="00DB3E75">
              <w:rPr>
                <w:rFonts w:ascii="Arial Narrow" w:hAnsi="Arial Narrow"/>
                <w:sz w:val="16"/>
                <w:lang w:val="en-US"/>
              </w:rPr>
              <w:t>13,437,518</w:t>
            </w:r>
            <w:r w:rsidR="00974F71">
              <w:rPr>
                <w:rFonts w:ascii="Arial Narrow" w:hAnsi="Arial Narrow"/>
                <w:sz w:val="16"/>
                <w:lang w:val="en-US"/>
              </w:rPr>
              <w:t xml:space="preserve"> (2022)</w:t>
            </w:r>
          </w:p>
        </w:tc>
        <w:tc>
          <w:tcPr>
            <w:tcW w:w="2397" w:type="dxa"/>
            <w:shd w:val="clear" w:color="auto" w:fill="auto"/>
          </w:tcPr>
          <w:p w14:paraId="294778E2" w14:textId="77777777" w:rsidR="00D56626" w:rsidRPr="00192178" w:rsidRDefault="00D56626" w:rsidP="00750B3E">
            <w:pPr>
              <w:spacing w:after="0" w:line="200" w:lineRule="atLeast"/>
              <w:ind w:left="113"/>
              <w:rPr>
                <w:rFonts w:ascii="Arial Narrow" w:hAnsi="Arial Narrow"/>
                <w:sz w:val="16"/>
                <w:lang w:val="en-US"/>
              </w:rPr>
            </w:pPr>
            <w:r>
              <w:rPr>
                <w:rFonts w:ascii="Arial Narrow" w:hAnsi="Arial Narrow"/>
                <w:sz w:val="16"/>
                <w:lang w:val="en-US"/>
              </w:rPr>
              <w:t>20% increase (biennium)</w:t>
            </w:r>
          </w:p>
        </w:tc>
      </w:tr>
      <w:tr w:rsidR="00D56626" w:rsidRPr="00192178" w14:paraId="2B27CAFF" w14:textId="77777777" w:rsidTr="004150FE">
        <w:trPr>
          <w:cantSplit/>
          <w:trHeight w:val="580"/>
        </w:trPr>
        <w:tc>
          <w:tcPr>
            <w:tcW w:w="2393" w:type="dxa"/>
            <w:vMerge/>
            <w:tcBorders>
              <w:bottom w:val="single" w:sz="4" w:space="0" w:color="CBD4DB" w:themeColor="accent4" w:themeTint="99"/>
            </w:tcBorders>
            <w:shd w:val="clear" w:color="auto" w:fill="auto"/>
          </w:tcPr>
          <w:p w14:paraId="1B540CE7" w14:textId="77777777" w:rsidR="00D56626" w:rsidRPr="00192178" w:rsidRDefault="00D56626" w:rsidP="00750B3E">
            <w:pPr>
              <w:spacing w:after="0" w:line="200" w:lineRule="atLeast"/>
              <w:ind w:left="113"/>
              <w:rPr>
                <w:rFonts w:ascii="Arial Narrow" w:hAnsi="Arial Narrow"/>
                <w:b/>
                <w:color w:val="005172" w:themeColor="text2"/>
                <w:sz w:val="16"/>
                <w:lang w:val="en-US"/>
              </w:rPr>
            </w:pPr>
          </w:p>
        </w:tc>
        <w:tc>
          <w:tcPr>
            <w:tcW w:w="2394" w:type="dxa"/>
            <w:tcBorders>
              <w:bottom w:val="single" w:sz="4" w:space="0" w:color="CBD4DB" w:themeColor="accent4" w:themeTint="99"/>
            </w:tcBorders>
            <w:shd w:val="clear" w:color="auto" w:fill="auto"/>
          </w:tcPr>
          <w:p w14:paraId="027FBE2F" w14:textId="77777777" w:rsidR="00D56626" w:rsidRPr="00192178" w:rsidRDefault="00D56626" w:rsidP="00750B3E">
            <w:pPr>
              <w:spacing w:after="0" w:line="200" w:lineRule="atLeast"/>
              <w:ind w:left="113"/>
              <w:rPr>
                <w:rFonts w:ascii="Arial Narrow" w:hAnsi="Arial Narrow"/>
                <w:sz w:val="16"/>
                <w:lang w:val="en-US"/>
              </w:rPr>
            </w:pPr>
            <w:r w:rsidRPr="00D756DB">
              <w:rPr>
                <w:rFonts w:ascii="Arial Narrow" w:hAnsi="Arial Narrow"/>
                <w:sz w:val="16"/>
                <w:lang w:val="en-US"/>
              </w:rPr>
              <w:t>No. of unique visitors who accessed WIPO publications</w:t>
            </w:r>
          </w:p>
        </w:tc>
        <w:tc>
          <w:tcPr>
            <w:tcW w:w="2394" w:type="dxa"/>
            <w:tcBorders>
              <w:bottom w:val="single" w:sz="4" w:space="0" w:color="CBD4DB" w:themeColor="accent4" w:themeTint="99"/>
            </w:tcBorders>
            <w:shd w:val="clear" w:color="auto" w:fill="auto"/>
          </w:tcPr>
          <w:p w14:paraId="79AFB064" w14:textId="77777777" w:rsidR="00D56626" w:rsidRPr="00192178" w:rsidRDefault="00D56626" w:rsidP="00750B3E">
            <w:pPr>
              <w:spacing w:after="0" w:line="200" w:lineRule="atLeast"/>
              <w:ind w:left="113"/>
              <w:rPr>
                <w:rFonts w:ascii="Arial Narrow" w:hAnsi="Arial Narrow"/>
                <w:sz w:val="16"/>
                <w:lang w:val="en-US"/>
              </w:rPr>
            </w:pPr>
            <w:r w:rsidRPr="0008342B">
              <w:rPr>
                <w:rFonts w:ascii="Arial Narrow" w:hAnsi="Arial Narrow"/>
                <w:sz w:val="16"/>
                <w:lang w:val="en-US"/>
              </w:rPr>
              <w:t>tbd</w:t>
            </w:r>
          </w:p>
        </w:tc>
        <w:tc>
          <w:tcPr>
            <w:tcW w:w="2397" w:type="dxa"/>
            <w:tcBorders>
              <w:bottom w:val="single" w:sz="4" w:space="0" w:color="CBD4DB" w:themeColor="accent4" w:themeTint="99"/>
            </w:tcBorders>
            <w:shd w:val="clear" w:color="auto" w:fill="auto"/>
          </w:tcPr>
          <w:p w14:paraId="640EE9AF" w14:textId="77777777" w:rsidR="00D56626" w:rsidRPr="00192178" w:rsidRDefault="00D56626" w:rsidP="00750B3E">
            <w:pPr>
              <w:spacing w:after="0" w:line="200" w:lineRule="atLeast"/>
              <w:ind w:left="113"/>
              <w:rPr>
                <w:rFonts w:ascii="Arial Narrow" w:hAnsi="Arial Narrow"/>
                <w:sz w:val="16"/>
                <w:lang w:val="en-US"/>
              </w:rPr>
            </w:pPr>
            <w:r>
              <w:rPr>
                <w:rFonts w:ascii="Arial Narrow" w:hAnsi="Arial Narrow"/>
                <w:sz w:val="16"/>
                <w:lang w:val="en-US"/>
              </w:rPr>
              <w:t>20% increase (biennium)</w:t>
            </w:r>
          </w:p>
        </w:tc>
      </w:tr>
      <w:tr w:rsidR="00D56626" w:rsidRPr="00192178" w14:paraId="5F5257F4" w14:textId="77777777" w:rsidTr="004150FE">
        <w:trPr>
          <w:cantSplit/>
          <w:trHeight w:val="286"/>
        </w:trPr>
        <w:tc>
          <w:tcPr>
            <w:tcW w:w="2393" w:type="dxa"/>
            <w:tcBorders>
              <w:top w:val="single" w:sz="4" w:space="0" w:color="CBD4DB" w:themeColor="accent4" w:themeTint="99"/>
            </w:tcBorders>
            <w:shd w:val="clear" w:color="auto" w:fill="EDF0F3" w:themeFill="accent4" w:themeFillTint="33"/>
          </w:tcPr>
          <w:p w14:paraId="30A36C1C" w14:textId="77777777" w:rsidR="00D56626" w:rsidRPr="00192178" w:rsidRDefault="00D56626" w:rsidP="00750B3E">
            <w:pPr>
              <w:keepNext/>
              <w:spacing w:before="40" w:after="20" w:line="200" w:lineRule="atLeast"/>
              <w:ind w:left="113"/>
              <w:rPr>
                <w:rFonts w:ascii="Arial Narrow" w:hAnsi="Arial Narrow"/>
                <w:i/>
                <w:color w:val="005172" w:themeColor="text2"/>
                <w:sz w:val="16"/>
                <w:lang w:val="en-US"/>
              </w:rPr>
            </w:pPr>
            <w:r w:rsidRPr="00192178">
              <w:rPr>
                <w:rFonts w:ascii="Arial Narrow" w:hAnsi="Arial Narrow"/>
                <w:i/>
                <w:color w:val="005172" w:themeColor="text2"/>
                <w:sz w:val="16"/>
                <w:lang w:val="en-US"/>
              </w:rPr>
              <w:t xml:space="preserve">Strategic </w:t>
            </w:r>
            <w:r>
              <w:rPr>
                <w:rFonts w:ascii="Arial Narrow" w:hAnsi="Arial Narrow"/>
                <w:i/>
                <w:color w:val="005172" w:themeColor="text2"/>
                <w:sz w:val="16"/>
                <w:lang w:val="en-US"/>
              </w:rPr>
              <w:t>Pillar</w:t>
            </w:r>
            <w:r w:rsidRPr="00192178">
              <w:rPr>
                <w:rFonts w:ascii="Arial Narrow" w:hAnsi="Arial Narrow"/>
                <w:i/>
                <w:color w:val="005172" w:themeColor="text2"/>
                <w:sz w:val="16"/>
                <w:lang w:val="en-US"/>
              </w:rPr>
              <w:t xml:space="preserve"> 2</w:t>
            </w:r>
          </w:p>
        </w:tc>
        <w:tc>
          <w:tcPr>
            <w:tcW w:w="7185" w:type="dxa"/>
            <w:gridSpan w:val="3"/>
            <w:tcBorders>
              <w:top w:val="single" w:sz="4" w:space="0" w:color="CBD4DB" w:themeColor="accent4" w:themeTint="99"/>
            </w:tcBorders>
            <w:shd w:val="clear" w:color="auto" w:fill="EDF0F3" w:themeFill="accent4" w:themeFillTint="33"/>
          </w:tcPr>
          <w:p w14:paraId="08772EFD" w14:textId="77777777" w:rsidR="00D56626" w:rsidRPr="00192178" w:rsidRDefault="00D56626" w:rsidP="00750B3E">
            <w:pPr>
              <w:keepNext/>
              <w:spacing w:before="40" w:after="20" w:line="200" w:lineRule="atLeast"/>
              <w:ind w:left="113"/>
              <w:rPr>
                <w:rFonts w:ascii="Arial Narrow" w:hAnsi="Arial Narrow"/>
                <w:i/>
                <w:color w:val="005172" w:themeColor="text2"/>
                <w:sz w:val="16"/>
                <w:lang w:val="en-US"/>
              </w:rPr>
            </w:pPr>
            <w:r w:rsidRPr="00192178">
              <w:rPr>
                <w:rFonts w:ascii="Arial Narrow" w:hAnsi="Arial Narrow"/>
                <w:i/>
                <w:color w:val="005172" w:themeColor="text2"/>
                <w:sz w:val="16"/>
                <w:lang w:val="en-US"/>
              </w:rPr>
              <w:t>Bring people together and partner with stakeholders to shape the future of the global intellectual property ecosystem</w:t>
            </w:r>
          </w:p>
        </w:tc>
      </w:tr>
      <w:tr w:rsidR="00D56626" w:rsidRPr="00192178" w14:paraId="0FEA7494" w14:textId="77777777" w:rsidTr="00750B3E">
        <w:trPr>
          <w:cantSplit/>
          <w:trHeight w:val="816"/>
        </w:trPr>
        <w:tc>
          <w:tcPr>
            <w:tcW w:w="2393" w:type="dxa"/>
            <w:shd w:val="clear" w:color="auto" w:fill="auto"/>
          </w:tcPr>
          <w:p w14:paraId="750526BF" w14:textId="23D2DC85" w:rsidR="00D56626" w:rsidRPr="00192178" w:rsidRDefault="00D56626" w:rsidP="00750B3E">
            <w:pPr>
              <w:spacing w:after="0" w:line="200" w:lineRule="atLeast"/>
              <w:ind w:left="113"/>
              <w:rPr>
                <w:rFonts w:ascii="Arial Narrow" w:hAnsi="Arial Narrow"/>
                <w:b/>
                <w:sz w:val="16"/>
                <w:lang w:val="en-US"/>
              </w:rPr>
            </w:pPr>
            <w:r w:rsidRPr="00192178">
              <w:rPr>
                <w:rFonts w:ascii="Arial Narrow" w:hAnsi="Arial Narrow"/>
                <w:b/>
                <w:color w:val="005172" w:themeColor="text2"/>
                <w:sz w:val="16"/>
                <w:lang w:val="en-US"/>
              </w:rPr>
              <w:t xml:space="preserve">2.1 </w:t>
            </w:r>
            <w:r w:rsidRPr="00192178">
              <w:rPr>
                <w:rFonts w:ascii="Arial Narrow" w:hAnsi="Arial Narrow"/>
                <w:b/>
                <w:sz w:val="16"/>
                <w:lang w:val="en-US"/>
              </w:rPr>
              <w:t xml:space="preserve"> Development of </w:t>
            </w:r>
            <w:r w:rsidRPr="006D2FC9">
              <w:rPr>
                <w:rFonts w:ascii="Arial Narrow" w:hAnsi="Arial Narrow"/>
                <w:b/>
                <w:sz w:val="16"/>
                <w:lang w:val="en-US"/>
              </w:rPr>
              <w:t>balanced</w:t>
            </w:r>
            <w:r w:rsidRPr="006D2FC9">
              <w:rPr>
                <w:rFonts w:ascii="Arial Narrow" w:hAnsi="Arial Narrow"/>
                <w:b/>
                <w:strike/>
                <w:sz w:val="16"/>
                <w:lang w:val="en-US"/>
              </w:rPr>
              <w:t xml:space="preserve"> </w:t>
            </w:r>
            <w:r w:rsidRPr="006D2FC9">
              <w:rPr>
                <w:rFonts w:ascii="Arial Narrow" w:hAnsi="Arial Narrow"/>
                <w:b/>
                <w:sz w:val="16"/>
                <w:lang w:val="en-US"/>
              </w:rPr>
              <w:t xml:space="preserve">and effective </w:t>
            </w:r>
            <w:r w:rsidRPr="00192178">
              <w:rPr>
                <w:rFonts w:ascii="Arial Narrow" w:hAnsi="Arial Narrow"/>
                <w:b/>
                <w:sz w:val="16"/>
                <w:lang w:val="en-US"/>
              </w:rPr>
              <w:t>international normative frameworks for IP</w:t>
            </w:r>
          </w:p>
        </w:tc>
        <w:tc>
          <w:tcPr>
            <w:tcW w:w="2394" w:type="dxa"/>
            <w:shd w:val="clear" w:color="auto" w:fill="auto"/>
          </w:tcPr>
          <w:p w14:paraId="61AC57EF" w14:textId="77777777" w:rsidR="00D56626" w:rsidRPr="00192178" w:rsidRDefault="00D56626" w:rsidP="00750B3E">
            <w:pPr>
              <w:spacing w:after="0" w:line="200" w:lineRule="atLeast"/>
              <w:ind w:left="113"/>
              <w:rPr>
                <w:rFonts w:ascii="Arial Narrow" w:hAnsi="Arial Narrow"/>
                <w:sz w:val="16"/>
                <w:lang w:val="en-US"/>
              </w:rPr>
            </w:pPr>
            <w:r w:rsidRPr="00192178">
              <w:rPr>
                <w:rFonts w:ascii="Arial Narrow" w:hAnsi="Arial Narrow"/>
                <w:sz w:val="16"/>
                <w:lang w:val="en-US"/>
              </w:rPr>
              <w:t>Progress on the implementation of agreed work in accordance with the agenda of the Committee</w:t>
            </w:r>
          </w:p>
        </w:tc>
        <w:tc>
          <w:tcPr>
            <w:tcW w:w="2394" w:type="dxa"/>
            <w:shd w:val="clear" w:color="auto" w:fill="auto"/>
          </w:tcPr>
          <w:p w14:paraId="2BB6510E" w14:textId="77777777" w:rsidR="00D56626" w:rsidRPr="00DB3E75" w:rsidRDefault="00D56626" w:rsidP="00750B3E">
            <w:pPr>
              <w:spacing w:after="0" w:line="200" w:lineRule="atLeast"/>
              <w:ind w:left="113"/>
              <w:rPr>
                <w:rFonts w:ascii="Arial Narrow" w:hAnsi="Arial Narrow"/>
                <w:sz w:val="16"/>
                <w:lang w:val="en-US"/>
              </w:rPr>
            </w:pPr>
            <w:r w:rsidRPr="00DB3E75">
              <w:rPr>
                <w:rFonts w:ascii="Arial Narrow" w:hAnsi="Arial Narrow"/>
                <w:sz w:val="16"/>
                <w:lang w:val="en-US"/>
              </w:rPr>
              <w:t xml:space="preserve">Chair’s Summary from SCCR/42 </w:t>
            </w:r>
          </w:p>
          <w:p w14:paraId="0C5048C7" w14:textId="77777777" w:rsidR="00D56626" w:rsidRPr="00DB3E75" w:rsidRDefault="00D56626" w:rsidP="00750B3E">
            <w:pPr>
              <w:spacing w:after="0" w:line="200" w:lineRule="atLeast"/>
              <w:ind w:left="113"/>
              <w:rPr>
                <w:rFonts w:ascii="Arial Narrow" w:hAnsi="Arial Narrow"/>
                <w:sz w:val="16"/>
                <w:lang w:val="en-US"/>
              </w:rPr>
            </w:pPr>
            <w:r w:rsidRPr="00DB3E75">
              <w:rPr>
                <w:rFonts w:ascii="Arial Narrow" w:hAnsi="Arial Narrow"/>
                <w:sz w:val="16"/>
                <w:lang w:val="en-US"/>
              </w:rPr>
              <w:t>demonstrating progress on agenda</w:t>
            </w:r>
          </w:p>
          <w:p w14:paraId="7F04A0BA" w14:textId="77777777" w:rsidR="00D56626" w:rsidRPr="00192178" w:rsidRDefault="00D56626" w:rsidP="00750B3E">
            <w:pPr>
              <w:spacing w:after="0" w:line="200" w:lineRule="atLeast"/>
              <w:ind w:left="113"/>
              <w:rPr>
                <w:rFonts w:ascii="Arial Narrow" w:hAnsi="Arial Narrow"/>
                <w:sz w:val="16"/>
                <w:lang w:val="en-US"/>
              </w:rPr>
            </w:pPr>
            <w:r w:rsidRPr="00DB3E75">
              <w:rPr>
                <w:rFonts w:ascii="Arial Narrow" w:hAnsi="Arial Narrow"/>
                <w:sz w:val="16"/>
                <w:lang w:val="en-US"/>
              </w:rPr>
              <w:t>Items as agreed by the Committee</w:t>
            </w:r>
          </w:p>
        </w:tc>
        <w:tc>
          <w:tcPr>
            <w:tcW w:w="2397" w:type="dxa"/>
            <w:shd w:val="clear" w:color="auto" w:fill="auto"/>
          </w:tcPr>
          <w:p w14:paraId="6F9706BD" w14:textId="77777777" w:rsidR="00D56626" w:rsidRPr="00192178" w:rsidRDefault="00D56626" w:rsidP="00750B3E">
            <w:pPr>
              <w:spacing w:after="0" w:line="200" w:lineRule="atLeast"/>
              <w:ind w:left="113"/>
              <w:rPr>
                <w:rFonts w:ascii="Arial Narrow" w:hAnsi="Arial Narrow"/>
                <w:sz w:val="16"/>
                <w:lang w:val="en-US"/>
              </w:rPr>
            </w:pPr>
            <w:r>
              <w:rPr>
                <w:rFonts w:ascii="Arial Narrow" w:hAnsi="Arial Narrow"/>
                <w:sz w:val="16"/>
                <w:lang w:val="en-US"/>
              </w:rPr>
              <w:t>Implementation of agreed work in accordance with the SCCR agenda</w:t>
            </w:r>
          </w:p>
        </w:tc>
      </w:tr>
      <w:tr w:rsidR="00D56626" w:rsidRPr="00192178" w14:paraId="3DF8708E" w14:textId="77777777" w:rsidTr="00750B3E">
        <w:trPr>
          <w:cantSplit/>
          <w:trHeight w:val="428"/>
        </w:trPr>
        <w:tc>
          <w:tcPr>
            <w:tcW w:w="2393" w:type="dxa"/>
            <w:shd w:val="clear" w:color="auto" w:fill="EDF0F3" w:themeFill="accent4" w:themeFillTint="33"/>
          </w:tcPr>
          <w:p w14:paraId="3087053E" w14:textId="77777777" w:rsidR="00D56626" w:rsidRPr="00192178" w:rsidRDefault="00D56626" w:rsidP="00750B3E">
            <w:pPr>
              <w:spacing w:after="0" w:line="200" w:lineRule="atLeast"/>
              <w:ind w:left="113"/>
              <w:rPr>
                <w:rFonts w:ascii="Arial Narrow" w:hAnsi="Arial Narrow"/>
                <w:b/>
                <w:color w:val="005172" w:themeColor="text2"/>
                <w:sz w:val="16"/>
              </w:rPr>
            </w:pPr>
            <w:r w:rsidRPr="00192178">
              <w:rPr>
                <w:rFonts w:ascii="Arial Narrow" w:hAnsi="Arial Narrow"/>
                <w:i/>
                <w:color w:val="005172" w:themeColor="text2"/>
                <w:sz w:val="16"/>
                <w:lang w:val="en-US"/>
              </w:rPr>
              <w:t xml:space="preserve">Strategic </w:t>
            </w:r>
            <w:r>
              <w:rPr>
                <w:rFonts w:ascii="Arial Narrow" w:hAnsi="Arial Narrow"/>
                <w:i/>
                <w:color w:val="005172" w:themeColor="text2"/>
                <w:sz w:val="16"/>
                <w:lang w:val="en-US"/>
              </w:rPr>
              <w:t>Pillar</w:t>
            </w:r>
            <w:r w:rsidRPr="00192178">
              <w:rPr>
                <w:rFonts w:ascii="Arial Narrow" w:hAnsi="Arial Narrow"/>
                <w:i/>
                <w:color w:val="005172" w:themeColor="text2"/>
                <w:sz w:val="16"/>
                <w:lang w:val="en-US"/>
              </w:rPr>
              <w:t xml:space="preserve"> 4</w:t>
            </w:r>
          </w:p>
        </w:tc>
        <w:tc>
          <w:tcPr>
            <w:tcW w:w="7185" w:type="dxa"/>
            <w:gridSpan w:val="3"/>
            <w:shd w:val="clear" w:color="auto" w:fill="EDF0F3" w:themeFill="accent4" w:themeFillTint="33"/>
          </w:tcPr>
          <w:p w14:paraId="46E0ED32" w14:textId="77777777" w:rsidR="00D56626" w:rsidRPr="00192178" w:rsidRDefault="00D56626" w:rsidP="00750B3E">
            <w:pPr>
              <w:keepNext/>
              <w:spacing w:before="40" w:after="20" w:line="200" w:lineRule="atLeast"/>
              <w:ind w:left="113"/>
              <w:rPr>
                <w:rFonts w:ascii="Arial Narrow" w:hAnsi="Arial Narrow"/>
                <w:b/>
                <w:sz w:val="16"/>
                <w:lang w:val="en-US"/>
              </w:rPr>
            </w:pPr>
            <w:r w:rsidRPr="00192178">
              <w:rPr>
                <w:rFonts w:ascii="Arial Narrow" w:hAnsi="Arial Narrow"/>
                <w:i/>
                <w:color w:val="005172" w:themeColor="text2"/>
                <w:sz w:val="16"/>
                <w:lang w:val="en-US"/>
              </w:rPr>
              <w:t>Support governments, enterprises, communities and individuals to use intellectual property as a tool for growth and sustainable development</w:t>
            </w:r>
          </w:p>
        </w:tc>
      </w:tr>
      <w:tr w:rsidR="00D56626" w:rsidRPr="00192178" w14:paraId="7AE82761" w14:textId="77777777" w:rsidTr="00750B3E">
        <w:trPr>
          <w:cantSplit/>
          <w:trHeight w:val="1491"/>
        </w:trPr>
        <w:tc>
          <w:tcPr>
            <w:tcW w:w="2393" w:type="dxa"/>
            <w:tcBorders>
              <w:bottom w:val="single" w:sz="4" w:space="0" w:color="BFBFBF" w:themeColor="background1" w:themeShade="BF"/>
            </w:tcBorders>
            <w:shd w:val="clear" w:color="auto" w:fill="auto"/>
          </w:tcPr>
          <w:p w14:paraId="7F02C5CF" w14:textId="5BA005D0" w:rsidR="00D56626" w:rsidRPr="0049602F" w:rsidRDefault="00D56626" w:rsidP="00750B3E">
            <w:pPr>
              <w:spacing w:after="0" w:line="200" w:lineRule="atLeast"/>
              <w:ind w:left="113"/>
              <w:rPr>
                <w:rFonts w:ascii="Arial Narrow" w:hAnsi="Arial Narrow"/>
                <w:b/>
                <w:color w:val="005172" w:themeColor="text2"/>
                <w:sz w:val="16"/>
                <w:szCs w:val="16"/>
                <w:lang w:val="en-US"/>
              </w:rPr>
            </w:pPr>
            <w:r w:rsidRPr="00A94D2B">
              <w:rPr>
                <w:rStyle w:val="charColoured"/>
                <w:rFonts w:ascii="Arial Narrow" w:hAnsi="Arial Narrow"/>
                <w:b/>
                <w:sz w:val="16"/>
                <w:szCs w:val="16"/>
                <w:lang w:val="en-US"/>
              </w:rPr>
              <w:t xml:space="preserve">4.1  </w:t>
            </w:r>
            <w:r w:rsidR="001048EB">
              <w:rPr>
                <w:rFonts w:ascii="Arial Narrow" w:hAnsi="Arial Narrow"/>
                <w:b/>
                <w:sz w:val="16"/>
                <w:szCs w:val="16"/>
              </w:rPr>
              <w:t>More effective use of a balanced IP system to support growth</w:t>
            </w:r>
            <w:r w:rsidR="00D779AD">
              <w:rPr>
                <w:rFonts w:ascii="Arial Narrow" w:hAnsi="Arial Narrow"/>
                <w:b/>
                <w:sz w:val="16"/>
                <w:szCs w:val="16"/>
              </w:rPr>
              <w:t xml:space="preserve"> </w:t>
            </w:r>
            <w:r w:rsidRPr="00A94D2B">
              <w:rPr>
                <w:rFonts w:ascii="Arial Narrow" w:hAnsi="Arial Narrow"/>
                <w:b/>
                <w:sz w:val="16"/>
                <w:szCs w:val="16"/>
              </w:rPr>
              <w:t>and development of all Member States and their relevant regions and sub-regions, including through the mainstreaming of the Development Agenda recommendations</w:t>
            </w:r>
          </w:p>
        </w:tc>
        <w:tc>
          <w:tcPr>
            <w:tcW w:w="2394" w:type="dxa"/>
            <w:tcBorders>
              <w:bottom w:val="single" w:sz="4" w:space="0" w:color="BFBFBF" w:themeColor="background1" w:themeShade="BF"/>
            </w:tcBorders>
            <w:shd w:val="clear" w:color="auto" w:fill="auto"/>
          </w:tcPr>
          <w:p w14:paraId="286B8851" w14:textId="77777777" w:rsidR="00D56626" w:rsidRPr="0049602F" w:rsidRDefault="00D56626" w:rsidP="00750B3E">
            <w:pPr>
              <w:spacing w:after="0" w:line="200" w:lineRule="atLeast"/>
              <w:ind w:left="113"/>
              <w:rPr>
                <w:rFonts w:ascii="Arial Narrow" w:hAnsi="Arial Narrow"/>
                <w:sz w:val="16"/>
                <w:szCs w:val="16"/>
                <w:lang w:val="en-US"/>
              </w:rPr>
            </w:pPr>
            <w:r w:rsidRPr="00A94D2B">
              <w:rPr>
                <w:rFonts w:ascii="Arial Narrow" w:hAnsi="Arial Narrow"/>
                <w:sz w:val="16"/>
                <w:szCs w:val="16"/>
                <w:lang w:val="en-US"/>
              </w:rPr>
              <w:t>No. of national, sub-regional and regional projects, including those implemented through partnership frameworks, that have achieved their expected benefits or completed important milestones</w:t>
            </w:r>
          </w:p>
        </w:tc>
        <w:tc>
          <w:tcPr>
            <w:tcW w:w="2394" w:type="dxa"/>
            <w:tcBorders>
              <w:bottom w:val="single" w:sz="4" w:space="0" w:color="BFBFBF" w:themeColor="background1" w:themeShade="BF"/>
            </w:tcBorders>
            <w:shd w:val="clear" w:color="auto" w:fill="auto"/>
          </w:tcPr>
          <w:p w14:paraId="4059577A" w14:textId="77777777" w:rsidR="00D56626" w:rsidRPr="0049602F" w:rsidRDefault="00D56626" w:rsidP="00750B3E">
            <w:pPr>
              <w:spacing w:after="0" w:line="200" w:lineRule="atLeast"/>
              <w:ind w:left="113"/>
              <w:rPr>
                <w:rFonts w:ascii="Arial Narrow" w:hAnsi="Arial Narrow"/>
                <w:sz w:val="16"/>
                <w:szCs w:val="16"/>
                <w:lang w:val="en-US"/>
              </w:rPr>
            </w:pPr>
            <w:r>
              <w:rPr>
                <w:rFonts w:ascii="Arial Narrow" w:hAnsi="Arial Narrow"/>
                <w:sz w:val="16"/>
                <w:szCs w:val="16"/>
                <w:lang w:val="en-US"/>
              </w:rPr>
              <w:t>4</w:t>
            </w:r>
          </w:p>
        </w:tc>
        <w:tc>
          <w:tcPr>
            <w:tcW w:w="2397" w:type="dxa"/>
            <w:tcBorders>
              <w:bottom w:val="single" w:sz="4" w:space="0" w:color="BFBFBF" w:themeColor="background1" w:themeShade="BF"/>
            </w:tcBorders>
            <w:shd w:val="clear" w:color="auto" w:fill="auto"/>
          </w:tcPr>
          <w:p w14:paraId="3E7DCB2C" w14:textId="77777777" w:rsidR="00D56626" w:rsidRPr="0049602F" w:rsidRDefault="00D56626" w:rsidP="00750B3E">
            <w:pPr>
              <w:spacing w:after="0" w:line="200" w:lineRule="atLeast"/>
              <w:ind w:left="113"/>
              <w:rPr>
                <w:rFonts w:ascii="Arial Narrow" w:hAnsi="Arial Narrow"/>
                <w:sz w:val="16"/>
                <w:szCs w:val="16"/>
                <w:lang w:val="en-US"/>
              </w:rPr>
            </w:pPr>
            <w:r w:rsidRPr="00C813B6">
              <w:rPr>
                <w:rFonts w:ascii="Arial Narrow" w:hAnsi="Arial Narrow"/>
                <w:sz w:val="16"/>
                <w:szCs w:val="16"/>
                <w:lang w:val="en-US"/>
              </w:rPr>
              <w:t>8 additional</w:t>
            </w:r>
            <w:r>
              <w:rPr>
                <w:rFonts w:ascii="Arial Narrow" w:hAnsi="Arial Narrow"/>
                <w:color w:val="FF0000"/>
                <w:sz w:val="16"/>
                <w:lang w:val="en-US"/>
              </w:rPr>
              <w:t xml:space="preserve"> </w:t>
            </w:r>
          </w:p>
        </w:tc>
      </w:tr>
      <w:tr w:rsidR="00D56626" w:rsidRPr="00192178" w14:paraId="4A412E22" w14:textId="77777777" w:rsidTr="00750B3E">
        <w:trPr>
          <w:cantSplit/>
          <w:trHeight w:val="473"/>
        </w:trPr>
        <w:tc>
          <w:tcPr>
            <w:tcW w:w="2393" w:type="dxa"/>
            <w:tcBorders>
              <w:top w:val="single" w:sz="4" w:space="0" w:color="BFBFBF" w:themeColor="background1" w:themeShade="BF"/>
            </w:tcBorders>
            <w:shd w:val="clear" w:color="auto" w:fill="auto"/>
          </w:tcPr>
          <w:p w14:paraId="373BB09F" w14:textId="77777777" w:rsidR="00D56626" w:rsidRPr="00192178" w:rsidRDefault="00D56626" w:rsidP="00750B3E">
            <w:pPr>
              <w:spacing w:after="0" w:line="200" w:lineRule="atLeast"/>
              <w:ind w:left="113"/>
              <w:rPr>
                <w:color w:val="005172" w:themeColor="text2"/>
              </w:rPr>
            </w:pPr>
            <w:r w:rsidRPr="00192178">
              <w:rPr>
                <w:rFonts w:ascii="Arial Narrow" w:hAnsi="Arial Narrow"/>
                <w:b/>
                <w:color w:val="005172" w:themeColor="text2"/>
                <w:sz w:val="16"/>
                <w:lang w:val="en-US"/>
              </w:rPr>
              <w:t xml:space="preserve">4.2 </w:t>
            </w:r>
            <w:r w:rsidRPr="00192178">
              <w:rPr>
                <w:rFonts w:ascii="Arial Narrow" w:hAnsi="Arial Narrow"/>
                <w:b/>
                <w:sz w:val="16"/>
                <w:lang w:val="en-US"/>
              </w:rPr>
              <w:t xml:space="preserve"> Development of balanced and effective IP, innovation and creative ecosystems in Member States</w:t>
            </w:r>
          </w:p>
        </w:tc>
        <w:tc>
          <w:tcPr>
            <w:tcW w:w="2394" w:type="dxa"/>
            <w:tcBorders>
              <w:top w:val="single" w:sz="4" w:space="0" w:color="BFBFBF" w:themeColor="background1" w:themeShade="BF"/>
            </w:tcBorders>
            <w:shd w:val="clear" w:color="auto" w:fill="auto"/>
          </w:tcPr>
          <w:p w14:paraId="07F38B52" w14:textId="77777777" w:rsidR="00D56626" w:rsidRPr="00192178" w:rsidRDefault="00D56626" w:rsidP="00750B3E">
            <w:pPr>
              <w:spacing w:after="0" w:line="200" w:lineRule="atLeast"/>
              <w:ind w:left="113"/>
              <w:rPr>
                <w:rFonts w:ascii="Arial Narrow" w:hAnsi="Arial Narrow"/>
                <w:sz w:val="16"/>
                <w:lang w:val="en-US"/>
              </w:rPr>
            </w:pPr>
            <w:r w:rsidRPr="00192178">
              <w:rPr>
                <w:rFonts w:ascii="Arial Narrow" w:hAnsi="Arial Narrow"/>
                <w:sz w:val="16"/>
                <w:lang w:val="en-US"/>
              </w:rPr>
              <w:t>No. and % of Member States satisfied with the legislative and policy advice provided</w:t>
            </w:r>
          </w:p>
        </w:tc>
        <w:tc>
          <w:tcPr>
            <w:tcW w:w="2394" w:type="dxa"/>
            <w:tcBorders>
              <w:top w:val="single" w:sz="4" w:space="0" w:color="BFBFBF" w:themeColor="background1" w:themeShade="BF"/>
            </w:tcBorders>
            <w:shd w:val="clear" w:color="auto" w:fill="auto"/>
          </w:tcPr>
          <w:p w14:paraId="25348E2D" w14:textId="77777777" w:rsidR="00D56626" w:rsidRPr="00192178" w:rsidRDefault="00D56626" w:rsidP="00750B3E">
            <w:pPr>
              <w:spacing w:after="0" w:line="200" w:lineRule="atLeast"/>
              <w:ind w:left="113"/>
              <w:rPr>
                <w:rFonts w:ascii="Arial Narrow" w:hAnsi="Arial Narrow"/>
                <w:sz w:val="16"/>
                <w:lang w:val="en-US"/>
              </w:rPr>
            </w:pPr>
            <w:r w:rsidRPr="00DB3E75">
              <w:rPr>
                <w:rFonts w:ascii="Arial Narrow" w:hAnsi="Arial Narrow"/>
                <w:sz w:val="16"/>
                <w:lang w:val="en-US"/>
              </w:rPr>
              <w:t xml:space="preserve">100% </w:t>
            </w:r>
          </w:p>
        </w:tc>
        <w:tc>
          <w:tcPr>
            <w:tcW w:w="2397" w:type="dxa"/>
            <w:tcBorders>
              <w:top w:val="single" w:sz="4" w:space="0" w:color="BFBFBF" w:themeColor="background1" w:themeShade="BF"/>
            </w:tcBorders>
            <w:shd w:val="clear" w:color="auto" w:fill="auto"/>
          </w:tcPr>
          <w:p w14:paraId="6C3F0F77" w14:textId="77777777" w:rsidR="00D56626" w:rsidRPr="00192178" w:rsidRDefault="00D56626" w:rsidP="00750B3E">
            <w:pPr>
              <w:spacing w:after="0" w:line="200" w:lineRule="atLeast"/>
              <w:ind w:left="113"/>
              <w:rPr>
                <w:rFonts w:ascii="Arial Narrow" w:hAnsi="Arial Narrow"/>
                <w:sz w:val="16"/>
                <w:lang w:val="en-US"/>
              </w:rPr>
            </w:pPr>
            <w:r w:rsidRPr="003F4DE7">
              <w:rPr>
                <w:rFonts w:ascii="Arial Narrow" w:hAnsi="Arial Narrow"/>
                <w:sz w:val="16"/>
                <w:szCs w:val="16"/>
              </w:rPr>
              <w:t xml:space="preserve">≥ </w:t>
            </w:r>
            <w:r w:rsidRPr="003F4DE7">
              <w:rPr>
                <w:rFonts w:ascii="Arial Narrow" w:hAnsi="Arial Narrow"/>
                <w:sz w:val="16"/>
                <w:szCs w:val="16"/>
                <w:lang w:val="en-US"/>
              </w:rPr>
              <w:t xml:space="preserve">90% </w:t>
            </w:r>
            <w:r w:rsidRPr="003F4DE7">
              <w:rPr>
                <w:rFonts w:ascii="Arial Narrow" w:hAnsi="Arial Narrow"/>
                <w:sz w:val="16"/>
                <w:szCs w:val="16"/>
              </w:rPr>
              <w:t>satisfied or very satisfied</w:t>
            </w:r>
          </w:p>
        </w:tc>
      </w:tr>
      <w:tr w:rsidR="00D56626" w:rsidRPr="00192178" w14:paraId="3339CB9B" w14:textId="77777777" w:rsidTr="00750B3E">
        <w:trPr>
          <w:cantSplit/>
          <w:trHeight w:val="653"/>
        </w:trPr>
        <w:tc>
          <w:tcPr>
            <w:tcW w:w="2393" w:type="dxa"/>
            <w:tcBorders>
              <w:top w:val="single" w:sz="4" w:space="0" w:color="BFBFBF" w:themeColor="background1" w:themeShade="BF"/>
              <w:bottom w:val="single" w:sz="4" w:space="0" w:color="BFBFBF" w:themeColor="background1" w:themeShade="BF"/>
            </w:tcBorders>
            <w:shd w:val="clear" w:color="auto" w:fill="auto"/>
          </w:tcPr>
          <w:p w14:paraId="4193A964" w14:textId="77777777" w:rsidR="00D56626" w:rsidRPr="00192178" w:rsidRDefault="00D56626" w:rsidP="00750B3E">
            <w:pPr>
              <w:spacing w:after="0" w:line="200" w:lineRule="atLeast"/>
              <w:ind w:left="113"/>
              <w:rPr>
                <w:color w:val="005172" w:themeColor="text2"/>
                <w:lang w:val="en-US"/>
              </w:rPr>
            </w:pPr>
            <w:r w:rsidRPr="00192178">
              <w:rPr>
                <w:rFonts w:ascii="Arial Narrow" w:hAnsi="Arial Narrow"/>
                <w:b/>
                <w:color w:val="005172" w:themeColor="text2"/>
                <w:sz w:val="16"/>
                <w:lang w:val="en-US"/>
              </w:rPr>
              <w:t xml:space="preserve">4.3  </w:t>
            </w:r>
            <w:r w:rsidRPr="00192178">
              <w:rPr>
                <w:rFonts w:ascii="Arial Narrow" w:hAnsi="Arial Narrow"/>
                <w:b/>
                <w:sz w:val="16"/>
                <w:lang w:val="en-US"/>
              </w:rPr>
              <w:t>Increased IP knowledge and skills in all Member States</w:t>
            </w:r>
          </w:p>
        </w:tc>
        <w:tc>
          <w:tcPr>
            <w:tcW w:w="2394" w:type="dxa"/>
            <w:tcBorders>
              <w:top w:val="single" w:sz="4" w:space="0" w:color="BFBFBF" w:themeColor="background1" w:themeShade="BF"/>
              <w:bottom w:val="single" w:sz="4" w:space="0" w:color="BFBFBF" w:themeColor="background1" w:themeShade="BF"/>
            </w:tcBorders>
            <w:shd w:val="clear" w:color="auto" w:fill="auto"/>
          </w:tcPr>
          <w:p w14:paraId="58D62F67" w14:textId="77777777" w:rsidR="00D56626" w:rsidRPr="00192178" w:rsidRDefault="00D56626" w:rsidP="00750B3E">
            <w:pPr>
              <w:spacing w:after="0" w:line="200" w:lineRule="atLeast"/>
              <w:ind w:left="113"/>
              <w:rPr>
                <w:rFonts w:ascii="Arial Narrow" w:hAnsi="Arial Narrow"/>
                <w:sz w:val="16"/>
                <w:lang w:val="en-US"/>
              </w:rPr>
            </w:pPr>
            <w:r w:rsidRPr="00192178">
              <w:rPr>
                <w:rFonts w:ascii="Arial Narrow" w:hAnsi="Arial Narrow"/>
                <w:sz w:val="16"/>
                <w:lang w:val="en-US"/>
              </w:rPr>
              <w:t>Level of satisfaction of participants in WIPO training and skills development programs</w:t>
            </w:r>
          </w:p>
        </w:tc>
        <w:tc>
          <w:tcPr>
            <w:tcW w:w="2394" w:type="dxa"/>
            <w:tcBorders>
              <w:top w:val="single" w:sz="4" w:space="0" w:color="BFBFBF" w:themeColor="background1" w:themeShade="BF"/>
              <w:bottom w:val="single" w:sz="4" w:space="0" w:color="BFBFBF" w:themeColor="background1" w:themeShade="BF"/>
            </w:tcBorders>
            <w:shd w:val="clear" w:color="auto" w:fill="auto"/>
          </w:tcPr>
          <w:p w14:paraId="2BE56699" w14:textId="77777777" w:rsidR="00D56626" w:rsidRPr="00192178" w:rsidRDefault="00D56626" w:rsidP="00750B3E">
            <w:pPr>
              <w:spacing w:after="0" w:line="200" w:lineRule="atLeast"/>
              <w:ind w:left="113"/>
              <w:rPr>
                <w:rFonts w:ascii="Arial Narrow" w:hAnsi="Arial Narrow"/>
                <w:sz w:val="16"/>
                <w:lang w:val="en-US"/>
              </w:rPr>
            </w:pPr>
            <w:r w:rsidRPr="00BB1FB5">
              <w:rPr>
                <w:rFonts w:ascii="Arial Narrow" w:hAnsi="Arial Narrow"/>
                <w:sz w:val="16"/>
                <w:lang w:val="en-US"/>
              </w:rPr>
              <w:t>tbd</w:t>
            </w:r>
          </w:p>
        </w:tc>
        <w:tc>
          <w:tcPr>
            <w:tcW w:w="2397" w:type="dxa"/>
            <w:tcBorders>
              <w:top w:val="single" w:sz="4" w:space="0" w:color="BFBFBF" w:themeColor="background1" w:themeShade="BF"/>
              <w:bottom w:val="single" w:sz="4" w:space="0" w:color="BFBFBF" w:themeColor="background1" w:themeShade="BF"/>
            </w:tcBorders>
            <w:shd w:val="clear" w:color="auto" w:fill="auto"/>
          </w:tcPr>
          <w:p w14:paraId="1A9DCFCE" w14:textId="77777777" w:rsidR="00D56626" w:rsidRPr="00192178" w:rsidRDefault="00D56626" w:rsidP="00750B3E">
            <w:pPr>
              <w:spacing w:after="0" w:line="200" w:lineRule="atLeast"/>
              <w:ind w:left="113"/>
              <w:rPr>
                <w:rFonts w:ascii="Arial Narrow" w:hAnsi="Arial Narrow"/>
                <w:sz w:val="16"/>
                <w:lang w:val="en-US"/>
              </w:rPr>
            </w:pPr>
            <w:r>
              <w:rPr>
                <w:rFonts w:ascii="Arial Narrow" w:hAnsi="Arial Narrow"/>
                <w:sz w:val="16"/>
                <w:szCs w:val="16"/>
              </w:rPr>
              <w:t>≥ 85</w:t>
            </w:r>
            <w:r w:rsidRPr="00B04169">
              <w:rPr>
                <w:rFonts w:ascii="Arial Narrow" w:hAnsi="Arial Narrow"/>
                <w:sz w:val="16"/>
                <w:szCs w:val="16"/>
              </w:rPr>
              <w:t>% satisfied or very satisfied</w:t>
            </w:r>
          </w:p>
        </w:tc>
      </w:tr>
      <w:tr w:rsidR="00D56626" w:rsidRPr="00192178" w14:paraId="64AC5448" w14:textId="77777777" w:rsidTr="00750B3E">
        <w:trPr>
          <w:cantSplit/>
          <w:trHeight w:val="391"/>
        </w:trPr>
        <w:tc>
          <w:tcPr>
            <w:tcW w:w="2393" w:type="dxa"/>
            <w:vMerge w:val="restart"/>
            <w:tcBorders>
              <w:top w:val="single" w:sz="4" w:space="0" w:color="BFBFBF" w:themeColor="background1" w:themeShade="BF"/>
            </w:tcBorders>
            <w:shd w:val="clear" w:color="auto" w:fill="auto"/>
          </w:tcPr>
          <w:p w14:paraId="4B44D4DF" w14:textId="77777777" w:rsidR="00D56626" w:rsidRPr="00192178" w:rsidRDefault="00D56626" w:rsidP="00750B3E">
            <w:pPr>
              <w:spacing w:after="0" w:line="200" w:lineRule="atLeast"/>
              <w:ind w:left="113"/>
              <w:rPr>
                <w:color w:val="005172" w:themeColor="text2"/>
              </w:rPr>
            </w:pPr>
            <w:r w:rsidRPr="00192178">
              <w:rPr>
                <w:rFonts w:ascii="Arial Narrow" w:hAnsi="Arial Narrow"/>
                <w:b/>
                <w:color w:val="005172" w:themeColor="text2"/>
                <w:sz w:val="16"/>
                <w:lang w:val="en-US"/>
              </w:rPr>
              <w:t>4.4</w:t>
            </w:r>
            <w:r w:rsidRPr="00192178">
              <w:rPr>
                <w:rFonts w:ascii="Arial Narrow" w:hAnsi="Arial Narrow"/>
                <w:b/>
                <w:sz w:val="16"/>
                <w:lang w:val="en-US"/>
              </w:rPr>
              <w:t xml:space="preserve">  More innovators, creators, SMEs, universities, research institutions and communities leverage IP successfully  </w:t>
            </w:r>
          </w:p>
        </w:tc>
        <w:tc>
          <w:tcPr>
            <w:tcW w:w="2394" w:type="dxa"/>
            <w:tcBorders>
              <w:top w:val="single" w:sz="4" w:space="0" w:color="BFBFBF" w:themeColor="background1" w:themeShade="BF"/>
            </w:tcBorders>
            <w:shd w:val="clear" w:color="auto" w:fill="auto"/>
          </w:tcPr>
          <w:p w14:paraId="2AA74781" w14:textId="77777777" w:rsidR="00D56626" w:rsidRPr="00192178" w:rsidRDefault="00D56626" w:rsidP="00750B3E">
            <w:pPr>
              <w:spacing w:after="0" w:line="200" w:lineRule="atLeast"/>
              <w:ind w:left="113"/>
              <w:rPr>
                <w:rFonts w:ascii="Arial Narrow" w:hAnsi="Arial Narrow"/>
                <w:sz w:val="16"/>
                <w:lang w:val="en-US"/>
              </w:rPr>
            </w:pPr>
            <w:r w:rsidRPr="00192178">
              <w:rPr>
                <w:rFonts w:ascii="Arial Narrow" w:hAnsi="Arial Narrow"/>
                <w:sz w:val="16"/>
                <w:lang w:val="en-US"/>
              </w:rPr>
              <w:t>No. of CMOs in developing countries and LDCs using WIPO Connect</w:t>
            </w:r>
          </w:p>
        </w:tc>
        <w:tc>
          <w:tcPr>
            <w:tcW w:w="2394" w:type="dxa"/>
            <w:tcBorders>
              <w:top w:val="single" w:sz="4" w:space="0" w:color="BFBFBF" w:themeColor="background1" w:themeShade="BF"/>
            </w:tcBorders>
            <w:shd w:val="clear" w:color="auto" w:fill="auto"/>
          </w:tcPr>
          <w:p w14:paraId="6E6EE731" w14:textId="77777777" w:rsidR="00D56626" w:rsidRPr="00192178" w:rsidRDefault="00D56626" w:rsidP="00750B3E">
            <w:pPr>
              <w:spacing w:after="0" w:line="200" w:lineRule="atLeast"/>
              <w:ind w:left="113"/>
              <w:rPr>
                <w:rFonts w:ascii="Arial Narrow" w:hAnsi="Arial Narrow"/>
                <w:sz w:val="16"/>
                <w:lang w:val="en-US"/>
              </w:rPr>
            </w:pPr>
            <w:r w:rsidRPr="00175D42">
              <w:rPr>
                <w:rFonts w:ascii="Arial Narrow" w:eastAsia="SimHei" w:hAnsi="Arial Narrow"/>
                <w:sz w:val="16"/>
                <w:szCs w:val="16"/>
              </w:rPr>
              <w:t>35 CMOs for 41</w:t>
            </w:r>
            <w:r>
              <w:rPr>
                <w:rFonts w:ascii="Arial Narrow" w:eastAsia="SimHei" w:hAnsi="Arial Narrow"/>
                <w:sz w:val="16"/>
                <w:szCs w:val="16"/>
              </w:rPr>
              <w:t xml:space="preserve"> </w:t>
            </w:r>
            <w:r w:rsidRPr="00175D42">
              <w:rPr>
                <w:rFonts w:ascii="Arial Narrow" w:eastAsia="SimHei" w:hAnsi="Arial Narrow"/>
                <w:sz w:val="16"/>
                <w:szCs w:val="16"/>
              </w:rPr>
              <w:t>Creation classes</w:t>
            </w:r>
          </w:p>
        </w:tc>
        <w:tc>
          <w:tcPr>
            <w:tcW w:w="2397" w:type="dxa"/>
            <w:tcBorders>
              <w:top w:val="single" w:sz="4" w:space="0" w:color="BFBFBF" w:themeColor="background1" w:themeShade="BF"/>
            </w:tcBorders>
            <w:shd w:val="clear" w:color="auto" w:fill="auto"/>
          </w:tcPr>
          <w:p w14:paraId="2FA84002" w14:textId="77777777" w:rsidR="00D56626" w:rsidRPr="00192178" w:rsidRDefault="00D56626" w:rsidP="00750B3E">
            <w:pPr>
              <w:spacing w:after="0" w:line="200" w:lineRule="atLeast"/>
              <w:ind w:left="113"/>
              <w:rPr>
                <w:rFonts w:ascii="Arial Narrow" w:hAnsi="Arial Narrow"/>
                <w:sz w:val="16"/>
                <w:lang w:val="en-US"/>
              </w:rPr>
            </w:pPr>
            <w:r>
              <w:rPr>
                <w:rFonts w:ascii="Arial Narrow" w:eastAsia="SimHei" w:hAnsi="Arial Narrow"/>
                <w:sz w:val="16"/>
                <w:szCs w:val="16"/>
              </w:rPr>
              <w:t>76</w:t>
            </w:r>
            <w:r w:rsidRPr="00175D42">
              <w:rPr>
                <w:rFonts w:ascii="Arial Narrow" w:eastAsia="SimHei" w:hAnsi="Arial Narrow"/>
                <w:sz w:val="16"/>
                <w:szCs w:val="16"/>
              </w:rPr>
              <w:t xml:space="preserve"> CMOs for </w:t>
            </w:r>
            <w:r>
              <w:rPr>
                <w:rFonts w:ascii="Arial Narrow" w:eastAsia="SimHei" w:hAnsi="Arial Narrow"/>
                <w:sz w:val="16"/>
                <w:szCs w:val="16"/>
              </w:rPr>
              <w:t xml:space="preserve">100 </w:t>
            </w:r>
            <w:r w:rsidRPr="00175D42">
              <w:rPr>
                <w:rFonts w:ascii="Arial Narrow" w:eastAsia="SimHei" w:hAnsi="Arial Narrow"/>
                <w:sz w:val="16"/>
                <w:szCs w:val="16"/>
              </w:rPr>
              <w:t>Creation classes</w:t>
            </w:r>
          </w:p>
        </w:tc>
      </w:tr>
      <w:tr w:rsidR="00D56626" w:rsidRPr="00192178" w14:paraId="325FA013" w14:textId="77777777" w:rsidTr="00750B3E">
        <w:trPr>
          <w:cantSplit/>
          <w:trHeight w:val="427"/>
        </w:trPr>
        <w:tc>
          <w:tcPr>
            <w:tcW w:w="2393" w:type="dxa"/>
            <w:vMerge/>
            <w:shd w:val="clear" w:color="auto" w:fill="auto"/>
          </w:tcPr>
          <w:p w14:paraId="422A39E7" w14:textId="77777777" w:rsidR="00D56626" w:rsidRPr="00192178" w:rsidRDefault="00D56626" w:rsidP="00750B3E">
            <w:pPr>
              <w:spacing w:after="0" w:line="200" w:lineRule="atLeast"/>
              <w:ind w:left="113"/>
              <w:rPr>
                <w:rFonts w:ascii="Arial Narrow" w:hAnsi="Arial Narrow"/>
                <w:b/>
                <w:color w:val="005172" w:themeColor="text2"/>
                <w:sz w:val="16"/>
              </w:rPr>
            </w:pPr>
          </w:p>
        </w:tc>
        <w:tc>
          <w:tcPr>
            <w:tcW w:w="2394" w:type="dxa"/>
            <w:shd w:val="clear" w:color="auto" w:fill="auto"/>
          </w:tcPr>
          <w:p w14:paraId="68FC3466" w14:textId="77777777" w:rsidR="00D56626" w:rsidRPr="00192178" w:rsidRDefault="00D56626" w:rsidP="00750B3E">
            <w:pPr>
              <w:spacing w:after="0" w:line="200" w:lineRule="atLeast"/>
              <w:ind w:left="113"/>
              <w:rPr>
                <w:rFonts w:ascii="Arial Narrow" w:hAnsi="Arial Narrow"/>
                <w:sz w:val="16"/>
                <w:lang w:val="en-US"/>
              </w:rPr>
            </w:pPr>
            <w:r w:rsidRPr="00192178">
              <w:rPr>
                <w:rFonts w:ascii="Arial Narrow" w:hAnsi="Arial Narrow"/>
                <w:sz w:val="16"/>
                <w:lang w:val="en-US"/>
              </w:rPr>
              <w:t>ABC: No. of accessible titles delivered to persons with print disabilities</w:t>
            </w:r>
          </w:p>
        </w:tc>
        <w:tc>
          <w:tcPr>
            <w:tcW w:w="2394" w:type="dxa"/>
            <w:shd w:val="clear" w:color="auto" w:fill="auto"/>
          </w:tcPr>
          <w:p w14:paraId="2E7312F5" w14:textId="14912466" w:rsidR="00D56626" w:rsidRPr="00192178" w:rsidRDefault="00184094" w:rsidP="00750B3E">
            <w:pPr>
              <w:spacing w:after="0" w:line="200" w:lineRule="atLeast"/>
              <w:ind w:left="113"/>
              <w:rPr>
                <w:rFonts w:ascii="Arial Narrow" w:hAnsi="Arial Narrow"/>
                <w:sz w:val="16"/>
                <w:lang w:val="en-US"/>
              </w:rPr>
            </w:pPr>
            <w:r>
              <w:rPr>
                <w:rFonts w:ascii="Arial Narrow" w:eastAsia="SimHei" w:hAnsi="Arial Narrow"/>
                <w:sz w:val="16"/>
                <w:szCs w:val="16"/>
              </w:rPr>
              <w:t>667,135 (end 2022</w:t>
            </w:r>
            <w:r w:rsidR="00D56626">
              <w:rPr>
                <w:rFonts w:ascii="Arial Narrow" w:eastAsia="SimHei" w:hAnsi="Arial Narrow"/>
                <w:sz w:val="16"/>
                <w:szCs w:val="16"/>
              </w:rPr>
              <w:t>)</w:t>
            </w:r>
          </w:p>
        </w:tc>
        <w:tc>
          <w:tcPr>
            <w:tcW w:w="2397" w:type="dxa"/>
            <w:shd w:val="clear" w:color="auto" w:fill="auto"/>
          </w:tcPr>
          <w:p w14:paraId="0FAB1C0C" w14:textId="77777777" w:rsidR="00D56626" w:rsidRPr="00192178" w:rsidRDefault="00D56626" w:rsidP="00750B3E">
            <w:pPr>
              <w:spacing w:after="0" w:line="200" w:lineRule="atLeast"/>
              <w:ind w:left="113"/>
              <w:rPr>
                <w:rFonts w:ascii="Arial Narrow" w:hAnsi="Arial Narrow"/>
                <w:sz w:val="16"/>
                <w:lang w:val="en-US"/>
              </w:rPr>
            </w:pPr>
            <w:r>
              <w:rPr>
                <w:rFonts w:ascii="Arial Narrow" w:hAnsi="Arial Narrow"/>
                <w:sz w:val="16"/>
                <w:lang w:val="en-US"/>
              </w:rPr>
              <w:t>35</w:t>
            </w:r>
            <w:r w:rsidRPr="00FD5DE2">
              <w:rPr>
                <w:rFonts w:ascii="Arial Narrow" w:hAnsi="Arial Narrow"/>
                <w:sz w:val="16"/>
                <w:lang w:val="en-US"/>
              </w:rPr>
              <w:t>% increase (biennium)</w:t>
            </w:r>
          </w:p>
        </w:tc>
      </w:tr>
      <w:tr w:rsidR="00D56626" w:rsidRPr="00192178" w14:paraId="7CDC29CF" w14:textId="77777777" w:rsidTr="00750B3E">
        <w:trPr>
          <w:cantSplit/>
          <w:trHeight w:val="429"/>
        </w:trPr>
        <w:tc>
          <w:tcPr>
            <w:tcW w:w="2393" w:type="dxa"/>
            <w:vMerge/>
            <w:tcBorders>
              <w:bottom w:val="single" w:sz="4" w:space="0" w:color="BFBFBF" w:themeColor="background1" w:themeShade="BF"/>
            </w:tcBorders>
            <w:shd w:val="clear" w:color="auto" w:fill="auto"/>
          </w:tcPr>
          <w:p w14:paraId="198CB6B9" w14:textId="77777777" w:rsidR="00D56626" w:rsidRPr="00192178" w:rsidRDefault="00D56626" w:rsidP="00750B3E">
            <w:pPr>
              <w:spacing w:after="0" w:line="200" w:lineRule="atLeast"/>
              <w:ind w:left="113"/>
              <w:rPr>
                <w:rFonts w:ascii="Arial Narrow" w:hAnsi="Arial Narrow"/>
                <w:b/>
                <w:color w:val="005172" w:themeColor="text2"/>
                <w:sz w:val="16"/>
              </w:rPr>
            </w:pPr>
          </w:p>
        </w:tc>
        <w:tc>
          <w:tcPr>
            <w:tcW w:w="2394" w:type="dxa"/>
            <w:tcBorders>
              <w:bottom w:val="single" w:sz="4" w:space="0" w:color="BFBFBF" w:themeColor="background1" w:themeShade="BF"/>
            </w:tcBorders>
            <w:shd w:val="clear" w:color="auto" w:fill="auto"/>
          </w:tcPr>
          <w:p w14:paraId="464A8510" w14:textId="77777777" w:rsidR="00D56626" w:rsidRPr="00192178" w:rsidRDefault="00D56626" w:rsidP="00750B3E">
            <w:pPr>
              <w:spacing w:after="0" w:line="200" w:lineRule="atLeast"/>
              <w:ind w:left="113"/>
              <w:rPr>
                <w:rFonts w:ascii="Arial Narrow" w:hAnsi="Arial Narrow"/>
                <w:sz w:val="16"/>
                <w:lang w:val="en-US"/>
              </w:rPr>
            </w:pPr>
            <w:r w:rsidRPr="00BF4124">
              <w:rPr>
                <w:rFonts w:ascii="Arial Narrow" w:hAnsi="Arial Narrow"/>
                <w:sz w:val="16"/>
                <w:lang w:val="en-US"/>
              </w:rPr>
              <w:t>No. of creators using WIPO for Creators Platform</w:t>
            </w:r>
          </w:p>
        </w:tc>
        <w:tc>
          <w:tcPr>
            <w:tcW w:w="2394" w:type="dxa"/>
            <w:tcBorders>
              <w:bottom w:val="single" w:sz="4" w:space="0" w:color="BFBFBF" w:themeColor="background1" w:themeShade="BF"/>
            </w:tcBorders>
            <w:shd w:val="clear" w:color="auto" w:fill="auto"/>
          </w:tcPr>
          <w:p w14:paraId="33DF96F2" w14:textId="77777777" w:rsidR="00D56626" w:rsidRPr="00F301AA" w:rsidRDefault="00D56626" w:rsidP="00750B3E">
            <w:pPr>
              <w:spacing w:after="0" w:line="200" w:lineRule="atLeast"/>
              <w:ind w:left="113"/>
              <w:rPr>
                <w:rFonts w:ascii="Arial Narrow" w:hAnsi="Arial Narrow"/>
                <w:sz w:val="16"/>
                <w:lang w:val="en-US"/>
              </w:rPr>
            </w:pPr>
            <w:r>
              <w:rPr>
                <w:rFonts w:ascii="Arial Narrow" w:hAnsi="Arial Narrow"/>
                <w:sz w:val="16"/>
                <w:lang w:val="en-US"/>
              </w:rPr>
              <w:t>n/a</w:t>
            </w:r>
          </w:p>
        </w:tc>
        <w:tc>
          <w:tcPr>
            <w:tcW w:w="2397" w:type="dxa"/>
            <w:tcBorders>
              <w:bottom w:val="single" w:sz="4" w:space="0" w:color="BFBFBF" w:themeColor="background1" w:themeShade="BF"/>
            </w:tcBorders>
            <w:shd w:val="clear" w:color="auto" w:fill="auto"/>
          </w:tcPr>
          <w:p w14:paraId="23AE9D7A" w14:textId="77777777" w:rsidR="00D56626" w:rsidRPr="00F301AA" w:rsidRDefault="00D56626" w:rsidP="00750B3E">
            <w:pPr>
              <w:spacing w:after="0" w:line="200" w:lineRule="atLeast"/>
              <w:ind w:left="113"/>
              <w:rPr>
                <w:rFonts w:ascii="Arial Narrow" w:hAnsi="Arial Narrow"/>
                <w:sz w:val="16"/>
                <w:lang w:val="en-US"/>
              </w:rPr>
            </w:pPr>
            <w:r w:rsidRPr="00F301AA">
              <w:rPr>
                <w:rFonts w:ascii="Arial Narrow" w:hAnsi="Arial Narrow"/>
                <w:sz w:val="16"/>
                <w:lang w:val="en-US"/>
              </w:rPr>
              <w:t>tbd</w:t>
            </w:r>
          </w:p>
        </w:tc>
      </w:tr>
    </w:tbl>
    <w:p w14:paraId="253CD7E5" w14:textId="77777777" w:rsidR="00D56626" w:rsidRDefault="00D56626" w:rsidP="00D56626">
      <w:pPr>
        <w:pStyle w:val="Heading1NoNumb"/>
        <w:spacing w:before="480" w:after="120"/>
        <w:rPr>
          <w:lang w:val="en-US"/>
        </w:rPr>
      </w:pPr>
      <w:r>
        <w:rPr>
          <w:lang w:val="en-US"/>
        </w:rPr>
        <w:t>Resources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D56626" w:rsidRPr="00034525" w14:paraId="0B9F77C1" w14:textId="77777777" w:rsidTr="00750B3E">
        <w:trPr>
          <w:trHeight w:val="72"/>
        </w:trPr>
        <w:tc>
          <w:tcPr>
            <w:tcW w:w="9630" w:type="dxa"/>
          </w:tcPr>
          <w:p w14:paraId="2A334309" w14:textId="77777777" w:rsidR="00D56626" w:rsidRPr="00034525" w:rsidRDefault="00D56626" w:rsidP="001A3F3C">
            <w:pPr>
              <w:spacing w:after="60" w:line="240" w:lineRule="auto"/>
              <w:jc w:val="center"/>
              <w:rPr>
                <w:rFonts w:cs="Arial"/>
                <w:b/>
                <w:bCs/>
                <w:color w:val="005172"/>
                <w:sz w:val="16"/>
                <w:szCs w:val="16"/>
              </w:rPr>
            </w:pPr>
            <w:r w:rsidRPr="00034525">
              <w:rPr>
                <w:rFonts w:cs="Arial"/>
                <w:b/>
                <w:bCs/>
                <w:color w:val="005172"/>
                <w:szCs w:val="16"/>
              </w:rPr>
              <w:t>Copy</w:t>
            </w:r>
            <w:r>
              <w:rPr>
                <w:rFonts w:cs="Arial"/>
                <w:b/>
                <w:bCs/>
                <w:color w:val="005172"/>
                <w:szCs w:val="16"/>
              </w:rPr>
              <w:t xml:space="preserve">right and Creative Industries: </w:t>
            </w:r>
            <w:r w:rsidRPr="00034525">
              <w:rPr>
                <w:rFonts w:cs="Arial"/>
                <w:b/>
                <w:bCs/>
                <w:color w:val="005172"/>
                <w:szCs w:val="16"/>
              </w:rPr>
              <w:t>Resources by Result</w:t>
            </w:r>
          </w:p>
        </w:tc>
      </w:tr>
      <w:tr w:rsidR="00D56626" w:rsidRPr="00034525" w14:paraId="313C0C78" w14:textId="77777777" w:rsidTr="00750B3E">
        <w:trPr>
          <w:trHeight w:val="80"/>
        </w:trPr>
        <w:tc>
          <w:tcPr>
            <w:tcW w:w="9630" w:type="dxa"/>
          </w:tcPr>
          <w:p w14:paraId="4C8F51A5" w14:textId="72A20761" w:rsidR="00D56626" w:rsidRPr="00034525" w:rsidRDefault="00D56626" w:rsidP="00931213">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219C9EB6" w14:textId="27500237" w:rsidR="00792A58" w:rsidRDefault="00792A58" w:rsidP="00792A58">
      <w:pPr>
        <w:spacing w:after="0"/>
        <w:rPr>
          <w:rFonts w:asciiTheme="minorHAnsi" w:hAnsiTheme="minorHAnsi"/>
          <w:sz w:val="22"/>
        </w:rPr>
      </w:pPr>
    </w:p>
    <w:tbl>
      <w:tblPr>
        <w:tblW w:w="9638" w:type="dxa"/>
        <w:tblLook w:val="04A0" w:firstRow="1" w:lastRow="0" w:firstColumn="1" w:lastColumn="0" w:noHBand="0" w:noVBand="1"/>
      </w:tblPr>
      <w:tblGrid>
        <w:gridCol w:w="399"/>
        <w:gridCol w:w="6145"/>
        <w:gridCol w:w="1031"/>
        <w:gridCol w:w="1031"/>
        <w:gridCol w:w="1032"/>
      </w:tblGrid>
      <w:tr w:rsidR="00792A58" w:rsidRPr="00792A58" w14:paraId="3C190FA2" w14:textId="77777777" w:rsidTr="00CE55D8">
        <w:trPr>
          <w:divId w:val="1661809976"/>
          <w:trHeight w:val="636"/>
        </w:trPr>
        <w:tc>
          <w:tcPr>
            <w:tcW w:w="6544" w:type="dxa"/>
            <w:gridSpan w:val="2"/>
            <w:tcBorders>
              <w:top w:val="nil"/>
              <w:left w:val="nil"/>
              <w:bottom w:val="nil"/>
              <w:right w:val="nil"/>
            </w:tcBorders>
            <w:shd w:val="clear" w:color="000000" w:fill="C7CFD8"/>
            <w:noWrap/>
            <w:vAlign w:val="center"/>
            <w:hideMark/>
          </w:tcPr>
          <w:p w14:paraId="4689CAE7" w14:textId="47D3C0EA" w:rsidR="00792A58" w:rsidRPr="00792A58" w:rsidRDefault="00792A58" w:rsidP="00792A58">
            <w:pPr>
              <w:spacing w:after="0" w:line="240" w:lineRule="auto"/>
              <w:ind w:firstLineChars="100" w:firstLine="160"/>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 xml:space="preserve">Expected Result </w:t>
            </w:r>
          </w:p>
        </w:tc>
        <w:tc>
          <w:tcPr>
            <w:tcW w:w="1031" w:type="dxa"/>
            <w:tcBorders>
              <w:top w:val="nil"/>
              <w:left w:val="nil"/>
              <w:bottom w:val="nil"/>
              <w:right w:val="nil"/>
            </w:tcBorders>
            <w:shd w:val="clear" w:color="000000" w:fill="C7CFD8"/>
            <w:vAlign w:val="center"/>
            <w:hideMark/>
          </w:tcPr>
          <w:p w14:paraId="2F39DAF5" w14:textId="77777777" w:rsidR="00792A58" w:rsidRPr="00792A58" w:rsidRDefault="00792A58" w:rsidP="00792A58">
            <w:pPr>
              <w:spacing w:after="0" w:line="240" w:lineRule="auto"/>
              <w:ind w:firstLineChars="100" w:firstLine="160"/>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 xml:space="preserve"> 2024/25 </w:t>
            </w:r>
            <w:r w:rsidRPr="00792A58">
              <w:rPr>
                <w:rFonts w:ascii="Arial Narrow" w:eastAsia="Times New Roman" w:hAnsi="Arial Narrow" w:cs="Arial"/>
                <w:b/>
                <w:bCs/>
                <w:sz w:val="16"/>
                <w:szCs w:val="16"/>
                <w:lang w:val="en-US"/>
              </w:rPr>
              <w:br/>
              <w:t>Proposed</w:t>
            </w:r>
            <w:r w:rsidRPr="00792A58">
              <w:rPr>
                <w:rFonts w:ascii="Arial Narrow" w:eastAsia="Times New Roman" w:hAnsi="Arial Narrow" w:cs="Arial"/>
                <w:b/>
                <w:bCs/>
                <w:sz w:val="16"/>
                <w:szCs w:val="16"/>
                <w:lang w:val="en-US"/>
              </w:rPr>
              <w:br/>
              <w:t xml:space="preserve"> Budget </w:t>
            </w:r>
          </w:p>
        </w:tc>
        <w:tc>
          <w:tcPr>
            <w:tcW w:w="1031" w:type="dxa"/>
            <w:tcBorders>
              <w:top w:val="nil"/>
              <w:left w:val="nil"/>
              <w:bottom w:val="nil"/>
              <w:right w:val="nil"/>
            </w:tcBorders>
            <w:shd w:val="clear" w:color="000000" w:fill="C7CFD8"/>
            <w:vAlign w:val="center"/>
            <w:hideMark/>
          </w:tcPr>
          <w:p w14:paraId="5991B714" w14:textId="77777777" w:rsidR="00792A58" w:rsidRPr="00792A58" w:rsidRDefault="00792A58" w:rsidP="00792A58">
            <w:pPr>
              <w:spacing w:after="0" w:line="240" w:lineRule="auto"/>
              <w:ind w:firstLineChars="100" w:firstLine="160"/>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 xml:space="preserve"> 2022/23 </w:t>
            </w:r>
            <w:r w:rsidRPr="00792A58">
              <w:rPr>
                <w:rFonts w:ascii="Arial Narrow" w:eastAsia="Times New Roman" w:hAnsi="Arial Narrow" w:cs="Arial"/>
                <w:b/>
                <w:bCs/>
                <w:sz w:val="16"/>
                <w:szCs w:val="16"/>
                <w:lang w:val="en-US"/>
              </w:rPr>
              <w:br/>
              <w:t xml:space="preserve">PoW&amp;B </w:t>
            </w:r>
          </w:p>
        </w:tc>
        <w:tc>
          <w:tcPr>
            <w:tcW w:w="1032" w:type="dxa"/>
            <w:tcBorders>
              <w:top w:val="nil"/>
              <w:left w:val="nil"/>
              <w:bottom w:val="nil"/>
              <w:right w:val="nil"/>
            </w:tcBorders>
            <w:shd w:val="clear" w:color="000000" w:fill="C7CFD8"/>
            <w:vAlign w:val="center"/>
            <w:hideMark/>
          </w:tcPr>
          <w:p w14:paraId="46295E72" w14:textId="77777777" w:rsidR="00792A58" w:rsidRPr="00792A58" w:rsidRDefault="00792A58" w:rsidP="00792A58">
            <w:pPr>
              <w:spacing w:after="0" w:line="240" w:lineRule="auto"/>
              <w:ind w:firstLineChars="100" w:firstLine="160"/>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 xml:space="preserve"> 2022/23 </w:t>
            </w:r>
            <w:r w:rsidRPr="00792A58">
              <w:rPr>
                <w:rFonts w:ascii="Arial Narrow" w:eastAsia="Times New Roman" w:hAnsi="Arial Narrow" w:cs="Arial"/>
                <w:b/>
                <w:bCs/>
                <w:sz w:val="16"/>
                <w:szCs w:val="16"/>
                <w:lang w:val="en-US"/>
              </w:rPr>
              <w:br/>
              <w:t xml:space="preserve">Budget after Transfers </w:t>
            </w:r>
          </w:p>
        </w:tc>
      </w:tr>
      <w:tr w:rsidR="00792A58" w:rsidRPr="00792A58" w14:paraId="333BA003" w14:textId="77777777" w:rsidTr="00CE55D8">
        <w:trPr>
          <w:divId w:val="1661809976"/>
          <w:trHeight w:val="41"/>
        </w:trPr>
        <w:tc>
          <w:tcPr>
            <w:tcW w:w="398" w:type="dxa"/>
            <w:tcBorders>
              <w:top w:val="nil"/>
              <w:left w:val="nil"/>
              <w:bottom w:val="nil"/>
              <w:right w:val="nil"/>
            </w:tcBorders>
            <w:shd w:val="clear" w:color="auto" w:fill="auto"/>
            <w:noWrap/>
            <w:vAlign w:val="center"/>
            <w:hideMark/>
          </w:tcPr>
          <w:p w14:paraId="287999FC" w14:textId="77777777" w:rsidR="00792A58" w:rsidRPr="00792A58" w:rsidRDefault="00792A58" w:rsidP="00792A58">
            <w:pPr>
              <w:spacing w:after="0" w:line="240" w:lineRule="auto"/>
              <w:ind w:firstLineChars="100" w:firstLine="160"/>
              <w:jc w:val="right"/>
              <w:rPr>
                <w:rFonts w:ascii="Arial Narrow" w:eastAsia="Times New Roman" w:hAnsi="Arial Narrow" w:cs="Arial"/>
                <w:b/>
                <w:bCs/>
                <w:sz w:val="16"/>
                <w:szCs w:val="16"/>
                <w:lang w:val="en-US"/>
              </w:rPr>
            </w:pPr>
          </w:p>
        </w:tc>
        <w:tc>
          <w:tcPr>
            <w:tcW w:w="6146" w:type="dxa"/>
            <w:tcBorders>
              <w:top w:val="nil"/>
              <w:left w:val="nil"/>
              <w:bottom w:val="nil"/>
              <w:right w:val="nil"/>
            </w:tcBorders>
            <w:shd w:val="clear" w:color="auto" w:fill="auto"/>
            <w:noWrap/>
            <w:vAlign w:val="center"/>
            <w:hideMark/>
          </w:tcPr>
          <w:p w14:paraId="5C15341C" w14:textId="77777777" w:rsidR="00792A58" w:rsidRPr="00792A58" w:rsidRDefault="00792A58" w:rsidP="00792A58">
            <w:pPr>
              <w:spacing w:after="0" w:line="240" w:lineRule="auto"/>
              <w:ind w:firstLineChars="100" w:firstLine="200"/>
              <w:rPr>
                <w:rFonts w:ascii="Times New Roman" w:eastAsia="Times New Roman" w:hAnsi="Times New Roman" w:cs="Times New Roman"/>
                <w:sz w:val="20"/>
                <w:szCs w:val="20"/>
                <w:lang w:val="en-US"/>
              </w:rPr>
            </w:pPr>
          </w:p>
        </w:tc>
        <w:tc>
          <w:tcPr>
            <w:tcW w:w="1031" w:type="dxa"/>
            <w:tcBorders>
              <w:top w:val="nil"/>
              <w:left w:val="nil"/>
              <w:bottom w:val="nil"/>
              <w:right w:val="nil"/>
            </w:tcBorders>
            <w:shd w:val="clear" w:color="auto" w:fill="auto"/>
            <w:noWrap/>
            <w:vAlign w:val="center"/>
            <w:hideMark/>
          </w:tcPr>
          <w:p w14:paraId="347CEEAA" w14:textId="77777777" w:rsidR="00792A58" w:rsidRPr="00792A58" w:rsidRDefault="00792A58" w:rsidP="00792A58">
            <w:pPr>
              <w:spacing w:after="0" w:line="240" w:lineRule="auto"/>
              <w:ind w:firstLineChars="100" w:firstLine="200"/>
              <w:rPr>
                <w:rFonts w:ascii="Times New Roman" w:eastAsia="Times New Roman" w:hAnsi="Times New Roman" w:cs="Times New Roman"/>
                <w:sz w:val="20"/>
                <w:szCs w:val="20"/>
                <w:lang w:val="en-US"/>
              </w:rPr>
            </w:pPr>
          </w:p>
        </w:tc>
        <w:tc>
          <w:tcPr>
            <w:tcW w:w="1031" w:type="dxa"/>
            <w:tcBorders>
              <w:top w:val="nil"/>
              <w:left w:val="nil"/>
              <w:bottom w:val="nil"/>
              <w:right w:val="nil"/>
            </w:tcBorders>
            <w:shd w:val="clear" w:color="auto" w:fill="auto"/>
            <w:vAlign w:val="center"/>
            <w:hideMark/>
          </w:tcPr>
          <w:p w14:paraId="37DCB717" w14:textId="77777777" w:rsidR="00792A58" w:rsidRPr="00792A58" w:rsidRDefault="00792A58" w:rsidP="00792A58">
            <w:pPr>
              <w:spacing w:after="0" w:line="240" w:lineRule="auto"/>
              <w:ind w:firstLineChars="100" w:firstLine="200"/>
              <w:rPr>
                <w:rFonts w:ascii="Times New Roman" w:eastAsia="Times New Roman" w:hAnsi="Times New Roman" w:cs="Times New Roman"/>
                <w:sz w:val="20"/>
                <w:szCs w:val="20"/>
                <w:lang w:val="en-US"/>
              </w:rPr>
            </w:pPr>
          </w:p>
        </w:tc>
        <w:tc>
          <w:tcPr>
            <w:tcW w:w="1032" w:type="dxa"/>
            <w:tcBorders>
              <w:top w:val="nil"/>
              <w:left w:val="nil"/>
              <w:bottom w:val="nil"/>
              <w:right w:val="nil"/>
            </w:tcBorders>
            <w:shd w:val="clear" w:color="auto" w:fill="auto"/>
            <w:vAlign w:val="center"/>
            <w:hideMark/>
          </w:tcPr>
          <w:p w14:paraId="2968C433" w14:textId="77777777" w:rsidR="00792A58" w:rsidRPr="00792A58" w:rsidRDefault="00792A58" w:rsidP="00792A58">
            <w:pPr>
              <w:spacing w:after="0" w:line="240" w:lineRule="auto"/>
              <w:ind w:firstLineChars="100" w:firstLine="200"/>
              <w:jc w:val="right"/>
              <w:rPr>
                <w:rFonts w:ascii="Times New Roman" w:eastAsia="Times New Roman" w:hAnsi="Times New Roman" w:cs="Times New Roman"/>
                <w:sz w:val="20"/>
                <w:szCs w:val="20"/>
                <w:lang w:val="en-US"/>
              </w:rPr>
            </w:pPr>
          </w:p>
        </w:tc>
      </w:tr>
      <w:tr w:rsidR="00792A58" w:rsidRPr="00792A58" w14:paraId="790065E1" w14:textId="77777777" w:rsidTr="00CE55D8">
        <w:trPr>
          <w:divId w:val="1661809976"/>
          <w:trHeight w:val="429"/>
        </w:trPr>
        <w:tc>
          <w:tcPr>
            <w:tcW w:w="398" w:type="dxa"/>
            <w:tcBorders>
              <w:top w:val="nil"/>
              <w:left w:val="nil"/>
              <w:bottom w:val="nil"/>
              <w:right w:val="nil"/>
            </w:tcBorders>
            <w:shd w:val="clear" w:color="auto" w:fill="auto"/>
            <w:noWrap/>
            <w:hideMark/>
          </w:tcPr>
          <w:p w14:paraId="11765182"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1.1</w:t>
            </w:r>
          </w:p>
        </w:tc>
        <w:tc>
          <w:tcPr>
            <w:tcW w:w="6146" w:type="dxa"/>
            <w:tcBorders>
              <w:top w:val="nil"/>
              <w:left w:val="nil"/>
              <w:bottom w:val="nil"/>
              <w:right w:val="nil"/>
            </w:tcBorders>
            <w:shd w:val="clear" w:color="auto" w:fill="auto"/>
            <w:hideMark/>
          </w:tcPr>
          <w:p w14:paraId="0321A778"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More effective communication and engagement world-wide to raise awareness of and increase knowledge about the potential of IP to improve the lives of everyone, everywhere</w:t>
            </w:r>
          </w:p>
        </w:tc>
        <w:tc>
          <w:tcPr>
            <w:tcW w:w="1031" w:type="dxa"/>
            <w:tcBorders>
              <w:top w:val="nil"/>
              <w:left w:val="nil"/>
              <w:bottom w:val="nil"/>
              <w:right w:val="nil"/>
            </w:tcBorders>
            <w:shd w:val="clear" w:color="auto" w:fill="auto"/>
            <w:noWrap/>
            <w:hideMark/>
          </w:tcPr>
          <w:p w14:paraId="3D2265C2" w14:textId="7F8E13E5" w:rsidR="00792A58" w:rsidRPr="00F56702" w:rsidRDefault="00844249" w:rsidP="00844249">
            <w:pPr>
              <w:spacing w:after="0" w:line="240" w:lineRule="auto"/>
              <w:jc w:val="right"/>
              <w:rPr>
                <w:rFonts w:ascii="Arial Narrow" w:eastAsia="Times New Roman" w:hAnsi="Arial Narrow" w:cs="Arial"/>
                <w:sz w:val="16"/>
                <w:szCs w:val="16"/>
                <w:lang w:val="en-US"/>
              </w:rPr>
            </w:pPr>
            <w:r w:rsidRPr="00F56702">
              <w:rPr>
                <w:rFonts w:ascii="Arial Narrow" w:eastAsia="Times New Roman" w:hAnsi="Arial Narrow" w:cs="Arial"/>
                <w:sz w:val="16"/>
                <w:szCs w:val="16"/>
                <w:lang w:val="en-US"/>
              </w:rPr>
              <w:t>10,155</w:t>
            </w:r>
          </w:p>
        </w:tc>
        <w:tc>
          <w:tcPr>
            <w:tcW w:w="1031" w:type="dxa"/>
            <w:tcBorders>
              <w:top w:val="nil"/>
              <w:left w:val="nil"/>
              <w:bottom w:val="nil"/>
              <w:right w:val="nil"/>
            </w:tcBorders>
            <w:shd w:val="clear" w:color="auto" w:fill="auto"/>
            <w:noWrap/>
            <w:hideMark/>
          </w:tcPr>
          <w:p w14:paraId="6BA6A209"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8,269</w:t>
            </w:r>
          </w:p>
        </w:tc>
        <w:tc>
          <w:tcPr>
            <w:tcW w:w="1032" w:type="dxa"/>
            <w:tcBorders>
              <w:top w:val="nil"/>
              <w:left w:val="nil"/>
              <w:bottom w:val="nil"/>
              <w:right w:val="nil"/>
            </w:tcBorders>
            <w:shd w:val="clear" w:color="auto" w:fill="auto"/>
            <w:noWrap/>
            <w:hideMark/>
          </w:tcPr>
          <w:p w14:paraId="72A32CF3"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9,107</w:t>
            </w:r>
          </w:p>
        </w:tc>
      </w:tr>
      <w:tr w:rsidR="00792A58" w:rsidRPr="00792A58" w14:paraId="0869134D" w14:textId="77777777" w:rsidTr="00CE55D8">
        <w:trPr>
          <w:divId w:val="1661809976"/>
          <w:trHeight w:val="276"/>
        </w:trPr>
        <w:tc>
          <w:tcPr>
            <w:tcW w:w="398" w:type="dxa"/>
            <w:tcBorders>
              <w:top w:val="nil"/>
              <w:left w:val="nil"/>
              <w:bottom w:val="nil"/>
              <w:right w:val="nil"/>
            </w:tcBorders>
            <w:shd w:val="clear" w:color="auto" w:fill="auto"/>
            <w:noWrap/>
            <w:hideMark/>
          </w:tcPr>
          <w:p w14:paraId="1F514F78"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2.1</w:t>
            </w:r>
          </w:p>
        </w:tc>
        <w:tc>
          <w:tcPr>
            <w:tcW w:w="6146" w:type="dxa"/>
            <w:tcBorders>
              <w:top w:val="nil"/>
              <w:left w:val="nil"/>
              <w:bottom w:val="nil"/>
              <w:right w:val="nil"/>
            </w:tcBorders>
            <w:shd w:val="clear" w:color="auto" w:fill="auto"/>
            <w:hideMark/>
          </w:tcPr>
          <w:p w14:paraId="0D626346"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Development of balanced and effective international normative frameworks for IP</w:t>
            </w:r>
          </w:p>
        </w:tc>
        <w:tc>
          <w:tcPr>
            <w:tcW w:w="1031" w:type="dxa"/>
            <w:tcBorders>
              <w:top w:val="nil"/>
              <w:left w:val="nil"/>
              <w:bottom w:val="nil"/>
              <w:right w:val="nil"/>
            </w:tcBorders>
            <w:shd w:val="clear" w:color="auto" w:fill="auto"/>
            <w:noWrap/>
            <w:hideMark/>
          </w:tcPr>
          <w:p w14:paraId="12871C25" w14:textId="77777777" w:rsidR="00792A58" w:rsidRPr="00F56702" w:rsidRDefault="00792A58" w:rsidP="00792A58">
            <w:pPr>
              <w:spacing w:after="0" w:line="240" w:lineRule="auto"/>
              <w:jc w:val="right"/>
              <w:rPr>
                <w:rFonts w:ascii="Arial Narrow" w:eastAsia="Times New Roman" w:hAnsi="Arial Narrow" w:cs="Arial"/>
                <w:sz w:val="16"/>
                <w:szCs w:val="16"/>
                <w:lang w:val="en-US"/>
              </w:rPr>
            </w:pPr>
            <w:r w:rsidRPr="00F56702">
              <w:rPr>
                <w:rFonts w:ascii="Arial Narrow" w:eastAsia="Times New Roman" w:hAnsi="Arial Narrow" w:cs="Arial"/>
                <w:sz w:val="16"/>
                <w:szCs w:val="16"/>
                <w:lang w:val="en-US"/>
              </w:rPr>
              <w:t>3,727</w:t>
            </w:r>
          </w:p>
        </w:tc>
        <w:tc>
          <w:tcPr>
            <w:tcW w:w="1031" w:type="dxa"/>
            <w:tcBorders>
              <w:top w:val="nil"/>
              <w:left w:val="nil"/>
              <w:bottom w:val="nil"/>
              <w:right w:val="nil"/>
            </w:tcBorders>
            <w:shd w:val="clear" w:color="auto" w:fill="auto"/>
            <w:noWrap/>
            <w:hideMark/>
          </w:tcPr>
          <w:p w14:paraId="644F7541"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3,537</w:t>
            </w:r>
          </w:p>
        </w:tc>
        <w:tc>
          <w:tcPr>
            <w:tcW w:w="1032" w:type="dxa"/>
            <w:tcBorders>
              <w:top w:val="nil"/>
              <w:left w:val="nil"/>
              <w:bottom w:val="nil"/>
              <w:right w:val="nil"/>
            </w:tcBorders>
            <w:shd w:val="clear" w:color="auto" w:fill="auto"/>
            <w:noWrap/>
            <w:hideMark/>
          </w:tcPr>
          <w:p w14:paraId="57523932"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3,734</w:t>
            </w:r>
          </w:p>
        </w:tc>
      </w:tr>
      <w:tr w:rsidR="00792A58" w:rsidRPr="00792A58" w14:paraId="48FD0A30" w14:textId="77777777" w:rsidTr="00CE55D8">
        <w:trPr>
          <w:divId w:val="1661809976"/>
          <w:trHeight w:val="429"/>
        </w:trPr>
        <w:tc>
          <w:tcPr>
            <w:tcW w:w="398" w:type="dxa"/>
            <w:tcBorders>
              <w:top w:val="nil"/>
              <w:left w:val="nil"/>
              <w:bottom w:val="nil"/>
              <w:right w:val="nil"/>
            </w:tcBorders>
            <w:shd w:val="clear" w:color="auto" w:fill="auto"/>
            <w:noWrap/>
            <w:hideMark/>
          </w:tcPr>
          <w:p w14:paraId="4216262C"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2.2</w:t>
            </w:r>
          </w:p>
        </w:tc>
        <w:tc>
          <w:tcPr>
            <w:tcW w:w="6146" w:type="dxa"/>
            <w:tcBorders>
              <w:top w:val="nil"/>
              <w:left w:val="nil"/>
              <w:bottom w:val="nil"/>
              <w:right w:val="nil"/>
            </w:tcBorders>
            <w:shd w:val="clear" w:color="auto" w:fill="auto"/>
            <w:hideMark/>
          </w:tcPr>
          <w:p w14:paraId="66C33E79"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tc>
        <w:tc>
          <w:tcPr>
            <w:tcW w:w="1031" w:type="dxa"/>
            <w:tcBorders>
              <w:top w:val="nil"/>
              <w:left w:val="nil"/>
              <w:bottom w:val="nil"/>
              <w:right w:val="nil"/>
            </w:tcBorders>
            <w:shd w:val="clear" w:color="auto" w:fill="auto"/>
            <w:noWrap/>
            <w:hideMark/>
          </w:tcPr>
          <w:p w14:paraId="6B4095A6" w14:textId="2550ED08" w:rsidR="00792A58" w:rsidRPr="00F56702" w:rsidRDefault="00844249" w:rsidP="00844249">
            <w:pPr>
              <w:spacing w:after="0" w:line="240" w:lineRule="auto"/>
              <w:jc w:val="right"/>
              <w:rPr>
                <w:rFonts w:ascii="Arial Narrow" w:eastAsia="Times New Roman" w:hAnsi="Arial Narrow" w:cs="Arial"/>
                <w:sz w:val="16"/>
                <w:szCs w:val="16"/>
                <w:lang w:val="en-US"/>
              </w:rPr>
            </w:pPr>
            <w:r w:rsidRPr="00F56702">
              <w:rPr>
                <w:rFonts w:ascii="Arial Narrow" w:eastAsia="Times New Roman" w:hAnsi="Arial Narrow" w:cs="Arial"/>
                <w:sz w:val="16"/>
                <w:szCs w:val="16"/>
                <w:lang w:val="en-US"/>
              </w:rPr>
              <w:t>1,258</w:t>
            </w:r>
          </w:p>
        </w:tc>
        <w:tc>
          <w:tcPr>
            <w:tcW w:w="1031" w:type="dxa"/>
            <w:tcBorders>
              <w:top w:val="nil"/>
              <w:left w:val="nil"/>
              <w:bottom w:val="nil"/>
              <w:right w:val="nil"/>
            </w:tcBorders>
            <w:shd w:val="clear" w:color="auto" w:fill="auto"/>
            <w:noWrap/>
            <w:hideMark/>
          </w:tcPr>
          <w:p w14:paraId="27B9FE83"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1,577</w:t>
            </w:r>
          </w:p>
        </w:tc>
        <w:tc>
          <w:tcPr>
            <w:tcW w:w="1032" w:type="dxa"/>
            <w:tcBorders>
              <w:top w:val="nil"/>
              <w:left w:val="nil"/>
              <w:bottom w:val="nil"/>
              <w:right w:val="nil"/>
            </w:tcBorders>
            <w:shd w:val="clear" w:color="auto" w:fill="auto"/>
            <w:noWrap/>
            <w:hideMark/>
          </w:tcPr>
          <w:p w14:paraId="2565AF26"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2,187</w:t>
            </w:r>
          </w:p>
        </w:tc>
      </w:tr>
      <w:tr w:rsidR="00792A58" w:rsidRPr="00792A58" w14:paraId="1DC3D847" w14:textId="77777777" w:rsidTr="00CE55D8">
        <w:trPr>
          <w:divId w:val="1661809976"/>
          <w:trHeight w:val="276"/>
        </w:trPr>
        <w:tc>
          <w:tcPr>
            <w:tcW w:w="398" w:type="dxa"/>
            <w:tcBorders>
              <w:top w:val="nil"/>
              <w:left w:val="nil"/>
              <w:bottom w:val="nil"/>
              <w:right w:val="nil"/>
            </w:tcBorders>
            <w:shd w:val="clear" w:color="auto" w:fill="auto"/>
            <w:noWrap/>
            <w:hideMark/>
          </w:tcPr>
          <w:p w14:paraId="2E7CB4EC"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3.1</w:t>
            </w:r>
          </w:p>
        </w:tc>
        <w:tc>
          <w:tcPr>
            <w:tcW w:w="6146" w:type="dxa"/>
            <w:tcBorders>
              <w:top w:val="nil"/>
              <w:left w:val="nil"/>
              <w:bottom w:val="nil"/>
              <w:right w:val="nil"/>
            </w:tcBorders>
            <w:shd w:val="clear" w:color="auto" w:fill="auto"/>
            <w:hideMark/>
          </w:tcPr>
          <w:p w14:paraId="01358147"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Wider and more effective use of WIPO’s global IP systems, services, knowledge and data</w:t>
            </w:r>
          </w:p>
        </w:tc>
        <w:tc>
          <w:tcPr>
            <w:tcW w:w="1031" w:type="dxa"/>
            <w:tcBorders>
              <w:top w:val="nil"/>
              <w:left w:val="nil"/>
              <w:bottom w:val="nil"/>
              <w:right w:val="nil"/>
            </w:tcBorders>
            <w:shd w:val="clear" w:color="auto" w:fill="auto"/>
            <w:noWrap/>
            <w:hideMark/>
          </w:tcPr>
          <w:p w14:paraId="7CAD3577"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586</w:t>
            </w:r>
          </w:p>
        </w:tc>
        <w:tc>
          <w:tcPr>
            <w:tcW w:w="1031" w:type="dxa"/>
            <w:tcBorders>
              <w:top w:val="nil"/>
              <w:left w:val="nil"/>
              <w:bottom w:val="nil"/>
              <w:right w:val="nil"/>
            </w:tcBorders>
            <w:shd w:val="clear" w:color="auto" w:fill="auto"/>
            <w:noWrap/>
            <w:hideMark/>
          </w:tcPr>
          <w:p w14:paraId="1BE90AAC"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285</w:t>
            </w:r>
          </w:p>
        </w:tc>
        <w:tc>
          <w:tcPr>
            <w:tcW w:w="1032" w:type="dxa"/>
            <w:tcBorders>
              <w:top w:val="nil"/>
              <w:left w:val="nil"/>
              <w:bottom w:val="nil"/>
              <w:right w:val="nil"/>
            </w:tcBorders>
            <w:shd w:val="clear" w:color="auto" w:fill="auto"/>
            <w:noWrap/>
            <w:hideMark/>
          </w:tcPr>
          <w:p w14:paraId="564B31D7"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242</w:t>
            </w:r>
          </w:p>
        </w:tc>
      </w:tr>
      <w:tr w:rsidR="00792A58" w:rsidRPr="00792A58" w14:paraId="1A9BA036" w14:textId="77777777" w:rsidTr="00CE55D8">
        <w:trPr>
          <w:divId w:val="1661809976"/>
          <w:trHeight w:val="276"/>
        </w:trPr>
        <w:tc>
          <w:tcPr>
            <w:tcW w:w="398" w:type="dxa"/>
            <w:tcBorders>
              <w:top w:val="nil"/>
              <w:left w:val="nil"/>
              <w:bottom w:val="nil"/>
              <w:right w:val="nil"/>
            </w:tcBorders>
            <w:shd w:val="clear" w:color="auto" w:fill="auto"/>
            <w:noWrap/>
            <w:hideMark/>
          </w:tcPr>
          <w:p w14:paraId="7D4CE718"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3.2</w:t>
            </w:r>
          </w:p>
        </w:tc>
        <w:tc>
          <w:tcPr>
            <w:tcW w:w="6146" w:type="dxa"/>
            <w:tcBorders>
              <w:top w:val="nil"/>
              <w:left w:val="nil"/>
              <w:bottom w:val="nil"/>
              <w:right w:val="nil"/>
            </w:tcBorders>
            <w:shd w:val="clear" w:color="auto" w:fill="auto"/>
            <w:hideMark/>
          </w:tcPr>
          <w:p w14:paraId="0A4A729E"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Improved productivity and service quality of WIPO’s global IP systems, services, knowledge and data</w:t>
            </w:r>
          </w:p>
        </w:tc>
        <w:tc>
          <w:tcPr>
            <w:tcW w:w="1031" w:type="dxa"/>
            <w:tcBorders>
              <w:top w:val="nil"/>
              <w:left w:val="nil"/>
              <w:bottom w:val="nil"/>
              <w:right w:val="nil"/>
            </w:tcBorders>
            <w:shd w:val="clear" w:color="auto" w:fill="auto"/>
            <w:noWrap/>
            <w:hideMark/>
          </w:tcPr>
          <w:p w14:paraId="651BC447"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292</w:t>
            </w:r>
          </w:p>
        </w:tc>
        <w:tc>
          <w:tcPr>
            <w:tcW w:w="1031" w:type="dxa"/>
            <w:tcBorders>
              <w:top w:val="nil"/>
              <w:left w:val="nil"/>
              <w:bottom w:val="nil"/>
              <w:right w:val="nil"/>
            </w:tcBorders>
            <w:shd w:val="clear" w:color="auto" w:fill="auto"/>
            <w:noWrap/>
            <w:hideMark/>
          </w:tcPr>
          <w:p w14:paraId="7545D06D"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286</w:t>
            </w:r>
          </w:p>
        </w:tc>
        <w:tc>
          <w:tcPr>
            <w:tcW w:w="1032" w:type="dxa"/>
            <w:tcBorders>
              <w:top w:val="nil"/>
              <w:left w:val="nil"/>
              <w:bottom w:val="nil"/>
              <w:right w:val="nil"/>
            </w:tcBorders>
            <w:shd w:val="clear" w:color="auto" w:fill="auto"/>
            <w:noWrap/>
            <w:hideMark/>
          </w:tcPr>
          <w:p w14:paraId="1259D060"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273</w:t>
            </w:r>
          </w:p>
        </w:tc>
      </w:tr>
      <w:tr w:rsidR="00792A58" w:rsidRPr="00792A58" w14:paraId="744BDA5E" w14:textId="77777777" w:rsidTr="00CE55D8">
        <w:trPr>
          <w:divId w:val="1661809976"/>
          <w:trHeight w:val="429"/>
        </w:trPr>
        <w:tc>
          <w:tcPr>
            <w:tcW w:w="398" w:type="dxa"/>
            <w:tcBorders>
              <w:top w:val="nil"/>
              <w:left w:val="nil"/>
              <w:bottom w:val="nil"/>
              <w:right w:val="nil"/>
            </w:tcBorders>
            <w:shd w:val="clear" w:color="auto" w:fill="auto"/>
            <w:noWrap/>
            <w:hideMark/>
          </w:tcPr>
          <w:p w14:paraId="5F5DE6F8"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4.1</w:t>
            </w:r>
          </w:p>
        </w:tc>
        <w:tc>
          <w:tcPr>
            <w:tcW w:w="6146" w:type="dxa"/>
            <w:tcBorders>
              <w:top w:val="nil"/>
              <w:left w:val="nil"/>
              <w:bottom w:val="nil"/>
              <w:right w:val="nil"/>
            </w:tcBorders>
            <w:shd w:val="clear" w:color="auto" w:fill="auto"/>
            <w:hideMark/>
          </w:tcPr>
          <w:p w14:paraId="11844A95" w14:textId="45172DFB" w:rsidR="00792A58" w:rsidRDefault="001048EB" w:rsidP="00792A58">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More effective use of a balanced IP system to support growth</w:t>
            </w:r>
            <w:r w:rsidR="00D779AD">
              <w:rPr>
                <w:rFonts w:ascii="Arial Narrow" w:eastAsia="Times New Roman" w:hAnsi="Arial Narrow" w:cs="Arial"/>
                <w:sz w:val="16"/>
                <w:szCs w:val="16"/>
                <w:lang w:val="en-US"/>
              </w:rPr>
              <w:t xml:space="preserve"> </w:t>
            </w:r>
            <w:r w:rsidR="00792A58" w:rsidRPr="00792A58">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p w14:paraId="3072B081" w14:textId="4707CE5B" w:rsidR="00C6419C" w:rsidRPr="00C6419C" w:rsidRDefault="00C6419C" w:rsidP="00792A58">
            <w:pPr>
              <w:spacing w:after="0" w:line="240" w:lineRule="auto"/>
              <w:rPr>
                <w:rFonts w:ascii="Arial Narrow" w:eastAsia="Times New Roman" w:hAnsi="Arial Narrow" w:cs="Arial"/>
                <w:sz w:val="8"/>
                <w:szCs w:val="8"/>
                <w:lang w:val="en-US"/>
              </w:rPr>
            </w:pPr>
          </w:p>
        </w:tc>
        <w:tc>
          <w:tcPr>
            <w:tcW w:w="1031" w:type="dxa"/>
            <w:tcBorders>
              <w:top w:val="nil"/>
              <w:left w:val="nil"/>
              <w:bottom w:val="nil"/>
              <w:right w:val="nil"/>
            </w:tcBorders>
            <w:shd w:val="clear" w:color="auto" w:fill="auto"/>
            <w:noWrap/>
            <w:hideMark/>
          </w:tcPr>
          <w:p w14:paraId="3AEA1ABB"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1,415</w:t>
            </w:r>
          </w:p>
        </w:tc>
        <w:tc>
          <w:tcPr>
            <w:tcW w:w="1031" w:type="dxa"/>
            <w:tcBorders>
              <w:top w:val="nil"/>
              <w:left w:val="nil"/>
              <w:bottom w:val="nil"/>
              <w:right w:val="nil"/>
            </w:tcBorders>
            <w:shd w:val="clear" w:color="auto" w:fill="auto"/>
            <w:noWrap/>
            <w:hideMark/>
          </w:tcPr>
          <w:p w14:paraId="421057EB"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1,191</w:t>
            </w:r>
          </w:p>
        </w:tc>
        <w:tc>
          <w:tcPr>
            <w:tcW w:w="1032" w:type="dxa"/>
            <w:tcBorders>
              <w:top w:val="nil"/>
              <w:left w:val="nil"/>
              <w:bottom w:val="nil"/>
              <w:right w:val="nil"/>
            </w:tcBorders>
            <w:shd w:val="clear" w:color="auto" w:fill="auto"/>
            <w:noWrap/>
            <w:hideMark/>
          </w:tcPr>
          <w:p w14:paraId="0809A000"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1,598</w:t>
            </w:r>
          </w:p>
        </w:tc>
      </w:tr>
      <w:tr w:rsidR="00792A58" w:rsidRPr="00792A58" w14:paraId="5EB3600A" w14:textId="77777777" w:rsidTr="00CE55D8">
        <w:trPr>
          <w:divId w:val="1661809976"/>
          <w:trHeight w:val="276"/>
        </w:trPr>
        <w:tc>
          <w:tcPr>
            <w:tcW w:w="398" w:type="dxa"/>
            <w:tcBorders>
              <w:top w:val="nil"/>
              <w:left w:val="nil"/>
              <w:bottom w:val="nil"/>
              <w:right w:val="nil"/>
            </w:tcBorders>
            <w:shd w:val="clear" w:color="auto" w:fill="auto"/>
            <w:noWrap/>
            <w:hideMark/>
          </w:tcPr>
          <w:p w14:paraId="1D053519"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4.2</w:t>
            </w:r>
          </w:p>
        </w:tc>
        <w:tc>
          <w:tcPr>
            <w:tcW w:w="6146" w:type="dxa"/>
            <w:tcBorders>
              <w:top w:val="nil"/>
              <w:left w:val="nil"/>
              <w:bottom w:val="nil"/>
              <w:right w:val="nil"/>
            </w:tcBorders>
            <w:shd w:val="clear" w:color="auto" w:fill="auto"/>
            <w:hideMark/>
          </w:tcPr>
          <w:p w14:paraId="6BD2B7C0"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Development of balanced and effective IP, innovation and creative ecosystems in Member States</w:t>
            </w:r>
          </w:p>
        </w:tc>
        <w:tc>
          <w:tcPr>
            <w:tcW w:w="1031" w:type="dxa"/>
            <w:tcBorders>
              <w:top w:val="nil"/>
              <w:left w:val="nil"/>
              <w:bottom w:val="nil"/>
              <w:right w:val="nil"/>
            </w:tcBorders>
            <w:shd w:val="clear" w:color="auto" w:fill="auto"/>
            <w:noWrap/>
            <w:hideMark/>
          </w:tcPr>
          <w:p w14:paraId="0DE03F62"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4,627</w:t>
            </w:r>
          </w:p>
        </w:tc>
        <w:tc>
          <w:tcPr>
            <w:tcW w:w="1031" w:type="dxa"/>
            <w:tcBorders>
              <w:top w:val="nil"/>
              <w:left w:val="nil"/>
              <w:bottom w:val="nil"/>
              <w:right w:val="nil"/>
            </w:tcBorders>
            <w:shd w:val="clear" w:color="auto" w:fill="auto"/>
            <w:noWrap/>
            <w:hideMark/>
          </w:tcPr>
          <w:p w14:paraId="6EEC452D"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4,754</w:t>
            </w:r>
          </w:p>
        </w:tc>
        <w:tc>
          <w:tcPr>
            <w:tcW w:w="1032" w:type="dxa"/>
            <w:tcBorders>
              <w:top w:val="nil"/>
              <w:left w:val="nil"/>
              <w:bottom w:val="nil"/>
              <w:right w:val="nil"/>
            </w:tcBorders>
            <w:shd w:val="clear" w:color="auto" w:fill="auto"/>
            <w:noWrap/>
            <w:hideMark/>
          </w:tcPr>
          <w:p w14:paraId="7926C07C"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4,553</w:t>
            </w:r>
          </w:p>
        </w:tc>
      </w:tr>
      <w:tr w:rsidR="00792A58" w:rsidRPr="00792A58" w14:paraId="5D331E88" w14:textId="77777777" w:rsidTr="00CE55D8">
        <w:trPr>
          <w:divId w:val="1661809976"/>
          <w:trHeight w:val="276"/>
        </w:trPr>
        <w:tc>
          <w:tcPr>
            <w:tcW w:w="398" w:type="dxa"/>
            <w:tcBorders>
              <w:top w:val="nil"/>
              <w:left w:val="nil"/>
              <w:bottom w:val="nil"/>
              <w:right w:val="nil"/>
            </w:tcBorders>
            <w:shd w:val="clear" w:color="auto" w:fill="auto"/>
            <w:noWrap/>
            <w:hideMark/>
          </w:tcPr>
          <w:p w14:paraId="22783760"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4.3</w:t>
            </w:r>
          </w:p>
        </w:tc>
        <w:tc>
          <w:tcPr>
            <w:tcW w:w="6146" w:type="dxa"/>
            <w:tcBorders>
              <w:top w:val="nil"/>
              <w:left w:val="nil"/>
              <w:bottom w:val="nil"/>
              <w:right w:val="nil"/>
            </w:tcBorders>
            <w:shd w:val="clear" w:color="auto" w:fill="auto"/>
            <w:hideMark/>
          </w:tcPr>
          <w:p w14:paraId="78F12C3F"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Increased IP knowledge and skills in all Member States</w:t>
            </w:r>
          </w:p>
        </w:tc>
        <w:tc>
          <w:tcPr>
            <w:tcW w:w="1031" w:type="dxa"/>
            <w:tcBorders>
              <w:top w:val="nil"/>
              <w:left w:val="nil"/>
              <w:bottom w:val="nil"/>
              <w:right w:val="nil"/>
            </w:tcBorders>
            <w:shd w:val="clear" w:color="auto" w:fill="auto"/>
            <w:noWrap/>
            <w:hideMark/>
          </w:tcPr>
          <w:p w14:paraId="573B6CF0"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1,970</w:t>
            </w:r>
          </w:p>
        </w:tc>
        <w:tc>
          <w:tcPr>
            <w:tcW w:w="1031" w:type="dxa"/>
            <w:tcBorders>
              <w:top w:val="nil"/>
              <w:left w:val="nil"/>
              <w:bottom w:val="nil"/>
              <w:right w:val="nil"/>
            </w:tcBorders>
            <w:shd w:val="clear" w:color="auto" w:fill="auto"/>
            <w:noWrap/>
            <w:hideMark/>
          </w:tcPr>
          <w:p w14:paraId="1DCF1D5D"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1,741</w:t>
            </w:r>
          </w:p>
        </w:tc>
        <w:tc>
          <w:tcPr>
            <w:tcW w:w="1032" w:type="dxa"/>
            <w:tcBorders>
              <w:top w:val="nil"/>
              <w:left w:val="nil"/>
              <w:bottom w:val="nil"/>
              <w:right w:val="nil"/>
            </w:tcBorders>
            <w:shd w:val="clear" w:color="auto" w:fill="auto"/>
            <w:noWrap/>
            <w:hideMark/>
          </w:tcPr>
          <w:p w14:paraId="2DA63B06"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1,707</w:t>
            </w:r>
          </w:p>
        </w:tc>
      </w:tr>
      <w:tr w:rsidR="00792A58" w:rsidRPr="00792A58" w14:paraId="7FCA8DE6" w14:textId="77777777" w:rsidTr="00CE55D8">
        <w:trPr>
          <w:divId w:val="1661809976"/>
          <w:trHeight w:val="415"/>
        </w:trPr>
        <w:tc>
          <w:tcPr>
            <w:tcW w:w="398" w:type="dxa"/>
            <w:tcBorders>
              <w:top w:val="nil"/>
              <w:left w:val="nil"/>
              <w:bottom w:val="nil"/>
              <w:right w:val="nil"/>
            </w:tcBorders>
            <w:shd w:val="clear" w:color="auto" w:fill="auto"/>
            <w:noWrap/>
            <w:hideMark/>
          </w:tcPr>
          <w:p w14:paraId="0D2740F2"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4.4</w:t>
            </w:r>
          </w:p>
        </w:tc>
        <w:tc>
          <w:tcPr>
            <w:tcW w:w="6146" w:type="dxa"/>
            <w:tcBorders>
              <w:top w:val="nil"/>
              <w:left w:val="nil"/>
              <w:bottom w:val="nil"/>
              <w:right w:val="nil"/>
            </w:tcBorders>
            <w:shd w:val="clear" w:color="auto" w:fill="auto"/>
            <w:hideMark/>
          </w:tcPr>
          <w:p w14:paraId="35F328DB" w14:textId="77777777" w:rsidR="00792A58" w:rsidRPr="00792A58" w:rsidRDefault="00792A58" w:rsidP="00792A58">
            <w:pPr>
              <w:spacing w:after="0" w:line="240" w:lineRule="auto"/>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More innovators, creators, SMEs, universities, research institutions and communities leverage IP successfully</w:t>
            </w:r>
          </w:p>
        </w:tc>
        <w:tc>
          <w:tcPr>
            <w:tcW w:w="1031" w:type="dxa"/>
            <w:tcBorders>
              <w:top w:val="nil"/>
              <w:left w:val="nil"/>
              <w:bottom w:val="nil"/>
              <w:right w:val="nil"/>
            </w:tcBorders>
            <w:shd w:val="clear" w:color="auto" w:fill="auto"/>
            <w:noWrap/>
            <w:hideMark/>
          </w:tcPr>
          <w:p w14:paraId="4C732217"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13,735</w:t>
            </w:r>
          </w:p>
        </w:tc>
        <w:tc>
          <w:tcPr>
            <w:tcW w:w="1031" w:type="dxa"/>
            <w:tcBorders>
              <w:top w:val="nil"/>
              <w:left w:val="nil"/>
              <w:bottom w:val="nil"/>
              <w:right w:val="nil"/>
            </w:tcBorders>
            <w:shd w:val="clear" w:color="auto" w:fill="auto"/>
            <w:noWrap/>
            <w:hideMark/>
          </w:tcPr>
          <w:p w14:paraId="77EF9F99"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10,095</w:t>
            </w:r>
          </w:p>
        </w:tc>
        <w:tc>
          <w:tcPr>
            <w:tcW w:w="1032" w:type="dxa"/>
            <w:tcBorders>
              <w:top w:val="nil"/>
              <w:left w:val="nil"/>
              <w:bottom w:val="nil"/>
              <w:right w:val="nil"/>
            </w:tcBorders>
            <w:shd w:val="clear" w:color="auto" w:fill="auto"/>
            <w:noWrap/>
            <w:hideMark/>
          </w:tcPr>
          <w:p w14:paraId="3ECAA938" w14:textId="77777777" w:rsidR="00792A58" w:rsidRPr="00792A58" w:rsidRDefault="00792A58" w:rsidP="00792A58">
            <w:pPr>
              <w:spacing w:after="0" w:line="240" w:lineRule="auto"/>
              <w:jc w:val="right"/>
              <w:rPr>
                <w:rFonts w:ascii="Arial Narrow" w:eastAsia="Times New Roman" w:hAnsi="Arial Narrow" w:cs="Arial"/>
                <w:sz w:val="16"/>
                <w:szCs w:val="16"/>
                <w:lang w:val="en-US"/>
              </w:rPr>
            </w:pPr>
            <w:r w:rsidRPr="00792A58">
              <w:rPr>
                <w:rFonts w:ascii="Arial Narrow" w:eastAsia="Times New Roman" w:hAnsi="Arial Narrow" w:cs="Arial"/>
                <w:sz w:val="16"/>
                <w:szCs w:val="16"/>
                <w:lang w:val="en-US"/>
              </w:rPr>
              <w:t>9,765</w:t>
            </w:r>
          </w:p>
        </w:tc>
      </w:tr>
      <w:tr w:rsidR="00792A58" w:rsidRPr="00792A58" w14:paraId="08DAAAB6" w14:textId="77777777" w:rsidTr="00CE55D8">
        <w:trPr>
          <w:divId w:val="1661809976"/>
          <w:trHeight w:val="276"/>
        </w:trPr>
        <w:tc>
          <w:tcPr>
            <w:tcW w:w="398" w:type="dxa"/>
            <w:tcBorders>
              <w:top w:val="single" w:sz="4" w:space="0" w:color="BFBFBF"/>
              <w:left w:val="nil"/>
              <w:bottom w:val="single" w:sz="8" w:space="0" w:color="C7CFD8"/>
              <w:right w:val="nil"/>
            </w:tcBorders>
            <w:shd w:val="clear" w:color="auto" w:fill="auto"/>
            <w:noWrap/>
            <w:vAlign w:val="center"/>
            <w:hideMark/>
          </w:tcPr>
          <w:p w14:paraId="18B2B87A" w14:textId="77777777" w:rsidR="00792A58" w:rsidRPr="00792A58" w:rsidRDefault="00792A58" w:rsidP="00792A58">
            <w:pPr>
              <w:spacing w:after="0" w:line="240" w:lineRule="auto"/>
              <w:rPr>
                <w:rFonts w:ascii="Arial Narrow" w:eastAsia="Times New Roman" w:hAnsi="Arial Narrow" w:cs="Arial"/>
                <w:color w:val="005172"/>
                <w:sz w:val="16"/>
                <w:szCs w:val="16"/>
                <w:lang w:val="en-US"/>
              </w:rPr>
            </w:pPr>
            <w:r w:rsidRPr="00792A58">
              <w:rPr>
                <w:rFonts w:ascii="Arial Narrow" w:eastAsia="Times New Roman" w:hAnsi="Arial Narrow" w:cs="Arial"/>
                <w:color w:val="005172"/>
                <w:sz w:val="16"/>
                <w:szCs w:val="16"/>
                <w:lang w:val="en-US"/>
              </w:rPr>
              <w:t> </w:t>
            </w:r>
          </w:p>
        </w:tc>
        <w:tc>
          <w:tcPr>
            <w:tcW w:w="6146" w:type="dxa"/>
            <w:tcBorders>
              <w:top w:val="single" w:sz="4" w:space="0" w:color="BFBFBF"/>
              <w:left w:val="nil"/>
              <w:bottom w:val="single" w:sz="8" w:space="0" w:color="C7CFD8"/>
              <w:right w:val="nil"/>
            </w:tcBorders>
            <w:shd w:val="clear" w:color="auto" w:fill="auto"/>
            <w:noWrap/>
            <w:vAlign w:val="center"/>
            <w:hideMark/>
          </w:tcPr>
          <w:p w14:paraId="1B5BE6FB" w14:textId="77777777" w:rsidR="00792A58" w:rsidRPr="00792A58" w:rsidRDefault="00792A58" w:rsidP="00792A58">
            <w:pPr>
              <w:spacing w:after="0" w:line="240" w:lineRule="auto"/>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Total</w:t>
            </w:r>
          </w:p>
        </w:tc>
        <w:tc>
          <w:tcPr>
            <w:tcW w:w="1031" w:type="dxa"/>
            <w:tcBorders>
              <w:top w:val="single" w:sz="4" w:space="0" w:color="BFBFBF"/>
              <w:left w:val="nil"/>
              <w:bottom w:val="single" w:sz="8" w:space="0" w:color="C7CFD8"/>
              <w:right w:val="nil"/>
            </w:tcBorders>
            <w:shd w:val="clear" w:color="auto" w:fill="auto"/>
            <w:noWrap/>
            <w:vAlign w:val="center"/>
            <w:hideMark/>
          </w:tcPr>
          <w:p w14:paraId="2FB8E9AD" w14:textId="77777777" w:rsidR="00792A58" w:rsidRPr="00792A58" w:rsidRDefault="00792A58" w:rsidP="00792A58">
            <w:pPr>
              <w:spacing w:after="0" w:line="240" w:lineRule="auto"/>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37,764</w:t>
            </w:r>
          </w:p>
        </w:tc>
        <w:tc>
          <w:tcPr>
            <w:tcW w:w="1031" w:type="dxa"/>
            <w:tcBorders>
              <w:top w:val="single" w:sz="4" w:space="0" w:color="BFBFBF"/>
              <w:left w:val="nil"/>
              <w:bottom w:val="single" w:sz="8" w:space="0" w:color="C7CFD8"/>
              <w:right w:val="nil"/>
            </w:tcBorders>
            <w:shd w:val="clear" w:color="auto" w:fill="auto"/>
            <w:noWrap/>
            <w:vAlign w:val="center"/>
            <w:hideMark/>
          </w:tcPr>
          <w:p w14:paraId="63E9580E" w14:textId="77777777" w:rsidR="00792A58" w:rsidRPr="00792A58" w:rsidRDefault="00792A58" w:rsidP="00792A58">
            <w:pPr>
              <w:spacing w:after="0" w:line="240" w:lineRule="auto"/>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31,735</w:t>
            </w:r>
          </w:p>
        </w:tc>
        <w:tc>
          <w:tcPr>
            <w:tcW w:w="1032" w:type="dxa"/>
            <w:tcBorders>
              <w:top w:val="single" w:sz="4" w:space="0" w:color="BFBFBF"/>
              <w:left w:val="nil"/>
              <w:bottom w:val="single" w:sz="8" w:space="0" w:color="C7CFD8"/>
              <w:right w:val="nil"/>
            </w:tcBorders>
            <w:shd w:val="clear" w:color="auto" w:fill="auto"/>
            <w:noWrap/>
            <w:vAlign w:val="center"/>
            <w:hideMark/>
          </w:tcPr>
          <w:p w14:paraId="09E3F27F" w14:textId="77777777" w:rsidR="00792A58" w:rsidRPr="00792A58" w:rsidRDefault="00792A58" w:rsidP="00792A58">
            <w:pPr>
              <w:spacing w:after="0" w:line="240" w:lineRule="auto"/>
              <w:jc w:val="right"/>
              <w:rPr>
                <w:rFonts w:ascii="Arial Narrow" w:eastAsia="Times New Roman" w:hAnsi="Arial Narrow" w:cs="Arial"/>
                <w:b/>
                <w:bCs/>
                <w:sz w:val="16"/>
                <w:szCs w:val="16"/>
                <w:lang w:val="en-US"/>
              </w:rPr>
            </w:pPr>
            <w:r w:rsidRPr="00792A58">
              <w:rPr>
                <w:rFonts w:ascii="Arial Narrow" w:eastAsia="Times New Roman" w:hAnsi="Arial Narrow" w:cs="Arial"/>
                <w:b/>
                <w:bCs/>
                <w:sz w:val="16"/>
                <w:szCs w:val="16"/>
                <w:lang w:val="en-US"/>
              </w:rPr>
              <w:t>33,166</w:t>
            </w:r>
          </w:p>
        </w:tc>
      </w:tr>
    </w:tbl>
    <w:p w14:paraId="3F954AC2" w14:textId="64F1B23F" w:rsidR="00D56626" w:rsidRDefault="00D56626" w:rsidP="00D56626">
      <w:pPr>
        <w:rPr>
          <w:lang w:val="en-US"/>
        </w:rPr>
      </w:pPr>
    </w:p>
    <w:p w14:paraId="0DF536ED" w14:textId="3CCB4EAF" w:rsidR="00D56626" w:rsidRDefault="00CE55D8" w:rsidP="00CE55D8">
      <w:pPr>
        <w:spacing w:after="200" w:line="276" w:lineRule="auto"/>
        <w:rPr>
          <w:lang w:val="en-US"/>
        </w:rPr>
      </w:pPr>
      <w:r>
        <w:rPr>
          <w:lang w:val="en-US"/>
        </w:rPr>
        <w:br w:type="page"/>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56626" w:rsidRPr="00192178" w14:paraId="6D896AD0" w14:textId="77777777" w:rsidTr="00750B3E">
        <w:trPr>
          <w:trHeight w:val="80"/>
        </w:trPr>
        <w:tc>
          <w:tcPr>
            <w:tcW w:w="9638" w:type="dxa"/>
          </w:tcPr>
          <w:p w14:paraId="1348DE6B" w14:textId="77777777" w:rsidR="00D56626" w:rsidRPr="00034525" w:rsidRDefault="00D56626" w:rsidP="001A3F3C">
            <w:pPr>
              <w:spacing w:after="60" w:line="240" w:lineRule="auto"/>
              <w:jc w:val="center"/>
              <w:rPr>
                <w:rFonts w:cs="Arial"/>
                <w:b/>
                <w:bCs/>
                <w:color w:val="005172"/>
                <w:sz w:val="16"/>
                <w:szCs w:val="16"/>
              </w:rPr>
            </w:pPr>
            <w:r w:rsidRPr="00034525">
              <w:rPr>
                <w:rFonts w:cs="Arial"/>
                <w:b/>
                <w:bCs/>
                <w:color w:val="005172"/>
                <w:szCs w:val="16"/>
              </w:rPr>
              <w:t>Copy</w:t>
            </w:r>
            <w:r>
              <w:rPr>
                <w:rFonts w:cs="Arial"/>
                <w:b/>
                <w:bCs/>
                <w:color w:val="005172"/>
                <w:szCs w:val="16"/>
              </w:rPr>
              <w:t xml:space="preserve">right and Creative Industries: </w:t>
            </w:r>
            <w:r w:rsidRPr="00034525">
              <w:rPr>
                <w:rFonts w:cs="Arial"/>
                <w:b/>
                <w:bCs/>
                <w:color w:val="005172"/>
                <w:szCs w:val="16"/>
              </w:rPr>
              <w:t>Resources by Cost Category</w:t>
            </w:r>
          </w:p>
        </w:tc>
      </w:tr>
      <w:tr w:rsidR="00D56626" w:rsidRPr="00192178" w14:paraId="7EBEF61E" w14:textId="77777777" w:rsidTr="00750B3E">
        <w:trPr>
          <w:trHeight w:val="15"/>
        </w:trPr>
        <w:tc>
          <w:tcPr>
            <w:tcW w:w="9638" w:type="dxa"/>
          </w:tcPr>
          <w:p w14:paraId="0ECA377A" w14:textId="3BEFC790" w:rsidR="00D56626" w:rsidRPr="00034525" w:rsidRDefault="00D56626" w:rsidP="005B0AE9">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3A69888D" w14:textId="6495E150" w:rsidR="00B214A5" w:rsidRDefault="00B214A5" w:rsidP="00792A58">
      <w:pPr>
        <w:spacing w:after="0"/>
        <w:rPr>
          <w:rFonts w:asciiTheme="minorHAnsi" w:hAnsiTheme="minorHAnsi"/>
          <w:sz w:val="22"/>
        </w:rPr>
      </w:pPr>
    </w:p>
    <w:tbl>
      <w:tblPr>
        <w:tblW w:w="8740" w:type="dxa"/>
        <w:jc w:val="center"/>
        <w:tblLook w:val="04A0" w:firstRow="1" w:lastRow="0" w:firstColumn="1" w:lastColumn="0" w:noHBand="0" w:noVBand="1"/>
      </w:tblPr>
      <w:tblGrid>
        <w:gridCol w:w="253"/>
        <w:gridCol w:w="222"/>
        <w:gridCol w:w="2977"/>
        <w:gridCol w:w="253"/>
        <w:gridCol w:w="1060"/>
        <w:gridCol w:w="1180"/>
        <w:gridCol w:w="1180"/>
        <w:gridCol w:w="1060"/>
        <w:gridCol w:w="1060"/>
      </w:tblGrid>
      <w:tr w:rsidR="00B214A5" w:rsidRPr="00B214A5" w14:paraId="48C68EE6" w14:textId="77777777" w:rsidTr="005A1D34">
        <w:trPr>
          <w:divId w:val="1275094524"/>
          <w:trHeight w:val="420"/>
          <w:jc w:val="center"/>
        </w:trPr>
        <w:tc>
          <w:tcPr>
            <w:tcW w:w="3200" w:type="dxa"/>
            <w:gridSpan w:val="4"/>
            <w:vMerge w:val="restart"/>
            <w:tcBorders>
              <w:top w:val="nil"/>
              <w:left w:val="nil"/>
              <w:bottom w:val="nil"/>
              <w:right w:val="nil"/>
            </w:tcBorders>
            <w:shd w:val="clear" w:color="000000" w:fill="C7CFD8"/>
            <w:hideMark/>
          </w:tcPr>
          <w:p w14:paraId="12D3624C" w14:textId="3D9FE6E4"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526EA73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2024/25 </w:t>
            </w:r>
            <w:r w:rsidRPr="00B214A5">
              <w:rPr>
                <w:rFonts w:ascii="Arial Narrow" w:eastAsia="Times New Roman" w:hAnsi="Arial Narrow" w:cs="Times New Roman"/>
                <w:b/>
                <w:bCs/>
                <w:sz w:val="16"/>
                <w:szCs w:val="16"/>
                <w:lang w:val="en-US"/>
              </w:rPr>
              <w:br/>
              <w:t>Proposed</w:t>
            </w:r>
            <w:r w:rsidRPr="00B214A5">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7A10FBBB"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2022/23</w:t>
            </w:r>
            <w:r w:rsidRPr="00B214A5">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78963B9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2022/23 </w:t>
            </w:r>
            <w:r w:rsidRPr="00B214A5">
              <w:rPr>
                <w:rFonts w:ascii="Arial Narrow" w:eastAsia="Times New Roman" w:hAnsi="Arial Narrow" w:cs="Times New Roman"/>
                <w:b/>
                <w:bCs/>
                <w:sz w:val="16"/>
                <w:szCs w:val="16"/>
                <w:lang w:val="en-US"/>
              </w:rPr>
              <w:br/>
              <w:t>Budget after</w:t>
            </w:r>
            <w:r w:rsidRPr="00B214A5">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36788657" w14:textId="77777777"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2024/25 </w:t>
            </w:r>
            <w:r w:rsidRPr="00B214A5">
              <w:rPr>
                <w:rFonts w:ascii="Arial Narrow" w:eastAsia="Times New Roman" w:hAnsi="Arial Narrow" w:cs="Times New Roman"/>
                <w:b/>
                <w:bCs/>
                <w:sz w:val="16"/>
                <w:szCs w:val="16"/>
                <w:lang w:val="en-US"/>
              </w:rPr>
              <w:br/>
              <w:t xml:space="preserve">vs. 2022/23 PoW&amp;B </w:t>
            </w:r>
          </w:p>
        </w:tc>
      </w:tr>
      <w:tr w:rsidR="00B214A5" w:rsidRPr="00B214A5" w14:paraId="1C075260" w14:textId="77777777" w:rsidTr="005A1D34">
        <w:trPr>
          <w:divId w:val="1275094524"/>
          <w:trHeight w:val="315"/>
          <w:jc w:val="center"/>
        </w:trPr>
        <w:tc>
          <w:tcPr>
            <w:tcW w:w="3200" w:type="dxa"/>
            <w:gridSpan w:val="4"/>
            <w:vMerge/>
            <w:tcBorders>
              <w:top w:val="nil"/>
              <w:left w:val="nil"/>
              <w:bottom w:val="nil"/>
              <w:right w:val="nil"/>
            </w:tcBorders>
            <w:vAlign w:val="center"/>
            <w:hideMark/>
          </w:tcPr>
          <w:p w14:paraId="0464D87D"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p>
        </w:tc>
        <w:tc>
          <w:tcPr>
            <w:tcW w:w="1060" w:type="dxa"/>
            <w:vMerge/>
            <w:tcBorders>
              <w:top w:val="nil"/>
              <w:left w:val="nil"/>
              <w:bottom w:val="nil"/>
              <w:right w:val="nil"/>
            </w:tcBorders>
            <w:vAlign w:val="center"/>
            <w:hideMark/>
          </w:tcPr>
          <w:p w14:paraId="2BD1D91A"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2C827BEF"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24D95039"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3FE770BA" w14:textId="77777777" w:rsidR="00B214A5" w:rsidRPr="00B214A5" w:rsidRDefault="00B214A5" w:rsidP="00B214A5">
            <w:pPr>
              <w:spacing w:after="0" w:line="240" w:lineRule="auto"/>
              <w:ind w:firstLineChars="100" w:firstLine="160"/>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2CDC5721" w14:textId="77777777" w:rsidR="00B214A5" w:rsidRPr="00B214A5" w:rsidRDefault="00B214A5" w:rsidP="00B214A5">
            <w:pPr>
              <w:spacing w:after="0" w:line="240" w:lineRule="auto"/>
              <w:ind w:firstLineChars="200" w:firstLine="320"/>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w:t>
            </w:r>
          </w:p>
        </w:tc>
      </w:tr>
      <w:tr w:rsidR="00B214A5" w:rsidRPr="00B214A5" w14:paraId="418FA0CA" w14:textId="77777777" w:rsidTr="008A121C">
        <w:trPr>
          <w:divId w:val="1275094524"/>
          <w:trHeight w:hRule="exact" w:val="216"/>
          <w:jc w:val="center"/>
        </w:trPr>
        <w:tc>
          <w:tcPr>
            <w:tcW w:w="3200" w:type="dxa"/>
            <w:gridSpan w:val="4"/>
            <w:tcBorders>
              <w:top w:val="nil"/>
              <w:left w:val="nil"/>
              <w:bottom w:val="nil"/>
              <w:right w:val="nil"/>
            </w:tcBorders>
            <w:shd w:val="clear" w:color="auto" w:fill="auto"/>
            <w:noWrap/>
            <w:hideMark/>
          </w:tcPr>
          <w:p w14:paraId="5FEFE7FE"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r w:rsidRPr="00B214A5">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11A3E12E"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5702566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FB8E20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2C47DD0"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71B68C9"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r w:rsidR="00B214A5" w:rsidRPr="00B214A5" w14:paraId="71716A71"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3E1840F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43805C6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E65C91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Posts</w:t>
            </w:r>
          </w:p>
        </w:tc>
        <w:tc>
          <w:tcPr>
            <w:tcW w:w="103" w:type="dxa"/>
            <w:tcBorders>
              <w:top w:val="nil"/>
              <w:left w:val="nil"/>
              <w:bottom w:val="nil"/>
              <w:right w:val="nil"/>
            </w:tcBorders>
            <w:shd w:val="clear" w:color="auto" w:fill="auto"/>
            <w:noWrap/>
            <w:hideMark/>
          </w:tcPr>
          <w:p w14:paraId="11E1346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7A334B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18,540</w:t>
            </w:r>
          </w:p>
        </w:tc>
        <w:tc>
          <w:tcPr>
            <w:tcW w:w="1180" w:type="dxa"/>
            <w:tcBorders>
              <w:top w:val="nil"/>
              <w:left w:val="nil"/>
              <w:bottom w:val="nil"/>
              <w:right w:val="nil"/>
            </w:tcBorders>
            <w:shd w:val="clear" w:color="auto" w:fill="auto"/>
            <w:noWrap/>
            <w:hideMark/>
          </w:tcPr>
          <w:p w14:paraId="1B2A5BA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17,397</w:t>
            </w:r>
          </w:p>
        </w:tc>
        <w:tc>
          <w:tcPr>
            <w:tcW w:w="1180" w:type="dxa"/>
            <w:tcBorders>
              <w:top w:val="nil"/>
              <w:left w:val="nil"/>
              <w:bottom w:val="nil"/>
              <w:right w:val="nil"/>
            </w:tcBorders>
            <w:shd w:val="clear" w:color="auto" w:fill="auto"/>
            <w:noWrap/>
            <w:hideMark/>
          </w:tcPr>
          <w:p w14:paraId="4309C85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16,628</w:t>
            </w:r>
          </w:p>
        </w:tc>
        <w:tc>
          <w:tcPr>
            <w:tcW w:w="1060" w:type="dxa"/>
            <w:tcBorders>
              <w:top w:val="nil"/>
              <w:left w:val="nil"/>
              <w:bottom w:val="nil"/>
              <w:right w:val="nil"/>
            </w:tcBorders>
            <w:shd w:val="clear" w:color="auto" w:fill="auto"/>
            <w:noWrap/>
            <w:hideMark/>
          </w:tcPr>
          <w:p w14:paraId="69587D5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1,144</w:t>
            </w:r>
          </w:p>
        </w:tc>
        <w:tc>
          <w:tcPr>
            <w:tcW w:w="1060" w:type="dxa"/>
            <w:tcBorders>
              <w:top w:val="nil"/>
              <w:left w:val="nil"/>
              <w:bottom w:val="nil"/>
              <w:right w:val="nil"/>
            </w:tcBorders>
            <w:shd w:val="clear" w:color="auto" w:fill="auto"/>
            <w:noWrap/>
            <w:hideMark/>
          </w:tcPr>
          <w:p w14:paraId="02CC44A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w:t>
            </w:r>
          </w:p>
        </w:tc>
      </w:tr>
      <w:tr w:rsidR="00B214A5" w:rsidRPr="00B214A5" w14:paraId="73AD1DDF"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270D535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4543C6F7"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434C3B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Temporary Staff</w:t>
            </w:r>
          </w:p>
        </w:tc>
        <w:tc>
          <w:tcPr>
            <w:tcW w:w="103" w:type="dxa"/>
            <w:tcBorders>
              <w:top w:val="nil"/>
              <w:left w:val="nil"/>
              <w:bottom w:val="nil"/>
              <w:right w:val="nil"/>
            </w:tcBorders>
            <w:shd w:val="clear" w:color="auto" w:fill="auto"/>
            <w:noWrap/>
            <w:hideMark/>
          </w:tcPr>
          <w:p w14:paraId="07449F4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E9FBDF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1,359</w:t>
            </w:r>
          </w:p>
        </w:tc>
        <w:tc>
          <w:tcPr>
            <w:tcW w:w="1180" w:type="dxa"/>
            <w:tcBorders>
              <w:top w:val="nil"/>
              <w:left w:val="nil"/>
              <w:bottom w:val="nil"/>
              <w:right w:val="nil"/>
            </w:tcBorders>
            <w:shd w:val="clear" w:color="auto" w:fill="auto"/>
            <w:noWrap/>
            <w:hideMark/>
          </w:tcPr>
          <w:p w14:paraId="0148602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956</w:t>
            </w:r>
          </w:p>
        </w:tc>
        <w:tc>
          <w:tcPr>
            <w:tcW w:w="1180" w:type="dxa"/>
            <w:tcBorders>
              <w:top w:val="nil"/>
              <w:left w:val="nil"/>
              <w:bottom w:val="nil"/>
              <w:right w:val="nil"/>
            </w:tcBorders>
            <w:shd w:val="clear" w:color="auto" w:fill="auto"/>
            <w:noWrap/>
            <w:hideMark/>
          </w:tcPr>
          <w:p w14:paraId="509DE93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1,797</w:t>
            </w:r>
          </w:p>
        </w:tc>
        <w:tc>
          <w:tcPr>
            <w:tcW w:w="1060" w:type="dxa"/>
            <w:tcBorders>
              <w:top w:val="nil"/>
              <w:left w:val="nil"/>
              <w:bottom w:val="nil"/>
              <w:right w:val="nil"/>
            </w:tcBorders>
            <w:shd w:val="clear" w:color="auto" w:fill="auto"/>
            <w:noWrap/>
            <w:hideMark/>
          </w:tcPr>
          <w:p w14:paraId="550911D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403</w:t>
            </w:r>
          </w:p>
        </w:tc>
        <w:tc>
          <w:tcPr>
            <w:tcW w:w="1060" w:type="dxa"/>
            <w:tcBorders>
              <w:top w:val="nil"/>
              <w:left w:val="nil"/>
              <w:bottom w:val="nil"/>
              <w:right w:val="nil"/>
            </w:tcBorders>
            <w:shd w:val="clear" w:color="auto" w:fill="auto"/>
            <w:noWrap/>
            <w:hideMark/>
          </w:tcPr>
          <w:p w14:paraId="57FF2EA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42%</w:t>
            </w:r>
          </w:p>
        </w:tc>
      </w:tr>
      <w:tr w:rsidR="00B214A5" w:rsidRPr="00B214A5" w14:paraId="5A47B849"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535FDB1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F65BEF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D5C55B0"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Other Staff Costs</w:t>
            </w:r>
          </w:p>
        </w:tc>
        <w:tc>
          <w:tcPr>
            <w:tcW w:w="103" w:type="dxa"/>
            <w:tcBorders>
              <w:top w:val="nil"/>
              <w:left w:val="nil"/>
              <w:bottom w:val="nil"/>
              <w:right w:val="nil"/>
            </w:tcBorders>
            <w:shd w:val="clear" w:color="auto" w:fill="auto"/>
            <w:noWrap/>
            <w:hideMark/>
          </w:tcPr>
          <w:p w14:paraId="7A5004BF"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AD2FBF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B19E24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B0A1DF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E2BC58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04676C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394AC1E0" w14:textId="77777777" w:rsidTr="008A121C">
        <w:trPr>
          <w:divId w:val="1275094524"/>
          <w:trHeight w:hRule="exact" w:val="216"/>
          <w:jc w:val="center"/>
        </w:trPr>
        <w:tc>
          <w:tcPr>
            <w:tcW w:w="103" w:type="dxa"/>
            <w:tcBorders>
              <w:top w:val="single" w:sz="4" w:space="0" w:color="C7CFD8"/>
              <w:left w:val="nil"/>
              <w:bottom w:val="single" w:sz="8" w:space="0" w:color="C7CFD8"/>
              <w:right w:val="nil"/>
            </w:tcBorders>
            <w:shd w:val="clear" w:color="auto" w:fill="auto"/>
            <w:noWrap/>
            <w:hideMark/>
          </w:tcPr>
          <w:p w14:paraId="0C75BC7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1BCAC817"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 A</w:t>
            </w:r>
          </w:p>
        </w:tc>
        <w:tc>
          <w:tcPr>
            <w:tcW w:w="103" w:type="dxa"/>
            <w:tcBorders>
              <w:top w:val="single" w:sz="4" w:space="0" w:color="C7CFD8"/>
              <w:left w:val="nil"/>
              <w:bottom w:val="single" w:sz="8" w:space="0" w:color="C7CFD8"/>
              <w:right w:val="nil"/>
            </w:tcBorders>
            <w:shd w:val="clear" w:color="auto" w:fill="auto"/>
            <w:noWrap/>
            <w:hideMark/>
          </w:tcPr>
          <w:p w14:paraId="4D6AE50F"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18E24DF6"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19,899</w:t>
            </w:r>
          </w:p>
        </w:tc>
        <w:tc>
          <w:tcPr>
            <w:tcW w:w="1180" w:type="dxa"/>
            <w:tcBorders>
              <w:top w:val="single" w:sz="4" w:space="0" w:color="C7CFD8"/>
              <w:left w:val="nil"/>
              <w:bottom w:val="single" w:sz="8" w:space="0" w:color="C7CFD8"/>
              <w:right w:val="nil"/>
            </w:tcBorders>
            <w:shd w:val="clear" w:color="auto" w:fill="auto"/>
            <w:noWrap/>
            <w:vAlign w:val="center"/>
            <w:hideMark/>
          </w:tcPr>
          <w:p w14:paraId="3CD5A43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18,352</w:t>
            </w:r>
          </w:p>
        </w:tc>
        <w:tc>
          <w:tcPr>
            <w:tcW w:w="1180" w:type="dxa"/>
            <w:tcBorders>
              <w:top w:val="single" w:sz="4" w:space="0" w:color="C7CFD8"/>
              <w:left w:val="nil"/>
              <w:bottom w:val="single" w:sz="8" w:space="0" w:color="C7CFD8"/>
              <w:right w:val="nil"/>
            </w:tcBorders>
            <w:shd w:val="clear" w:color="auto" w:fill="auto"/>
            <w:noWrap/>
            <w:vAlign w:val="center"/>
            <w:hideMark/>
          </w:tcPr>
          <w:p w14:paraId="6B09C79E"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18,426</w:t>
            </w:r>
          </w:p>
        </w:tc>
        <w:tc>
          <w:tcPr>
            <w:tcW w:w="1060" w:type="dxa"/>
            <w:tcBorders>
              <w:top w:val="single" w:sz="4" w:space="0" w:color="C7CFD8"/>
              <w:left w:val="nil"/>
              <w:bottom w:val="single" w:sz="8" w:space="0" w:color="C7CFD8"/>
              <w:right w:val="nil"/>
            </w:tcBorders>
            <w:shd w:val="clear" w:color="auto" w:fill="auto"/>
            <w:noWrap/>
            <w:vAlign w:val="center"/>
            <w:hideMark/>
          </w:tcPr>
          <w:p w14:paraId="713BD8FA"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1,546</w:t>
            </w:r>
          </w:p>
        </w:tc>
        <w:tc>
          <w:tcPr>
            <w:tcW w:w="1060" w:type="dxa"/>
            <w:tcBorders>
              <w:top w:val="single" w:sz="4" w:space="0" w:color="C7CFD8"/>
              <w:left w:val="nil"/>
              <w:bottom w:val="single" w:sz="8" w:space="0" w:color="C7CFD8"/>
              <w:right w:val="nil"/>
            </w:tcBorders>
            <w:shd w:val="clear" w:color="auto" w:fill="auto"/>
            <w:noWrap/>
            <w:vAlign w:val="center"/>
            <w:hideMark/>
          </w:tcPr>
          <w:p w14:paraId="1FFFF445"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8%</w:t>
            </w:r>
          </w:p>
        </w:tc>
      </w:tr>
      <w:tr w:rsidR="00B214A5" w:rsidRPr="00B214A5" w14:paraId="48F1762F" w14:textId="77777777" w:rsidTr="008A121C">
        <w:trPr>
          <w:divId w:val="1275094524"/>
          <w:trHeight w:hRule="exact" w:val="216"/>
          <w:jc w:val="center"/>
        </w:trPr>
        <w:tc>
          <w:tcPr>
            <w:tcW w:w="3200" w:type="dxa"/>
            <w:gridSpan w:val="4"/>
            <w:tcBorders>
              <w:top w:val="nil"/>
              <w:left w:val="nil"/>
              <w:bottom w:val="nil"/>
              <w:right w:val="nil"/>
            </w:tcBorders>
            <w:shd w:val="clear" w:color="auto" w:fill="auto"/>
            <w:noWrap/>
            <w:hideMark/>
          </w:tcPr>
          <w:p w14:paraId="03FC7ACE"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r w:rsidRPr="00B214A5">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07FFEECE"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007910A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F7FC861"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4370D8E"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F0FB72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35138A16"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724FB307"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97" w:type="dxa"/>
            <w:gridSpan w:val="3"/>
            <w:tcBorders>
              <w:top w:val="nil"/>
              <w:left w:val="nil"/>
              <w:bottom w:val="nil"/>
              <w:right w:val="nil"/>
            </w:tcBorders>
            <w:shd w:val="clear" w:color="auto" w:fill="auto"/>
            <w:noWrap/>
            <w:hideMark/>
          </w:tcPr>
          <w:p w14:paraId="7693F81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25A1A7EE"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45B42F0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C7BEF2A"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992E1C5"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2EC0F4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02E74A1"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49A53FA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63884D2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F04965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Internships</w:t>
            </w:r>
          </w:p>
        </w:tc>
        <w:tc>
          <w:tcPr>
            <w:tcW w:w="103" w:type="dxa"/>
            <w:tcBorders>
              <w:top w:val="nil"/>
              <w:left w:val="nil"/>
              <w:bottom w:val="nil"/>
              <w:right w:val="nil"/>
            </w:tcBorders>
            <w:shd w:val="clear" w:color="auto" w:fill="auto"/>
            <w:noWrap/>
            <w:hideMark/>
          </w:tcPr>
          <w:p w14:paraId="6E07E117"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F5321C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47</w:t>
            </w:r>
          </w:p>
        </w:tc>
        <w:tc>
          <w:tcPr>
            <w:tcW w:w="1180" w:type="dxa"/>
            <w:tcBorders>
              <w:top w:val="nil"/>
              <w:left w:val="nil"/>
              <w:bottom w:val="nil"/>
              <w:right w:val="nil"/>
            </w:tcBorders>
            <w:shd w:val="clear" w:color="auto" w:fill="auto"/>
            <w:noWrap/>
            <w:hideMark/>
          </w:tcPr>
          <w:p w14:paraId="73436A7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285</w:t>
            </w:r>
          </w:p>
        </w:tc>
        <w:tc>
          <w:tcPr>
            <w:tcW w:w="1180" w:type="dxa"/>
            <w:tcBorders>
              <w:top w:val="nil"/>
              <w:left w:val="nil"/>
              <w:bottom w:val="nil"/>
              <w:right w:val="nil"/>
            </w:tcBorders>
            <w:shd w:val="clear" w:color="auto" w:fill="auto"/>
            <w:noWrap/>
            <w:hideMark/>
          </w:tcPr>
          <w:p w14:paraId="7C593B2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122</w:t>
            </w:r>
          </w:p>
        </w:tc>
        <w:tc>
          <w:tcPr>
            <w:tcW w:w="1060" w:type="dxa"/>
            <w:tcBorders>
              <w:top w:val="nil"/>
              <w:left w:val="nil"/>
              <w:bottom w:val="nil"/>
              <w:right w:val="nil"/>
            </w:tcBorders>
            <w:shd w:val="clear" w:color="auto" w:fill="auto"/>
            <w:noWrap/>
            <w:hideMark/>
          </w:tcPr>
          <w:p w14:paraId="063EA62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(238)</w:t>
            </w:r>
          </w:p>
        </w:tc>
        <w:tc>
          <w:tcPr>
            <w:tcW w:w="1060" w:type="dxa"/>
            <w:tcBorders>
              <w:top w:val="nil"/>
              <w:left w:val="nil"/>
              <w:bottom w:val="nil"/>
              <w:right w:val="nil"/>
            </w:tcBorders>
            <w:shd w:val="clear" w:color="auto" w:fill="auto"/>
            <w:noWrap/>
            <w:hideMark/>
          </w:tcPr>
          <w:p w14:paraId="2C77EF9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-84%</w:t>
            </w:r>
          </w:p>
        </w:tc>
      </w:tr>
      <w:tr w:rsidR="00B214A5" w:rsidRPr="00B214A5" w14:paraId="257CA435"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613D0DF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E4EAA6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AEB34AA"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WIPO Fellowships</w:t>
            </w:r>
          </w:p>
        </w:tc>
        <w:tc>
          <w:tcPr>
            <w:tcW w:w="103" w:type="dxa"/>
            <w:tcBorders>
              <w:top w:val="nil"/>
              <w:left w:val="nil"/>
              <w:bottom w:val="nil"/>
              <w:right w:val="nil"/>
            </w:tcBorders>
            <w:shd w:val="clear" w:color="auto" w:fill="auto"/>
            <w:noWrap/>
            <w:hideMark/>
          </w:tcPr>
          <w:p w14:paraId="1C50271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9F956B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1,220</w:t>
            </w:r>
          </w:p>
        </w:tc>
        <w:tc>
          <w:tcPr>
            <w:tcW w:w="1180" w:type="dxa"/>
            <w:tcBorders>
              <w:top w:val="nil"/>
              <w:left w:val="nil"/>
              <w:bottom w:val="nil"/>
              <w:right w:val="nil"/>
            </w:tcBorders>
            <w:shd w:val="clear" w:color="auto" w:fill="auto"/>
            <w:noWrap/>
            <w:hideMark/>
          </w:tcPr>
          <w:p w14:paraId="7D80290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582</w:t>
            </w:r>
          </w:p>
        </w:tc>
        <w:tc>
          <w:tcPr>
            <w:tcW w:w="1180" w:type="dxa"/>
            <w:tcBorders>
              <w:top w:val="nil"/>
              <w:left w:val="nil"/>
              <w:bottom w:val="nil"/>
              <w:right w:val="nil"/>
            </w:tcBorders>
            <w:shd w:val="clear" w:color="auto" w:fill="auto"/>
            <w:noWrap/>
            <w:hideMark/>
          </w:tcPr>
          <w:p w14:paraId="38B3ECF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816</w:t>
            </w:r>
          </w:p>
        </w:tc>
        <w:tc>
          <w:tcPr>
            <w:tcW w:w="1060" w:type="dxa"/>
            <w:tcBorders>
              <w:top w:val="nil"/>
              <w:left w:val="nil"/>
              <w:bottom w:val="nil"/>
              <w:right w:val="nil"/>
            </w:tcBorders>
            <w:shd w:val="clear" w:color="auto" w:fill="auto"/>
            <w:noWrap/>
            <w:hideMark/>
          </w:tcPr>
          <w:p w14:paraId="69972C6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637</w:t>
            </w:r>
          </w:p>
        </w:tc>
        <w:tc>
          <w:tcPr>
            <w:tcW w:w="1060" w:type="dxa"/>
            <w:tcBorders>
              <w:top w:val="nil"/>
              <w:left w:val="nil"/>
              <w:bottom w:val="nil"/>
              <w:right w:val="nil"/>
            </w:tcBorders>
            <w:shd w:val="clear" w:color="auto" w:fill="auto"/>
            <w:noWrap/>
            <w:hideMark/>
          </w:tcPr>
          <w:p w14:paraId="67904A3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+100%</w:t>
            </w:r>
          </w:p>
        </w:tc>
      </w:tr>
      <w:tr w:rsidR="00B214A5" w:rsidRPr="00B214A5" w14:paraId="0091370F"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39B458E0"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56C2582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8BB99CA"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5007D63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1,266</w:t>
            </w:r>
          </w:p>
        </w:tc>
        <w:tc>
          <w:tcPr>
            <w:tcW w:w="1180" w:type="dxa"/>
            <w:tcBorders>
              <w:top w:val="nil"/>
              <w:left w:val="nil"/>
              <w:bottom w:val="single" w:sz="4" w:space="0" w:color="C7CFD8"/>
              <w:right w:val="nil"/>
            </w:tcBorders>
            <w:shd w:val="clear" w:color="auto" w:fill="auto"/>
            <w:noWrap/>
            <w:hideMark/>
          </w:tcPr>
          <w:p w14:paraId="57B2C5B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867</w:t>
            </w:r>
          </w:p>
        </w:tc>
        <w:tc>
          <w:tcPr>
            <w:tcW w:w="1180" w:type="dxa"/>
            <w:tcBorders>
              <w:top w:val="nil"/>
              <w:left w:val="nil"/>
              <w:bottom w:val="single" w:sz="4" w:space="0" w:color="C7CFD8"/>
              <w:right w:val="nil"/>
            </w:tcBorders>
            <w:shd w:val="clear" w:color="auto" w:fill="auto"/>
            <w:noWrap/>
            <w:hideMark/>
          </w:tcPr>
          <w:p w14:paraId="0058CCD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938</w:t>
            </w:r>
          </w:p>
        </w:tc>
        <w:tc>
          <w:tcPr>
            <w:tcW w:w="1060" w:type="dxa"/>
            <w:tcBorders>
              <w:top w:val="nil"/>
              <w:left w:val="nil"/>
              <w:bottom w:val="single" w:sz="4" w:space="0" w:color="C7CFD8"/>
              <w:right w:val="nil"/>
            </w:tcBorders>
            <w:shd w:val="clear" w:color="auto" w:fill="auto"/>
            <w:noWrap/>
            <w:hideMark/>
          </w:tcPr>
          <w:p w14:paraId="69B7EEA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399</w:t>
            </w:r>
          </w:p>
        </w:tc>
        <w:tc>
          <w:tcPr>
            <w:tcW w:w="1060" w:type="dxa"/>
            <w:tcBorders>
              <w:top w:val="nil"/>
              <w:left w:val="nil"/>
              <w:bottom w:val="single" w:sz="4" w:space="0" w:color="C7CFD8"/>
              <w:right w:val="nil"/>
            </w:tcBorders>
            <w:shd w:val="clear" w:color="auto" w:fill="auto"/>
            <w:noWrap/>
            <w:hideMark/>
          </w:tcPr>
          <w:p w14:paraId="504BA1F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r>
      <w:tr w:rsidR="00B214A5" w:rsidRPr="00B214A5" w14:paraId="41BE6AC2"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5DF9E20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56606355"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4ACF9BCE"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19990534"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E696DCA"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DA5A65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6EA3349"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71A09ACE"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41127C4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D35930A"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0B56E72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Staff Missions</w:t>
            </w:r>
          </w:p>
        </w:tc>
        <w:tc>
          <w:tcPr>
            <w:tcW w:w="103" w:type="dxa"/>
            <w:tcBorders>
              <w:top w:val="nil"/>
              <w:left w:val="nil"/>
              <w:bottom w:val="nil"/>
              <w:right w:val="nil"/>
            </w:tcBorders>
            <w:shd w:val="clear" w:color="auto" w:fill="auto"/>
            <w:noWrap/>
            <w:hideMark/>
          </w:tcPr>
          <w:p w14:paraId="1FEDF0F9"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642505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807</w:t>
            </w:r>
          </w:p>
        </w:tc>
        <w:tc>
          <w:tcPr>
            <w:tcW w:w="1180" w:type="dxa"/>
            <w:tcBorders>
              <w:top w:val="nil"/>
              <w:left w:val="nil"/>
              <w:bottom w:val="nil"/>
              <w:right w:val="nil"/>
            </w:tcBorders>
            <w:shd w:val="clear" w:color="auto" w:fill="auto"/>
            <w:noWrap/>
            <w:hideMark/>
          </w:tcPr>
          <w:p w14:paraId="3910987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706</w:t>
            </w:r>
          </w:p>
        </w:tc>
        <w:tc>
          <w:tcPr>
            <w:tcW w:w="1180" w:type="dxa"/>
            <w:tcBorders>
              <w:top w:val="nil"/>
              <w:left w:val="nil"/>
              <w:bottom w:val="nil"/>
              <w:right w:val="nil"/>
            </w:tcBorders>
            <w:shd w:val="clear" w:color="auto" w:fill="auto"/>
            <w:noWrap/>
            <w:hideMark/>
          </w:tcPr>
          <w:p w14:paraId="4CB68B1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578</w:t>
            </w:r>
          </w:p>
        </w:tc>
        <w:tc>
          <w:tcPr>
            <w:tcW w:w="1060" w:type="dxa"/>
            <w:tcBorders>
              <w:top w:val="nil"/>
              <w:left w:val="nil"/>
              <w:bottom w:val="nil"/>
              <w:right w:val="nil"/>
            </w:tcBorders>
            <w:shd w:val="clear" w:color="auto" w:fill="auto"/>
            <w:noWrap/>
            <w:hideMark/>
          </w:tcPr>
          <w:p w14:paraId="1202B41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101</w:t>
            </w:r>
          </w:p>
        </w:tc>
        <w:tc>
          <w:tcPr>
            <w:tcW w:w="1060" w:type="dxa"/>
            <w:tcBorders>
              <w:top w:val="nil"/>
              <w:left w:val="nil"/>
              <w:bottom w:val="nil"/>
              <w:right w:val="nil"/>
            </w:tcBorders>
            <w:shd w:val="clear" w:color="auto" w:fill="auto"/>
            <w:noWrap/>
            <w:hideMark/>
          </w:tcPr>
          <w:p w14:paraId="0CC4B6A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w:t>
            </w:r>
          </w:p>
        </w:tc>
      </w:tr>
      <w:tr w:rsidR="00B214A5" w:rsidRPr="00B214A5" w14:paraId="3F021110"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395FC52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A1A32DE"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A1E4B1C"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Third-party Travel</w:t>
            </w:r>
          </w:p>
        </w:tc>
        <w:tc>
          <w:tcPr>
            <w:tcW w:w="103" w:type="dxa"/>
            <w:tcBorders>
              <w:top w:val="nil"/>
              <w:left w:val="nil"/>
              <w:bottom w:val="nil"/>
              <w:right w:val="nil"/>
            </w:tcBorders>
            <w:shd w:val="clear" w:color="auto" w:fill="auto"/>
            <w:noWrap/>
            <w:hideMark/>
          </w:tcPr>
          <w:p w14:paraId="0734508F"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D033A3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1,134</w:t>
            </w:r>
          </w:p>
        </w:tc>
        <w:tc>
          <w:tcPr>
            <w:tcW w:w="1180" w:type="dxa"/>
            <w:tcBorders>
              <w:top w:val="nil"/>
              <w:left w:val="nil"/>
              <w:bottom w:val="nil"/>
              <w:right w:val="nil"/>
            </w:tcBorders>
            <w:shd w:val="clear" w:color="auto" w:fill="auto"/>
            <w:noWrap/>
            <w:hideMark/>
          </w:tcPr>
          <w:p w14:paraId="7FDC452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1,398</w:t>
            </w:r>
          </w:p>
        </w:tc>
        <w:tc>
          <w:tcPr>
            <w:tcW w:w="1180" w:type="dxa"/>
            <w:tcBorders>
              <w:top w:val="nil"/>
              <w:left w:val="nil"/>
              <w:bottom w:val="nil"/>
              <w:right w:val="nil"/>
            </w:tcBorders>
            <w:shd w:val="clear" w:color="auto" w:fill="auto"/>
            <w:noWrap/>
            <w:hideMark/>
          </w:tcPr>
          <w:p w14:paraId="405539B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1,424</w:t>
            </w:r>
          </w:p>
        </w:tc>
        <w:tc>
          <w:tcPr>
            <w:tcW w:w="1060" w:type="dxa"/>
            <w:tcBorders>
              <w:top w:val="nil"/>
              <w:left w:val="nil"/>
              <w:bottom w:val="nil"/>
              <w:right w:val="nil"/>
            </w:tcBorders>
            <w:shd w:val="clear" w:color="auto" w:fill="auto"/>
            <w:noWrap/>
            <w:hideMark/>
          </w:tcPr>
          <w:p w14:paraId="2094E26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(264)</w:t>
            </w:r>
          </w:p>
        </w:tc>
        <w:tc>
          <w:tcPr>
            <w:tcW w:w="1060" w:type="dxa"/>
            <w:tcBorders>
              <w:top w:val="nil"/>
              <w:left w:val="nil"/>
              <w:bottom w:val="nil"/>
              <w:right w:val="nil"/>
            </w:tcBorders>
            <w:shd w:val="clear" w:color="auto" w:fill="auto"/>
            <w:noWrap/>
            <w:hideMark/>
          </w:tcPr>
          <w:p w14:paraId="0ABE3BA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-19%</w:t>
            </w:r>
          </w:p>
        </w:tc>
      </w:tr>
      <w:tr w:rsidR="00B214A5" w:rsidRPr="00B214A5" w14:paraId="1906BABC"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4D55658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602500A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0695DB63"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3E0E0F9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1,941</w:t>
            </w:r>
          </w:p>
        </w:tc>
        <w:tc>
          <w:tcPr>
            <w:tcW w:w="1180" w:type="dxa"/>
            <w:tcBorders>
              <w:top w:val="nil"/>
              <w:left w:val="nil"/>
              <w:bottom w:val="single" w:sz="4" w:space="0" w:color="C7CFD8"/>
              <w:right w:val="nil"/>
            </w:tcBorders>
            <w:shd w:val="clear" w:color="auto" w:fill="auto"/>
            <w:noWrap/>
            <w:hideMark/>
          </w:tcPr>
          <w:p w14:paraId="3C7947F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2,104</w:t>
            </w:r>
          </w:p>
        </w:tc>
        <w:tc>
          <w:tcPr>
            <w:tcW w:w="1180" w:type="dxa"/>
            <w:tcBorders>
              <w:top w:val="nil"/>
              <w:left w:val="nil"/>
              <w:bottom w:val="single" w:sz="4" w:space="0" w:color="C7CFD8"/>
              <w:right w:val="nil"/>
            </w:tcBorders>
            <w:shd w:val="clear" w:color="auto" w:fill="auto"/>
            <w:noWrap/>
            <w:hideMark/>
          </w:tcPr>
          <w:p w14:paraId="13CB5B8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2,002</w:t>
            </w:r>
          </w:p>
        </w:tc>
        <w:tc>
          <w:tcPr>
            <w:tcW w:w="1060" w:type="dxa"/>
            <w:tcBorders>
              <w:top w:val="nil"/>
              <w:left w:val="nil"/>
              <w:bottom w:val="single" w:sz="4" w:space="0" w:color="C7CFD8"/>
              <w:right w:val="nil"/>
            </w:tcBorders>
            <w:shd w:val="clear" w:color="auto" w:fill="auto"/>
            <w:noWrap/>
            <w:hideMark/>
          </w:tcPr>
          <w:p w14:paraId="7B8205E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(163)</w:t>
            </w:r>
          </w:p>
        </w:tc>
        <w:tc>
          <w:tcPr>
            <w:tcW w:w="1060" w:type="dxa"/>
            <w:tcBorders>
              <w:top w:val="nil"/>
              <w:left w:val="nil"/>
              <w:bottom w:val="single" w:sz="4" w:space="0" w:color="C7CFD8"/>
              <w:right w:val="nil"/>
            </w:tcBorders>
            <w:shd w:val="clear" w:color="auto" w:fill="auto"/>
            <w:noWrap/>
            <w:hideMark/>
          </w:tcPr>
          <w:p w14:paraId="4628746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w:t>
            </w:r>
          </w:p>
        </w:tc>
      </w:tr>
      <w:tr w:rsidR="00B214A5" w:rsidRPr="00B214A5" w14:paraId="05B104A1"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323688E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712FC2A3"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504ADF8D"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36EF345"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277901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FE0472F"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A1794B7"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2C2BFD26"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730B4749"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12BAC19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1A0AFDE"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Conferences</w:t>
            </w:r>
          </w:p>
        </w:tc>
        <w:tc>
          <w:tcPr>
            <w:tcW w:w="103" w:type="dxa"/>
            <w:tcBorders>
              <w:top w:val="nil"/>
              <w:left w:val="nil"/>
              <w:bottom w:val="nil"/>
              <w:right w:val="nil"/>
            </w:tcBorders>
            <w:shd w:val="clear" w:color="auto" w:fill="auto"/>
            <w:noWrap/>
            <w:hideMark/>
          </w:tcPr>
          <w:p w14:paraId="2C87A979"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6B7D47E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687</w:t>
            </w:r>
          </w:p>
        </w:tc>
        <w:tc>
          <w:tcPr>
            <w:tcW w:w="1180" w:type="dxa"/>
            <w:tcBorders>
              <w:top w:val="nil"/>
              <w:left w:val="nil"/>
              <w:bottom w:val="nil"/>
              <w:right w:val="nil"/>
            </w:tcBorders>
            <w:shd w:val="clear" w:color="auto" w:fill="auto"/>
            <w:noWrap/>
            <w:hideMark/>
          </w:tcPr>
          <w:p w14:paraId="403CEEB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130</w:t>
            </w:r>
          </w:p>
        </w:tc>
        <w:tc>
          <w:tcPr>
            <w:tcW w:w="1180" w:type="dxa"/>
            <w:tcBorders>
              <w:top w:val="nil"/>
              <w:left w:val="nil"/>
              <w:bottom w:val="nil"/>
              <w:right w:val="nil"/>
            </w:tcBorders>
            <w:shd w:val="clear" w:color="auto" w:fill="auto"/>
            <w:noWrap/>
            <w:hideMark/>
          </w:tcPr>
          <w:p w14:paraId="7C9ED57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337</w:t>
            </w:r>
          </w:p>
        </w:tc>
        <w:tc>
          <w:tcPr>
            <w:tcW w:w="1060" w:type="dxa"/>
            <w:tcBorders>
              <w:top w:val="nil"/>
              <w:left w:val="nil"/>
              <w:bottom w:val="nil"/>
              <w:right w:val="nil"/>
            </w:tcBorders>
            <w:shd w:val="clear" w:color="auto" w:fill="auto"/>
            <w:noWrap/>
            <w:hideMark/>
          </w:tcPr>
          <w:p w14:paraId="74713C0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557</w:t>
            </w:r>
          </w:p>
        </w:tc>
        <w:tc>
          <w:tcPr>
            <w:tcW w:w="1060" w:type="dxa"/>
            <w:tcBorders>
              <w:top w:val="nil"/>
              <w:left w:val="nil"/>
              <w:bottom w:val="nil"/>
              <w:right w:val="nil"/>
            </w:tcBorders>
            <w:shd w:val="clear" w:color="auto" w:fill="auto"/>
            <w:noWrap/>
            <w:hideMark/>
          </w:tcPr>
          <w:p w14:paraId="3717EEA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+100%</w:t>
            </w:r>
          </w:p>
        </w:tc>
      </w:tr>
      <w:tr w:rsidR="00B214A5" w:rsidRPr="00B214A5" w14:paraId="063575BF"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2E9B6B4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B6F5FC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ABA3F18"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Publishing</w:t>
            </w:r>
          </w:p>
        </w:tc>
        <w:tc>
          <w:tcPr>
            <w:tcW w:w="103" w:type="dxa"/>
            <w:tcBorders>
              <w:top w:val="nil"/>
              <w:left w:val="nil"/>
              <w:bottom w:val="nil"/>
              <w:right w:val="nil"/>
            </w:tcBorders>
            <w:shd w:val="clear" w:color="auto" w:fill="auto"/>
            <w:noWrap/>
            <w:hideMark/>
          </w:tcPr>
          <w:p w14:paraId="76134179"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5BC3C34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027729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46468C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B150E5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1D3D23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7D9BDD3D"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4BF2DAB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3EBD9B20"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0AF4E75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705C418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3,108</w:t>
            </w:r>
          </w:p>
        </w:tc>
        <w:tc>
          <w:tcPr>
            <w:tcW w:w="1180" w:type="dxa"/>
            <w:tcBorders>
              <w:top w:val="nil"/>
              <w:left w:val="nil"/>
              <w:bottom w:val="nil"/>
              <w:right w:val="nil"/>
            </w:tcBorders>
            <w:shd w:val="clear" w:color="auto" w:fill="auto"/>
            <w:noWrap/>
            <w:hideMark/>
          </w:tcPr>
          <w:p w14:paraId="1E4AF67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3,126</w:t>
            </w:r>
          </w:p>
        </w:tc>
        <w:tc>
          <w:tcPr>
            <w:tcW w:w="1180" w:type="dxa"/>
            <w:tcBorders>
              <w:top w:val="nil"/>
              <w:left w:val="nil"/>
              <w:bottom w:val="nil"/>
              <w:right w:val="nil"/>
            </w:tcBorders>
            <w:shd w:val="clear" w:color="auto" w:fill="auto"/>
            <w:noWrap/>
            <w:hideMark/>
          </w:tcPr>
          <w:p w14:paraId="3CDD269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2,949</w:t>
            </w:r>
          </w:p>
        </w:tc>
        <w:tc>
          <w:tcPr>
            <w:tcW w:w="1060" w:type="dxa"/>
            <w:tcBorders>
              <w:top w:val="nil"/>
              <w:left w:val="nil"/>
              <w:bottom w:val="nil"/>
              <w:right w:val="nil"/>
            </w:tcBorders>
            <w:shd w:val="clear" w:color="auto" w:fill="auto"/>
            <w:noWrap/>
            <w:hideMark/>
          </w:tcPr>
          <w:p w14:paraId="0B1E4B0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(18)</w:t>
            </w:r>
          </w:p>
        </w:tc>
        <w:tc>
          <w:tcPr>
            <w:tcW w:w="1060" w:type="dxa"/>
            <w:tcBorders>
              <w:top w:val="nil"/>
              <w:left w:val="nil"/>
              <w:bottom w:val="nil"/>
              <w:right w:val="nil"/>
            </w:tcBorders>
            <w:shd w:val="clear" w:color="auto" w:fill="auto"/>
            <w:noWrap/>
            <w:hideMark/>
          </w:tcPr>
          <w:p w14:paraId="2430C25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w:t>
            </w:r>
          </w:p>
        </w:tc>
      </w:tr>
      <w:tr w:rsidR="00B214A5" w:rsidRPr="00B214A5" w14:paraId="775DB0E8"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5F836D5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50075A8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4528F3C4"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4F1C704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10,225</w:t>
            </w:r>
          </w:p>
        </w:tc>
        <w:tc>
          <w:tcPr>
            <w:tcW w:w="1180" w:type="dxa"/>
            <w:tcBorders>
              <w:top w:val="nil"/>
              <w:left w:val="nil"/>
              <w:bottom w:val="nil"/>
              <w:right w:val="nil"/>
            </w:tcBorders>
            <w:shd w:val="clear" w:color="auto" w:fill="auto"/>
            <w:noWrap/>
            <w:hideMark/>
          </w:tcPr>
          <w:p w14:paraId="110D52D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6,530</w:t>
            </w:r>
          </w:p>
        </w:tc>
        <w:tc>
          <w:tcPr>
            <w:tcW w:w="1180" w:type="dxa"/>
            <w:tcBorders>
              <w:top w:val="nil"/>
              <w:left w:val="nil"/>
              <w:bottom w:val="nil"/>
              <w:right w:val="nil"/>
            </w:tcBorders>
            <w:shd w:val="clear" w:color="auto" w:fill="auto"/>
            <w:noWrap/>
            <w:hideMark/>
          </w:tcPr>
          <w:p w14:paraId="472F577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7,988</w:t>
            </w:r>
          </w:p>
        </w:tc>
        <w:tc>
          <w:tcPr>
            <w:tcW w:w="1060" w:type="dxa"/>
            <w:tcBorders>
              <w:top w:val="nil"/>
              <w:left w:val="nil"/>
              <w:bottom w:val="nil"/>
              <w:right w:val="nil"/>
            </w:tcBorders>
            <w:shd w:val="clear" w:color="auto" w:fill="auto"/>
            <w:noWrap/>
            <w:hideMark/>
          </w:tcPr>
          <w:p w14:paraId="7E3B893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3,695</w:t>
            </w:r>
          </w:p>
        </w:tc>
        <w:tc>
          <w:tcPr>
            <w:tcW w:w="1060" w:type="dxa"/>
            <w:tcBorders>
              <w:top w:val="nil"/>
              <w:left w:val="nil"/>
              <w:bottom w:val="nil"/>
              <w:right w:val="nil"/>
            </w:tcBorders>
            <w:shd w:val="clear" w:color="auto" w:fill="auto"/>
            <w:noWrap/>
            <w:hideMark/>
          </w:tcPr>
          <w:p w14:paraId="4D0C993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57%</w:t>
            </w:r>
          </w:p>
        </w:tc>
      </w:tr>
      <w:tr w:rsidR="00B214A5" w:rsidRPr="00B214A5" w14:paraId="0DEDD0A1"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6058B8C1"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46B4A359"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1AEB6201"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531B7D9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14,019</w:t>
            </w:r>
          </w:p>
        </w:tc>
        <w:tc>
          <w:tcPr>
            <w:tcW w:w="1180" w:type="dxa"/>
            <w:tcBorders>
              <w:top w:val="nil"/>
              <w:left w:val="nil"/>
              <w:bottom w:val="single" w:sz="4" w:space="0" w:color="C7CFD8"/>
              <w:right w:val="nil"/>
            </w:tcBorders>
            <w:shd w:val="clear" w:color="auto" w:fill="auto"/>
            <w:noWrap/>
            <w:hideMark/>
          </w:tcPr>
          <w:p w14:paraId="60AD7FF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9,786</w:t>
            </w:r>
          </w:p>
        </w:tc>
        <w:tc>
          <w:tcPr>
            <w:tcW w:w="1180" w:type="dxa"/>
            <w:tcBorders>
              <w:top w:val="nil"/>
              <w:left w:val="nil"/>
              <w:bottom w:val="single" w:sz="4" w:space="0" w:color="C7CFD8"/>
              <w:right w:val="nil"/>
            </w:tcBorders>
            <w:shd w:val="clear" w:color="auto" w:fill="auto"/>
            <w:noWrap/>
            <w:hideMark/>
          </w:tcPr>
          <w:p w14:paraId="7B13017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11,274</w:t>
            </w:r>
          </w:p>
        </w:tc>
        <w:tc>
          <w:tcPr>
            <w:tcW w:w="1060" w:type="dxa"/>
            <w:tcBorders>
              <w:top w:val="nil"/>
              <w:left w:val="nil"/>
              <w:bottom w:val="single" w:sz="4" w:space="0" w:color="C7CFD8"/>
              <w:right w:val="nil"/>
            </w:tcBorders>
            <w:shd w:val="clear" w:color="auto" w:fill="auto"/>
            <w:noWrap/>
            <w:hideMark/>
          </w:tcPr>
          <w:p w14:paraId="232C312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4,233</w:t>
            </w:r>
          </w:p>
        </w:tc>
        <w:tc>
          <w:tcPr>
            <w:tcW w:w="1060" w:type="dxa"/>
            <w:tcBorders>
              <w:top w:val="nil"/>
              <w:left w:val="nil"/>
              <w:bottom w:val="single" w:sz="4" w:space="0" w:color="C7CFD8"/>
              <w:right w:val="nil"/>
            </w:tcBorders>
            <w:shd w:val="clear" w:color="auto" w:fill="auto"/>
            <w:noWrap/>
            <w:hideMark/>
          </w:tcPr>
          <w:p w14:paraId="7166C05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43%</w:t>
            </w:r>
          </w:p>
        </w:tc>
      </w:tr>
      <w:tr w:rsidR="00B214A5" w:rsidRPr="00B214A5" w14:paraId="3C7870A8"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7769704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23043732"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Finance Costs</w:t>
            </w:r>
          </w:p>
        </w:tc>
        <w:tc>
          <w:tcPr>
            <w:tcW w:w="103" w:type="dxa"/>
            <w:tcBorders>
              <w:top w:val="nil"/>
              <w:left w:val="nil"/>
              <w:bottom w:val="nil"/>
              <w:right w:val="nil"/>
            </w:tcBorders>
            <w:shd w:val="clear" w:color="auto" w:fill="auto"/>
            <w:noWrap/>
            <w:hideMark/>
          </w:tcPr>
          <w:p w14:paraId="73C63B06"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16D3486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28E18C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05A217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CC3173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35E874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58E463CD"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7386A9E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031110F"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456835F4"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49EAB2B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4BD832C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40221ED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780610A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1BBA65E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7220D206"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4CD5863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368BB90A"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Operating Expenses</w:t>
            </w:r>
          </w:p>
        </w:tc>
        <w:tc>
          <w:tcPr>
            <w:tcW w:w="103" w:type="dxa"/>
            <w:tcBorders>
              <w:top w:val="nil"/>
              <w:left w:val="nil"/>
              <w:bottom w:val="nil"/>
              <w:right w:val="nil"/>
            </w:tcBorders>
            <w:shd w:val="clear" w:color="auto" w:fill="auto"/>
            <w:noWrap/>
            <w:hideMark/>
          </w:tcPr>
          <w:p w14:paraId="2946772C"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0F5691DA"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7261AE3"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BE21CE7"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C7BAABB"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F516F1E"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60AC518"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7026216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01DC0B3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1A709A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30295EB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50</w:t>
            </w:r>
          </w:p>
        </w:tc>
        <w:tc>
          <w:tcPr>
            <w:tcW w:w="1180" w:type="dxa"/>
            <w:tcBorders>
              <w:top w:val="nil"/>
              <w:left w:val="nil"/>
              <w:bottom w:val="nil"/>
              <w:right w:val="nil"/>
            </w:tcBorders>
            <w:shd w:val="clear" w:color="auto" w:fill="auto"/>
            <w:noWrap/>
            <w:hideMark/>
          </w:tcPr>
          <w:p w14:paraId="3E23CC1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440</w:t>
            </w:r>
          </w:p>
        </w:tc>
        <w:tc>
          <w:tcPr>
            <w:tcW w:w="1180" w:type="dxa"/>
            <w:tcBorders>
              <w:top w:val="nil"/>
              <w:left w:val="nil"/>
              <w:bottom w:val="nil"/>
              <w:right w:val="nil"/>
            </w:tcBorders>
            <w:shd w:val="clear" w:color="auto" w:fill="auto"/>
            <w:noWrap/>
            <w:hideMark/>
          </w:tcPr>
          <w:p w14:paraId="7E58F22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38</w:t>
            </w:r>
          </w:p>
        </w:tc>
        <w:tc>
          <w:tcPr>
            <w:tcW w:w="1060" w:type="dxa"/>
            <w:tcBorders>
              <w:top w:val="nil"/>
              <w:left w:val="nil"/>
              <w:bottom w:val="nil"/>
              <w:right w:val="nil"/>
            </w:tcBorders>
            <w:shd w:val="clear" w:color="auto" w:fill="auto"/>
            <w:noWrap/>
            <w:hideMark/>
          </w:tcPr>
          <w:p w14:paraId="354FC38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(390)</w:t>
            </w:r>
          </w:p>
        </w:tc>
        <w:tc>
          <w:tcPr>
            <w:tcW w:w="1060" w:type="dxa"/>
            <w:tcBorders>
              <w:top w:val="nil"/>
              <w:left w:val="nil"/>
              <w:bottom w:val="nil"/>
              <w:right w:val="nil"/>
            </w:tcBorders>
            <w:shd w:val="clear" w:color="auto" w:fill="auto"/>
            <w:noWrap/>
            <w:hideMark/>
          </w:tcPr>
          <w:p w14:paraId="500CCC6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-89%</w:t>
            </w:r>
          </w:p>
        </w:tc>
      </w:tr>
      <w:tr w:rsidR="00B214A5" w:rsidRPr="00B214A5" w14:paraId="7C8AAD93"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3637E13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8C8D1D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B27793A"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Communication</w:t>
            </w:r>
          </w:p>
        </w:tc>
        <w:tc>
          <w:tcPr>
            <w:tcW w:w="103" w:type="dxa"/>
            <w:tcBorders>
              <w:top w:val="nil"/>
              <w:left w:val="nil"/>
              <w:bottom w:val="nil"/>
              <w:right w:val="nil"/>
            </w:tcBorders>
            <w:shd w:val="clear" w:color="auto" w:fill="auto"/>
            <w:noWrap/>
            <w:hideMark/>
          </w:tcPr>
          <w:p w14:paraId="64628886"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31C709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51850F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0E79E3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0AEDAC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F0B38B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44685029"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6F31CC7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47D2EE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hideMark/>
          </w:tcPr>
          <w:p w14:paraId="317DD0C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42C023B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30</w:t>
            </w:r>
          </w:p>
        </w:tc>
        <w:tc>
          <w:tcPr>
            <w:tcW w:w="1180" w:type="dxa"/>
            <w:tcBorders>
              <w:top w:val="nil"/>
              <w:left w:val="nil"/>
              <w:bottom w:val="nil"/>
              <w:right w:val="nil"/>
            </w:tcBorders>
            <w:shd w:val="clear" w:color="auto" w:fill="auto"/>
            <w:noWrap/>
            <w:hideMark/>
          </w:tcPr>
          <w:p w14:paraId="6027C64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120</w:t>
            </w:r>
          </w:p>
        </w:tc>
        <w:tc>
          <w:tcPr>
            <w:tcW w:w="1180" w:type="dxa"/>
            <w:tcBorders>
              <w:top w:val="nil"/>
              <w:left w:val="nil"/>
              <w:bottom w:val="nil"/>
              <w:right w:val="nil"/>
            </w:tcBorders>
            <w:shd w:val="clear" w:color="auto" w:fill="auto"/>
            <w:noWrap/>
            <w:hideMark/>
          </w:tcPr>
          <w:p w14:paraId="70EE699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70</w:t>
            </w:r>
          </w:p>
        </w:tc>
        <w:tc>
          <w:tcPr>
            <w:tcW w:w="1060" w:type="dxa"/>
            <w:tcBorders>
              <w:top w:val="nil"/>
              <w:left w:val="nil"/>
              <w:bottom w:val="nil"/>
              <w:right w:val="nil"/>
            </w:tcBorders>
            <w:shd w:val="clear" w:color="auto" w:fill="auto"/>
            <w:noWrap/>
            <w:hideMark/>
          </w:tcPr>
          <w:p w14:paraId="05565B0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(90)</w:t>
            </w:r>
          </w:p>
        </w:tc>
        <w:tc>
          <w:tcPr>
            <w:tcW w:w="1060" w:type="dxa"/>
            <w:tcBorders>
              <w:top w:val="nil"/>
              <w:left w:val="nil"/>
              <w:bottom w:val="nil"/>
              <w:right w:val="nil"/>
            </w:tcBorders>
            <w:shd w:val="clear" w:color="auto" w:fill="auto"/>
            <w:noWrap/>
            <w:hideMark/>
          </w:tcPr>
          <w:p w14:paraId="5CEE7E1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-75%</w:t>
            </w:r>
          </w:p>
        </w:tc>
      </w:tr>
      <w:tr w:rsidR="00B214A5" w:rsidRPr="00B214A5" w14:paraId="73F5453C"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70D80EE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BBFD3B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929BE4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UN Joint Services</w:t>
            </w:r>
          </w:p>
        </w:tc>
        <w:tc>
          <w:tcPr>
            <w:tcW w:w="103" w:type="dxa"/>
            <w:tcBorders>
              <w:top w:val="nil"/>
              <w:left w:val="nil"/>
              <w:bottom w:val="nil"/>
              <w:right w:val="nil"/>
            </w:tcBorders>
            <w:shd w:val="clear" w:color="auto" w:fill="auto"/>
            <w:noWrap/>
            <w:hideMark/>
          </w:tcPr>
          <w:p w14:paraId="517505A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167A91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150</w:t>
            </w:r>
          </w:p>
        </w:tc>
        <w:tc>
          <w:tcPr>
            <w:tcW w:w="1180" w:type="dxa"/>
            <w:tcBorders>
              <w:top w:val="nil"/>
              <w:left w:val="nil"/>
              <w:bottom w:val="nil"/>
              <w:right w:val="nil"/>
            </w:tcBorders>
            <w:shd w:val="clear" w:color="auto" w:fill="auto"/>
            <w:noWrap/>
            <w:hideMark/>
          </w:tcPr>
          <w:p w14:paraId="50CDEE9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7478CB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125</w:t>
            </w:r>
          </w:p>
        </w:tc>
        <w:tc>
          <w:tcPr>
            <w:tcW w:w="1060" w:type="dxa"/>
            <w:tcBorders>
              <w:top w:val="nil"/>
              <w:left w:val="nil"/>
              <w:bottom w:val="nil"/>
              <w:right w:val="nil"/>
            </w:tcBorders>
            <w:shd w:val="clear" w:color="auto" w:fill="auto"/>
            <w:noWrap/>
            <w:hideMark/>
          </w:tcPr>
          <w:p w14:paraId="5EED611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150</w:t>
            </w:r>
          </w:p>
        </w:tc>
        <w:tc>
          <w:tcPr>
            <w:tcW w:w="1060" w:type="dxa"/>
            <w:tcBorders>
              <w:top w:val="nil"/>
              <w:left w:val="nil"/>
              <w:bottom w:val="nil"/>
              <w:right w:val="nil"/>
            </w:tcBorders>
            <w:shd w:val="clear" w:color="auto" w:fill="auto"/>
            <w:noWrap/>
            <w:hideMark/>
          </w:tcPr>
          <w:p w14:paraId="53B222F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4A418DE5"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236DFC45"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4D73A514"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6890CB14"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15CB9DC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230</w:t>
            </w:r>
          </w:p>
        </w:tc>
        <w:tc>
          <w:tcPr>
            <w:tcW w:w="1180" w:type="dxa"/>
            <w:tcBorders>
              <w:top w:val="nil"/>
              <w:left w:val="nil"/>
              <w:bottom w:val="single" w:sz="4" w:space="0" w:color="C7CFD8"/>
              <w:right w:val="nil"/>
            </w:tcBorders>
            <w:shd w:val="clear" w:color="auto" w:fill="auto"/>
            <w:noWrap/>
            <w:hideMark/>
          </w:tcPr>
          <w:p w14:paraId="3F718BA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560</w:t>
            </w:r>
          </w:p>
        </w:tc>
        <w:tc>
          <w:tcPr>
            <w:tcW w:w="1180" w:type="dxa"/>
            <w:tcBorders>
              <w:top w:val="nil"/>
              <w:left w:val="nil"/>
              <w:bottom w:val="single" w:sz="4" w:space="0" w:color="C7CFD8"/>
              <w:right w:val="nil"/>
            </w:tcBorders>
            <w:shd w:val="clear" w:color="auto" w:fill="auto"/>
            <w:noWrap/>
            <w:hideMark/>
          </w:tcPr>
          <w:p w14:paraId="020758C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233</w:t>
            </w:r>
          </w:p>
        </w:tc>
        <w:tc>
          <w:tcPr>
            <w:tcW w:w="1060" w:type="dxa"/>
            <w:tcBorders>
              <w:top w:val="nil"/>
              <w:left w:val="nil"/>
              <w:bottom w:val="single" w:sz="4" w:space="0" w:color="C7CFD8"/>
              <w:right w:val="nil"/>
            </w:tcBorders>
            <w:shd w:val="clear" w:color="auto" w:fill="auto"/>
            <w:noWrap/>
            <w:hideMark/>
          </w:tcPr>
          <w:p w14:paraId="6EE51B8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(330)</w:t>
            </w:r>
          </w:p>
        </w:tc>
        <w:tc>
          <w:tcPr>
            <w:tcW w:w="1060" w:type="dxa"/>
            <w:tcBorders>
              <w:top w:val="nil"/>
              <w:left w:val="nil"/>
              <w:bottom w:val="single" w:sz="4" w:space="0" w:color="C7CFD8"/>
              <w:right w:val="nil"/>
            </w:tcBorders>
            <w:shd w:val="clear" w:color="auto" w:fill="auto"/>
            <w:noWrap/>
            <w:hideMark/>
          </w:tcPr>
          <w:p w14:paraId="665E49C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-59%</w:t>
            </w:r>
          </w:p>
        </w:tc>
      </w:tr>
      <w:tr w:rsidR="00B214A5" w:rsidRPr="00B214A5" w14:paraId="2690A485"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4FED56E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5F2C4F35"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41E79C4A"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D639C45"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16EF7A8"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391FB3C9"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040F20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4AEBE03"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160456D7"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3F842563"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4B9B120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171009F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5D5BE82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w:t>
            </w:r>
          </w:p>
        </w:tc>
        <w:tc>
          <w:tcPr>
            <w:tcW w:w="1180" w:type="dxa"/>
            <w:tcBorders>
              <w:top w:val="nil"/>
              <w:left w:val="nil"/>
              <w:bottom w:val="nil"/>
              <w:right w:val="nil"/>
            </w:tcBorders>
            <w:shd w:val="clear" w:color="auto" w:fill="auto"/>
            <w:noWrap/>
            <w:hideMark/>
          </w:tcPr>
          <w:p w14:paraId="29E617A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w:t>
            </w:r>
          </w:p>
        </w:tc>
        <w:tc>
          <w:tcPr>
            <w:tcW w:w="1060" w:type="dxa"/>
            <w:tcBorders>
              <w:top w:val="nil"/>
              <w:left w:val="nil"/>
              <w:bottom w:val="nil"/>
              <w:right w:val="nil"/>
            </w:tcBorders>
            <w:shd w:val="clear" w:color="auto" w:fill="auto"/>
            <w:noWrap/>
            <w:hideMark/>
          </w:tcPr>
          <w:p w14:paraId="7B273D2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w:t>
            </w:r>
          </w:p>
        </w:tc>
        <w:tc>
          <w:tcPr>
            <w:tcW w:w="1060" w:type="dxa"/>
            <w:tcBorders>
              <w:top w:val="nil"/>
              <w:left w:val="nil"/>
              <w:bottom w:val="nil"/>
              <w:right w:val="nil"/>
            </w:tcBorders>
            <w:shd w:val="clear" w:color="auto" w:fill="auto"/>
            <w:noWrap/>
            <w:hideMark/>
          </w:tcPr>
          <w:p w14:paraId="2B631F2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-100%</w:t>
            </w:r>
          </w:p>
        </w:tc>
      </w:tr>
      <w:tr w:rsidR="00B214A5" w:rsidRPr="00B214A5" w14:paraId="0C02D0BA"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0EBC3E5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6AFC9B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00D99FD0"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37D4A27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410</w:t>
            </w:r>
          </w:p>
        </w:tc>
        <w:tc>
          <w:tcPr>
            <w:tcW w:w="1180" w:type="dxa"/>
            <w:tcBorders>
              <w:top w:val="nil"/>
              <w:left w:val="nil"/>
              <w:bottom w:val="nil"/>
              <w:right w:val="nil"/>
            </w:tcBorders>
            <w:shd w:val="clear" w:color="auto" w:fill="auto"/>
            <w:noWrap/>
            <w:hideMark/>
          </w:tcPr>
          <w:p w14:paraId="736A6A8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60</w:t>
            </w:r>
          </w:p>
        </w:tc>
        <w:tc>
          <w:tcPr>
            <w:tcW w:w="1180" w:type="dxa"/>
            <w:tcBorders>
              <w:top w:val="nil"/>
              <w:left w:val="nil"/>
              <w:bottom w:val="nil"/>
              <w:right w:val="nil"/>
            </w:tcBorders>
            <w:shd w:val="clear" w:color="auto" w:fill="auto"/>
            <w:noWrap/>
            <w:hideMark/>
          </w:tcPr>
          <w:p w14:paraId="5485AF8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287</w:t>
            </w:r>
          </w:p>
        </w:tc>
        <w:tc>
          <w:tcPr>
            <w:tcW w:w="1060" w:type="dxa"/>
            <w:tcBorders>
              <w:top w:val="nil"/>
              <w:left w:val="nil"/>
              <w:bottom w:val="nil"/>
              <w:right w:val="nil"/>
            </w:tcBorders>
            <w:shd w:val="clear" w:color="auto" w:fill="auto"/>
            <w:noWrap/>
            <w:hideMark/>
          </w:tcPr>
          <w:p w14:paraId="27ABE33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350</w:t>
            </w:r>
          </w:p>
        </w:tc>
        <w:tc>
          <w:tcPr>
            <w:tcW w:w="1060" w:type="dxa"/>
            <w:tcBorders>
              <w:top w:val="nil"/>
              <w:left w:val="nil"/>
              <w:bottom w:val="nil"/>
              <w:right w:val="nil"/>
            </w:tcBorders>
            <w:shd w:val="clear" w:color="auto" w:fill="auto"/>
            <w:noWrap/>
            <w:hideMark/>
          </w:tcPr>
          <w:p w14:paraId="0838F45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+100%</w:t>
            </w:r>
          </w:p>
        </w:tc>
      </w:tr>
      <w:tr w:rsidR="00B214A5" w:rsidRPr="00B214A5" w14:paraId="4125BA2F"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630E339A"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32DE9874"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208B5722"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1C9A87A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410</w:t>
            </w:r>
          </w:p>
        </w:tc>
        <w:tc>
          <w:tcPr>
            <w:tcW w:w="1180" w:type="dxa"/>
            <w:tcBorders>
              <w:top w:val="nil"/>
              <w:left w:val="nil"/>
              <w:bottom w:val="single" w:sz="4" w:space="0" w:color="C7CFD8"/>
              <w:right w:val="nil"/>
            </w:tcBorders>
            <w:shd w:val="clear" w:color="auto" w:fill="auto"/>
            <w:noWrap/>
            <w:hideMark/>
          </w:tcPr>
          <w:p w14:paraId="6F52AC0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66</w:t>
            </w:r>
          </w:p>
        </w:tc>
        <w:tc>
          <w:tcPr>
            <w:tcW w:w="1180" w:type="dxa"/>
            <w:tcBorders>
              <w:top w:val="nil"/>
              <w:left w:val="nil"/>
              <w:bottom w:val="single" w:sz="4" w:space="0" w:color="C7CFD8"/>
              <w:right w:val="nil"/>
            </w:tcBorders>
            <w:shd w:val="clear" w:color="auto" w:fill="auto"/>
            <w:noWrap/>
            <w:hideMark/>
          </w:tcPr>
          <w:p w14:paraId="519EF97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293</w:t>
            </w:r>
          </w:p>
        </w:tc>
        <w:tc>
          <w:tcPr>
            <w:tcW w:w="1060" w:type="dxa"/>
            <w:tcBorders>
              <w:top w:val="nil"/>
              <w:left w:val="nil"/>
              <w:bottom w:val="single" w:sz="4" w:space="0" w:color="C7CFD8"/>
              <w:right w:val="nil"/>
            </w:tcBorders>
            <w:shd w:val="clear" w:color="auto" w:fill="auto"/>
            <w:noWrap/>
            <w:hideMark/>
          </w:tcPr>
          <w:p w14:paraId="5AD416A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344</w:t>
            </w:r>
          </w:p>
        </w:tc>
        <w:tc>
          <w:tcPr>
            <w:tcW w:w="1060" w:type="dxa"/>
            <w:tcBorders>
              <w:top w:val="nil"/>
              <w:left w:val="nil"/>
              <w:bottom w:val="single" w:sz="4" w:space="0" w:color="C7CFD8"/>
              <w:right w:val="nil"/>
            </w:tcBorders>
            <w:shd w:val="clear" w:color="auto" w:fill="auto"/>
            <w:noWrap/>
            <w:hideMark/>
          </w:tcPr>
          <w:p w14:paraId="1574E94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+100%</w:t>
            </w:r>
          </w:p>
        </w:tc>
      </w:tr>
      <w:tr w:rsidR="00B214A5" w:rsidRPr="00B214A5" w14:paraId="67E3FF21" w14:textId="77777777" w:rsidTr="008A121C">
        <w:trPr>
          <w:divId w:val="1275094524"/>
          <w:trHeight w:hRule="exact" w:val="216"/>
          <w:jc w:val="center"/>
        </w:trPr>
        <w:tc>
          <w:tcPr>
            <w:tcW w:w="103" w:type="dxa"/>
            <w:tcBorders>
              <w:top w:val="nil"/>
              <w:left w:val="nil"/>
              <w:bottom w:val="single" w:sz="8" w:space="0" w:color="C7CFD8"/>
              <w:right w:val="nil"/>
            </w:tcBorders>
            <w:shd w:val="clear" w:color="auto" w:fill="auto"/>
            <w:noWrap/>
            <w:hideMark/>
          </w:tcPr>
          <w:p w14:paraId="5F6466CD"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29C8BC7D"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 B</w:t>
            </w:r>
          </w:p>
        </w:tc>
        <w:tc>
          <w:tcPr>
            <w:tcW w:w="103" w:type="dxa"/>
            <w:tcBorders>
              <w:top w:val="nil"/>
              <w:left w:val="nil"/>
              <w:bottom w:val="single" w:sz="8" w:space="0" w:color="C7CFD8"/>
              <w:right w:val="nil"/>
            </w:tcBorders>
            <w:shd w:val="clear" w:color="auto" w:fill="auto"/>
            <w:noWrap/>
            <w:hideMark/>
          </w:tcPr>
          <w:p w14:paraId="14F3BE1C"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65D1029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17,866</w:t>
            </w:r>
          </w:p>
        </w:tc>
        <w:tc>
          <w:tcPr>
            <w:tcW w:w="1180" w:type="dxa"/>
            <w:tcBorders>
              <w:top w:val="nil"/>
              <w:left w:val="nil"/>
              <w:bottom w:val="single" w:sz="8" w:space="0" w:color="C7CFD8"/>
              <w:right w:val="nil"/>
            </w:tcBorders>
            <w:shd w:val="clear" w:color="auto" w:fill="auto"/>
            <w:noWrap/>
            <w:vAlign w:val="center"/>
            <w:hideMark/>
          </w:tcPr>
          <w:p w14:paraId="1E5CA96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13,383</w:t>
            </w:r>
          </w:p>
        </w:tc>
        <w:tc>
          <w:tcPr>
            <w:tcW w:w="1180" w:type="dxa"/>
            <w:tcBorders>
              <w:top w:val="nil"/>
              <w:left w:val="nil"/>
              <w:bottom w:val="single" w:sz="8" w:space="0" w:color="C7CFD8"/>
              <w:right w:val="nil"/>
            </w:tcBorders>
            <w:shd w:val="clear" w:color="auto" w:fill="auto"/>
            <w:noWrap/>
            <w:vAlign w:val="center"/>
            <w:hideMark/>
          </w:tcPr>
          <w:p w14:paraId="63DBB2C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14,740</w:t>
            </w:r>
          </w:p>
        </w:tc>
        <w:tc>
          <w:tcPr>
            <w:tcW w:w="1060" w:type="dxa"/>
            <w:tcBorders>
              <w:top w:val="nil"/>
              <w:left w:val="nil"/>
              <w:bottom w:val="single" w:sz="8" w:space="0" w:color="C7CFD8"/>
              <w:right w:val="nil"/>
            </w:tcBorders>
            <w:shd w:val="clear" w:color="auto" w:fill="auto"/>
            <w:noWrap/>
            <w:vAlign w:val="center"/>
            <w:hideMark/>
          </w:tcPr>
          <w:p w14:paraId="7E6563E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4,483</w:t>
            </w:r>
          </w:p>
        </w:tc>
        <w:tc>
          <w:tcPr>
            <w:tcW w:w="1060" w:type="dxa"/>
            <w:tcBorders>
              <w:top w:val="nil"/>
              <w:left w:val="nil"/>
              <w:bottom w:val="single" w:sz="8" w:space="0" w:color="C7CFD8"/>
              <w:right w:val="nil"/>
            </w:tcBorders>
            <w:shd w:val="clear" w:color="auto" w:fill="auto"/>
            <w:noWrap/>
            <w:vAlign w:val="center"/>
            <w:hideMark/>
          </w:tcPr>
          <w:p w14:paraId="12B5EA2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33%</w:t>
            </w:r>
          </w:p>
        </w:tc>
      </w:tr>
      <w:tr w:rsidR="00B214A5" w:rsidRPr="00B214A5" w14:paraId="409F4616" w14:textId="77777777" w:rsidTr="008A121C">
        <w:trPr>
          <w:divId w:val="1275094524"/>
          <w:trHeight w:hRule="exact" w:val="216"/>
          <w:jc w:val="center"/>
        </w:trPr>
        <w:tc>
          <w:tcPr>
            <w:tcW w:w="103" w:type="dxa"/>
            <w:tcBorders>
              <w:top w:val="nil"/>
              <w:left w:val="nil"/>
              <w:bottom w:val="single" w:sz="8" w:space="0" w:color="C7CFD8"/>
              <w:right w:val="nil"/>
            </w:tcBorders>
            <w:shd w:val="clear" w:color="auto" w:fill="auto"/>
            <w:noWrap/>
            <w:hideMark/>
          </w:tcPr>
          <w:p w14:paraId="30BF7A9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2994" w:type="dxa"/>
            <w:gridSpan w:val="2"/>
            <w:tcBorders>
              <w:top w:val="nil"/>
              <w:left w:val="nil"/>
              <w:bottom w:val="single" w:sz="8" w:space="0" w:color="C7CFD8"/>
              <w:right w:val="nil"/>
            </w:tcBorders>
            <w:shd w:val="clear" w:color="auto" w:fill="auto"/>
            <w:noWrap/>
            <w:vAlign w:val="center"/>
            <w:hideMark/>
          </w:tcPr>
          <w:p w14:paraId="3CCED862"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w:t>
            </w:r>
          </w:p>
        </w:tc>
        <w:tc>
          <w:tcPr>
            <w:tcW w:w="103" w:type="dxa"/>
            <w:tcBorders>
              <w:top w:val="nil"/>
              <w:left w:val="nil"/>
              <w:bottom w:val="single" w:sz="8" w:space="0" w:color="C7CFD8"/>
              <w:right w:val="nil"/>
            </w:tcBorders>
            <w:shd w:val="clear" w:color="auto" w:fill="auto"/>
            <w:noWrap/>
            <w:hideMark/>
          </w:tcPr>
          <w:p w14:paraId="66500629" w14:textId="77777777"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2709359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37,764</w:t>
            </w:r>
          </w:p>
        </w:tc>
        <w:tc>
          <w:tcPr>
            <w:tcW w:w="1180" w:type="dxa"/>
            <w:tcBorders>
              <w:top w:val="nil"/>
              <w:left w:val="nil"/>
              <w:bottom w:val="single" w:sz="8" w:space="0" w:color="C7CFD8"/>
              <w:right w:val="nil"/>
            </w:tcBorders>
            <w:shd w:val="clear" w:color="auto" w:fill="auto"/>
            <w:noWrap/>
            <w:vAlign w:val="center"/>
            <w:hideMark/>
          </w:tcPr>
          <w:p w14:paraId="27592AB6"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31,735</w:t>
            </w:r>
          </w:p>
        </w:tc>
        <w:tc>
          <w:tcPr>
            <w:tcW w:w="1180" w:type="dxa"/>
            <w:tcBorders>
              <w:top w:val="nil"/>
              <w:left w:val="nil"/>
              <w:bottom w:val="single" w:sz="8" w:space="0" w:color="C7CFD8"/>
              <w:right w:val="nil"/>
            </w:tcBorders>
            <w:shd w:val="clear" w:color="auto" w:fill="auto"/>
            <w:noWrap/>
            <w:vAlign w:val="center"/>
            <w:hideMark/>
          </w:tcPr>
          <w:p w14:paraId="22C84795"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33,166</w:t>
            </w:r>
          </w:p>
        </w:tc>
        <w:tc>
          <w:tcPr>
            <w:tcW w:w="1060" w:type="dxa"/>
            <w:tcBorders>
              <w:top w:val="nil"/>
              <w:left w:val="nil"/>
              <w:bottom w:val="single" w:sz="8" w:space="0" w:color="C7CFD8"/>
              <w:right w:val="nil"/>
            </w:tcBorders>
            <w:shd w:val="clear" w:color="auto" w:fill="auto"/>
            <w:noWrap/>
            <w:vAlign w:val="center"/>
            <w:hideMark/>
          </w:tcPr>
          <w:p w14:paraId="786EF33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6,029</w:t>
            </w:r>
          </w:p>
        </w:tc>
        <w:tc>
          <w:tcPr>
            <w:tcW w:w="1060" w:type="dxa"/>
            <w:tcBorders>
              <w:top w:val="nil"/>
              <w:left w:val="nil"/>
              <w:bottom w:val="single" w:sz="8" w:space="0" w:color="C7CFD8"/>
              <w:right w:val="nil"/>
            </w:tcBorders>
            <w:shd w:val="clear" w:color="auto" w:fill="auto"/>
            <w:noWrap/>
            <w:vAlign w:val="center"/>
            <w:hideMark/>
          </w:tcPr>
          <w:p w14:paraId="5374BDB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19%</w:t>
            </w:r>
          </w:p>
        </w:tc>
      </w:tr>
      <w:tr w:rsidR="00B214A5" w:rsidRPr="00B214A5" w14:paraId="5616CE3D" w14:textId="77777777" w:rsidTr="008A121C">
        <w:trPr>
          <w:divId w:val="1275094524"/>
          <w:trHeight w:hRule="exact" w:val="216"/>
          <w:jc w:val="center"/>
        </w:trPr>
        <w:tc>
          <w:tcPr>
            <w:tcW w:w="103" w:type="dxa"/>
            <w:tcBorders>
              <w:top w:val="nil"/>
              <w:left w:val="nil"/>
              <w:bottom w:val="nil"/>
              <w:right w:val="nil"/>
            </w:tcBorders>
            <w:shd w:val="clear" w:color="auto" w:fill="auto"/>
            <w:noWrap/>
            <w:hideMark/>
          </w:tcPr>
          <w:p w14:paraId="395098B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2994" w:type="dxa"/>
            <w:gridSpan w:val="2"/>
            <w:tcBorders>
              <w:top w:val="nil"/>
              <w:left w:val="nil"/>
              <w:bottom w:val="nil"/>
              <w:right w:val="nil"/>
            </w:tcBorders>
            <w:shd w:val="clear" w:color="auto" w:fill="auto"/>
            <w:noWrap/>
            <w:hideMark/>
          </w:tcPr>
          <w:p w14:paraId="63FEFBA5"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xml:space="preserve">of which </w:t>
            </w:r>
          </w:p>
        </w:tc>
        <w:tc>
          <w:tcPr>
            <w:tcW w:w="103" w:type="dxa"/>
            <w:tcBorders>
              <w:top w:val="nil"/>
              <w:left w:val="nil"/>
              <w:bottom w:val="nil"/>
              <w:right w:val="nil"/>
            </w:tcBorders>
            <w:shd w:val="clear" w:color="auto" w:fill="auto"/>
            <w:noWrap/>
            <w:hideMark/>
          </w:tcPr>
          <w:p w14:paraId="4808C301" w14:textId="77777777" w:rsidR="00B214A5" w:rsidRPr="00B214A5" w:rsidRDefault="00B214A5" w:rsidP="00B214A5">
            <w:pPr>
              <w:spacing w:after="0" w:line="240" w:lineRule="auto"/>
              <w:rPr>
                <w:rFonts w:ascii="Arial Narrow" w:eastAsia="Times New Roman" w:hAnsi="Arial Narrow" w:cs="Times New Roman"/>
                <w:sz w:val="16"/>
                <w:szCs w:val="16"/>
                <w:lang w:val="en-US"/>
              </w:rPr>
            </w:pPr>
          </w:p>
        </w:tc>
        <w:tc>
          <w:tcPr>
            <w:tcW w:w="1060" w:type="dxa"/>
            <w:tcBorders>
              <w:top w:val="nil"/>
              <w:left w:val="nil"/>
              <w:bottom w:val="nil"/>
              <w:right w:val="nil"/>
            </w:tcBorders>
            <w:shd w:val="clear" w:color="auto" w:fill="auto"/>
            <w:noWrap/>
            <w:hideMark/>
          </w:tcPr>
          <w:p w14:paraId="132DE3F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28E6193"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B423A1E"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6BC5217"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1A5F0E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262A3E2C" w14:textId="77777777" w:rsidTr="008A121C">
        <w:trPr>
          <w:divId w:val="1275094524"/>
          <w:trHeight w:hRule="exact" w:val="216"/>
          <w:jc w:val="center"/>
        </w:trPr>
        <w:tc>
          <w:tcPr>
            <w:tcW w:w="103" w:type="dxa"/>
            <w:tcBorders>
              <w:top w:val="nil"/>
              <w:left w:val="nil"/>
              <w:bottom w:val="single" w:sz="4" w:space="0" w:color="C7CFD8"/>
              <w:right w:val="nil"/>
            </w:tcBorders>
            <w:shd w:val="clear" w:color="auto" w:fill="auto"/>
            <w:noWrap/>
            <w:hideMark/>
          </w:tcPr>
          <w:p w14:paraId="43F2E695"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97" w:type="dxa"/>
            <w:gridSpan w:val="3"/>
            <w:tcBorders>
              <w:top w:val="nil"/>
              <w:left w:val="nil"/>
              <w:bottom w:val="single" w:sz="4" w:space="0" w:color="C7CFD8"/>
              <w:right w:val="nil"/>
            </w:tcBorders>
            <w:shd w:val="clear" w:color="auto" w:fill="auto"/>
            <w:noWrap/>
            <w:hideMark/>
          </w:tcPr>
          <w:p w14:paraId="5884C110"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Development Agenda Project</w:t>
            </w:r>
          </w:p>
        </w:tc>
        <w:tc>
          <w:tcPr>
            <w:tcW w:w="1060" w:type="dxa"/>
            <w:tcBorders>
              <w:top w:val="nil"/>
              <w:left w:val="nil"/>
              <w:bottom w:val="single" w:sz="4" w:space="0" w:color="C7CFD8"/>
              <w:right w:val="nil"/>
            </w:tcBorders>
            <w:shd w:val="clear" w:color="auto" w:fill="auto"/>
            <w:noWrap/>
            <w:hideMark/>
          </w:tcPr>
          <w:p w14:paraId="77EF61F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1,193</w:t>
            </w:r>
          </w:p>
        </w:tc>
        <w:tc>
          <w:tcPr>
            <w:tcW w:w="1180" w:type="dxa"/>
            <w:tcBorders>
              <w:top w:val="nil"/>
              <w:left w:val="nil"/>
              <w:bottom w:val="single" w:sz="4" w:space="0" w:color="C7CFD8"/>
              <w:right w:val="nil"/>
            </w:tcBorders>
            <w:shd w:val="clear" w:color="auto" w:fill="auto"/>
            <w:noWrap/>
            <w:hideMark/>
          </w:tcPr>
          <w:p w14:paraId="358E5B2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180" w:type="dxa"/>
            <w:tcBorders>
              <w:top w:val="nil"/>
              <w:left w:val="nil"/>
              <w:bottom w:val="single" w:sz="4" w:space="0" w:color="C7CFD8"/>
              <w:right w:val="nil"/>
            </w:tcBorders>
            <w:shd w:val="clear" w:color="auto" w:fill="auto"/>
            <w:noWrap/>
            <w:hideMark/>
          </w:tcPr>
          <w:p w14:paraId="314BF54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60" w:type="dxa"/>
            <w:tcBorders>
              <w:top w:val="nil"/>
              <w:left w:val="nil"/>
              <w:bottom w:val="single" w:sz="4" w:space="0" w:color="C7CFD8"/>
              <w:right w:val="nil"/>
            </w:tcBorders>
            <w:shd w:val="clear" w:color="auto" w:fill="auto"/>
            <w:noWrap/>
            <w:hideMark/>
          </w:tcPr>
          <w:p w14:paraId="4A0EA121" w14:textId="77777777" w:rsidR="00B214A5" w:rsidRPr="00B214A5" w:rsidRDefault="00B214A5" w:rsidP="00B214A5">
            <w:pPr>
              <w:spacing w:after="0" w:line="240" w:lineRule="auto"/>
              <w:jc w:val="right"/>
              <w:rPr>
                <w:rFonts w:ascii="Arial Narrow" w:eastAsia="Times New Roman" w:hAnsi="Arial Narrow" w:cs="Times New Roman"/>
                <w:b/>
                <w:bCs/>
                <w:color w:val="FF0000"/>
                <w:sz w:val="16"/>
                <w:szCs w:val="16"/>
                <w:lang w:val="en-US"/>
              </w:rPr>
            </w:pPr>
            <w:r w:rsidRPr="00B214A5">
              <w:rPr>
                <w:rFonts w:ascii="Arial Narrow" w:eastAsia="Times New Roman" w:hAnsi="Arial Narrow" w:cs="Times New Roman"/>
                <w:b/>
                <w:bCs/>
                <w:color w:val="FF0000"/>
                <w:sz w:val="16"/>
                <w:szCs w:val="16"/>
                <w:lang w:val="en-US"/>
              </w:rPr>
              <w:t> </w:t>
            </w:r>
          </w:p>
        </w:tc>
        <w:tc>
          <w:tcPr>
            <w:tcW w:w="1060" w:type="dxa"/>
            <w:tcBorders>
              <w:top w:val="nil"/>
              <w:left w:val="nil"/>
              <w:bottom w:val="single" w:sz="4" w:space="0" w:color="C7CFD8"/>
              <w:right w:val="nil"/>
            </w:tcBorders>
            <w:shd w:val="clear" w:color="auto" w:fill="auto"/>
            <w:noWrap/>
            <w:hideMark/>
          </w:tcPr>
          <w:p w14:paraId="2E484921" w14:textId="77777777" w:rsidR="00B214A5" w:rsidRPr="00B214A5" w:rsidRDefault="00B214A5" w:rsidP="00B214A5">
            <w:pPr>
              <w:spacing w:after="0" w:line="240" w:lineRule="auto"/>
              <w:rPr>
                <w:rFonts w:ascii="Arial Narrow" w:eastAsia="Times New Roman" w:hAnsi="Arial Narrow" w:cs="Times New Roman"/>
                <w:b/>
                <w:bCs/>
                <w:color w:val="FF0000"/>
                <w:sz w:val="16"/>
                <w:szCs w:val="16"/>
                <w:lang w:val="en-US"/>
              </w:rPr>
            </w:pPr>
            <w:r w:rsidRPr="00B214A5">
              <w:rPr>
                <w:rFonts w:ascii="Arial Narrow" w:eastAsia="Times New Roman" w:hAnsi="Arial Narrow" w:cs="Times New Roman"/>
                <w:b/>
                <w:bCs/>
                <w:color w:val="FF0000"/>
                <w:sz w:val="16"/>
                <w:szCs w:val="16"/>
                <w:lang w:val="en-US"/>
              </w:rPr>
              <w:t> </w:t>
            </w:r>
          </w:p>
        </w:tc>
      </w:tr>
    </w:tbl>
    <w:p w14:paraId="3BB06D71" w14:textId="12265BA1" w:rsidR="00D56626" w:rsidRDefault="00D56626" w:rsidP="001668BA">
      <w:pPr>
        <w:spacing w:after="0"/>
        <w:rPr>
          <w:rFonts w:cs="Arial"/>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D56626" w:rsidRPr="00034525" w14:paraId="53DF4E64" w14:textId="77777777" w:rsidTr="00750B3E">
        <w:trPr>
          <w:trHeight w:val="72"/>
        </w:trPr>
        <w:tc>
          <w:tcPr>
            <w:tcW w:w="9630" w:type="dxa"/>
          </w:tcPr>
          <w:p w14:paraId="52F9CAA0" w14:textId="09D93E66" w:rsidR="00D56626" w:rsidRPr="00034525" w:rsidRDefault="00D56626" w:rsidP="001668BA">
            <w:pPr>
              <w:spacing w:before="240"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p>
        </w:tc>
      </w:tr>
      <w:tr w:rsidR="00D56626" w:rsidRPr="00034525" w14:paraId="1D756387" w14:textId="77777777" w:rsidTr="00750B3E">
        <w:trPr>
          <w:trHeight w:val="80"/>
        </w:trPr>
        <w:tc>
          <w:tcPr>
            <w:tcW w:w="9630" w:type="dxa"/>
          </w:tcPr>
          <w:p w14:paraId="7EE11F29" w14:textId="1D6C3B28" w:rsidR="00D56626" w:rsidRPr="00034525" w:rsidRDefault="00D56626" w:rsidP="005B0AE9">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89AF173" w14:textId="305D9B94" w:rsidR="00B214A5" w:rsidRDefault="00B214A5" w:rsidP="00792A58">
      <w:pPr>
        <w:spacing w:after="0"/>
        <w:rPr>
          <w:rFonts w:asciiTheme="minorHAnsi" w:hAnsiTheme="minorHAnsi"/>
          <w:sz w:val="22"/>
        </w:rPr>
      </w:pPr>
    </w:p>
    <w:tbl>
      <w:tblPr>
        <w:tblW w:w="9340" w:type="dxa"/>
        <w:jc w:val="center"/>
        <w:tblLook w:val="04A0" w:firstRow="1" w:lastRow="0" w:firstColumn="1" w:lastColumn="0" w:noHBand="0" w:noVBand="1"/>
      </w:tblPr>
      <w:tblGrid>
        <w:gridCol w:w="2380"/>
        <w:gridCol w:w="1120"/>
        <w:gridCol w:w="1120"/>
        <w:gridCol w:w="1120"/>
        <w:gridCol w:w="1120"/>
        <w:gridCol w:w="1120"/>
        <w:gridCol w:w="1360"/>
      </w:tblGrid>
      <w:tr w:rsidR="00B214A5" w:rsidRPr="00B214A5" w14:paraId="38CD4A4F" w14:textId="77777777" w:rsidTr="001668BA">
        <w:trPr>
          <w:divId w:val="1647733338"/>
          <w:trHeight w:val="855"/>
          <w:jc w:val="center"/>
        </w:trPr>
        <w:tc>
          <w:tcPr>
            <w:tcW w:w="2380" w:type="dxa"/>
            <w:tcBorders>
              <w:top w:val="nil"/>
              <w:left w:val="nil"/>
              <w:bottom w:val="nil"/>
              <w:right w:val="nil"/>
            </w:tcBorders>
            <w:shd w:val="clear" w:color="000000" w:fill="C7CFD8"/>
            <w:vAlign w:val="center"/>
            <w:hideMark/>
          </w:tcPr>
          <w:p w14:paraId="16E6A70B" w14:textId="69302F7E"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Fund-in-Trust (FIT)</w:t>
            </w:r>
          </w:p>
        </w:tc>
        <w:tc>
          <w:tcPr>
            <w:tcW w:w="1120" w:type="dxa"/>
            <w:tcBorders>
              <w:top w:val="nil"/>
              <w:left w:val="nil"/>
              <w:bottom w:val="nil"/>
              <w:right w:val="nil"/>
            </w:tcBorders>
            <w:shd w:val="clear" w:color="000000" w:fill="C7CFD8"/>
            <w:vAlign w:val="center"/>
            <w:hideMark/>
          </w:tcPr>
          <w:p w14:paraId="29A31CC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Balance as of December 31, 2022</w:t>
            </w:r>
          </w:p>
        </w:tc>
        <w:tc>
          <w:tcPr>
            <w:tcW w:w="1120" w:type="dxa"/>
            <w:tcBorders>
              <w:top w:val="nil"/>
              <w:left w:val="nil"/>
              <w:bottom w:val="nil"/>
              <w:right w:val="nil"/>
            </w:tcBorders>
            <w:shd w:val="clear" w:color="000000" w:fill="C7CFD8"/>
            <w:vAlign w:val="center"/>
            <w:hideMark/>
          </w:tcPr>
          <w:p w14:paraId="7192BDB9" w14:textId="3EDC5227"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w:t>
            </w:r>
            <w:r w:rsidRPr="00B214A5">
              <w:rPr>
                <w:rFonts w:ascii="Arial Narrow" w:eastAsia="Times New Roman" w:hAnsi="Arial Narrow" w:cs="Times New Roman"/>
                <w:b/>
                <w:bCs/>
                <w:sz w:val="16"/>
                <w:szCs w:val="16"/>
                <w:lang w:val="en-US"/>
              </w:rPr>
              <w:br/>
              <w:t xml:space="preserve">2023 </w:t>
            </w:r>
          </w:p>
        </w:tc>
        <w:tc>
          <w:tcPr>
            <w:tcW w:w="1120" w:type="dxa"/>
            <w:tcBorders>
              <w:top w:val="nil"/>
              <w:left w:val="nil"/>
              <w:bottom w:val="nil"/>
              <w:right w:val="nil"/>
            </w:tcBorders>
            <w:shd w:val="clear" w:color="000000" w:fill="C7CFD8"/>
            <w:vAlign w:val="center"/>
            <w:hideMark/>
          </w:tcPr>
          <w:p w14:paraId="25856974" w14:textId="18FB1D55"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expenditure end 2023 </w:t>
            </w:r>
          </w:p>
        </w:tc>
        <w:tc>
          <w:tcPr>
            <w:tcW w:w="1120" w:type="dxa"/>
            <w:tcBorders>
              <w:top w:val="nil"/>
              <w:left w:val="nil"/>
              <w:bottom w:val="nil"/>
              <w:right w:val="nil"/>
            </w:tcBorders>
            <w:shd w:val="clear" w:color="000000" w:fill="C7CFD8"/>
            <w:vAlign w:val="center"/>
            <w:hideMark/>
          </w:tcPr>
          <w:p w14:paraId="0A2B5BBD"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Expected balance end 2023 </w:t>
            </w:r>
          </w:p>
        </w:tc>
        <w:tc>
          <w:tcPr>
            <w:tcW w:w="1120" w:type="dxa"/>
            <w:tcBorders>
              <w:top w:val="nil"/>
              <w:left w:val="nil"/>
              <w:bottom w:val="nil"/>
              <w:right w:val="nil"/>
            </w:tcBorders>
            <w:shd w:val="clear" w:color="000000" w:fill="C7CFD8"/>
            <w:vAlign w:val="center"/>
            <w:hideMark/>
          </w:tcPr>
          <w:p w14:paraId="3C6B17E9" w14:textId="5019D99E" w:rsidR="00B214A5" w:rsidRPr="00B214A5" w:rsidRDefault="00B214A5" w:rsidP="00974F71">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2024/25 </w:t>
            </w:r>
          </w:p>
        </w:tc>
        <w:tc>
          <w:tcPr>
            <w:tcW w:w="1360" w:type="dxa"/>
            <w:tcBorders>
              <w:top w:val="nil"/>
              <w:left w:val="nil"/>
              <w:bottom w:val="nil"/>
              <w:right w:val="nil"/>
            </w:tcBorders>
            <w:shd w:val="clear" w:color="000000" w:fill="C7CFD8"/>
            <w:vAlign w:val="center"/>
            <w:hideMark/>
          </w:tcPr>
          <w:p w14:paraId="73810C9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Estimated amount available for programming in 2024/25 </w:t>
            </w:r>
          </w:p>
        </w:tc>
      </w:tr>
      <w:tr w:rsidR="00B214A5" w:rsidRPr="00B214A5" w14:paraId="22961D82" w14:textId="77777777" w:rsidTr="001668BA">
        <w:trPr>
          <w:divId w:val="1647733338"/>
          <w:trHeight w:val="60"/>
          <w:jc w:val="center"/>
        </w:trPr>
        <w:tc>
          <w:tcPr>
            <w:tcW w:w="2380" w:type="dxa"/>
            <w:tcBorders>
              <w:top w:val="nil"/>
              <w:left w:val="nil"/>
              <w:bottom w:val="nil"/>
              <w:right w:val="nil"/>
            </w:tcBorders>
            <w:shd w:val="clear" w:color="auto" w:fill="auto"/>
            <w:vAlign w:val="center"/>
            <w:hideMark/>
          </w:tcPr>
          <w:p w14:paraId="36A894F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vAlign w:val="center"/>
            <w:hideMark/>
          </w:tcPr>
          <w:p w14:paraId="7C6685AA" w14:textId="77777777" w:rsidR="00B214A5" w:rsidRPr="00B214A5" w:rsidRDefault="00B214A5" w:rsidP="00B214A5">
            <w:pPr>
              <w:spacing w:after="0" w:line="240" w:lineRule="auto"/>
              <w:jc w:val="center"/>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0422B9BB"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433BEED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D47430A"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1E3BDA8"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vAlign w:val="center"/>
            <w:hideMark/>
          </w:tcPr>
          <w:p w14:paraId="78EFCCF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287664AF" w14:textId="77777777" w:rsidTr="001668BA">
        <w:trPr>
          <w:divId w:val="1647733338"/>
          <w:trHeight w:val="285"/>
          <w:jc w:val="center"/>
        </w:trPr>
        <w:tc>
          <w:tcPr>
            <w:tcW w:w="2380" w:type="dxa"/>
            <w:tcBorders>
              <w:top w:val="nil"/>
              <w:left w:val="nil"/>
              <w:bottom w:val="nil"/>
              <w:right w:val="nil"/>
            </w:tcBorders>
            <w:shd w:val="clear" w:color="000000" w:fill="FFFFFF"/>
            <w:hideMark/>
          </w:tcPr>
          <w:p w14:paraId="73F6C3B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Japan (Copyright)</w:t>
            </w:r>
          </w:p>
        </w:tc>
        <w:tc>
          <w:tcPr>
            <w:tcW w:w="1120" w:type="dxa"/>
            <w:tcBorders>
              <w:top w:val="nil"/>
              <w:left w:val="nil"/>
              <w:bottom w:val="nil"/>
              <w:right w:val="nil"/>
            </w:tcBorders>
            <w:shd w:val="clear" w:color="000000" w:fill="FFFFFF"/>
            <w:noWrap/>
            <w:hideMark/>
          </w:tcPr>
          <w:p w14:paraId="5CBE315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1,050</w:t>
            </w:r>
          </w:p>
        </w:tc>
        <w:tc>
          <w:tcPr>
            <w:tcW w:w="1120" w:type="dxa"/>
            <w:tcBorders>
              <w:top w:val="nil"/>
              <w:left w:val="nil"/>
              <w:bottom w:val="nil"/>
              <w:right w:val="nil"/>
            </w:tcBorders>
            <w:shd w:val="clear" w:color="000000" w:fill="FFFFFF"/>
            <w:noWrap/>
            <w:hideMark/>
          </w:tcPr>
          <w:p w14:paraId="0778DBD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469</w:t>
            </w:r>
          </w:p>
        </w:tc>
        <w:tc>
          <w:tcPr>
            <w:tcW w:w="1120" w:type="dxa"/>
            <w:tcBorders>
              <w:top w:val="nil"/>
              <w:left w:val="nil"/>
              <w:bottom w:val="nil"/>
              <w:right w:val="nil"/>
            </w:tcBorders>
            <w:shd w:val="clear" w:color="000000" w:fill="FFFFFF"/>
            <w:noWrap/>
            <w:hideMark/>
          </w:tcPr>
          <w:p w14:paraId="4297524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269</w:t>
            </w:r>
          </w:p>
        </w:tc>
        <w:tc>
          <w:tcPr>
            <w:tcW w:w="1120" w:type="dxa"/>
            <w:tcBorders>
              <w:top w:val="nil"/>
              <w:left w:val="nil"/>
              <w:bottom w:val="nil"/>
              <w:right w:val="nil"/>
            </w:tcBorders>
            <w:shd w:val="clear" w:color="000000" w:fill="FFFFFF"/>
            <w:noWrap/>
            <w:hideMark/>
          </w:tcPr>
          <w:p w14:paraId="423D237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1,250</w:t>
            </w:r>
          </w:p>
        </w:tc>
        <w:tc>
          <w:tcPr>
            <w:tcW w:w="1120" w:type="dxa"/>
            <w:tcBorders>
              <w:top w:val="nil"/>
              <w:left w:val="nil"/>
              <w:bottom w:val="nil"/>
              <w:right w:val="nil"/>
            </w:tcBorders>
            <w:shd w:val="clear" w:color="000000" w:fill="FFFFFF"/>
            <w:noWrap/>
            <w:hideMark/>
          </w:tcPr>
          <w:p w14:paraId="3E86A81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937</w:t>
            </w:r>
          </w:p>
        </w:tc>
        <w:tc>
          <w:tcPr>
            <w:tcW w:w="1360" w:type="dxa"/>
            <w:tcBorders>
              <w:top w:val="nil"/>
              <w:left w:val="nil"/>
              <w:bottom w:val="nil"/>
              <w:right w:val="nil"/>
            </w:tcBorders>
            <w:shd w:val="clear" w:color="000000" w:fill="FFFFFF"/>
            <w:noWrap/>
            <w:hideMark/>
          </w:tcPr>
          <w:p w14:paraId="4EEB004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2,187</w:t>
            </w:r>
          </w:p>
        </w:tc>
      </w:tr>
      <w:tr w:rsidR="00B214A5" w:rsidRPr="00B214A5" w14:paraId="6351F685" w14:textId="77777777" w:rsidTr="001668BA">
        <w:trPr>
          <w:divId w:val="1647733338"/>
          <w:trHeight w:val="285"/>
          <w:jc w:val="center"/>
        </w:trPr>
        <w:tc>
          <w:tcPr>
            <w:tcW w:w="2380" w:type="dxa"/>
            <w:tcBorders>
              <w:top w:val="nil"/>
              <w:left w:val="nil"/>
              <w:bottom w:val="nil"/>
              <w:right w:val="nil"/>
            </w:tcBorders>
            <w:shd w:val="clear" w:color="000000" w:fill="FFFFFF"/>
            <w:hideMark/>
          </w:tcPr>
          <w:p w14:paraId="61014C9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Japan (Junior Professional Officers)</w:t>
            </w:r>
          </w:p>
        </w:tc>
        <w:tc>
          <w:tcPr>
            <w:tcW w:w="1120" w:type="dxa"/>
            <w:tcBorders>
              <w:top w:val="nil"/>
              <w:left w:val="nil"/>
              <w:bottom w:val="nil"/>
              <w:right w:val="nil"/>
            </w:tcBorders>
            <w:shd w:val="clear" w:color="000000" w:fill="FFFFFF"/>
            <w:noWrap/>
            <w:hideMark/>
          </w:tcPr>
          <w:p w14:paraId="09E40D7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169</w:t>
            </w:r>
          </w:p>
        </w:tc>
        <w:tc>
          <w:tcPr>
            <w:tcW w:w="1120" w:type="dxa"/>
            <w:tcBorders>
              <w:top w:val="nil"/>
              <w:left w:val="nil"/>
              <w:bottom w:val="nil"/>
              <w:right w:val="nil"/>
            </w:tcBorders>
            <w:shd w:val="clear" w:color="000000" w:fill="FFFFFF"/>
            <w:noWrap/>
            <w:hideMark/>
          </w:tcPr>
          <w:p w14:paraId="0CE5EC3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6BA4E81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3068342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169</w:t>
            </w:r>
          </w:p>
        </w:tc>
        <w:tc>
          <w:tcPr>
            <w:tcW w:w="1120" w:type="dxa"/>
            <w:tcBorders>
              <w:top w:val="nil"/>
              <w:left w:val="nil"/>
              <w:bottom w:val="nil"/>
              <w:right w:val="nil"/>
            </w:tcBorders>
            <w:shd w:val="clear" w:color="000000" w:fill="FFFFFF"/>
            <w:noWrap/>
            <w:hideMark/>
          </w:tcPr>
          <w:p w14:paraId="28A4F9B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360" w:type="dxa"/>
            <w:tcBorders>
              <w:top w:val="nil"/>
              <w:left w:val="nil"/>
              <w:bottom w:val="nil"/>
              <w:right w:val="nil"/>
            </w:tcBorders>
            <w:shd w:val="clear" w:color="000000" w:fill="FFFFFF"/>
            <w:noWrap/>
            <w:hideMark/>
          </w:tcPr>
          <w:p w14:paraId="5C0C6A2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169</w:t>
            </w:r>
          </w:p>
        </w:tc>
      </w:tr>
      <w:tr w:rsidR="00B214A5" w:rsidRPr="00B214A5" w14:paraId="48BD54B7" w14:textId="77777777" w:rsidTr="001668BA">
        <w:trPr>
          <w:divId w:val="1647733338"/>
          <w:trHeight w:val="360"/>
          <w:jc w:val="center"/>
        </w:trPr>
        <w:tc>
          <w:tcPr>
            <w:tcW w:w="2380" w:type="dxa"/>
            <w:tcBorders>
              <w:top w:val="nil"/>
              <w:left w:val="nil"/>
              <w:bottom w:val="nil"/>
              <w:right w:val="nil"/>
            </w:tcBorders>
            <w:shd w:val="clear" w:color="000000" w:fill="FFFFFF"/>
            <w:hideMark/>
          </w:tcPr>
          <w:p w14:paraId="5A6B32AB"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Republic of Korea (Copyright)</w:t>
            </w:r>
          </w:p>
        </w:tc>
        <w:tc>
          <w:tcPr>
            <w:tcW w:w="1120" w:type="dxa"/>
            <w:tcBorders>
              <w:top w:val="nil"/>
              <w:left w:val="nil"/>
              <w:bottom w:val="nil"/>
              <w:right w:val="nil"/>
            </w:tcBorders>
            <w:shd w:val="clear" w:color="000000" w:fill="FFFFFF"/>
            <w:noWrap/>
            <w:hideMark/>
          </w:tcPr>
          <w:p w14:paraId="5D83A89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1,248</w:t>
            </w:r>
          </w:p>
        </w:tc>
        <w:tc>
          <w:tcPr>
            <w:tcW w:w="1120" w:type="dxa"/>
            <w:tcBorders>
              <w:top w:val="nil"/>
              <w:left w:val="nil"/>
              <w:bottom w:val="nil"/>
              <w:right w:val="nil"/>
            </w:tcBorders>
            <w:shd w:val="clear" w:color="000000" w:fill="FFFFFF"/>
            <w:noWrap/>
            <w:hideMark/>
          </w:tcPr>
          <w:p w14:paraId="1EE81E0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322</w:t>
            </w:r>
          </w:p>
        </w:tc>
        <w:tc>
          <w:tcPr>
            <w:tcW w:w="1120" w:type="dxa"/>
            <w:tcBorders>
              <w:top w:val="nil"/>
              <w:left w:val="nil"/>
              <w:bottom w:val="nil"/>
              <w:right w:val="nil"/>
            </w:tcBorders>
            <w:shd w:val="clear" w:color="000000" w:fill="FFFFFF"/>
            <w:noWrap/>
            <w:hideMark/>
          </w:tcPr>
          <w:p w14:paraId="49D48C3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228</w:t>
            </w:r>
          </w:p>
        </w:tc>
        <w:tc>
          <w:tcPr>
            <w:tcW w:w="1120" w:type="dxa"/>
            <w:tcBorders>
              <w:top w:val="nil"/>
              <w:left w:val="nil"/>
              <w:bottom w:val="nil"/>
              <w:right w:val="nil"/>
            </w:tcBorders>
            <w:shd w:val="clear" w:color="000000" w:fill="FFFFFF"/>
            <w:noWrap/>
            <w:hideMark/>
          </w:tcPr>
          <w:p w14:paraId="7A150BF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1,341</w:t>
            </w:r>
          </w:p>
        </w:tc>
        <w:tc>
          <w:tcPr>
            <w:tcW w:w="1120" w:type="dxa"/>
            <w:tcBorders>
              <w:top w:val="nil"/>
              <w:left w:val="nil"/>
              <w:bottom w:val="nil"/>
              <w:right w:val="nil"/>
            </w:tcBorders>
            <w:shd w:val="clear" w:color="000000" w:fill="FFFFFF"/>
            <w:noWrap/>
            <w:hideMark/>
          </w:tcPr>
          <w:p w14:paraId="14794D6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644</w:t>
            </w:r>
          </w:p>
        </w:tc>
        <w:tc>
          <w:tcPr>
            <w:tcW w:w="1360" w:type="dxa"/>
            <w:tcBorders>
              <w:top w:val="nil"/>
              <w:left w:val="nil"/>
              <w:bottom w:val="nil"/>
              <w:right w:val="nil"/>
            </w:tcBorders>
            <w:shd w:val="clear" w:color="000000" w:fill="FFFFFF"/>
            <w:noWrap/>
            <w:hideMark/>
          </w:tcPr>
          <w:p w14:paraId="0C9B9C0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1,985</w:t>
            </w:r>
          </w:p>
        </w:tc>
      </w:tr>
      <w:tr w:rsidR="00B214A5" w:rsidRPr="00B214A5" w14:paraId="2F6A3EB3" w14:textId="77777777" w:rsidTr="001668BA">
        <w:trPr>
          <w:divId w:val="1647733338"/>
          <w:trHeight w:val="465"/>
          <w:jc w:val="center"/>
        </w:trPr>
        <w:tc>
          <w:tcPr>
            <w:tcW w:w="2380" w:type="dxa"/>
            <w:tcBorders>
              <w:top w:val="nil"/>
              <w:left w:val="nil"/>
              <w:bottom w:val="nil"/>
              <w:right w:val="nil"/>
            </w:tcBorders>
            <w:shd w:val="clear" w:color="000000" w:fill="FFFFFF"/>
            <w:hideMark/>
          </w:tcPr>
          <w:p w14:paraId="2267D5B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Republic of Korea (Copyright/Professional Officers)</w:t>
            </w:r>
          </w:p>
        </w:tc>
        <w:tc>
          <w:tcPr>
            <w:tcW w:w="1120" w:type="dxa"/>
            <w:tcBorders>
              <w:top w:val="nil"/>
              <w:left w:val="nil"/>
              <w:bottom w:val="nil"/>
              <w:right w:val="nil"/>
            </w:tcBorders>
            <w:shd w:val="clear" w:color="000000" w:fill="FFFFFF"/>
            <w:noWrap/>
            <w:hideMark/>
          </w:tcPr>
          <w:p w14:paraId="047E69C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175</w:t>
            </w:r>
          </w:p>
        </w:tc>
        <w:tc>
          <w:tcPr>
            <w:tcW w:w="1120" w:type="dxa"/>
            <w:tcBorders>
              <w:top w:val="nil"/>
              <w:left w:val="nil"/>
              <w:bottom w:val="nil"/>
              <w:right w:val="nil"/>
            </w:tcBorders>
            <w:shd w:val="clear" w:color="000000" w:fill="FFFFFF"/>
            <w:noWrap/>
            <w:hideMark/>
          </w:tcPr>
          <w:p w14:paraId="00ADD0A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239</w:t>
            </w:r>
          </w:p>
        </w:tc>
        <w:tc>
          <w:tcPr>
            <w:tcW w:w="1120" w:type="dxa"/>
            <w:tcBorders>
              <w:top w:val="nil"/>
              <w:left w:val="nil"/>
              <w:bottom w:val="nil"/>
              <w:right w:val="nil"/>
            </w:tcBorders>
            <w:shd w:val="clear" w:color="000000" w:fill="FFFFFF"/>
            <w:noWrap/>
            <w:hideMark/>
          </w:tcPr>
          <w:p w14:paraId="2729DE0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208</w:t>
            </w:r>
          </w:p>
        </w:tc>
        <w:tc>
          <w:tcPr>
            <w:tcW w:w="1120" w:type="dxa"/>
            <w:tcBorders>
              <w:top w:val="nil"/>
              <w:left w:val="nil"/>
              <w:bottom w:val="nil"/>
              <w:right w:val="nil"/>
            </w:tcBorders>
            <w:shd w:val="clear" w:color="000000" w:fill="FFFFFF"/>
            <w:noWrap/>
            <w:hideMark/>
          </w:tcPr>
          <w:p w14:paraId="0C3759B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206</w:t>
            </w:r>
          </w:p>
        </w:tc>
        <w:tc>
          <w:tcPr>
            <w:tcW w:w="1120" w:type="dxa"/>
            <w:tcBorders>
              <w:top w:val="nil"/>
              <w:left w:val="nil"/>
              <w:bottom w:val="nil"/>
              <w:right w:val="nil"/>
            </w:tcBorders>
            <w:shd w:val="clear" w:color="000000" w:fill="FFFFFF"/>
            <w:noWrap/>
            <w:hideMark/>
          </w:tcPr>
          <w:p w14:paraId="427A403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478</w:t>
            </w:r>
          </w:p>
        </w:tc>
        <w:tc>
          <w:tcPr>
            <w:tcW w:w="1360" w:type="dxa"/>
            <w:tcBorders>
              <w:top w:val="nil"/>
              <w:left w:val="nil"/>
              <w:bottom w:val="nil"/>
              <w:right w:val="nil"/>
            </w:tcBorders>
            <w:shd w:val="clear" w:color="000000" w:fill="FFFFFF"/>
            <w:noWrap/>
            <w:hideMark/>
          </w:tcPr>
          <w:p w14:paraId="66FDBDE1" w14:textId="77777777" w:rsidR="00B214A5" w:rsidRPr="00B214A5" w:rsidRDefault="00B214A5" w:rsidP="00B214A5">
            <w:pPr>
              <w:spacing w:after="0" w:line="240" w:lineRule="auto"/>
              <w:jc w:val="right"/>
              <w:rPr>
                <w:rFonts w:ascii="Arial Narrow" w:eastAsia="Times New Roman" w:hAnsi="Arial Narrow" w:cs="Times New Roman"/>
                <w:color w:val="000000"/>
                <w:sz w:val="16"/>
                <w:szCs w:val="16"/>
                <w:lang w:val="en-US"/>
              </w:rPr>
            </w:pPr>
            <w:r w:rsidRPr="00B214A5">
              <w:rPr>
                <w:rFonts w:ascii="Arial Narrow" w:eastAsia="Times New Roman" w:hAnsi="Arial Narrow" w:cs="Times New Roman"/>
                <w:color w:val="000000"/>
                <w:sz w:val="16"/>
                <w:szCs w:val="16"/>
                <w:lang w:val="en-US"/>
              </w:rPr>
              <w:t>684</w:t>
            </w:r>
          </w:p>
        </w:tc>
      </w:tr>
      <w:tr w:rsidR="00B214A5" w:rsidRPr="00B214A5" w14:paraId="54F64446" w14:textId="77777777" w:rsidTr="001668BA">
        <w:trPr>
          <w:divId w:val="1647733338"/>
          <w:trHeight w:val="360"/>
          <w:jc w:val="center"/>
        </w:trPr>
        <w:tc>
          <w:tcPr>
            <w:tcW w:w="2380" w:type="dxa"/>
            <w:tcBorders>
              <w:top w:val="nil"/>
              <w:left w:val="nil"/>
              <w:bottom w:val="nil"/>
              <w:right w:val="nil"/>
            </w:tcBorders>
            <w:shd w:val="clear" w:color="000000" w:fill="FFFFFF"/>
            <w:hideMark/>
          </w:tcPr>
          <w:p w14:paraId="19F42A54"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WIPO for Creators</w:t>
            </w:r>
          </w:p>
        </w:tc>
        <w:tc>
          <w:tcPr>
            <w:tcW w:w="1120" w:type="dxa"/>
            <w:tcBorders>
              <w:top w:val="nil"/>
              <w:left w:val="nil"/>
              <w:bottom w:val="nil"/>
              <w:right w:val="nil"/>
            </w:tcBorders>
            <w:shd w:val="clear" w:color="000000" w:fill="FFFFFF"/>
            <w:noWrap/>
            <w:hideMark/>
          </w:tcPr>
          <w:p w14:paraId="47088F1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105</w:t>
            </w:r>
          </w:p>
        </w:tc>
        <w:tc>
          <w:tcPr>
            <w:tcW w:w="1120" w:type="dxa"/>
            <w:tcBorders>
              <w:top w:val="nil"/>
              <w:left w:val="nil"/>
              <w:bottom w:val="nil"/>
              <w:right w:val="nil"/>
            </w:tcBorders>
            <w:shd w:val="clear" w:color="000000" w:fill="FFFFFF"/>
            <w:noWrap/>
            <w:hideMark/>
          </w:tcPr>
          <w:p w14:paraId="2E653BA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27</w:t>
            </w:r>
          </w:p>
        </w:tc>
        <w:tc>
          <w:tcPr>
            <w:tcW w:w="1120" w:type="dxa"/>
            <w:tcBorders>
              <w:top w:val="nil"/>
              <w:left w:val="nil"/>
              <w:bottom w:val="nil"/>
              <w:right w:val="nil"/>
            </w:tcBorders>
            <w:shd w:val="clear" w:color="000000" w:fill="FFFFFF"/>
            <w:noWrap/>
            <w:hideMark/>
          </w:tcPr>
          <w:p w14:paraId="7CADF2D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38493FE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132</w:t>
            </w:r>
          </w:p>
        </w:tc>
        <w:tc>
          <w:tcPr>
            <w:tcW w:w="1120" w:type="dxa"/>
            <w:tcBorders>
              <w:top w:val="nil"/>
              <w:left w:val="nil"/>
              <w:bottom w:val="nil"/>
              <w:right w:val="nil"/>
            </w:tcBorders>
            <w:shd w:val="clear" w:color="000000" w:fill="FFFFFF"/>
            <w:noWrap/>
            <w:hideMark/>
          </w:tcPr>
          <w:p w14:paraId="6D24494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54</w:t>
            </w:r>
          </w:p>
        </w:tc>
        <w:tc>
          <w:tcPr>
            <w:tcW w:w="1360" w:type="dxa"/>
            <w:tcBorders>
              <w:top w:val="nil"/>
              <w:left w:val="nil"/>
              <w:bottom w:val="nil"/>
              <w:right w:val="nil"/>
            </w:tcBorders>
            <w:shd w:val="clear" w:color="000000" w:fill="FFFFFF"/>
            <w:noWrap/>
            <w:hideMark/>
          </w:tcPr>
          <w:p w14:paraId="241BAE31" w14:textId="77777777" w:rsidR="00B214A5" w:rsidRPr="00B214A5" w:rsidRDefault="00B214A5" w:rsidP="00B214A5">
            <w:pPr>
              <w:spacing w:after="0" w:line="240" w:lineRule="auto"/>
              <w:jc w:val="right"/>
              <w:rPr>
                <w:rFonts w:ascii="Arial Narrow" w:eastAsia="Times New Roman" w:hAnsi="Arial Narrow" w:cs="Times New Roman"/>
                <w:color w:val="000000"/>
                <w:sz w:val="16"/>
                <w:szCs w:val="16"/>
                <w:lang w:val="en-US"/>
              </w:rPr>
            </w:pPr>
            <w:r w:rsidRPr="00B214A5">
              <w:rPr>
                <w:rFonts w:ascii="Arial Narrow" w:eastAsia="Times New Roman" w:hAnsi="Arial Narrow" w:cs="Times New Roman"/>
                <w:color w:val="000000"/>
                <w:sz w:val="16"/>
                <w:szCs w:val="16"/>
                <w:lang w:val="en-US"/>
              </w:rPr>
              <w:t>187</w:t>
            </w:r>
          </w:p>
        </w:tc>
      </w:tr>
      <w:tr w:rsidR="00B214A5" w:rsidRPr="00B214A5" w14:paraId="3D30A1FE" w14:textId="77777777" w:rsidTr="001668BA">
        <w:trPr>
          <w:divId w:val="1647733338"/>
          <w:trHeight w:val="285"/>
          <w:jc w:val="center"/>
        </w:trPr>
        <w:tc>
          <w:tcPr>
            <w:tcW w:w="2380" w:type="dxa"/>
            <w:tcBorders>
              <w:top w:val="single" w:sz="4" w:space="0" w:color="BFBFBF"/>
              <w:left w:val="nil"/>
              <w:bottom w:val="single" w:sz="4" w:space="0" w:color="BFBFBF"/>
              <w:right w:val="nil"/>
            </w:tcBorders>
            <w:shd w:val="clear" w:color="000000" w:fill="FFFFFF"/>
            <w:vAlign w:val="center"/>
            <w:hideMark/>
          </w:tcPr>
          <w:p w14:paraId="06A60D4C" w14:textId="77777777" w:rsidR="00B214A5" w:rsidRPr="00B214A5" w:rsidRDefault="00B214A5" w:rsidP="00B214A5">
            <w:pPr>
              <w:spacing w:after="0" w:line="240" w:lineRule="auto"/>
              <w:ind w:firstLineChars="200" w:firstLine="320"/>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w:t>
            </w:r>
          </w:p>
        </w:tc>
        <w:tc>
          <w:tcPr>
            <w:tcW w:w="1120" w:type="dxa"/>
            <w:tcBorders>
              <w:top w:val="single" w:sz="4" w:space="0" w:color="BFBFBF"/>
              <w:left w:val="nil"/>
              <w:bottom w:val="single" w:sz="4" w:space="0" w:color="BFBFBF"/>
              <w:right w:val="nil"/>
            </w:tcBorders>
            <w:shd w:val="clear" w:color="000000" w:fill="FFFFFF"/>
            <w:vAlign w:val="center"/>
            <w:hideMark/>
          </w:tcPr>
          <w:p w14:paraId="2B58C43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2,746</w:t>
            </w:r>
          </w:p>
        </w:tc>
        <w:tc>
          <w:tcPr>
            <w:tcW w:w="1120" w:type="dxa"/>
            <w:tcBorders>
              <w:top w:val="single" w:sz="4" w:space="0" w:color="BFBFBF"/>
              <w:left w:val="nil"/>
              <w:bottom w:val="single" w:sz="4" w:space="0" w:color="BFBFBF"/>
              <w:right w:val="nil"/>
            </w:tcBorders>
            <w:shd w:val="clear" w:color="000000" w:fill="FFFFFF"/>
            <w:vAlign w:val="center"/>
            <w:hideMark/>
          </w:tcPr>
          <w:p w14:paraId="076D821A"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1,057</w:t>
            </w:r>
          </w:p>
        </w:tc>
        <w:tc>
          <w:tcPr>
            <w:tcW w:w="1120" w:type="dxa"/>
            <w:tcBorders>
              <w:top w:val="single" w:sz="4" w:space="0" w:color="BFBFBF"/>
              <w:left w:val="nil"/>
              <w:bottom w:val="single" w:sz="4" w:space="0" w:color="BFBFBF"/>
              <w:right w:val="nil"/>
            </w:tcBorders>
            <w:shd w:val="clear" w:color="000000" w:fill="FFFFFF"/>
            <w:vAlign w:val="center"/>
            <w:hideMark/>
          </w:tcPr>
          <w:p w14:paraId="0F24D16D"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705</w:t>
            </w:r>
          </w:p>
        </w:tc>
        <w:tc>
          <w:tcPr>
            <w:tcW w:w="1120" w:type="dxa"/>
            <w:tcBorders>
              <w:top w:val="single" w:sz="4" w:space="0" w:color="BFBFBF"/>
              <w:left w:val="nil"/>
              <w:bottom w:val="single" w:sz="4" w:space="0" w:color="BFBFBF"/>
              <w:right w:val="nil"/>
            </w:tcBorders>
            <w:shd w:val="clear" w:color="000000" w:fill="FFFFFF"/>
            <w:vAlign w:val="center"/>
            <w:hideMark/>
          </w:tcPr>
          <w:p w14:paraId="1282FBF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3,098</w:t>
            </w:r>
          </w:p>
        </w:tc>
        <w:tc>
          <w:tcPr>
            <w:tcW w:w="1120" w:type="dxa"/>
            <w:tcBorders>
              <w:top w:val="single" w:sz="4" w:space="0" w:color="BFBFBF"/>
              <w:left w:val="nil"/>
              <w:bottom w:val="single" w:sz="4" w:space="0" w:color="BFBFBF"/>
              <w:right w:val="nil"/>
            </w:tcBorders>
            <w:shd w:val="clear" w:color="000000" w:fill="FFFFFF"/>
            <w:vAlign w:val="center"/>
            <w:hideMark/>
          </w:tcPr>
          <w:p w14:paraId="460A1E5B"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2,113</w:t>
            </w:r>
          </w:p>
        </w:tc>
        <w:tc>
          <w:tcPr>
            <w:tcW w:w="1360" w:type="dxa"/>
            <w:tcBorders>
              <w:top w:val="single" w:sz="4" w:space="0" w:color="BFBFBF"/>
              <w:left w:val="nil"/>
              <w:bottom w:val="single" w:sz="4" w:space="0" w:color="BFBFBF"/>
              <w:right w:val="nil"/>
            </w:tcBorders>
            <w:shd w:val="clear" w:color="000000" w:fill="FFFFFF"/>
            <w:vAlign w:val="center"/>
            <w:hideMark/>
          </w:tcPr>
          <w:p w14:paraId="0D3B762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5,211</w:t>
            </w:r>
          </w:p>
        </w:tc>
      </w:tr>
      <w:tr w:rsidR="00B214A5" w:rsidRPr="00B214A5" w14:paraId="08E35509" w14:textId="77777777" w:rsidTr="001668BA">
        <w:trPr>
          <w:divId w:val="1647733338"/>
          <w:trHeight w:val="105"/>
          <w:jc w:val="center"/>
        </w:trPr>
        <w:tc>
          <w:tcPr>
            <w:tcW w:w="2380" w:type="dxa"/>
            <w:tcBorders>
              <w:top w:val="nil"/>
              <w:left w:val="nil"/>
              <w:bottom w:val="nil"/>
              <w:right w:val="nil"/>
            </w:tcBorders>
            <w:shd w:val="clear" w:color="auto" w:fill="auto"/>
            <w:noWrap/>
            <w:vAlign w:val="bottom"/>
            <w:hideMark/>
          </w:tcPr>
          <w:p w14:paraId="0DC34F5D"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noWrap/>
            <w:vAlign w:val="bottom"/>
            <w:hideMark/>
          </w:tcPr>
          <w:p w14:paraId="18C85E3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59D2CC4D"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06F496E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704D786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6710DD8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0D0EB93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bl>
    <w:p w14:paraId="2E7673C0" w14:textId="587C372D" w:rsidR="00A57931" w:rsidRPr="00CB1AF7" w:rsidRDefault="00A57931" w:rsidP="00CB1AF7"/>
    <w:p w14:paraId="6BADC0C0" w14:textId="69EBB29C" w:rsidR="00490C7C" w:rsidRPr="00D350B5" w:rsidRDefault="00972877" w:rsidP="005320C7">
      <w:pPr>
        <w:pStyle w:val="SectorTitle"/>
      </w:pPr>
      <w:bookmarkStart w:id="26" w:name="_Toc131175986"/>
      <w:r w:rsidRPr="00972877">
        <w:t>Regional and National Development</w:t>
      </w:r>
      <w:bookmarkEnd w:id="26"/>
      <w:r w:rsidRPr="00972877">
        <w:t> </w:t>
      </w:r>
    </w:p>
    <w:p w14:paraId="6A4B4323" w14:textId="4CFA9E25" w:rsidR="006C7C9D" w:rsidRPr="007151FA" w:rsidRDefault="006C7C9D" w:rsidP="007151FA">
      <w:pPr>
        <w:tabs>
          <w:tab w:val="left" w:pos="2670"/>
        </w:tabs>
        <w:rPr>
          <w:lang w:val="en-US"/>
        </w:rPr>
      </w:pPr>
      <w:r>
        <w:rPr>
          <w:noProof/>
          <w:lang w:val="en-US"/>
        </w:rPr>
        <w:drawing>
          <wp:inline distT="0" distB="0" distL="0" distR="0" wp14:anchorId="5B2BC946" wp14:editId="7CD96D33">
            <wp:extent cx="2576195" cy="73152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76195" cy="731520"/>
                    </a:xfrm>
                    <a:prstGeom prst="rect">
                      <a:avLst/>
                    </a:prstGeom>
                    <a:noFill/>
                  </pic:spPr>
                </pic:pic>
              </a:graphicData>
            </a:graphic>
          </wp:inline>
        </w:drawing>
      </w:r>
    </w:p>
    <w:p w14:paraId="5365EB4F" w14:textId="77777777" w:rsidR="007151FA" w:rsidRDefault="007151FA" w:rsidP="007151FA">
      <w:pPr>
        <w:pStyle w:val="Heading1NoNumb"/>
        <w:rPr>
          <w:lang w:val="en-US"/>
        </w:rPr>
      </w:pPr>
      <w:r>
        <w:rPr>
          <w:rFonts w:eastAsia="SimHei" w:cs="Arial"/>
          <w:noProof/>
          <w:szCs w:val="20"/>
          <w:lang w:val="en-US"/>
        </w:rPr>
        <w:drawing>
          <wp:anchor distT="0" distB="0" distL="114300" distR="114300" simplePos="0" relativeHeight="251831808" behindDoc="0" locked="0" layoutInCell="1" allowOverlap="1" wp14:anchorId="70FD642F" wp14:editId="43F95A55">
            <wp:simplePos x="0" y="0"/>
            <wp:positionH relativeFrom="margin">
              <wp:align>right</wp:align>
            </wp:positionH>
            <wp:positionV relativeFrom="paragraph">
              <wp:posOffset>480060</wp:posOffset>
            </wp:positionV>
            <wp:extent cx="1439545" cy="2286000"/>
            <wp:effectExtent l="0" t="0" r="8255" b="0"/>
            <wp:wrapSquare wrapText="bothSides"/>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39545" cy="2286000"/>
                    </a:xfrm>
                    <a:prstGeom prst="rect">
                      <a:avLst/>
                    </a:prstGeom>
                    <a:noFill/>
                  </pic:spPr>
                </pic:pic>
              </a:graphicData>
            </a:graphic>
          </wp:anchor>
        </w:drawing>
      </w:r>
      <w:r>
        <w:rPr>
          <w:lang w:val="en-US"/>
        </w:rPr>
        <w:t>Implementation Strategies</w:t>
      </w:r>
    </w:p>
    <w:p w14:paraId="080125B9" w14:textId="2A697DD0" w:rsidR="007151FA" w:rsidRPr="000612C7" w:rsidRDefault="007151FA" w:rsidP="007151FA">
      <w:pPr>
        <w:spacing w:line="240" w:lineRule="auto"/>
        <w:rPr>
          <w:rFonts w:eastAsia="SimHei" w:cs="Arial"/>
          <w:szCs w:val="20"/>
          <w:lang w:val="en-US" w:eastAsia="zh-CN"/>
        </w:rPr>
      </w:pPr>
      <w:r w:rsidRPr="000612C7">
        <w:rPr>
          <w:rFonts w:eastAsia="SimHei" w:cs="Arial"/>
          <w:szCs w:val="20"/>
          <w:lang w:val="en-US" w:eastAsia="zh-CN"/>
        </w:rPr>
        <w:t xml:space="preserve">The increasing importance of intellectual property for all Member States </w:t>
      </w:r>
      <w:r>
        <w:rPr>
          <w:rFonts w:eastAsia="SimHei" w:cs="Arial"/>
          <w:szCs w:val="20"/>
          <w:lang w:val="en-US" w:eastAsia="zh-CN"/>
        </w:rPr>
        <w:t xml:space="preserve">is </w:t>
      </w:r>
      <w:r w:rsidRPr="000612C7">
        <w:rPr>
          <w:rFonts w:eastAsia="SimHei" w:cs="Arial"/>
          <w:szCs w:val="20"/>
          <w:lang w:val="en-US" w:eastAsia="zh-CN"/>
        </w:rPr>
        <w:t xml:space="preserve">evidenced by </w:t>
      </w:r>
      <w:r>
        <w:rPr>
          <w:rFonts w:eastAsia="SimHei" w:cs="Arial"/>
          <w:szCs w:val="20"/>
          <w:lang w:val="en-US" w:eastAsia="zh-CN"/>
        </w:rPr>
        <w:t xml:space="preserve">the increasing demand WIPO sees for its </w:t>
      </w:r>
      <w:r w:rsidRPr="00494D0B">
        <w:rPr>
          <w:rFonts w:eastAsia="SimHei" w:cs="Arial"/>
          <w:szCs w:val="20"/>
          <w:lang w:val="en-US" w:eastAsia="zh-CN"/>
        </w:rPr>
        <w:t xml:space="preserve">services, products and assistance </w:t>
      </w:r>
      <w:r w:rsidR="00996A80">
        <w:rPr>
          <w:rFonts w:eastAsia="SimHei" w:cs="Arial"/>
          <w:szCs w:val="20"/>
          <w:lang w:val="en-US" w:eastAsia="zh-CN"/>
        </w:rPr>
        <w:t>from countries in all r</w:t>
      </w:r>
      <w:r>
        <w:rPr>
          <w:rFonts w:eastAsia="SimHei" w:cs="Arial"/>
          <w:szCs w:val="20"/>
          <w:lang w:val="en-US" w:eastAsia="zh-CN"/>
        </w:rPr>
        <w:t>egions</w:t>
      </w:r>
      <w:r w:rsidRPr="000612C7">
        <w:rPr>
          <w:rFonts w:eastAsia="SimHei" w:cs="Arial"/>
          <w:szCs w:val="20"/>
          <w:lang w:val="en-US" w:eastAsia="zh-CN"/>
        </w:rPr>
        <w:t xml:space="preserve">.  Even more so today, IP is for everyone irrespective of levels of development.  During the biennium, it is expected that this trend will only continue.  As it does so, opportunities </w:t>
      </w:r>
      <w:r>
        <w:rPr>
          <w:rFonts w:eastAsia="SimHei" w:cs="Arial"/>
          <w:szCs w:val="20"/>
          <w:lang w:val="en-US" w:eastAsia="zh-CN"/>
        </w:rPr>
        <w:t xml:space="preserve">are expected to arise </w:t>
      </w:r>
      <w:r w:rsidRPr="000612C7">
        <w:rPr>
          <w:rFonts w:eastAsia="SimHei" w:cs="Arial"/>
          <w:szCs w:val="20"/>
          <w:lang w:val="en-US" w:eastAsia="zh-CN"/>
        </w:rPr>
        <w:t>for greater cooperation between WIPO and Member States, not only w</w:t>
      </w:r>
      <w:r w:rsidR="00F82B5D">
        <w:rPr>
          <w:rFonts w:eastAsia="SimHei" w:cs="Arial"/>
          <w:szCs w:val="20"/>
          <w:lang w:val="en-US" w:eastAsia="zh-CN"/>
        </w:rPr>
        <w:t>ithin regions, but also across r</w:t>
      </w:r>
      <w:r w:rsidRPr="000612C7">
        <w:rPr>
          <w:rFonts w:eastAsia="SimHei" w:cs="Arial"/>
          <w:szCs w:val="20"/>
          <w:lang w:val="en-US" w:eastAsia="zh-CN"/>
        </w:rPr>
        <w:t>egions, on shared needs concerning the many aspect</w:t>
      </w:r>
      <w:r w:rsidR="0089750C">
        <w:rPr>
          <w:rFonts w:eastAsia="SimHei" w:cs="Arial"/>
          <w:szCs w:val="20"/>
          <w:lang w:val="en-US" w:eastAsia="zh-CN"/>
        </w:rPr>
        <w:t>s</w:t>
      </w:r>
      <w:r w:rsidRPr="000612C7">
        <w:rPr>
          <w:rFonts w:eastAsia="SimHei" w:cs="Arial"/>
          <w:szCs w:val="20"/>
          <w:lang w:val="en-US" w:eastAsia="zh-CN"/>
        </w:rPr>
        <w:t xml:space="preserve"> </w:t>
      </w:r>
      <w:r>
        <w:rPr>
          <w:rFonts w:eastAsia="SimHei" w:cs="Arial"/>
          <w:szCs w:val="20"/>
          <w:lang w:val="en-US" w:eastAsia="zh-CN"/>
        </w:rPr>
        <w:t xml:space="preserve">of </w:t>
      </w:r>
      <w:r w:rsidRPr="000612C7">
        <w:rPr>
          <w:rFonts w:eastAsia="SimHei" w:cs="Arial"/>
          <w:szCs w:val="20"/>
          <w:lang w:val="en-US" w:eastAsia="zh-CN"/>
        </w:rPr>
        <w:t>innovation and creativity.  This will place a prem</w:t>
      </w:r>
      <w:r>
        <w:rPr>
          <w:rFonts w:eastAsia="SimHei" w:cs="Arial"/>
          <w:szCs w:val="20"/>
          <w:lang w:val="en-US" w:eastAsia="zh-CN"/>
        </w:rPr>
        <w:t>ium on the ability to identify and cooperate with</w:t>
      </w:r>
      <w:r w:rsidRPr="000612C7">
        <w:rPr>
          <w:rFonts w:eastAsia="SimHei" w:cs="Arial"/>
          <w:szCs w:val="20"/>
          <w:lang w:val="en-US" w:eastAsia="zh-CN"/>
        </w:rPr>
        <w:t xml:space="preserve"> coalitions of interest among developing and least developed countries as well as countries with economies in transition and developed countries.</w:t>
      </w:r>
    </w:p>
    <w:p w14:paraId="2F10CC87" w14:textId="6A698152" w:rsidR="007151FA" w:rsidRPr="000612C7" w:rsidRDefault="007151FA" w:rsidP="007151FA">
      <w:pPr>
        <w:spacing w:line="240" w:lineRule="auto"/>
        <w:rPr>
          <w:rFonts w:eastAsia="SimHei" w:cs="Arial"/>
          <w:szCs w:val="20"/>
          <w:lang w:val="en-US" w:eastAsia="zh-CN"/>
        </w:rPr>
      </w:pPr>
      <w:r w:rsidRPr="000612C7">
        <w:rPr>
          <w:rFonts w:eastAsia="SimHei" w:cs="Arial"/>
          <w:szCs w:val="20"/>
          <w:lang w:val="en-US" w:eastAsia="zh-CN"/>
        </w:rPr>
        <w:t>At the same time as there is a broadeni</w:t>
      </w:r>
      <w:r>
        <w:rPr>
          <w:rFonts w:eastAsia="SimHei" w:cs="Arial"/>
          <w:szCs w:val="20"/>
          <w:lang w:val="en-US" w:eastAsia="zh-CN"/>
        </w:rPr>
        <w:t>ng of avenues for cooperation, “</w:t>
      </w:r>
      <w:r w:rsidRPr="000612C7">
        <w:rPr>
          <w:rFonts w:eastAsia="SimHei" w:cs="Arial"/>
          <w:szCs w:val="20"/>
          <w:lang w:val="en-US" w:eastAsia="zh-CN"/>
        </w:rPr>
        <w:t>IP for everyone</w:t>
      </w:r>
      <w:r>
        <w:rPr>
          <w:rFonts w:eastAsia="SimHei" w:cs="Arial"/>
          <w:szCs w:val="20"/>
          <w:lang w:val="en-US" w:eastAsia="zh-CN"/>
        </w:rPr>
        <w:t>”</w:t>
      </w:r>
      <w:r w:rsidRPr="000612C7">
        <w:rPr>
          <w:rFonts w:eastAsia="SimHei" w:cs="Arial"/>
          <w:szCs w:val="20"/>
          <w:lang w:val="en-US" w:eastAsia="zh-CN"/>
        </w:rPr>
        <w:t xml:space="preserve"> means that there is a growing appetite from a broader range of stakeholders to use IP – innovators, creators, businesses</w:t>
      </w:r>
      <w:r w:rsidR="00F82B5D">
        <w:rPr>
          <w:rFonts w:eastAsia="SimHei" w:cs="Arial"/>
          <w:szCs w:val="20"/>
          <w:lang w:val="en-US" w:eastAsia="zh-CN"/>
        </w:rPr>
        <w:t>,</w:t>
      </w:r>
      <w:r w:rsidRPr="000612C7">
        <w:rPr>
          <w:rFonts w:eastAsia="SimHei" w:cs="Arial"/>
          <w:szCs w:val="20"/>
          <w:lang w:val="en-US" w:eastAsia="zh-CN"/>
        </w:rPr>
        <w:t xml:space="preserve"> including small and medium sized enterprises, women, youth, indigenous people and communities at large.  This trend is also expected to continue throughout the biennium.  It will require careful attention to identifying this diverse stakeholder base, understanding their needs and engaging with them in meaningful </w:t>
      </w:r>
      <w:r>
        <w:rPr>
          <w:rFonts w:eastAsia="SimHei" w:cs="Arial"/>
          <w:szCs w:val="20"/>
          <w:lang w:val="en-US" w:eastAsia="zh-CN"/>
        </w:rPr>
        <w:t>and concrete ways.</w:t>
      </w:r>
    </w:p>
    <w:p w14:paraId="328311DD" w14:textId="77777777" w:rsidR="007151FA" w:rsidRDefault="007151FA" w:rsidP="006A5670">
      <w:pPr>
        <w:rPr>
          <w:lang w:val="en-US" w:eastAsia="zh-CN"/>
        </w:rPr>
      </w:pPr>
      <w:r>
        <w:rPr>
          <w:lang w:val="en-US" w:eastAsia="zh-CN"/>
        </w:rPr>
        <w:t xml:space="preserve">Within this context, the Regional and National Development Sector is responsible for several aspects of WIPO’s work. </w:t>
      </w:r>
    </w:p>
    <w:p w14:paraId="69511550" w14:textId="77777777" w:rsidR="007151FA" w:rsidRDefault="007151FA" w:rsidP="006A5670">
      <w:pPr>
        <w:rPr>
          <w:lang w:val="en-US" w:eastAsia="zh-CN"/>
        </w:rPr>
      </w:pPr>
      <w:r>
        <w:rPr>
          <w:lang w:val="en-US" w:eastAsia="zh-CN"/>
        </w:rPr>
        <w:t xml:space="preserve">First, it leverages its unique knowledge of and engagement with Member States and regions to reinforce the more effective use of IP for growth and development.  It does this by connecting the expertise, services and tools that WIPO offers with the needs and priorities of our Member States and national and regional stakeholders, including through the WIPO Network of External Offices in Algeria, Brazil, China, Japan, Nigeria, the Russian Federation and Singapore.  </w:t>
      </w:r>
    </w:p>
    <w:p w14:paraId="66AB8995" w14:textId="77777777" w:rsidR="007151FA" w:rsidRDefault="007151FA" w:rsidP="00253B03">
      <w:pPr>
        <w:rPr>
          <w:lang w:val="en-US" w:eastAsia="zh-CN"/>
        </w:rPr>
      </w:pPr>
      <w:r>
        <w:rPr>
          <w:lang w:val="en-US" w:eastAsia="zh-CN"/>
        </w:rPr>
        <w:t>Second, as the custodian of the WIPO Development Agenda, the Sector fosters its effective implementation throughout WIPO and promotes its importance globally through practical means, placing development at the center of what we do.</w:t>
      </w:r>
    </w:p>
    <w:p w14:paraId="5DCA0C11" w14:textId="77777777" w:rsidR="007151FA" w:rsidRDefault="007151FA" w:rsidP="00253B03">
      <w:pPr>
        <w:rPr>
          <w:lang w:val="en-US" w:eastAsia="zh-CN"/>
        </w:rPr>
      </w:pPr>
      <w:r>
        <w:rPr>
          <w:lang w:val="en-US" w:eastAsia="zh-CN"/>
        </w:rPr>
        <w:t>Third, it fosters the development of balanced and effective IP, innovation and creative ecosystems in Member States through the provision of related advice and assistance on policy and strategy creation and implementation.</w:t>
      </w:r>
    </w:p>
    <w:p w14:paraId="2B3DDA71" w14:textId="77777777" w:rsidR="007151FA" w:rsidRDefault="007151FA" w:rsidP="00253B03">
      <w:pPr>
        <w:rPr>
          <w:lang w:val="en-US" w:eastAsia="zh-CN"/>
        </w:rPr>
      </w:pPr>
      <w:r>
        <w:rPr>
          <w:lang w:val="en-US" w:eastAsia="zh-CN"/>
        </w:rPr>
        <w:t>Fourth, it increases the IP knowledge and skills in Member States through cutting-edge programs designed and implemented by the WIPO Academy.</w:t>
      </w:r>
    </w:p>
    <w:p w14:paraId="7EF1FAF6" w14:textId="77777777" w:rsidR="007151FA" w:rsidRDefault="007151FA" w:rsidP="00253B03">
      <w:pPr>
        <w:rPr>
          <w:lang w:val="en-US" w:eastAsia="zh-CN"/>
        </w:rPr>
      </w:pPr>
      <w:r>
        <w:rPr>
          <w:lang w:val="en-US" w:eastAsia="zh-CN"/>
        </w:rPr>
        <w:t xml:space="preserve">The Regional and National Development Strategies are underpinned by enabling methodologies designed to maximize the impact of activities and mandate implementation.  </w:t>
      </w:r>
      <w:r w:rsidRPr="005F0AAB">
        <w:rPr>
          <w:lang w:val="en-US" w:eastAsia="zh-CN"/>
        </w:rPr>
        <w:t xml:space="preserve">Meaningful outcomes on the ground are achieved through an </w:t>
      </w:r>
      <w:r>
        <w:rPr>
          <w:lang w:val="en-US" w:eastAsia="zh-CN"/>
        </w:rPr>
        <w:t xml:space="preserve">acceleration of the shift from </w:t>
      </w:r>
      <w:r w:rsidRPr="003D0A30">
        <w:rPr>
          <w:lang w:val="en-US" w:eastAsia="zh-CN"/>
        </w:rPr>
        <w:t xml:space="preserve">stand-alone activities towards assistance under a project-based approach focused on impact on the ground </w:t>
      </w:r>
      <w:r>
        <w:rPr>
          <w:lang w:val="en-US" w:eastAsia="zh-CN"/>
        </w:rPr>
        <w:t xml:space="preserve">and underpinned by </w:t>
      </w:r>
      <w:r w:rsidRPr="005F0AAB">
        <w:rPr>
          <w:lang w:val="en-US" w:eastAsia="zh-CN"/>
        </w:rPr>
        <w:t>a resolute focus on monitoring and evaluation.</w:t>
      </w:r>
      <w:r>
        <w:rPr>
          <w:lang w:val="en-US" w:eastAsia="zh-CN"/>
        </w:rPr>
        <w:t xml:space="preserve">  </w:t>
      </w:r>
      <w:r w:rsidRPr="007103FD">
        <w:rPr>
          <w:lang w:val="en-US" w:eastAsia="zh-CN"/>
        </w:rPr>
        <w:t>To scale up the best practices and knowledge created through projects delivered at the local level, the Sector engage</w:t>
      </w:r>
      <w:r>
        <w:rPr>
          <w:lang w:val="en-US" w:eastAsia="zh-CN"/>
        </w:rPr>
        <w:t>s</w:t>
      </w:r>
      <w:r w:rsidRPr="007103FD">
        <w:rPr>
          <w:lang w:val="en-US" w:eastAsia="zh-CN"/>
        </w:rPr>
        <w:t xml:space="preserve"> key strategic partners and take</w:t>
      </w:r>
      <w:r>
        <w:rPr>
          <w:lang w:val="en-US" w:eastAsia="zh-CN"/>
        </w:rPr>
        <w:t>s</w:t>
      </w:r>
      <w:r w:rsidRPr="007103FD">
        <w:rPr>
          <w:lang w:val="en-US" w:eastAsia="zh-CN"/>
        </w:rPr>
        <w:t xml:space="preserve"> an inclusive approach, focusing on underserved stakeh</w:t>
      </w:r>
      <w:r>
        <w:rPr>
          <w:lang w:val="en-US" w:eastAsia="zh-CN"/>
        </w:rPr>
        <w:t>o</w:t>
      </w:r>
      <w:r w:rsidRPr="007103FD">
        <w:rPr>
          <w:lang w:val="en-US" w:eastAsia="zh-CN"/>
        </w:rPr>
        <w:t>lders such as youth, women, local communities and SMEs</w:t>
      </w:r>
      <w:r>
        <w:rPr>
          <w:lang w:val="en-US" w:eastAsia="zh-CN"/>
        </w:rPr>
        <w:t xml:space="preserve">. Gender equality perspectives are integrated into work across the Sector in support of inclusive IP ecosystems.  </w:t>
      </w:r>
      <w:r w:rsidRPr="005F0AAB">
        <w:rPr>
          <w:lang w:val="en-US" w:eastAsia="zh-CN"/>
        </w:rPr>
        <w:t>An enhanced focus on communicating what we are doing and achieving further augments transparency and builds buy in for the benefits that intellectual property can bring to the lives of people everywhere.</w:t>
      </w:r>
    </w:p>
    <w:p w14:paraId="2435AE5F" w14:textId="5DE1EC6B" w:rsidR="007151FA" w:rsidRPr="00396414" w:rsidRDefault="007151FA" w:rsidP="00253B03">
      <w:pPr>
        <w:rPr>
          <w:lang w:val="en-US" w:eastAsia="zh-CN"/>
        </w:rPr>
      </w:pPr>
      <w:r w:rsidRPr="00396414">
        <w:rPr>
          <w:lang w:val="en-US" w:eastAsia="zh-CN"/>
        </w:rPr>
        <w:t xml:space="preserve">There will be continued focus on support for Member States to assist their recovery from the pandemic. </w:t>
      </w:r>
      <w:r>
        <w:rPr>
          <w:lang w:val="en-US" w:eastAsia="zh-CN"/>
        </w:rPr>
        <w:t xml:space="preserve"> </w:t>
      </w:r>
      <w:r w:rsidR="0026419C" w:rsidRPr="00396414">
        <w:rPr>
          <w:lang w:val="en-US" w:eastAsia="zh-CN"/>
        </w:rPr>
        <w:t>Targeted</w:t>
      </w:r>
      <w:r w:rsidRPr="00396414">
        <w:rPr>
          <w:lang w:val="en-US" w:eastAsia="zh-CN"/>
        </w:rPr>
        <w:t xml:space="preserve"> and specific project-based activities will be defined, upon request and working closely with Member States to address needs, as countries and communities </w:t>
      </w:r>
      <w:r w:rsidR="00A55F0A">
        <w:rPr>
          <w:lang w:val="en-US" w:eastAsia="zh-CN"/>
        </w:rPr>
        <w:t>b</w:t>
      </w:r>
      <w:r w:rsidRPr="00396414">
        <w:rPr>
          <w:lang w:val="en-US" w:eastAsia="zh-CN"/>
        </w:rPr>
        <w:t xml:space="preserve">uild </w:t>
      </w:r>
      <w:r w:rsidR="00A55F0A">
        <w:rPr>
          <w:lang w:val="en-US" w:eastAsia="zh-CN"/>
        </w:rPr>
        <w:t>b</w:t>
      </w:r>
      <w:r w:rsidRPr="00396414">
        <w:rPr>
          <w:lang w:val="en-US" w:eastAsia="zh-CN"/>
        </w:rPr>
        <w:t>ack in the post-pandemic period.</w:t>
      </w:r>
    </w:p>
    <w:p w14:paraId="3A6F47DB" w14:textId="36207C64" w:rsidR="007151FA" w:rsidRPr="00CE7001" w:rsidRDefault="007151FA"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Gateway for our Member States and Other </w:t>
      </w:r>
      <w:r w:rsidR="00F82B5D" w:rsidRPr="00CE7001">
        <w:rPr>
          <w:rFonts w:eastAsia="Arial" w:cs="Times New Roman"/>
          <w:color w:val="005172"/>
          <w:sz w:val="22"/>
          <w:lang w:val="en-US"/>
        </w:rPr>
        <w:t>Stakeholders</w:t>
      </w:r>
    </w:p>
    <w:p w14:paraId="5A247220" w14:textId="55ABE577" w:rsidR="007151FA" w:rsidRDefault="007151FA" w:rsidP="00253B03">
      <w:pPr>
        <w:rPr>
          <w:lang w:val="en-US" w:eastAsia="zh-CN"/>
        </w:rPr>
      </w:pPr>
      <w:r>
        <w:rPr>
          <w:lang w:val="en-US" w:eastAsia="zh-CN"/>
        </w:rPr>
        <w:t>The Regional Divisions are the diplomatic, political and operational gateways to Member States and national and regional stakeholders.  They act as focal points for our cooperation in all its aspects.  Their thorough understanding of the specificities at the national and regional levels is an enabler and facilitator for the identification and delivery of required and needed technical assistance and skills and knowledge development.  In short, their knowledge, contacts and language skills are vital ingredients to everything that WIPO does in its Member States and at regional levels.  Thei</w:t>
      </w:r>
      <w:r w:rsidR="0089750C">
        <w:rPr>
          <w:lang w:val="en-US" w:eastAsia="zh-CN"/>
        </w:rPr>
        <w:t>r expertise and knowledge guide</w:t>
      </w:r>
      <w:r>
        <w:rPr>
          <w:lang w:val="en-US" w:eastAsia="zh-CN"/>
        </w:rPr>
        <w:t xml:space="preserve"> the Organization in achieving country and community-based cooperation through the identification of strategic partners, allowing us to better reach out to business</w:t>
      </w:r>
      <w:r w:rsidR="00F82B5D">
        <w:rPr>
          <w:lang w:val="en-US" w:eastAsia="zh-CN"/>
        </w:rPr>
        <w:t>es</w:t>
      </w:r>
      <w:r>
        <w:rPr>
          <w:lang w:val="en-US" w:eastAsia="zh-CN"/>
        </w:rPr>
        <w:t xml:space="preserve">, innovators, creators as well as women, youth, SMEs and communities.  </w:t>
      </w:r>
    </w:p>
    <w:p w14:paraId="433B2019" w14:textId="45F5F490" w:rsidR="007151FA" w:rsidRDefault="007151FA" w:rsidP="00253B03">
      <w:pPr>
        <w:rPr>
          <w:lang w:val="en-US" w:eastAsia="zh-CN"/>
        </w:rPr>
      </w:pPr>
      <w:r>
        <w:rPr>
          <w:lang w:val="en-US" w:eastAsia="zh-CN"/>
        </w:rPr>
        <w:t xml:space="preserve">As the gateway for all of the Organization’s 193 Member States, the Sector is uniquely positioned to foster synergies </w:t>
      </w:r>
      <w:r w:rsidR="00F82B5D">
        <w:rPr>
          <w:lang w:val="en-US" w:eastAsia="zh-CN"/>
        </w:rPr>
        <w:t>among the Member States across r</w:t>
      </w:r>
      <w:r>
        <w:rPr>
          <w:lang w:val="en-US" w:eastAsia="zh-CN"/>
        </w:rPr>
        <w:t>egions and including through targeted South-South cooperation initiatives and enhanced North-South cooperation.  Achievements in enhanced cross collaboration will be built upon during the biennium.</w:t>
      </w:r>
    </w:p>
    <w:p w14:paraId="4E4B3D31" w14:textId="77777777" w:rsidR="007151FA" w:rsidRDefault="007151FA" w:rsidP="00253B03">
      <w:pPr>
        <w:rPr>
          <w:lang w:val="en-US" w:eastAsia="zh-CN"/>
        </w:rPr>
      </w:pPr>
      <w:r>
        <w:rPr>
          <w:lang w:val="en-US" w:eastAsia="zh-CN"/>
        </w:rPr>
        <w:t xml:space="preserve">The External Offices are the extended arms of the Organization in the field.  Based on their detailed understanding of their areas of responsibility, the Offices catalyze what WIPO can offer, collaborating closely with WIPO Headquarters and connecting the Organization’s assistance, services and tools with evolving needs and priorities on the ground.  Their familiarity with local conditions, culture and languages enables them to quickly develop deep relationships with stakeholders, both public and private.  This provides the foundation for partnerships to scale up activities as well as the insight required to quickly respond to evolving changes in the environment and identify opportunities.  This value addition enhances mandate implementation in their areas of responsibility across the range of the Organization’s work.  At the same time, internal mechanisms ensure coherence and full integration of External Offices into the Organization’s work.  Emphasis will continue to be on ensuring that the External Office Network operates effectively and efficiently, adds value, and contributes to mandate implementation in a complementary way that avoids duplication and is sustainable.  </w:t>
      </w:r>
    </w:p>
    <w:p w14:paraId="37776009" w14:textId="77777777" w:rsidR="007151FA" w:rsidRDefault="007151FA" w:rsidP="00253B03">
      <w:pPr>
        <w:rPr>
          <w:lang w:val="en-US" w:eastAsia="zh-CN"/>
        </w:rPr>
      </w:pPr>
      <w:r>
        <w:rPr>
          <w:lang w:val="en-US" w:eastAsia="zh-CN"/>
        </w:rPr>
        <w:t xml:space="preserve">The Regional Divisions and External Offices are best placed to determine how WIPO’s work connects with the UN family at the country level.  They will play an important role in ensuring that the implementation of WIPO’s membership of the UNSDG focuses our intensified engagement with UN partners in these places and areas where we can have the greatest practical impact on the lives of people on the ground.  </w:t>
      </w:r>
      <w:r w:rsidRPr="00396414">
        <w:rPr>
          <w:lang w:val="en-US" w:eastAsia="zh-CN"/>
        </w:rPr>
        <w:t>In addition, the Sector will continue to work closely with Least Developed Countries (LDCs) in assi</w:t>
      </w:r>
      <w:r>
        <w:rPr>
          <w:lang w:val="en-US" w:eastAsia="zh-CN"/>
        </w:rPr>
        <w:t>s</w:t>
      </w:r>
      <w:r w:rsidRPr="00396414">
        <w:rPr>
          <w:lang w:val="en-US" w:eastAsia="zh-CN"/>
        </w:rPr>
        <w:t xml:space="preserve">ting those who are in the process of graduation through our </w:t>
      </w:r>
      <w:r>
        <w:rPr>
          <w:lang w:val="en-US" w:eastAsia="zh-CN"/>
        </w:rPr>
        <w:t xml:space="preserve">LDC Graduation </w:t>
      </w:r>
      <w:r w:rsidRPr="00396414">
        <w:rPr>
          <w:lang w:val="en-US" w:eastAsia="zh-CN"/>
        </w:rPr>
        <w:t>Support Package as a contribution to the Doha Programme of Action for 2022-2031.</w:t>
      </w:r>
    </w:p>
    <w:p w14:paraId="79AC0DEF" w14:textId="77777777" w:rsidR="007151FA" w:rsidRPr="00CE7001" w:rsidRDefault="007151FA"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Development Agenda Coordination</w:t>
      </w:r>
    </w:p>
    <w:p w14:paraId="6253973B" w14:textId="27CF2032" w:rsidR="006D2FC9" w:rsidRDefault="007151FA" w:rsidP="00844249">
      <w:pPr>
        <w:spacing w:after="120"/>
        <w:ind w:left="-5" w:right="14"/>
        <w:rPr>
          <w:lang w:val="en-US" w:eastAsia="zh-CN"/>
        </w:rPr>
      </w:pPr>
      <w:r>
        <w:rPr>
          <w:lang w:val="en-US" w:eastAsia="zh-CN"/>
        </w:rPr>
        <w:t xml:space="preserve">The Development Agenda </w:t>
      </w:r>
      <w:r w:rsidR="0089750C">
        <w:rPr>
          <w:lang w:val="en-US" w:eastAsia="zh-CN"/>
        </w:rPr>
        <w:t xml:space="preserve">(DA) </w:t>
      </w:r>
      <w:r>
        <w:rPr>
          <w:lang w:val="en-US" w:eastAsia="zh-CN"/>
        </w:rPr>
        <w:t>sits at the core of what WIPO does.  It establishes an ethos central to ensuring a</w:t>
      </w:r>
      <w:r w:rsidR="00D97431">
        <w:rPr>
          <w:lang w:val="en-US" w:eastAsia="zh-CN"/>
        </w:rPr>
        <w:t xml:space="preserve"> balanced</w:t>
      </w:r>
      <w:r w:rsidR="009B0455">
        <w:rPr>
          <w:lang w:val="en-US" w:eastAsia="zh-CN"/>
        </w:rPr>
        <w:t>,</w:t>
      </w:r>
      <w:r w:rsidR="00D97431">
        <w:rPr>
          <w:lang w:val="en-US" w:eastAsia="zh-CN"/>
        </w:rPr>
        <w:t xml:space="preserve"> effective</w:t>
      </w:r>
      <w:r w:rsidR="009B0455">
        <w:rPr>
          <w:lang w:val="en-US" w:eastAsia="zh-CN"/>
        </w:rPr>
        <w:t xml:space="preserve"> and inclusive</w:t>
      </w:r>
      <w:r w:rsidR="00D97431">
        <w:rPr>
          <w:lang w:val="en-US" w:eastAsia="zh-CN"/>
        </w:rPr>
        <w:t xml:space="preserve"> </w:t>
      </w:r>
      <w:r>
        <w:rPr>
          <w:lang w:val="en-US" w:eastAsia="zh-CN"/>
        </w:rPr>
        <w:t xml:space="preserve">IP system that benefits all.  The cross-organizational coordination of the DA drives forward the effective implementation and mainstreaming of the DA recommendations in </w:t>
      </w:r>
      <w:r w:rsidR="00D97431">
        <w:rPr>
          <w:lang w:val="en-US" w:eastAsia="zh-CN"/>
        </w:rPr>
        <w:t xml:space="preserve">various sectors and substantive programs </w:t>
      </w:r>
      <w:r>
        <w:rPr>
          <w:lang w:val="en-US" w:eastAsia="zh-CN"/>
        </w:rPr>
        <w:t xml:space="preserve">of the Organization </w:t>
      </w:r>
      <w:r w:rsidR="00D97431">
        <w:rPr>
          <w:lang w:val="en-US" w:eastAsia="zh-CN"/>
        </w:rPr>
        <w:t xml:space="preserve">and supports the </w:t>
      </w:r>
      <w:r>
        <w:rPr>
          <w:lang w:val="en-US" w:eastAsia="zh-CN"/>
        </w:rPr>
        <w:t xml:space="preserve">work of Member States in the Committee on Development and Intellectual Property (CDIP).  An important way this is done is through implementation of DA projects agreed upon by the CDIP with a focus on ensuring concrete outcomes and developmental impact.  Renewed emphasis will be on engaging with Member States and other stakeholders, both in Geneva and globally, to reinforce the DA’s </w:t>
      </w:r>
      <w:r w:rsidR="00D97431">
        <w:rPr>
          <w:lang w:val="en-US" w:eastAsia="zh-CN"/>
        </w:rPr>
        <w:t xml:space="preserve">effective implementation </w:t>
      </w:r>
      <w:r>
        <w:rPr>
          <w:lang w:val="en-US" w:eastAsia="zh-CN"/>
        </w:rPr>
        <w:t xml:space="preserve">through new </w:t>
      </w:r>
      <w:r w:rsidR="009B0455">
        <w:rPr>
          <w:lang w:val="en-US" w:eastAsia="zh-CN"/>
        </w:rPr>
        <w:t xml:space="preserve">demand and </w:t>
      </w:r>
      <w:r w:rsidR="00D97431">
        <w:rPr>
          <w:lang w:val="en-US" w:eastAsia="zh-CN"/>
        </w:rPr>
        <w:t xml:space="preserve">impact-driven </w:t>
      </w:r>
      <w:r>
        <w:rPr>
          <w:lang w:val="en-US" w:eastAsia="zh-CN"/>
        </w:rPr>
        <w:t xml:space="preserve">initiatives, projects and partnerships that propel the benefits of the DA and support the use of IP </w:t>
      </w:r>
      <w:r w:rsidR="009B0455">
        <w:rPr>
          <w:lang w:val="en-US" w:eastAsia="zh-CN"/>
        </w:rPr>
        <w:t xml:space="preserve">for growth </w:t>
      </w:r>
      <w:r>
        <w:rPr>
          <w:lang w:val="en-US" w:eastAsia="zh-CN"/>
        </w:rPr>
        <w:t>and developmen</w:t>
      </w:r>
      <w:r w:rsidRPr="006D2FC9">
        <w:rPr>
          <w:lang w:val="en-US" w:eastAsia="zh-CN"/>
        </w:rPr>
        <w:t>t.</w:t>
      </w:r>
      <w:r w:rsidR="00BA7631" w:rsidRPr="006D2FC9">
        <w:rPr>
          <w:lang w:val="en-US" w:eastAsia="zh-CN"/>
        </w:rPr>
        <w:t xml:space="preserve"> </w:t>
      </w:r>
    </w:p>
    <w:p w14:paraId="7CF4AF79" w14:textId="77777777" w:rsidR="007151FA" w:rsidRPr="00CE7001" w:rsidRDefault="007151FA"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Policy and Strategy Advice and Assistance </w:t>
      </w:r>
    </w:p>
    <w:p w14:paraId="51FCBD07" w14:textId="77777777" w:rsidR="007151FA" w:rsidRDefault="007151FA" w:rsidP="00253B03">
      <w:pPr>
        <w:rPr>
          <w:lang w:val="en-US" w:eastAsia="zh-CN"/>
        </w:rPr>
      </w:pPr>
      <w:r>
        <w:rPr>
          <w:lang w:val="en-US" w:eastAsia="zh-CN"/>
        </w:rPr>
        <w:t>The policy context in which IP exists plays an important role in its contributions to innovation and creativity.  These contexts differ across Member States and regions.  Regional and National Development initiatives will align to these contexts and provide advice and assistance on policy creation that is customized to each Member State and region.  A continuing area of work in this regard will be our support for the creation of national IP strategies, and with emphasis placed on ensuring buy-in and support for policy at the highest levels in Member States and regions, as well as on pragmatic and robust implementation leading to impact on the ground.</w:t>
      </w:r>
    </w:p>
    <w:p w14:paraId="67EC89FC" w14:textId="77777777" w:rsidR="007151FA" w:rsidRPr="00CE7001" w:rsidRDefault="007151FA"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Skills and Knowledge Building</w:t>
      </w:r>
    </w:p>
    <w:p w14:paraId="74BCB2B0" w14:textId="1F39FC67" w:rsidR="007151FA" w:rsidRPr="006F1BC2" w:rsidRDefault="007151FA" w:rsidP="006F1BC2">
      <w:r w:rsidRPr="001322C5">
        <w:t>The Regional and National Development work program is at the forefront of the Organization’s transition from classical capacity building to skills and knowledge building, with an emphasis placed on the accreditation and certification of skills. As the global leader in providing IP education and training, the Academy works across the Organization to identify partnerships and opportunities to expand its coverage and equip a broader range of IP users and stakeholders with the necessary skills to use the IP system effectively.</w:t>
      </w:r>
      <w:r>
        <w:t xml:space="preserve">  </w:t>
      </w:r>
      <w:r w:rsidRPr="001322C5">
        <w:t xml:space="preserve">The Academy will continue to make digital adaptations to its course delivery and training platforms and will develop hybrid and online tools to respond to the increasing demand for eLearning services. </w:t>
      </w:r>
      <w:r>
        <w:t xml:space="preserve"> </w:t>
      </w:r>
      <w:r w:rsidRPr="001322C5">
        <w:t>New digital learning methodologies will also provide opportunities for increased customization and the development of new and specialized programs such as executive and leadership courses for diplomats, judges, women scientists, youth and teachers.</w:t>
      </w:r>
      <w:r>
        <w:t xml:space="preserve"> </w:t>
      </w:r>
      <w:r w:rsidRPr="001322C5">
        <w:t xml:space="preserve"> The Academy will support Member States to adopt new and customized digital training technologies (EdTech), in parallel to deploying new technologies for acquisition of IP knowledge-badges, micro-learning and artificial intelligence. </w:t>
      </w:r>
      <w:r>
        <w:t xml:space="preserve"> </w:t>
      </w:r>
      <w:r w:rsidRPr="001322C5">
        <w:t xml:space="preserve">The Academy will scale up and strengthen its support for the establishment of new national IP Training Institutions (IPTIs) and will increase the number of Member States with national IPTIs. </w:t>
      </w:r>
      <w:r>
        <w:t xml:space="preserve"> </w:t>
      </w:r>
      <w:r w:rsidRPr="001322C5">
        <w:t xml:space="preserve">It will support the design of new and impactful training programs customized to key local economic sectors, and provide follow-up support to established IPTIs. </w:t>
      </w:r>
      <w:r>
        <w:t xml:space="preserve"> </w:t>
      </w:r>
      <w:r w:rsidRPr="001322C5">
        <w:t>The Academy will continue to deepen its cooperation with universities to offer quality IP higher education programs, summer schools and related activities, and will expand the offering of new joint Masters Programs.  New skills-based professional development programs will also be launched, with an emphasis on business management, entrepreneurship and innovation.</w:t>
      </w:r>
    </w:p>
    <w:p w14:paraId="062009FE" w14:textId="77777777" w:rsidR="007151FA" w:rsidRPr="006F1BC2" w:rsidRDefault="007151FA"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9800" w:type="dxa"/>
        <w:tblInd w:w="10" w:type="dxa"/>
        <w:tblCellMar>
          <w:left w:w="0" w:type="dxa"/>
          <w:right w:w="0" w:type="dxa"/>
        </w:tblCellMar>
        <w:tblLook w:val="04A0" w:firstRow="1" w:lastRow="0" w:firstColumn="1" w:lastColumn="0" w:noHBand="0" w:noVBand="1"/>
      </w:tblPr>
      <w:tblGrid>
        <w:gridCol w:w="2337"/>
        <w:gridCol w:w="2338"/>
        <w:gridCol w:w="3325"/>
        <w:gridCol w:w="1800"/>
      </w:tblGrid>
      <w:tr w:rsidR="007151FA" w:rsidRPr="00051F6C" w14:paraId="0EC41A0B" w14:textId="77777777" w:rsidTr="007151FA">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162C1916" w14:textId="77777777" w:rsidR="007151FA" w:rsidRPr="00AE724A" w:rsidRDefault="007151FA" w:rsidP="0044491C">
            <w:pPr>
              <w:autoSpaceDE w:val="0"/>
              <w:autoSpaceDN w:val="0"/>
              <w:spacing w:after="0" w:line="240" w:lineRule="auto"/>
              <w:outlineLvl w:val="2"/>
              <w:rPr>
                <w:rFonts w:ascii="Arial Narrow" w:eastAsia="Times New Roman" w:hAnsi="Arial Narrow" w:cs="Arial"/>
                <w:sz w:val="16"/>
                <w:szCs w:val="32"/>
                <w:lang w:val="en-US"/>
              </w:rPr>
            </w:pPr>
            <w:r w:rsidRPr="00AE724A">
              <w:rPr>
                <w:rFonts w:ascii="Arial Narrow" w:eastAsia="Times New Roman" w:hAnsi="Arial Narrow" w:cs="Arial"/>
                <w:b/>
                <w:bCs/>
                <w:sz w:val="16"/>
                <w:szCs w:val="14"/>
                <w:lang w:val="en-US"/>
              </w:rPr>
              <w:t xml:space="preserve">Expected Result </w:t>
            </w:r>
          </w:p>
        </w:tc>
        <w:tc>
          <w:tcPr>
            <w:tcW w:w="2338" w:type="dxa"/>
            <w:tcBorders>
              <w:left w:val="nil"/>
              <w:right w:val="nil"/>
            </w:tcBorders>
            <w:shd w:val="clear" w:color="auto" w:fill="C6CFD7" w:themeFill="accent3" w:themeFillTint="66"/>
            <w:tcMar>
              <w:top w:w="0" w:type="dxa"/>
              <w:left w:w="108" w:type="dxa"/>
              <w:bottom w:w="0" w:type="dxa"/>
              <w:right w:w="108" w:type="dxa"/>
            </w:tcMar>
            <w:hideMark/>
          </w:tcPr>
          <w:p w14:paraId="34CB233B" w14:textId="77777777" w:rsidR="007151FA" w:rsidRPr="00AE724A" w:rsidRDefault="007151FA" w:rsidP="0044491C">
            <w:pPr>
              <w:autoSpaceDE w:val="0"/>
              <w:autoSpaceDN w:val="0"/>
              <w:spacing w:after="0" w:line="240" w:lineRule="auto"/>
              <w:outlineLvl w:val="2"/>
              <w:rPr>
                <w:rFonts w:ascii="Arial Narrow" w:eastAsia="Times New Roman" w:hAnsi="Arial Narrow" w:cs="Arial"/>
                <w:sz w:val="16"/>
                <w:szCs w:val="32"/>
                <w:lang w:val="en-US"/>
              </w:rPr>
            </w:pPr>
            <w:r w:rsidRPr="00AE724A">
              <w:rPr>
                <w:rFonts w:ascii="Arial Narrow" w:eastAsia="Times New Roman" w:hAnsi="Arial Narrow" w:cs="Arial"/>
                <w:b/>
                <w:bCs/>
                <w:sz w:val="16"/>
                <w:szCs w:val="14"/>
                <w:lang w:val="en-US"/>
              </w:rPr>
              <w:t>Risk</w:t>
            </w:r>
          </w:p>
        </w:tc>
        <w:tc>
          <w:tcPr>
            <w:tcW w:w="3325" w:type="dxa"/>
            <w:tcBorders>
              <w:left w:val="nil"/>
              <w:right w:val="nil"/>
            </w:tcBorders>
            <w:shd w:val="clear" w:color="auto" w:fill="C6CFD7" w:themeFill="accent3" w:themeFillTint="66"/>
            <w:tcMar>
              <w:top w:w="0" w:type="dxa"/>
              <w:left w:w="108" w:type="dxa"/>
              <w:bottom w:w="0" w:type="dxa"/>
              <w:right w:w="108" w:type="dxa"/>
            </w:tcMar>
            <w:hideMark/>
          </w:tcPr>
          <w:p w14:paraId="701357C9" w14:textId="77777777" w:rsidR="007151FA" w:rsidRPr="00AE724A" w:rsidRDefault="007151FA" w:rsidP="0044491C">
            <w:pPr>
              <w:autoSpaceDE w:val="0"/>
              <w:autoSpaceDN w:val="0"/>
              <w:spacing w:after="0" w:line="240" w:lineRule="auto"/>
              <w:outlineLvl w:val="2"/>
              <w:rPr>
                <w:rFonts w:ascii="Arial Narrow" w:eastAsia="Times New Roman" w:hAnsi="Arial Narrow" w:cs="Arial"/>
                <w:sz w:val="16"/>
                <w:szCs w:val="32"/>
                <w:lang w:val="en-US"/>
              </w:rPr>
            </w:pPr>
            <w:r w:rsidRPr="00AE724A">
              <w:rPr>
                <w:rFonts w:ascii="Arial Narrow" w:eastAsia="Times New Roman" w:hAnsi="Arial Narrow" w:cs="Arial"/>
                <w:b/>
                <w:bCs/>
                <w:sz w:val="16"/>
                <w:szCs w:val="14"/>
                <w:lang w:val="en-US"/>
              </w:rPr>
              <w:t>Risk Response</w:t>
            </w:r>
          </w:p>
        </w:tc>
        <w:tc>
          <w:tcPr>
            <w:tcW w:w="1800" w:type="dxa"/>
            <w:tcBorders>
              <w:left w:val="nil"/>
            </w:tcBorders>
            <w:shd w:val="clear" w:color="auto" w:fill="C6CFD7" w:themeFill="accent3" w:themeFillTint="66"/>
            <w:tcMar>
              <w:top w:w="0" w:type="dxa"/>
              <w:left w:w="108" w:type="dxa"/>
              <w:bottom w:w="0" w:type="dxa"/>
              <w:right w:w="108" w:type="dxa"/>
            </w:tcMar>
            <w:hideMark/>
          </w:tcPr>
          <w:p w14:paraId="311BB38E" w14:textId="77777777" w:rsidR="007151FA" w:rsidRPr="00AE724A" w:rsidRDefault="007151FA" w:rsidP="0044491C">
            <w:pPr>
              <w:autoSpaceDE w:val="0"/>
              <w:autoSpaceDN w:val="0"/>
              <w:spacing w:after="0" w:line="240" w:lineRule="auto"/>
              <w:outlineLvl w:val="2"/>
              <w:rPr>
                <w:rFonts w:ascii="Arial Narrow" w:eastAsia="Times New Roman" w:hAnsi="Arial Narrow" w:cs="Arial"/>
                <w:sz w:val="16"/>
                <w:szCs w:val="32"/>
                <w:lang w:val="en-US"/>
              </w:rPr>
            </w:pPr>
            <w:r w:rsidRPr="00AE724A">
              <w:rPr>
                <w:rFonts w:ascii="Arial Narrow" w:eastAsia="Times New Roman" w:hAnsi="Arial Narrow" w:cs="Arial"/>
                <w:b/>
                <w:bCs/>
                <w:color w:val="000000"/>
                <w:sz w:val="16"/>
                <w:szCs w:val="14"/>
                <w:lang w:val="en-US"/>
              </w:rPr>
              <w:t xml:space="preserve">Target Residual Risk </w:t>
            </w:r>
          </w:p>
        </w:tc>
      </w:tr>
      <w:tr w:rsidR="007151FA" w:rsidRPr="00051F6C" w14:paraId="71093FE0" w14:textId="77777777" w:rsidTr="003A20EE">
        <w:trPr>
          <w:trHeight w:val="286"/>
        </w:trPr>
        <w:tc>
          <w:tcPr>
            <w:tcW w:w="980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7151FA" w:rsidRPr="00051F6C" w14:paraId="543206CC" w14:textId="77777777" w:rsidTr="0044491C">
              <w:trPr>
                <w:trHeight w:val="134"/>
              </w:trPr>
              <w:tc>
                <w:tcPr>
                  <w:tcW w:w="1129" w:type="dxa"/>
                  <w:shd w:val="clear" w:color="auto" w:fill="EDF0F3" w:themeFill="accent4" w:themeFillTint="33"/>
                  <w:tcMar>
                    <w:top w:w="0" w:type="dxa"/>
                    <w:left w:w="108" w:type="dxa"/>
                    <w:bottom w:w="0" w:type="dxa"/>
                    <w:right w:w="108" w:type="dxa"/>
                  </w:tcMar>
                  <w:hideMark/>
                </w:tcPr>
                <w:p w14:paraId="1427C81A" w14:textId="17FC3167" w:rsidR="007151FA" w:rsidRPr="00051F6C" w:rsidRDefault="007C5188" w:rsidP="0044491C">
                  <w:pPr>
                    <w:autoSpaceDE w:val="0"/>
                    <w:autoSpaceDN w:val="0"/>
                    <w:spacing w:after="0" w:line="240" w:lineRule="auto"/>
                    <w:ind w:hanging="360"/>
                    <w:jc w:val="right"/>
                    <w:rPr>
                      <w:rFonts w:ascii="Calibri" w:eastAsia="Calibri" w:hAnsi="Calibri" w:cs="Calibri"/>
                      <w:sz w:val="22"/>
                      <w:lang w:val="en-US"/>
                    </w:rPr>
                  </w:pPr>
                  <w:r>
                    <w:rPr>
                      <w:rFonts w:ascii="Arial Narrow" w:eastAsia="Calibri" w:hAnsi="Arial Narrow" w:cs="Calibri"/>
                      <w:i/>
                      <w:iCs/>
                      <w:color w:val="1F4E79"/>
                      <w:sz w:val="16"/>
                      <w:szCs w:val="16"/>
                      <w:lang w:val="en-US"/>
                    </w:rPr>
                    <w:t xml:space="preserve">Strategic Pillar 4 </w:t>
                  </w:r>
                  <w:r w:rsidR="007151FA" w:rsidRPr="00051F6C">
                    <w:rPr>
                      <w:rFonts w:ascii="Arial Narrow" w:eastAsia="Calibri" w:hAnsi="Arial Narrow" w:cs="Calibri"/>
                      <w:i/>
                      <w:iCs/>
                      <w:color w:val="1F4E79"/>
                      <w:sz w:val="16"/>
                      <w:szCs w:val="16"/>
                      <w:lang w:val="en-US"/>
                    </w:rPr>
                    <w:t xml:space="preserve">  </w:t>
                  </w:r>
                </w:p>
              </w:tc>
              <w:tc>
                <w:tcPr>
                  <w:tcW w:w="7571" w:type="dxa"/>
                  <w:shd w:val="clear" w:color="auto" w:fill="EDF0F3" w:themeFill="accent4" w:themeFillTint="33"/>
                  <w:tcMar>
                    <w:top w:w="0" w:type="dxa"/>
                    <w:left w:w="108" w:type="dxa"/>
                    <w:bottom w:w="0" w:type="dxa"/>
                    <w:right w:w="108" w:type="dxa"/>
                  </w:tcMar>
                  <w:hideMark/>
                </w:tcPr>
                <w:p w14:paraId="55345873" w14:textId="77777777" w:rsidR="007151FA" w:rsidRPr="00051F6C" w:rsidRDefault="007151FA" w:rsidP="0044491C">
                  <w:pPr>
                    <w:autoSpaceDE w:val="0"/>
                    <w:autoSpaceDN w:val="0"/>
                    <w:spacing w:after="0" w:line="240" w:lineRule="auto"/>
                    <w:rPr>
                      <w:rFonts w:ascii="Calibri" w:eastAsia="Calibri" w:hAnsi="Calibri" w:cs="Calibri"/>
                      <w:sz w:val="22"/>
                      <w:lang w:val="en-US"/>
                    </w:rPr>
                  </w:pPr>
                  <w:r w:rsidRPr="00051F6C">
                    <w:rPr>
                      <w:rFonts w:ascii="Arial Narrow" w:eastAsia="Calibri" w:hAnsi="Arial Narrow" w:cs="Calibri"/>
                      <w:i/>
                      <w:iCs/>
                      <w:color w:val="1F4E79"/>
                      <w:sz w:val="16"/>
                      <w:szCs w:val="16"/>
                      <w:lang w:val="en-US"/>
                    </w:rPr>
                    <w:t>Support governments, enterprises, communities and individuals to use intellectual property as a tool for growth and sustainable development</w:t>
                  </w:r>
                </w:p>
              </w:tc>
            </w:tr>
          </w:tbl>
          <w:p w14:paraId="1E3BA3D7" w14:textId="77777777" w:rsidR="007151FA" w:rsidRPr="00051F6C" w:rsidRDefault="007151FA" w:rsidP="0044491C">
            <w:pPr>
              <w:widowControl w:val="0"/>
              <w:autoSpaceDE w:val="0"/>
              <w:autoSpaceDN w:val="0"/>
              <w:spacing w:after="0" w:line="240" w:lineRule="auto"/>
              <w:rPr>
                <w:rFonts w:ascii="Arial Narrow" w:eastAsia="Times New Roman" w:hAnsi="Arial Narrow" w:cs="Arial Narrow"/>
                <w:sz w:val="20"/>
                <w:szCs w:val="20"/>
                <w:lang w:val="en-US" w:bidi="en-US"/>
              </w:rPr>
            </w:pPr>
          </w:p>
        </w:tc>
      </w:tr>
      <w:tr w:rsidR="007151FA" w:rsidRPr="00051F6C" w14:paraId="06335E79" w14:textId="77777777" w:rsidTr="003A20EE">
        <w:trPr>
          <w:trHeight w:val="1656"/>
        </w:trPr>
        <w:tc>
          <w:tcPr>
            <w:tcW w:w="2337" w:type="dxa"/>
            <w:tcBorders>
              <w:bottom w:val="single" w:sz="4" w:space="0" w:color="E2E7EB" w:themeColor="accent3" w:themeTint="33"/>
            </w:tcBorders>
            <w:shd w:val="clear" w:color="auto" w:fill="FFFFFF"/>
            <w:tcMar>
              <w:top w:w="0" w:type="dxa"/>
              <w:left w:w="108" w:type="dxa"/>
              <w:bottom w:w="0" w:type="dxa"/>
              <w:right w:w="108" w:type="dxa"/>
            </w:tcMar>
            <w:hideMark/>
          </w:tcPr>
          <w:p w14:paraId="0AE46D3D" w14:textId="551206D3" w:rsidR="007151FA" w:rsidRPr="00051F6C" w:rsidRDefault="007151FA" w:rsidP="0044491C">
            <w:pPr>
              <w:autoSpaceDE w:val="0"/>
              <w:autoSpaceDN w:val="0"/>
              <w:spacing w:before="89" w:after="0" w:line="240" w:lineRule="auto"/>
              <w:outlineLvl w:val="2"/>
              <w:rPr>
                <w:rFonts w:eastAsia="Times New Roman" w:cs="Arial"/>
                <w:sz w:val="32"/>
                <w:szCs w:val="32"/>
                <w:lang w:val="en-US"/>
              </w:rPr>
            </w:pPr>
            <w:r w:rsidRPr="0025327B">
              <w:rPr>
                <w:rFonts w:ascii="Arial Narrow" w:eastAsia="Times New Roman" w:hAnsi="Arial Narrow" w:cs="Arial"/>
                <w:color w:val="005171"/>
                <w:sz w:val="16"/>
                <w:szCs w:val="16"/>
                <w:lang w:val="en-US"/>
              </w:rPr>
              <w:t>4</w:t>
            </w:r>
            <w:r w:rsidRPr="0025327B">
              <w:rPr>
                <w:rFonts w:ascii="Arial Narrow" w:eastAsia="Times New Roman" w:hAnsi="Arial Narrow" w:cs="Arial"/>
                <w:sz w:val="16"/>
                <w:szCs w:val="16"/>
                <w:lang w:val="en-US"/>
              </w:rPr>
              <w:t>.</w:t>
            </w:r>
            <w:r w:rsidRPr="0025327B">
              <w:rPr>
                <w:rFonts w:ascii="Arial Narrow" w:eastAsia="Times New Roman" w:hAnsi="Arial Narrow" w:cs="Arial"/>
                <w:color w:val="005171"/>
                <w:sz w:val="16"/>
                <w:szCs w:val="16"/>
                <w:lang w:val="en-US"/>
              </w:rPr>
              <w:t>1</w:t>
            </w:r>
            <w:r w:rsidRPr="00051F6C">
              <w:rPr>
                <w:rFonts w:eastAsia="Times New Roman" w:cs="Arial"/>
                <w:color w:val="005171"/>
                <w:sz w:val="16"/>
                <w:szCs w:val="16"/>
                <w:lang w:val="en-US"/>
              </w:rPr>
              <w:t xml:space="preserve"> </w:t>
            </w:r>
            <w:r w:rsidR="006D0039">
              <w:rPr>
                <w:rFonts w:eastAsia="Times New Roman" w:cs="Arial"/>
                <w:color w:val="005171"/>
                <w:sz w:val="16"/>
                <w:szCs w:val="16"/>
                <w:lang w:val="en-US"/>
              </w:rPr>
              <w:t xml:space="preserve"> </w:t>
            </w:r>
            <w:r w:rsidR="001048EB">
              <w:rPr>
                <w:rFonts w:ascii="Arial Narrow" w:eastAsia="Times New Roman" w:hAnsi="Arial Narrow" w:cs="Arial"/>
                <w:sz w:val="16"/>
                <w:szCs w:val="16"/>
                <w:lang w:val="en-US"/>
              </w:rPr>
              <w:t>More effective use of a balanced IP system to support growth</w:t>
            </w:r>
            <w:r w:rsidR="00D779AD">
              <w:rPr>
                <w:rFonts w:ascii="Arial Narrow" w:eastAsia="Times New Roman" w:hAnsi="Arial Narrow" w:cs="Arial"/>
                <w:sz w:val="16"/>
                <w:szCs w:val="16"/>
                <w:lang w:val="en-US"/>
              </w:rPr>
              <w:t xml:space="preserve"> </w:t>
            </w:r>
            <w:r w:rsidRPr="00051F6C">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p w14:paraId="783F702F" w14:textId="77777777" w:rsidR="007151FA" w:rsidRPr="00051F6C" w:rsidRDefault="007151FA" w:rsidP="0044491C">
            <w:pPr>
              <w:autoSpaceDE w:val="0"/>
              <w:autoSpaceDN w:val="0"/>
              <w:spacing w:after="0" w:line="240" w:lineRule="auto"/>
              <w:outlineLvl w:val="2"/>
              <w:rPr>
                <w:rFonts w:eastAsia="Times New Roman" w:cs="Arial"/>
                <w:sz w:val="32"/>
                <w:szCs w:val="32"/>
                <w:lang w:val="en-US"/>
              </w:rPr>
            </w:pPr>
            <w:r w:rsidRPr="00051F6C">
              <w:rPr>
                <w:rFonts w:ascii="Arial Narrow" w:eastAsia="Times New Roman" w:hAnsi="Arial Narrow" w:cs="Arial"/>
                <w:b/>
                <w:bCs/>
                <w:i/>
                <w:iCs/>
                <w:sz w:val="16"/>
                <w:szCs w:val="16"/>
                <w:lang w:val="en-US"/>
              </w:rPr>
              <w:t>Low risk appetite</w:t>
            </w:r>
          </w:p>
        </w:tc>
        <w:tc>
          <w:tcPr>
            <w:tcW w:w="2338" w:type="dxa"/>
            <w:tcBorders>
              <w:bottom w:val="single" w:sz="4" w:space="0" w:color="E2E7EB" w:themeColor="accent3" w:themeTint="33"/>
            </w:tcBorders>
            <w:shd w:val="clear" w:color="auto" w:fill="FFFFFF"/>
            <w:tcMar>
              <w:top w:w="0" w:type="dxa"/>
              <w:left w:w="108" w:type="dxa"/>
              <w:bottom w:w="0" w:type="dxa"/>
              <w:right w:w="108" w:type="dxa"/>
            </w:tcMar>
            <w:hideMark/>
          </w:tcPr>
          <w:p w14:paraId="34BFAFAA" w14:textId="77777777" w:rsidR="007151FA" w:rsidRPr="00051F6C" w:rsidRDefault="007151FA" w:rsidP="0044491C">
            <w:pPr>
              <w:autoSpaceDE w:val="0"/>
              <w:autoSpaceDN w:val="0"/>
              <w:spacing w:before="89" w:after="0" w:line="240" w:lineRule="auto"/>
              <w:outlineLvl w:val="2"/>
              <w:rPr>
                <w:rFonts w:eastAsia="Times New Roman" w:cs="Arial"/>
                <w:sz w:val="32"/>
                <w:szCs w:val="32"/>
                <w:lang w:val="en-US"/>
              </w:rPr>
            </w:pPr>
            <w:r w:rsidRPr="00051F6C">
              <w:rPr>
                <w:rFonts w:ascii="Arial Narrow" w:eastAsia="Times New Roman" w:hAnsi="Arial Narrow" w:cs="Arial"/>
                <w:sz w:val="16"/>
                <w:szCs w:val="16"/>
                <w:lang w:val="en-US"/>
              </w:rPr>
              <w:t>Change in policy priorities and leadership at the national or regional levels may cause revision to the workplans of the countries concerned and reduce the scope of and/or delay the delivery of WIPO services.</w:t>
            </w:r>
          </w:p>
        </w:tc>
        <w:tc>
          <w:tcPr>
            <w:tcW w:w="3325" w:type="dxa"/>
            <w:tcBorders>
              <w:bottom w:val="single" w:sz="4" w:space="0" w:color="E2E7EB" w:themeColor="accent3" w:themeTint="33"/>
            </w:tcBorders>
            <w:shd w:val="clear" w:color="auto" w:fill="FFFFFF"/>
            <w:tcMar>
              <w:top w:w="0" w:type="dxa"/>
              <w:left w:w="108" w:type="dxa"/>
              <w:bottom w:w="0" w:type="dxa"/>
              <w:right w:w="108" w:type="dxa"/>
            </w:tcMar>
            <w:hideMark/>
          </w:tcPr>
          <w:p w14:paraId="38C2D883" w14:textId="77777777" w:rsidR="007151FA" w:rsidRPr="00051F6C" w:rsidRDefault="007151FA" w:rsidP="0044491C">
            <w:pPr>
              <w:autoSpaceDE w:val="0"/>
              <w:autoSpaceDN w:val="0"/>
              <w:spacing w:before="89" w:after="0" w:line="240" w:lineRule="auto"/>
              <w:outlineLvl w:val="2"/>
              <w:rPr>
                <w:rFonts w:eastAsia="Times New Roman" w:cs="Arial"/>
                <w:sz w:val="32"/>
                <w:szCs w:val="32"/>
                <w:lang w:val="en-US"/>
              </w:rPr>
            </w:pPr>
            <w:r w:rsidRPr="00051F6C">
              <w:rPr>
                <w:rFonts w:ascii="Arial Narrow" w:eastAsia="Times New Roman" w:hAnsi="Arial Narrow" w:cs="Arial"/>
                <w:sz w:val="16"/>
                <w:szCs w:val="16"/>
                <w:lang w:val="en-US"/>
              </w:rPr>
              <w:t>Retain flexibility to make adjustments in workpl</w:t>
            </w:r>
            <w:r>
              <w:rPr>
                <w:rFonts w:ascii="Arial Narrow" w:eastAsia="Times New Roman" w:hAnsi="Arial Narrow" w:cs="Arial"/>
                <w:sz w:val="16"/>
                <w:szCs w:val="16"/>
                <w:lang w:val="en-US"/>
              </w:rPr>
              <w:t xml:space="preserve">ans for regions and countries. </w:t>
            </w:r>
            <w:r w:rsidRPr="00051F6C">
              <w:rPr>
                <w:rFonts w:ascii="Arial Narrow" w:eastAsia="Times New Roman" w:hAnsi="Arial Narrow" w:cs="Arial"/>
                <w:sz w:val="16"/>
                <w:szCs w:val="16"/>
                <w:lang w:val="en-US"/>
              </w:rPr>
              <w:t>Liaise constantly with appropriate regional and national authorities as well as other key stakeholders to support implementation of workplans.</w:t>
            </w:r>
          </w:p>
        </w:tc>
        <w:tc>
          <w:tcPr>
            <w:tcW w:w="1800" w:type="dxa"/>
            <w:tcBorders>
              <w:bottom w:val="single" w:sz="4" w:space="0" w:color="E2E7EB" w:themeColor="accent3" w:themeTint="33"/>
            </w:tcBorders>
            <w:shd w:val="clear" w:color="auto" w:fill="FFFFFF"/>
            <w:tcMar>
              <w:top w:w="0" w:type="dxa"/>
              <w:left w:w="108" w:type="dxa"/>
              <w:bottom w:w="0" w:type="dxa"/>
              <w:right w:w="108" w:type="dxa"/>
            </w:tcMar>
            <w:hideMark/>
          </w:tcPr>
          <w:p w14:paraId="25F8E592" w14:textId="288F3CC1" w:rsidR="007151FA" w:rsidRDefault="007151FA" w:rsidP="0044491C">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Low – </w:t>
            </w:r>
          </w:p>
          <w:p w14:paraId="588BCC8F" w14:textId="24A046D6" w:rsidR="007151FA" w:rsidRPr="00051F6C" w:rsidRDefault="007151FA" w:rsidP="0044491C">
            <w:pPr>
              <w:autoSpaceDE w:val="0"/>
              <w:autoSpaceDN w:val="0"/>
              <w:spacing w:after="0" w:line="240" w:lineRule="auto"/>
              <w:outlineLvl w:val="2"/>
              <w:rPr>
                <w:rFonts w:eastAsia="Times New Roman" w:cs="Arial"/>
                <w:sz w:val="32"/>
                <w:szCs w:val="32"/>
                <w:lang w:val="en-US"/>
              </w:rPr>
            </w:pPr>
            <w:r>
              <w:rPr>
                <w:rFonts w:ascii="Arial Narrow" w:eastAsia="Times New Roman" w:hAnsi="Arial Narrow" w:cs="Arial"/>
                <w:sz w:val="16"/>
                <w:szCs w:val="16"/>
                <w:lang w:val="en-US"/>
              </w:rPr>
              <w:t>i</w:t>
            </w:r>
            <w:r w:rsidRPr="00051F6C">
              <w:rPr>
                <w:rFonts w:ascii="Arial Narrow" w:eastAsia="Times New Roman" w:hAnsi="Arial Narrow" w:cs="Arial"/>
                <w:sz w:val="16"/>
                <w:szCs w:val="16"/>
                <w:lang w:val="en-US"/>
              </w:rPr>
              <w:t>n line with risk appetite</w:t>
            </w:r>
          </w:p>
        </w:tc>
      </w:tr>
    </w:tbl>
    <w:p w14:paraId="7508AA3C" w14:textId="77777777" w:rsidR="007151FA" w:rsidRPr="007F1A58" w:rsidRDefault="007151FA" w:rsidP="007151FA">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7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444"/>
        <w:gridCol w:w="2445"/>
        <w:gridCol w:w="2445"/>
        <w:gridCol w:w="2451"/>
      </w:tblGrid>
      <w:tr w:rsidR="007151FA" w14:paraId="3627BC61" w14:textId="77777777" w:rsidTr="0044491C">
        <w:trPr>
          <w:cantSplit/>
          <w:trHeight w:val="285"/>
          <w:tblHeader/>
        </w:trPr>
        <w:tc>
          <w:tcPr>
            <w:tcW w:w="2444" w:type="dxa"/>
            <w:shd w:val="clear" w:color="auto" w:fill="C6CFD7" w:themeFill="accent3" w:themeFillTint="66"/>
            <w:hideMark/>
          </w:tcPr>
          <w:p w14:paraId="6877C04C" w14:textId="77777777" w:rsidR="007151FA" w:rsidRDefault="007151FA" w:rsidP="0044491C">
            <w:pPr>
              <w:pStyle w:val="TableHeading"/>
              <w:rPr>
                <w:lang w:val="en-US"/>
              </w:rPr>
            </w:pPr>
            <w:r>
              <w:rPr>
                <w:lang w:val="en-US"/>
              </w:rPr>
              <w:t>Expected Result</w:t>
            </w:r>
          </w:p>
        </w:tc>
        <w:tc>
          <w:tcPr>
            <w:tcW w:w="2445" w:type="dxa"/>
            <w:shd w:val="clear" w:color="auto" w:fill="C6CFD7" w:themeFill="accent3" w:themeFillTint="66"/>
            <w:hideMark/>
          </w:tcPr>
          <w:p w14:paraId="5519113A" w14:textId="77777777" w:rsidR="007151FA" w:rsidRDefault="007151FA" w:rsidP="0044491C">
            <w:pPr>
              <w:pStyle w:val="TableHeading"/>
              <w:rPr>
                <w:lang w:val="en-US"/>
              </w:rPr>
            </w:pPr>
            <w:r>
              <w:rPr>
                <w:lang w:val="en-US"/>
              </w:rPr>
              <w:t>Performance Indicators</w:t>
            </w:r>
          </w:p>
        </w:tc>
        <w:tc>
          <w:tcPr>
            <w:tcW w:w="2445" w:type="dxa"/>
            <w:shd w:val="clear" w:color="auto" w:fill="C6CFD7" w:themeFill="accent3" w:themeFillTint="66"/>
            <w:hideMark/>
          </w:tcPr>
          <w:p w14:paraId="3DB6D44F" w14:textId="77777777" w:rsidR="007151FA" w:rsidRDefault="007151FA" w:rsidP="0044491C">
            <w:pPr>
              <w:pStyle w:val="TableHeading"/>
              <w:rPr>
                <w:lang w:val="en-US"/>
              </w:rPr>
            </w:pPr>
            <w:r>
              <w:rPr>
                <w:lang w:val="en-US"/>
              </w:rPr>
              <w:t>Baselines</w:t>
            </w:r>
          </w:p>
        </w:tc>
        <w:tc>
          <w:tcPr>
            <w:tcW w:w="2451" w:type="dxa"/>
            <w:shd w:val="clear" w:color="auto" w:fill="C6CFD7" w:themeFill="accent3" w:themeFillTint="66"/>
            <w:hideMark/>
          </w:tcPr>
          <w:p w14:paraId="29FBA64E" w14:textId="77777777" w:rsidR="007151FA" w:rsidRDefault="007151FA" w:rsidP="0044491C">
            <w:pPr>
              <w:pStyle w:val="TableHeading"/>
              <w:rPr>
                <w:lang w:val="en-US"/>
              </w:rPr>
            </w:pPr>
            <w:r>
              <w:rPr>
                <w:lang w:val="en-US"/>
              </w:rPr>
              <w:t>Targets</w:t>
            </w:r>
          </w:p>
        </w:tc>
      </w:tr>
      <w:tr w:rsidR="007151FA" w14:paraId="07566142" w14:textId="77777777" w:rsidTr="0044491C">
        <w:trPr>
          <w:cantSplit/>
          <w:trHeight w:val="285"/>
        </w:trPr>
        <w:tc>
          <w:tcPr>
            <w:tcW w:w="2444" w:type="dxa"/>
            <w:shd w:val="clear" w:color="auto" w:fill="EDF0F3" w:themeFill="accent4" w:themeFillTint="33"/>
            <w:hideMark/>
          </w:tcPr>
          <w:p w14:paraId="2D729800" w14:textId="77777777" w:rsidR="007151FA" w:rsidRDefault="007151FA" w:rsidP="0044491C">
            <w:pPr>
              <w:pStyle w:val="TableHeading"/>
              <w:rPr>
                <w:b w:val="0"/>
                <w:i/>
                <w:color w:val="005172" w:themeColor="text2"/>
                <w:lang w:val="en-US"/>
              </w:rPr>
            </w:pPr>
            <w:r>
              <w:rPr>
                <w:b w:val="0"/>
                <w:i/>
                <w:color w:val="005172" w:themeColor="text2"/>
                <w:lang w:val="en-US"/>
              </w:rPr>
              <w:t>Strategic Pillar 1</w:t>
            </w:r>
          </w:p>
        </w:tc>
        <w:tc>
          <w:tcPr>
            <w:tcW w:w="7341" w:type="dxa"/>
            <w:gridSpan w:val="3"/>
            <w:shd w:val="clear" w:color="auto" w:fill="EDF0F3" w:themeFill="accent4" w:themeFillTint="33"/>
            <w:hideMark/>
          </w:tcPr>
          <w:p w14:paraId="203E0BC6" w14:textId="77777777" w:rsidR="007151FA" w:rsidRDefault="007151FA" w:rsidP="0044491C">
            <w:pPr>
              <w:pStyle w:val="TableHeading"/>
              <w:rPr>
                <w:b w:val="0"/>
                <w:i/>
                <w:color w:val="005172" w:themeColor="text2"/>
                <w:lang w:val="en-US"/>
              </w:rPr>
            </w:pPr>
            <w:r>
              <w:rPr>
                <w:b w:val="0"/>
                <w:i/>
                <w:color w:val="005172" w:themeColor="text2"/>
                <w:lang w:val="en-US"/>
              </w:rPr>
              <w:t>Reach out worldwide to explain the potential for intellectual property to improve the lives of everyone, everywhere</w:t>
            </w:r>
          </w:p>
        </w:tc>
      </w:tr>
      <w:tr w:rsidR="007151FA" w14:paraId="6783A9BB" w14:textId="77777777" w:rsidTr="0044491C">
        <w:trPr>
          <w:cantSplit/>
          <w:trHeight w:val="96"/>
        </w:trPr>
        <w:tc>
          <w:tcPr>
            <w:tcW w:w="2444" w:type="dxa"/>
            <w:vMerge w:val="restart"/>
            <w:hideMark/>
          </w:tcPr>
          <w:p w14:paraId="17DDC88B" w14:textId="77777777" w:rsidR="007151FA" w:rsidRDefault="007151FA" w:rsidP="0044491C">
            <w:pPr>
              <w:pStyle w:val="TableTextBold"/>
              <w:rPr>
                <w:lang w:val="en-US"/>
              </w:rPr>
            </w:pPr>
            <w:r>
              <w:rPr>
                <w:rStyle w:val="charColoured"/>
                <w:lang w:val="en-US"/>
              </w:rPr>
              <w:t>1.1</w:t>
            </w:r>
            <w:r>
              <w:rPr>
                <w:color w:val="005694"/>
                <w:lang w:val="en-US"/>
              </w:rPr>
              <w:t xml:space="preserve">  </w:t>
            </w:r>
            <w:r>
              <w:rPr>
                <w:lang w:val="en-US"/>
              </w:rPr>
              <w:t>More effective communication and engagement world-wide to raise awareness of and increase knowledge about the potential of IP to improve the lives of everyone, everywhere</w:t>
            </w:r>
          </w:p>
        </w:tc>
        <w:tc>
          <w:tcPr>
            <w:tcW w:w="2445" w:type="dxa"/>
            <w:vMerge w:val="restart"/>
            <w:hideMark/>
          </w:tcPr>
          <w:p w14:paraId="32632C60" w14:textId="77777777" w:rsidR="007151FA" w:rsidRDefault="007151FA" w:rsidP="0044491C">
            <w:pPr>
              <w:pStyle w:val="TableText"/>
              <w:rPr>
                <w:lang w:val="en-US"/>
              </w:rPr>
            </w:pPr>
            <w:r>
              <w:rPr>
                <w:lang w:val="en-US"/>
              </w:rPr>
              <w:t>No. of unique visitors to the WIPO website and the websites of the External Offices</w:t>
            </w:r>
          </w:p>
        </w:tc>
        <w:tc>
          <w:tcPr>
            <w:tcW w:w="2445" w:type="dxa"/>
          </w:tcPr>
          <w:p w14:paraId="21AA3B57" w14:textId="77777777" w:rsidR="007151FA" w:rsidRDefault="007151FA" w:rsidP="0044491C">
            <w:pPr>
              <w:pStyle w:val="TableText"/>
              <w:rPr>
                <w:lang w:val="en-US"/>
              </w:rPr>
            </w:pPr>
            <w:r>
              <w:rPr>
                <w:szCs w:val="16"/>
              </w:rPr>
              <w:t xml:space="preserve">WAO: 3,211 </w:t>
            </w:r>
          </w:p>
        </w:tc>
        <w:tc>
          <w:tcPr>
            <w:tcW w:w="2451" w:type="dxa"/>
          </w:tcPr>
          <w:p w14:paraId="1AB331A1" w14:textId="77777777" w:rsidR="007151FA" w:rsidRDefault="007151FA" w:rsidP="0044491C">
            <w:pPr>
              <w:pStyle w:val="TableText"/>
              <w:rPr>
                <w:lang w:val="en-US"/>
              </w:rPr>
            </w:pPr>
            <w:r>
              <w:rPr>
                <w:lang w:val="en-US"/>
              </w:rPr>
              <w:t>20% increase (biennium)</w:t>
            </w:r>
          </w:p>
        </w:tc>
      </w:tr>
      <w:tr w:rsidR="007151FA" w14:paraId="120BF1BB" w14:textId="77777777" w:rsidTr="0044491C">
        <w:trPr>
          <w:cantSplit/>
          <w:trHeight w:val="60"/>
        </w:trPr>
        <w:tc>
          <w:tcPr>
            <w:tcW w:w="2444" w:type="dxa"/>
            <w:vMerge/>
          </w:tcPr>
          <w:p w14:paraId="41134645" w14:textId="77777777" w:rsidR="007151FA" w:rsidRDefault="007151FA" w:rsidP="0044491C">
            <w:pPr>
              <w:pStyle w:val="TableTextBold"/>
              <w:rPr>
                <w:rStyle w:val="charColoured"/>
                <w:lang w:val="en-US"/>
              </w:rPr>
            </w:pPr>
          </w:p>
        </w:tc>
        <w:tc>
          <w:tcPr>
            <w:tcW w:w="2445" w:type="dxa"/>
            <w:vMerge/>
          </w:tcPr>
          <w:p w14:paraId="1B7BAF04" w14:textId="77777777" w:rsidR="007151FA" w:rsidRDefault="007151FA" w:rsidP="0044491C">
            <w:pPr>
              <w:pStyle w:val="TableText"/>
              <w:rPr>
                <w:lang w:val="en-US"/>
              </w:rPr>
            </w:pPr>
          </w:p>
        </w:tc>
        <w:tc>
          <w:tcPr>
            <w:tcW w:w="2445" w:type="dxa"/>
          </w:tcPr>
          <w:p w14:paraId="72F60025" w14:textId="77777777" w:rsidR="007151FA" w:rsidRDefault="007151FA" w:rsidP="0044491C">
            <w:pPr>
              <w:pStyle w:val="TableText"/>
              <w:rPr>
                <w:lang w:val="en-US"/>
              </w:rPr>
            </w:pPr>
            <w:r w:rsidRPr="00BE3A19">
              <w:rPr>
                <w:szCs w:val="16"/>
              </w:rPr>
              <w:t>WBO: 12,765</w:t>
            </w:r>
          </w:p>
        </w:tc>
        <w:tc>
          <w:tcPr>
            <w:tcW w:w="2451" w:type="dxa"/>
          </w:tcPr>
          <w:p w14:paraId="62708785" w14:textId="77777777" w:rsidR="007151FA" w:rsidRDefault="007151FA" w:rsidP="0044491C">
            <w:pPr>
              <w:pStyle w:val="TableText"/>
              <w:rPr>
                <w:lang w:val="en-US"/>
              </w:rPr>
            </w:pPr>
          </w:p>
        </w:tc>
      </w:tr>
      <w:tr w:rsidR="007151FA" w14:paraId="4AB1B65F" w14:textId="77777777" w:rsidTr="0044491C">
        <w:trPr>
          <w:cantSplit/>
          <w:trHeight w:val="42"/>
        </w:trPr>
        <w:tc>
          <w:tcPr>
            <w:tcW w:w="2444" w:type="dxa"/>
            <w:vMerge/>
          </w:tcPr>
          <w:p w14:paraId="6F454270" w14:textId="77777777" w:rsidR="007151FA" w:rsidRDefault="007151FA" w:rsidP="0044491C">
            <w:pPr>
              <w:pStyle w:val="TableTextBold"/>
              <w:rPr>
                <w:rStyle w:val="charColoured"/>
                <w:lang w:val="en-US"/>
              </w:rPr>
            </w:pPr>
          </w:p>
        </w:tc>
        <w:tc>
          <w:tcPr>
            <w:tcW w:w="2445" w:type="dxa"/>
            <w:vMerge/>
          </w:tcPr>
          <w:p w14:paraId="4F12A2AC" w14:textId="77777777" w:rsidR="007151FA" w:rsidRDefault="007151FA" w:rsidP="0044491C">
            <w:pPr>
              <w:pStyle w:val="TableText"/>
              <w:rPr>
                <w:lang w:val="en-US"/>
              </w:rPr>
            </w:pPr>
          </w:p>
        </w:tc>
        <w:tc>
          <w:tcPr>
            <w:tcW w:w="2445" w:type="dxa"/>
          </w:tcPr>
          <w:p w14:paraId="18F76E30" w14:textId="77777777" w:rsidR="007151FA" w:rsidRDefault="007151FA" w:rsidP="0044491C">
            <w:pPr>
              <w:pStyle w:val="TableText"/>
              <w:rPr>
                <w:szCs w:val="16"/>
              </w:rPr>
            </w:pPr>
            <w:r w:rsidRPr="002C1F9F">
              <w:rPr>
                <w:szCs w:val="16"/>
              </w:rPr>
              <w:t xml:space="preserve">WOC: </w:t>
            </w:r>
            <w:r w:rsidRPr="002C1F9F">
              <w:rPr>
                <w:rFonts w:hint="eastAsia"/>
                <w:szCs w:val="16"/>
              </w:rPr>
              <w:t>1</w:t>
            </w:r>
            <w:r w:rsidRPr="002C1F9F">
              <w:rPr>
                <w:szCs w:val="16"/>
              </w:rPr>
              <w:t>0</w:t>
            </w:r>
            <w:r w:rsidRPr="002C1F9F">
              <w:rPr>
                <w:rFonts w:hint="eastAsia"/>
                <w:szCs w:val="16"/>
              </w:rPr>
              <w:t>,</w:t>
            </w:r>
            <w:r w:rsidRPr="002C1F9F">
              <w:rPr>
                <w:szCs w:val="16"/>
              </w:rPr>
              <w:t>315</w:t>
            </w:r>
          </w:p>
          <w:p w14:paraId="674AE8C6" w14:textId="77777777" w:rsidR="007151FA" w:rsidRPr="005D139F" w:rsidRDefault="007151FA" w:rsidP="0044491C">
            <w:pPr>
              <w:pStyle w:val="TableText"/>
              <w:rPr>
                <w:szCs w:val="16"/>
              </w:rPr>
            </w:pPr>
            <w:r w:rsidRPr="002C1F9F">
              <w:rPr>
                <w:rFonts w:hint="eastAsia"/>
                <w:szCs w:val="16"/>
              </w:rPr>
              <w:t>W</w:t>
            </w:r>
            <w:r w:rsidRPr="002C1F9F">
              <w:rPr>
                <w:szCs w:val="16"/>
              </w:rPr>
              <w:t xml:space="preserve">eChat: 152,882 unique views </w:t>
            </w:r>
            <w:r>
              <w:rPr>
                <w:szCs w:val="16"/>
              </w:rPr>
              <w:t xml:space="preserve">of </w:t>
            </w:r>
            <w:r w:rsidRPr="002C1F9F">
              <w:rPr>
                <w:szCs w:val="16"/>
              </w:rPr>
              <w:t>119</w:t>
            </w:r>
            <w:r>
              <w:rPr>
                <w:szCs w:val="16"/>
              </w:rPr>
              <w:t> </w:t>
            </w:r>
            <w:r w:rsidRPr="002C1F9F">
              <w:rPr>
                <w:szCs w:val="16"/>
              </w:rPr>
              <w:t xml:space="preserve">articles </w:t>
            </w:r>
          </w:p>
        </w:tc>
        <w:tc>
          <w:tcPr>
            <w:tcW w:w="2451" w:type="dxa"/>
          </w:tcPr>
          <w:p w14:paraId="3FD0DCC1" w14:textId="77777777" w:rsidR="007151FA" w:rsidRDefault="007151FA" w:rsidP="0044491C">
            <w:pPr>
              <w:pStyle w:val="TableText"/>
              <w:rPr>
                <w:lang w:val="en-US"/>
              </w:rPr>
            </w:pPr>
          </w:p>
        </w:tc>
      </w:tr>
      <w:tr w:rsidR="007151FA" w14:paraId="19F64F87" w14:textId="77777777" w:rsidTr="0044491C">
        <w:trPr>
          <w:cantSplit/>
          <w:trHeight w:val="42"/>
        </w:trPr>
        <w:tc>
          <w:tcPr>
            <w:tcW w:w="2444" w:type="dxa"/>
            <w:vMerge/>
          </w:tcPr>
          <w:p w14:paraId="1EAE47AF" w14:textId="77777777" w:rsidR="007151FA" w:rsidRDefault="007151FA" w:rsidP="0044491C">
            <w:pPr>
              <w:pStyle w:val="TableTextBold"/>
              <w:rPr>
                <w:rStyle w:val="charColoured"/>
                <w:lang w:val="en-US"/>
              </w:rPr>
            </w:pPr>
          </w:p>
        </w:tc>
        <w:tc>
          <w:tcPr>
            <w:tcW w:w="2445" w:type="dxa"/>
            <w:vMerge/>
          </w:tcPr>
          <w:p w14:paraId="1F00D101" w14:textId="77777777" w:rsidR="007151FA" w:rsidRDefault="007151FA" w:rsidP="0044491C">
            <w:pPr>
              <w:pStyle w:val="TableText"/>
              <w:rPr>
                <w:lang w:val="en-US"/>
              </w:rPr>
            </w:pPr>
          </w:p>
        </w:tc>
        <w:tc>
          <w:tcPr>
            <w:tcW w:w="2445" w:type="dxa"/>
          </w:tcPr>
          <w:p w14:paraId="7D5ED153" w14:textId="77777777" w:rsidR="007151FA" w:rsidRDefault="007151FA" w:rsidP="0044491C">
            <w:pPr>
              <w:pStyle w:val="TableText"/>
              <w:rPr>
                <w:lang w:val="en-US"/>
              </w:rPr>
            </w:pPr>
            <w:r w:rsidRPr="00BE3A19">
              <w:rPr>
                <w:szCs w:val="16"/>
              </w:rPr>
              <w:t>WJO:</w:t>
            </w:r>
            <w:r>
              <w:rPr>
                <w:szCs w:val="16"/>
              </w:rPr>
              <w:t xml:space="preserve"> 28,395</w:t>
            </w:r>
            <w:r w:rsidRPr="005A6DBB" w:rsidDel="005A6DBB">
              <w:rPr>
                <w:szCs w:val="16"/>
              </w:rPr>
              <w:t xml:space="preserve"> </w:t>
            </w:r>
          </w:p>
        </w:tc>
        <w:tc>
          <w:tcPr>
            <w:tcW w:w="2451" w:type="dxa"/>
          </w:tcPr>
          <w:p w14:paraId="399165AC" w14:textId="77777777" w:rsidR="007151FA" w:rsidRDefault="007151FA" w:rsidP="0044491C">
            <w:pPr>
              <w:pStyle w:val="TableText"/>
              <w:rPr>
                <w:lang w:val="en-US"/>
              </w:rPr>
            </w:pPr>
          </w:p>
        </w:tc>
      </w:tr>
      <w:tr w:rsidR="007151FA" w14:paraId="59F1ED17" w14:textId="77777777" w:rsidTr="0044491C">
        <w:trPr>
          <w:cantSplit/>
          <w:trHeight w:val="60"/>
        </w:trPr>
        <w:tc>
          <w:tcPr>
            <w:tcW w:w="2444" w:type="dxa"/>
            <w:vMerge/>
          </w:tcPr>
          <w:p w14:paraId="1955B1EE" w14:textId="77777777" w:rsidR="007151FA" w:rsidRDefault="007151FA" w:rsidP="0044491C">
            <w:pPr>
              <w:pStyle w:val="TableTextBold"/>
              <w:rPr>
                <w:rStyle w:val="charColoured"/>
                <w:lang w:val="en-US"/>
              </w:rPr>
            </w:pPr>
          </w:p>
        </w:tc>
        <w:tc>
          <w:tcPr>
            <w:tcW w:w="2445" w:type="dxa"/>
            <w:vMerge/>
          </w:tcPr>
          <w:p w14:paraId="0797C0AB" w14:textId="77777777" w:rsidR="007151FA" w:rsidRDefault="007151FA" w:rsidP="0044491C">
            <w:pPr>
              <w:pStyle w:val="TableText"/>
              <w:rPr>
                <w:lang w:val="en-US"/>
              </w:rPr>
            </w:pPr>
          </w:p>
        </w:tc>
        <w:tc>
          <w:tcPr>
            <w:tcW w:w="2445" w:type="dxa"/>
          </w:tcPr>
          <w:p w14:paraId="63C7255A" w14:textId="77777777" w:rsidR="007151FA" w:rsidRDefault="007151FA" w:rsidP="0044491C">
            <w:pPr>
              <w:pStyle w:val="TableText"/>
              <w:rPr>
                <w:lang w:val="en-US"/>
              </w:rPr>
            </w:pPr>
            <w:r>
              <w:rPr>
                <w:szCs w:val="16"/>
              </w:rPr>
              <w:t>WNO: 4,364</w:t>
            </w:r>
          </w:p>
        </w:tc>
        <w:tc>
          <w:tcPr>
            <w:tcW w:w="2451" w:type="dxa"/>
          </w:tcPr>
          <w:p w14:paraId="69F0E79A" w14:textId="77777777" w:rsidR="007151FA" w:rsidRDefault="007151FA" w:rsidP="0044491C">
            <w:pPr>
              <w:pStyle w:val="TableText"/>
              <w:rPr>
                <w:lang w:val="en-US"/>
              </w:rPr>
            </w:pPr>
          </w:p>
        </w:tc>
      </w:tr>
      <w:tr w:rsidR="007151FA" w14:paraId="435416BB" w14:textId="77777777" w:rsidTr="0044491C">
        <w:trPr>
          <w:cantSplit/>
          <w:trHeight w:val="42"/>
        </w:trPr>
        <w:tc>
          <w:tcPr>
            <w:tcW w:w="2444" w:type="dxa"/>
            <w:vMerge/>
          </w:tcPr>
          <w:p w14:paraId="312165A5" w14:textId="77777777" w:rsidR="007151FA" w:rsidRDefault="007151FA" w:rsidP="0044491C">
            <w:pPr>
              <w:pStyle w:val="TableTextBold"/>
              <w:rPr>
                <w:rStyle w:val="charColoured"/>
                <w:lang w:val="en-US"/>
              </w:rPr>
            </w:pPr>
          </w:p>
        </w:tc>
        <w:tc>
          <w:tcPr>
            <w:tcW w:w="2445" w:type="dxa"/>
            <w:vMerge/>
          </w:tcPr>
          <w:p w14:paraId="6945400F" w14:textId="77777777" w:rsidR="007151FA" w:rsidRDefault="007151FA" w:rsidP="0044491C">
            <w:pPr>
              <w:pStyle w:val="TableText"/>
              <w:rPr>
                <w:lang w:val="en-US"/>
              </w:rPr>
            </w:pPr>
          </w:p>
        </w:tc>
        <w:tc>
          <w:tcPr>
            <w:tcW w:w="2445" w:type="dxa"/>
          </w:tcPr>
          <w:p w14:paraId="20B7667A" w14:textId="77777777" w:rsidR="007151FA" w:rsidRDefault="007151FA" w:rsidP="0044491C">
            <w:pPr>
              <w:pStyle w:val="TableText"/>
              <w:rPr>
                <w:lang w:val="en-US"/>
              </w:rPr>
            </w:pPr>
            <w:r>
              <w:rPr>
                <w:szCs w:val="16"/>
              </w:rPr>
              <w:t>WRO: 18,218</w:t>
            </w:r>
          </w:p>
        </w:tc>
        <w:tc>
          <w:tcPr>
            <w:tcW w:w="2451" w:type="dxa"/>
          </w:tcPr>
          <w:p w14:paraId="36E326CB" w14:textId="77777777" w:rsidR="007151FA" w:rsidRDefault="007151FA" w:rsidP="0044491C">
            <w:pPr>
              <w:pStyle w:val="TableText"/>
              <w:rPr>
                <w:lang w:val="en-US"/>
              </w:rPr>
            </w:pPr>
          </w:p>
        </w:tc>
      </w:tr>
      <w:tr w:rsidR="007151FA" w14:paraId="374F38F1" w14:textId="77777777" w:rsidTr="0044491C">
        <w:trPr>
          <w:cantSplit/>
          <w:trHeight w:val="87"/>
        </w:trPr>
        <w:tc>
          <w:tcPr>
            <w:tcW w:w="2444" w:type="dxa"/>
            <w:vMerge/>
          </w:tcPr>
          <w:p w14:paraId="0BF8EDBC" w14:textId="77777777" w:rsidR="007151FA" w:rsidRDefault="007151FA" w:rsidP="0044491C">
            <w:pPr>
              <w:pStyle w:val="TableTextBold"/>
              <w:rPr>
                <w:rStyle w:val="charColoured"/>
                <w:lang w:val="en-US"/>
              </w:rPr>
            </w:pPr>
          </w:p>
        </w:tc>
        <w:tc>
          <w:tcPr>
            <w:tcW w:w="2445" w:type="dxa"/>
            <w:vMerge/>
          </w:tcPr>
          <w:p w14:paraId="67C50B0E" w14:textId="77777777" w:rsidR="007151FA" w:rsidRDefault="007151FA" w:rsidP="0044491C">
            <w:pPr>
              <w:pStyle w:val="TableText"/>
              <w:rPr>
                <w:lang w:val="en-US"/>
              </w:rPr>
            </w:pPr>
          </w:p>
        </w:tc>
        <w:tc>
          <w:tcPr>
            <w:tcW w:w="2445" w:type="dxa"/>
          </w:tcPr>
          <w:p w14:paraId="0D45F60D" w14:textId="77777777" w:rsidR="007151FA" w:rsidRDefault="007151FA" w:rsidP="0044491C">
            <w:pPr>
              <w:pStyle w:val="TableText"/>
              <w:rPr>
                <w:lang w:val="en-US"/>
              </w:rPr>
            </w:pPr>
            <w:r w:rsidRPr="002C1F9F">
              <w:rPr>
                <w:szCs w:val="16"/>
              </w:rPr>
              <w:t>WSO: 4,2</w:t>
            </w:r>
            <w:r>
              <w:rPr>
                <w:szCs w:val="16"/>
              </w:rPr>
              <w:t>62</w:t>
            </w:r>
          </w:p>
        </w:tc>
        <w:tc>
          <w:tcPr>
            <w:tcW w:w="2451" w:type="dxa"/>
          </w:tcPr>
          <w:p w14:paraId="4FFCFBA8" w14:textId="77777777" w:rsidR="007151FA" w:rsidRDefault="007151FA" w:rsidP="0044491C">
            <w:pPr>
              <w:pStyle w:val="TableText"/>
              <w:rPr>
                <w:lang w:val="en-US"/>
              </w:rPr>
            </w:pPr>
          </w:p>
        </w:tc>
      </w:tr>
      <w:tr w:rsidR="007151FA" w14:paraId="2ED5596C" w14:textId="77777777" w:rsidTr="0044491C">
        <w:trPr>
          <w:cantSplit/>
          <w:trHeight w:val="285"/>
        </w:trPr>
        <w:tc>
          <w:tcPr>
            <w:tcW w:w="2444" w:type="dxa"/>
            <w:shd w:val="clear" w:color="auto" w:fill="EDF0F3" w:themeFill="accent4" w:themeFillTint="33"/>
            <w:hideMark/>
          </w:tcPr>
          <w:p w14:paraId="75485861" w14:textId="77777777" w:rsidR="007151FA" w:rsidRDefault="007151FA" w:rsidP="0044491C">
            <w:pPr>
              <w:pStyle w:val="TableTextBold"/>
              <w:rPr>
                <w:color w:val="005172" w:themeColor="text2"/>
                <w:lang w:val="en-US"/>
              </w:rPr>
            </w:pPr>
            <w:r>
              <w:rPr>
                <w:b w:val="0"/>
                <w:i/>
                <w:color w:val="005172" w:themeColor="text2"/>
                <w:lang w:val="en-US"/>
              </w:rPr>
              <w:t>Strategic Pillar 2</w:t>
            </w:r>
          </w:p>
        </w:tc>
        <w:tc>
          <w:tcPr>
            <w:tcW w:w="7341" w:type="dxa"/>
            <w:gridSpan w:val="3"/>
            <w:shd w:val="clear" w:color="auto" w:fill="EDF0F3" w:themeFill="accent4" w:themeFillTint="33"/>
            <w:hideMark/>
          </w:tcPr>
          <w:p w14:paraId="7373717A" w14:textId="77777777" w:rsidR="007151FA" w:rsidRDefault="007151FA" w:rsidP="0044491C">
            <w:pPr>
              <w:pStyle w:val="TableText"/>
              <w:rPr>
                <w:lang w:val="en-US"/>
              </w:rPr>
            </w:pPr>
            <w:r>
              <w:rPr>
                <w:i/>
                <w:color w:val="005172" w:themeColor="text2"/>
                <w:lang w:val="en-US"/>
              </w:rPr>
              <w:t>Bring people together and partner with stakeholders to shape the future of the global intellectual property ecosystem</w:t>
            </w:r>
          </w:p>
        </w:tc>
      </w:tr>
      <w:tr w:rsidR="007151FA" w14:paraId="4627D86F" w14:textId="77777777" w:rsidTr="00844249">
        <w:trPr>
          <w:cantSplit/>
          <w:trHeight w:val="789"/>
        </w:trPr>
        <w:tc>
          <w:tcPr>
            <w:tcW w:w="2444" w:type="dxa"/>
            <w:hideMark/>
          </w:tcPr>
          <w:p w14:paraId="49D440B4" w14:textId="77777777" w:rsidR="007151FA" w:rsidRDefault="007151FA" w:rsidP="0044491C">
            <w:pPr>
              <w:pStyle w:val="TableTextBold"/>
              <w:rPr>
                <w:color w:val="005172" w:themeColor="text2"/>
                <w:lang w:val="en-US"/>
              </w:rPr>
            </w:pPr>
            <w:r>
              <w:rPr>
                <w:color w:val="005172" w:themeColor="text2"/>
                <w:lang w:val="en-US"/>
              </w:rPr>
              <w:t xml:space="preserve">2.4  </w:t>
            </w:r>
            <w:r>
              <w:rPr>
                <w:lang w:val="en-US"/>
              </w:rPr>
              <w:t>Effective interaction and partnerships with the UN, IGOs and NGOs in support of global goals to which IP can contribute</w:t>
            </w:r>
          </w:p>
        </w:tc>
        <w:tc>
          <w:tcPr>
            <w:tcW w:w="2445" w:type="dxa"/>
            <w:hideMark/>
          </w:tcPr>
          <w:p w14:paraId="6EC30344" w14:textId="77777777" w:rsidR="007151FA" w:rsidRDefault="007151FA" w:rsidP="0044491C">
            <w:pPr>
              <w:pStyle w:val="TableText"/>
              <w:rPr>
                <w:lang w:val="en-US"/>
              </w:rPr>
            </w:pPr>
            <w:r>
              <w:rPr>
                <w:lang w:val="en-US"/>
              </w:rPr>
              <w:t>Progress on WIPO deliverables for the implementation of the new UN Programme of Action (PoA) 2021-2030 for LDCs</w:t>
            </w:r>
          </w:p>
        </w:tc>
        <w:tc>
          <w:tcPr>
            <w:tcW w:w="2445" w:type="dxa"/>
            <w:hideMark/>
          </w:tcPr>
          <w:p w14:paraId="4A614BA7" w14:textId="77777777" w:rsidR="007151FA" w:rsidRDefault="007151FA" w:rsidP="0044491C">
            <w:pPr>
              <w:pStyle w:val="TableText"/>
              <w:rPr>
                <w:lang w:val="en-US"/>
              </w:rPr>
            </w:pPr>
            <w:r>
              <w:rPr>
                <w:szCs w:val="16"/>
              </w:rPr>
              <w:t>Progress made on</w:t>
            </w:r>
            <w:r w:rsidRPr="00F02D1C">
              <w:rPr>
                <w:szCs w:val="16"/>
              </w:rPr>
              <w:t xml:space="preserve"> the implementation of </w:t>
            </w:r>
            <w:r>
              <w:rPr>
                <w:szCs w:val="16"/>
              </w:rPr>
              <w:t xml:space="preserve">activities in all 8 focus areas of the </w:t>
            </w:r>
            <w:r w:rsidRPr="00F02D1C">
              <w:rPr>
                <w:szCs w:val="16"/>
              </w:rPr>
              <w:t>WIPO Deliverables for LDCs</w:t>
            </w:r>
          </w:p>
        </w:tc>
        <w:tc>
          <w:tcPr>
            <w:tcW w:w="2451" w:type="dxa"/>
            <w:hideMark/>
          </w:tcPr>
          <w:p w14:paraId="11A01A91" w14:textId="77777777" w:rsidR="007151FA" w:rsidRDefault="007151FA" w:rsidP="0044491C">
            <w:pPr>
              <w:pStyle w:val="TableText"/>
              <w:rPr>
                <w:lang w:val="en-US"/>
              </w:rPr>
            </w:pPr>
            <w:r>
              <w:rPr>
                <w:lang w:val="en-US"/>
              </w:rPr>
              <w:t>Progress on all WIPO deliverables</w:t>
            </w:r>
          </w:p>
        </w:tc>
      </w:tr>
      <w:tr w:rsidR="007151FA" w14:paraId="1C83CF7B" w14:textId="77777777" w:rsidTr="00B47A61">
        <w:trPr>
          <w:cantSplit/>
          <w:trHeight w:val="285"/>
        </w:trPr>
        <w:tc>
          <w:tcPr>
            <w:tcW w:w="2444" w:type="dxa"/>
            <w:shd w:val="clear" w:color="auto" w:fill="EDF0F3" w:themeFill="accent4" w:themeFillTint="33"/>
            <w:hideMark/>
          </w:tcPr>
          <w:p w14:paraId="01A6F72A" w14:textId="77777777" w:rsidR="007151FA" w:rsidRDefault="007151FA" w:rsidP="0044491C">
            <w:pPr>
              <w:pStyle w:val="TableHeading"/>
              <w:rPr>
                <w:b w:val="0"/>
                <w:i/>
                <w:color w:val="005172" w:themeColor="text2"/>
                <w:lang w:val="en-US"/>
              </w:rPr>
            </w:pPr>
            <w:r>
              <w:rPr>
                <w:b w:val="0"/>
                <w:i/>
                <w:color w:val="005172" w:themeColor="text2"/>
                <w:lang w:val="en-US"/>
              </w:rPr>
              <w:t>Strategic Pillar 3</w:t>
            </w:r>
          </w:p>
        </w:tc>
        <w:tc>
          <w:tcPr>
            <w:tcW w:w="7341" w:type="dxa"/>
            <w:gridSpan w:val="3"/>
            <w:shd w:val="clear" w:color="auto" w:fill="EDF0F3" w:themeFill="accent4" w:themeFillTint="33"/>
            <w:hideMark/>
          </w:tcPr>
          <w:p w14:paraId="7D64BBC1" w14:textId="77777777" w:rsidR="007151FA" w:rsidRDefault="007151FA" w:rsidP="0044491C">
            <w:pPr>
              <w:pStyle w:val="TableHeading"/>
              <w:rPr>
                <w:b w:val="0"/>
                <w:i/>
                <w:color w:val="005172" w:themeColor="text2"/>
                <w:lang w:val="en-US"/>
              </w:rPr>
            </w:pPr>
            <w:r>
              <w:rPr>
                <w:b w:val="0"/>
                <w:i/>
                <w:color w:val="005172" w:themeColor="text2"/>
                <w:lang w:val="en-US"/>
              </w:rPr>
              <w:t>Provide high quality intellectual property services, knowledge and data that deliver value to users around the world</w:t>
            </w:r>
          </w:p>
        </w:tc>
      </w:tr>
      <w:tr w:rsidR="007151FA" w14:paraId="0ED095F9" w14:textId="77777777" w:rsidTr="0044491C">
        <w:trPr>
          <w:cantSplit/>
          <w:trHeight w:val="321"/>
        </w:trPr>
        <w:tc>
          <w:tcPr>
            <w:tcW w:w="2444" w:type="dxa"/>
            <w:vMerge w:val="restart"/>
            <w:hideMark/>
          </w:tcPr>
          <w:p w14:paraId="07BB6426" w14:textId="77777777" w:rsidR="007151FA" w:rsidRDefault="007151FA" w:rsidP="0044491C">
            <w:pPr>
              <w:pStyle w:val="TableTextBold"/>
              <w:rPr>
                <w:rStyle w:val="charColoured"/>
              </w:rPr>
            </w:pPr>
            <w:r>
              <w:rPr>
                <w:rStyle w:val="charColoured"/>
                <w:lang w:val="en-US"/>
              </w:rPr>
              <w:t>3.1</w:t>
            </w:r>
            <w:r>
              <w:rPr>
                <w:color w:val="005694"/>
                <w:lang w:val="en-US"/>
              </w:rPr>
              <w:t xml:space="preserve">  </w:t>
            </w:r>
            <w:r>
              <w:rPr>
                <w:lang w:val="en-US"/>
              </w:rPr>
              <w:t>Wider and more effective use of WIPO’s global IP systems, services, knowledge and data</w:t>
            </w:r>
          </w:p>
        </w:tc>
        <w:tc>
          <w:tcPr>
            <w:tcW w:w="2445" w:type="dxa"/>
            <w:hideMark/>
          </w:tcPr>
          <w:p w14:paraId="3AFDBDB4" w14:textId="77777777" w:rsidR="007151FA" w:rsidRDefault="007151FA" w:rsidP="0044491C">
            <w:pPr>
              <w:pStyle w:val="TableText"/>
            </w:pPr>
            <w:r>
              <w:rPr>
                <w:lang w:val="en-US"/>
              </w:rPr>
              <w:t>Total Membership</w:t>
            </w:r>
          </w:p>
        </w:tc>
        <w:tc>
          <w:tcPr>
            <w:tcW w:w="2445" w:type="dxa"/>
          </w:tcPr>
          <w:p w14:paraId="33636933" w14:textId="77777777" w:rsidR="007151FA" w:rsidRDefault="007151FA" w:rsidP="0044491C">
            <w:pPr>
              <w:pStyle w:val="TableText"/>
              <w:rPr>
                <w:lang w:val="en-US"/>
              </w:rPr>
            </w:pPr>
            <w:r>
              <w:rPr>
                <w:szCs w:val="16"/>
                <w:lang w:val="en-US"/>
              </w:rPr>
              <w:t>Madrid System (end 2022</w:t>
            </w:r>
            <w:r w:rsidRPr="002C52F9">
              <w:rPr>
                <w:szCs w:val="16"/>
                <w:lang w:val="en-US"/>
              </w:rPr>
              <w:t xml:space="preserve">):  </w:t>
            </w:r>
            <w:r w:rsidRPr="00983583">
              <w:rPr>
                <w:szCs w:val="16"/>
              </w:rPr>
              <w:t>113</w:t>
            </w:r>
            <w:r>
              <w:rPr>
                <w:szCs w:val="16"/>
              </w:rPr>
              <w:t> </w:t>
            </w:r>
            <w:r>
              <w:rPr>
                <w:szCs w:val="16"/>
                <w:lang w:val="en-US"/>
              </w:rPr>
              <w:t>Contracting Parties (CPs)</w:t>
            </w:r>
          </w:p>
        </w:tc>
        <w:tc>
          <w:tcPr>
            <w:tcW w:w="2451" w:type="dxa"/>
          </w:tcPr>
          <w:p w14:paraId="07C795F5" w14:textId="6A3C31BE" w:rsidR="007151FA" w:rsidRPr="00F82B5D" w:rsidRDefault="00F82B5D" w:rsidP="0044491C">
            <w:pPr>
              <w:pStyle w:val="TableText"/>
              <w:rPr>
                <w:szCs w:val="16"/>
              </w:rPr>
            </w:pPr>
            <w:r w:rsidRPr="00F82B5D">
              <w:rPr>
                <w:szCs w:val="16"/>
                <w:lang w:val="en-US"/>
              </w:rPr>
              <w:t>6 additional members (3</w:t>
            </w:r>
            <w:r w:rsidR="007151FA" w:rsidRPr="00F82B5D">
              <w:rPr>
                <w:szCs w:val="16"/>
                <w:lang w:val="en-US"/>
              </w:rPr>
              <w:t xml:space="preserve"> per year)</w:t>
            </w:r>
          </w:p>
        </w:tc>
      </w:tr>
      <w:tr w:rsidR="007151FA" w14:paraId="49A86AAB" w14:textId="77777777" w:rsidTr="0044491C">
        <w:trPr>
          <w:cantSplit/>
          <w:trHeight w:val="321"/>
        </w:trPr>
        <w:tc>
          <w:tcPr>
            <w:tcW w:w="2444" w:type="dxa"/>
            <w:vMerge/>
          </w:tcPr>
          <w:p w14:paraId="73162D3F" w14:textId="77777777" w:rsidR="007151FA" w:rsidRDefault="007151FA" w:rsidP="0044491C">
            <w:pPr>
              <w:pStyle w:val="TableTextBold"/>
              <w:rPr>
                <w:rStyle w:val="charColoured"/>
                <w:lang w:val="en-US"/>
              </w:rPr>
            </w:pPr>
          </w:p>
        </w:tc>
        <w:tc>
          <w:tcPr>
            <w:tcW w:w="2445" w:type="dxa"/>
          </w:tcPr>
          <w:p w14:paraId="34D2C824" w14:textId="77777777" w:rsidR="007151FA" w:rsidRDefault="007151FA" w:rsidP="0044491C">
            <w:pPr>
              <w:pStyle w:val="TableText"/>
              <w:rPr>
                <w:lang w:val="en-US"/>
              </w:rPr>
            </w:pPr>
          </w:p>
        </w:tc>
        <w:tc>
          <w:tcPr>
            <w:tcW w:w="2445" w:type="dxa"/>
          </w:tcPr>
          <w:p w14:paraId="1554E978" w14:textId="2124F144" w:rsidR="007151FA" w:rsidRDefault="007151FA" w:rsidP="0044491C">
            <w:pPr>
              <w:pStyle w:val="TableText"/>
              <w:rPr>
                <w:lang w:val="en-US"/>
              </w:rPr>
            </w:pPr>
            <w:r>
              <w:rPr>
                <w:szCs w:val="16"/>
                <w:lang w:val="en-US"/>
              </w:rPr>
              <w:t>The Hague System (end 2022</w:t>
            </w:r>
            <w:r w:rsidRPr="004533FB">
              <w:rPr>
                <w:szCs w:val="16"/>
                <w:lang w:val="en-US"/>
              </w:rPr>
              <w:t xml:space="preserve">): </w:t>
            </w:r>
            <w:r w:rsidRPr="006C0F75">
              <w:rPr>
                <w:szCs w:val="16"/>
                <w:lang w:val="en-US"/>
              </w:rPr>
              <w:t>69</w:t>
            </w:r>
            <w:r>
              <w:rPr>
                <w:szCs w:val="16"/>
                <w:lang w:val="en-US"/>
              </w:rPr>
              <w:t xml:space="preserve"> CPs to the Geneva (1999) Act; </w:t>
            </w:r>
            <w:r w:rsidRPr="006C0F75">
              <w:rPr>
                <w:szCs w:val="16"/>
                <w:lang w:val="en-US"/>
              </w:rPr>
              <w:t>34</w:t>
            </w:r>
            <w:r>
              <w:rPr>
                <w:szCs w:val="16"/>
                <w:lang w:val="en-US"/>
              </w:rPr>
              <w:t xml:space="preserve"> CPs to the </w:t>
            </w:r>
            <w:r w:rsidR="0026419C">
              <w:rPr>
                <w:szCs w:val="16"/>
                <w:lang w:val="en-US"/>
              </w:rPr>
              <w:t>Hague</w:t>
            </w:r>
            <w:r>
              <w:rPr>
                <w:szCs w:val="16"/>
                <w:lang w:val="en-US"/>
              </w:rPr>
              <w:t xml:space="preserve"> (1960) Act</w:t>
            </w:r>
          </w:p>
        </w:tc>
        <w:tc>
          <w:tcPr>
            <w:tcW w:w="2451" w:type="dxa"/>
          </w:tcPr>
          <w:p w14:paraId="758D52A5" w14:textId="09F97AD5" w:rsidR="007151FA" w:rsidRPr="00F82B5D" w:rsidRDefault="00F82B5D" w:rsidP="0044491C">
            <w:pPr>
              <w:pStyle w:val="TableText"/>
              <w:rPr>
                <w:szCs w:val="16"/>
              </w:rPr>
            </w:pPr>
            <w:r w:rsidRPr="00F82B5D">
              <w:rPr>
                <w:szCs w:val="16"/>
                <w:lang w:val="en-US"/>
              </w:rPr>
              <w:t>5</w:t>
            </w:r>
            <w:r w:rsidR="007151FA" w:rsidRPr="00F82B5D">
              <w:rPr>
                <w:szCs w:val="16"/>
                <w:lang w:val="en-US"/>
              </w:rPr>
              <w:t xml:space="preserve"> additional members to the Geneva (1999) Act; No additional members to the Hague (1960) Act</w:t>
            </w:r>
          </w:p>
        </w:tc>
      </w:tr>
      <w:tr w:rsidR="007151FA" w14:paraId="6462524E" w14:textId="77777777" w:rsidTr="00844249">
        <w:trPr>
          <w:cantSplit/>
          <w:trHeight w:val="555"/>
        </w:trPr>
        <w:tc>
          <w:tcPr>
            <w:tcW w:w="2444" w:type="dxa"/>
            <w:vMerge/>
          </w:tcPr>
          <w:p w14:paraId="5D10FD28" w14:textId="77777777" w:rsidR="007151FA" w:rsidRDefault="007151FA" w:rsidP="0044491C">
            <w:pPr>
              <w:pStyle w:val="TableTextBold"/>
              <w:rPr>
                <w:rStyle w:val="charColoured"/>
                <w:lang w:val="en-US"/>
              </w:rPr>
            </w:pPr>
          </w:p>
        </w:tc>
        <w:tc>
          <w:tcPr>
            <w:tcW w:w="2445" w:type="dxa"/>
          </w:tcPr>
          <w:p w14:paraId="6FCCDBF8" w14:textId="77777777" w:rsidR="007151FA" w:rsidRDefault="007151FA" w:rsidP="0044491C">
            <w:pPr>
              <w:pStyle w:val="TableText"/>
              <w:rPr>
                <w:lang w:val="en-US"/>
              </w:rPr>
            </w:pPr>
          </w:p>
        </w:tc>
        <w:tc>
          <w:tcPr>
            <w:tcW w:w="2445" w:type="dxa"/>
          </w:tcPr>
          <w:p w14:paraId="211F9D46" w14:textId="77777777" w:rsidR="007151FA" w:rsidRDefault="007151FA" w:rsidP="0044491C">
            <w:pPr>
              <w:pStyle w:val="TableText"/>
              <w:rPr>
                <w:lang w:val="en-US"/>
              </w:rPr>
            </w:pPr>
            <w:r>
              <w:rPr>
                <w:szCs w:val="16"/>
              </w:rPr>
              <w:t>Lisbon System (end 2022</w:t>
            </w:r>
            <w:r w:rsidRPr="0019751E">
              <w:rPr>
                <w:szCs w:val="16"/>
              </w:rPr>
              <w:t>)</w:t>
            </w:r>
            <w:r>
              <w:rPr>
                <w:szCs w:val="16"/>
              </w:rPr>
              <w:t>: 16 CPs to the Geneva (2015) Act; 30 CPs t</w:t>
            </w:r>
            <w:r w:rsidRPr="00CA683D">
              <w:rPr>
                <w:szCs w:val="16"/>
              </w:rPr>
              <w:t>o the Lisbon Agreement (1958 &amp; 1967) Acts</w:t>
            </w:r>
          </w:p>
        </w:tc>
        <w:tc>
          <w:tcPr>
            <w:tcW w:w="2451" w:type="dxa"/>
          </w:tcPr>
          <w:p w14:paraId="54E15AB9" w14:textId="2E0281C7" w:rsidR="007151FA" w:rsidRPr="00F82B5D" w:rsidRDefault="00A56017" w:rsidP="0044491C">
            <w:pPr>
              <w:pStyle w:val="TableText"/>
              <w:rPr>
                <w:szCs w:val="16"/>
              </w:rPr>
            </w:pPr>
            <w:r>
              <w:rPr>
                <w:szCs w:val="16"/>
                <w:lang w:val="en-US"/>
              </w:rPr>
              <w:t>6</w:t>
            </w:r>
            <w:r w:rsidR="007151FA" w:rsidRPr="00F82B5D">
              <w:rPr>
                <w:szCs w:val="16"/>
                <w:lang w:val="en-US"/>
              </w:rPr>
              <w:t xml:space="preserve"> additional members to the Geneva (2015) Act; No additional members to the Lisbon Agreement (1958 &amp; 1967) Acts</w:t>
            </w:r>
          </w:p>
        </w:tc>
      </w:tr>
      <w:tr w:rsidR="007151FA" w14:paraId="7FE6F38D" w14:textId="77777777" w:rsidTr="0044491C">
        <w:trPr>
          <w:cantSplit/>
          <w:trHeight w:val="303"/>
        </w:trPr>
        <w:tc>
          <w:tcPr>
            <w:tcW w:w="2444" w:type="dxa"/>
            <w:vMerge/>
            <w:vAlign w:val="center"/>
            <w:hideMark/>
          </w:tcPr>
          <w:p w14:paraId="2AFC7824" w14:textId="77777777" w:rsidR="007151FA" w:rsidRDefault="007151FA" w:rsidP="0044491C">
            <w:pPr>
              <w:rPr>
                <w:rStyle w:val="charColoured"/>
                <w:rFonts w:ascii="Arial Narrow" w:hAnsi="Arial Narrow"/>
                <w:b/>
                <w:sz w:val="16"/>
              </w:rPr>
            </w:pPr>
          </w:p>
        </w:tc>
        <w:tc>
          <w:tcPr>
            <w:tcW w:w="2445" w:type="dxa"/>
            <w:hideMark/>
          </w:tcPr>
          <w:p w14:paraId="3299D5F2" w14:textId="77777777" w:rsidR="007151FA" w:rsidRDefault="007151FA" w:rsidP="0044491C">
            <w:pPr>
              <w:pStyle w:val="TableText"/>
              <w:rPr>
                <w:lang w:val="en-US"/>
              </w:rPr>
            </w:pPr>
            <w:r>
              <w:rPr>
                <w:lang w:val="en-US"/>
              </w:rPr>
              <w:t>Filing Rate</w:t>
            </w:r>
          </w:p>
        </w:tc>
        <w:tc>
          <w:tcPr>
            <w:tcW w:w="2445" w:type="dxa"/>
          </w:tcPr>
          <w:p w14:paraId="52B168B9" w14:textId="439E358E" w:rsidR="007151FA" w:rsidRDefault="007151FA" w:rsidP="00565B19">
            <w:pPr>
              <w:pStyle w:val="TableText"/>
              <w:rPr>
                <w:lang w:val="en-US"/>
              </w:rPr>
            </w:pPr>
            <w:r>
              <w:rPr>
                <w:lang w:val="en-US"/>
              </w:rPr>
              <w:t xml:space="preserve">Madrid System applications: 69,000 </w:t>
            </w:r>
          </w:p>
        </w:tc>
        <w:tc>
          <w:tcPr>
            <w:tcW w:w="2451" w:type="dxa"/>
          </w:tcPr>
          <w:p w14:paraId="7B0B69CE" w14:textId="2C484FCE" w:rsidR="007151FA" w:rsidRDefault="007151FA" w:rsidP="00565B19">
            <w:pPr>
              <w:pStyle w:val="TableText"/>
              <w:rPr>
                <w:szCs w:val="16"/>
              </w:rPr>
            </w:pPr>
            <w:r w:rsidRPr="005C08DC">
              <w:rPr>
                <w:szCs w:val="16"/>
              </w:rPr>
              <w:t>2024: 7</w:t>
            </w:r>
            <w:r w:rsidR="00565B19">
              <w:rPr>
                <w:szCs w:val="16"/>
              </w:rPr>
              <w:t>2</w:t>
            </w:r>
            <w:r w:rsidRPr="005C08DC">
              <w:rPr>
                <w:szCs w:val="16"/>
              </w:rPr>
              <w:t>,</w:t>
            </w:r>
            <w:r w:rsidR="00565B19">
              <w:rPr>
                <w:szCs w:val="16"/>
              </w:rPr>
              <w:t>9</w:t>
            </w:r>
            <w:r w:rsidRPr="005C08DC">
              <w:rPr>
                <w:szCs w:val="16"/>
              </w:rPr>
              <w:t>00;      2025: 7</w:t>
            </w:r>
            <w:r w:rsidR="00565B19">
              <w:rPr>
                <w:szCs w:val="16"/>
              </w:rPr>
              <w:t>5</w:t>
            </w:r>
            <w:r w:rsidRPr="005C08DC">
              <w:rPr>
                <w:szCs w:val="16"/>
              </w:rPr>
              <w:t>,</w:t>
            </w:r>
            <w:r w:rsidR="00565B19">
              <w:rPr>
                <w:szCs w:val="16"/>
              </w:rPr>
              <w:t>0</w:t>
            </w:r>
            <w:r w:rsidRPr="005C08DC">
              <w:rPr>
                <w:szCs w:val="16"/>
              </w:rPr>
              <w:t>00</w:t>
            </w:r>
          </w:p>
        </w:tc>
      </w:tr>
      <w:tr w:rsidR="007151FA" w14:paraId="0809B26C" w14:textId="77777777" w:rsidTr="00844249">
        <w:trPr>
          <w:cantSplit/>
          <w:trHeight w:val="87"/>
        </w:trPr>
        <w:tc>
          <w:tcPr>
            <w:tcW w:w="2444" w:type="dxa"/>
            <w:vAlign w:val="center"/>
          </w:tcPr>
          <w:p w14:paraId="5A1A61D4" w14:textId="77777777" w:rsidR="007151FA" w:rsidRDefault="007151FA" w:rsidP="00844249">
            <w:pPr>
              <w:spacing w:after="0"/>
              <w:rPr>
                <w:rStyle w:val="charColoured"/>
                <w:rFonts w:ascii="Arial Narrow" w:hAnsi="Arial Narrow"/>
                <w:b/>
                <w:sz w:val="16"/>
              </w:rPr>
            </w:pPr>
          </w:p>
        </w:tc>
        <w:tc>
          <w:tcPr>
            <w:tcW w:w="2445" w:type="dxa"/>
          </w:tcPr>
          <w:p w14:paraId="4127FABA" w14:textId="77777777" w:rsidR="007151FA" w:rsidRDefault="007151FA" w:rsidP="0044491C">
            <w:pPr>
              <w:pStyle w:val="TableText"/>
              <w:rPr>
                <w:lang w:val="en-US"/>
              </w:rPr>
            </w:pPr>
          </w:p>
        </w:tc>
        <w:tc>
          <w:tcPr>
            <w:tcW w:w="2445" w:type="dxa"/>
          </w:tcPr>
          <w:p w14:paraId="35CA7CF3" w14:textId="6D2A648F" w:rsidR="007151FA" w:rsidRDefault="0026419C" w:rsidP="00565B19">
            <w:pPr>
              <w:pStyle w:val="TableText"/>
              <w:rPr>
                <w:lang w:val="en-US"/>
              </w:rPr>
            </w:pPr>
            <w:r>
              <w:rPr>
                <w:lang w:val="en-US"/>
              </w:rPr>
              <w:t>The Hague System a</w:t>
            </w:r>
            <w:r w:rsidR="007151FA">
              <w:rPr>
                <w:lang w:val="en-US"/>
              </w:rPr>
              <w:t>pplications: 7,97</w:t>
            </w:r>
            <w:r w:rsidR="00565B19">
              <w:rPr>
                <w:lang w:val="en-US"/>
              </w:rPr>
              <w:t>7</w:t>
            </w:r>
          </w:p>
        </w:tc>
        <w:tc>
          <w:tcPr>
            <w:tcW w:w="2451" w:type="dxa"/>
          </w:tcPr>
          <w:p w14:paraId="342845C7" w14:textId="2C05FD8B" w:rsidR="007151FA" w:rsidRDefault="007151FA" w:rsidP="00565B19">
            <w:pPr>
              <w:pStyle w:val="TableText"/>
              <w:rPr>
                <w:szCs w:val="16"/>
              </w:rPr>
            </w:pPr>
            <w:r w:rsidRPr="005C08DC">
              <w:rPr>
                <w:szCs w:val="16"/>
              </w:rPr>
              <w:t>2024: 9,9</w:t>
            </w:r>
            <w:r w:rsidR="00565B19">
              <w:rPr>
                <w:szCs w:val="16"/>
              </w:rPr>
              <w:t>7</w:t>
            </w:r>
            <w:r w:rsidRPr="005C08DC">
              <w:rPr>
                <w:szCs w:val="16"/>
              </w:rPr>
              <w:t xml:space="preserve">0;        2025: </w:t>
            </w:r>
            <w:r>
              <w:rPr>
                <w:szCs w:val="16"/>
              </w:rPr>
              <w:t>10,</w:t>
            </w:r>
            <w:r w:rsidR="00565B19">
              <w:rPr>
                <w:szCs w:val="16"/>
              </w:rPr>
              <w:t>84</w:t>
            </w:r>
            <w:r>
              <w:rPr>
                <w:szCs w:val="16"/>
              </w:rPr>
              <w:t>0</w:t>
            </w:r>
          </w:p>
        </w:tc>
      </w:tr>
      <w:tr w:rsidR="007151FA" w14:paraId="0FCE90A6" w14:textId="77777777" w:rsidTr="00B47A61">
        <w:trPr>
          <w:cantSplit/>
          <w:trHeight w:val="267"/>
        </w:trPr>
        <w:tc>
          <w:tcPr>
            <w:tcW w:w="2444" w:type="dxa"/>
            <w:tcBorders>
              <w:bottom w:val="single" w:sz="4" w:space="0" w:color="CBD4DB" w:themeColor="accent4" w:themeTint="99"/>
            </w:tcBorders>
            <w:vAlign w:val="center"/>
          </w:tcPr>
          <w:p w14:paraId="770E8584" w14:textId="77777777" w:rsidR="007151FA" w:rsidRDefault="007151FA" w:rsidP="0044491C">
            <w:pPr>
              <w:rPr>
                <w:rStyle w:val="charColoured"/>
                <w:rFonts w:ascii="Arial Narrow" w:hAnsi="Arial Narrow"/>
                <w:b/>
                <w:sz w:val="16"/>
              </w:rPr>
            </w:pPr>
          </w:p>
        </w:tc>
        <w:tc>
          <w:tcPr>
            <w:tcW w:w="2445" w:type="dxa"/>
            <w:tcBorders>
              <w:bottom w:val="single" w:sz="4" w:space="0" w:color="CBD4DB" w:themeColor="accent4" w:themeTint="99"/>
            </w:tcBorders>
          </w:tcPr>
          <w:p w14:paraId="03250035" w14:textId="77777777" w:rsidR="007151FA" w:rsidRDefault="007151FA" w:rsidP="0044491C">
            <w:pPr>
              <w:pStyle w:val="TableText"/>
              <w:rPr>
                <w:lang w:val="en-US"/>
              </w:rPr>
            </w:pPr>
          </w:p>
        </w:tc>
        <w:tc>
          <w:tcPr>
            <w:tcW w:w="2445" w:type="dxa"/>
            <w:tcBorders>
              <w:bottom w:val="single" w:sz="4" w:space="0" w:color="CBD4DB" w:themeColor="accent4" w:themeTint="99"/>
            </w:tcBorders>
          </w:tcPr>
          <w:p w14:paraId="3D85B06B" w14:textId="57B586A4" w:rsidR="007151FA" w:rsidRDefault="007151FA" w:rsidP="0044491C">
            <w:pPr>
              <w:pStyle w:val="TableText"/>
              <w:rPr>
                <w:lang w:val="en-US"/>
              </w:rPr>
            </w:pPr>
            <w:r>
              <w:rPr>
                <w:lang w:val="en-US"/>
              </w:rPr>
              <w:t xml:space="preserve">Lisbon System </w:t>
            </w:r>
            <w:r w:rsidR="0026419C">
              <w:rPr>
                <w:lang w:val="en-US"/>
              </w:rPr>
              <w:t>international</w:t>
            </w:r>
            <w:r>
              <w:rPr>
                <w:lang w:val="en-US"/>
              </w:rPr>
              <w:t xml:space="preserve"> applications: 31</w:t>
            </w:r>
          </w:p>
        </w:tc>
        <w:tc>
          <w:tcPr>
            <w:tcW w:w="2451" w:type="dxa"/>
            <w:tcBorders>
              <w:bottom w:val="single" w:sz="4" w:space="0" w:color="CBD4DB" w:themeColor="accent4" w:themeTint="99"/>
            </w:tcBorders>
          </w:tcPr>
          <w:p w14:paraId="4CCDD76F" w14:textId="77777777" w:rsidR="007151FA" w:rsidRDefault="007151FA" w:rsidP="0044491C">
            <w:pPr>
              <w:pStyle w:val="TableText"/>
              <w:rPr>
                <w:szCs w:val="16"/>
              </w:rPr>
            </w:pPr>
            <w:r>
              <w:rPr>
                <w:szCs w:val="16"/>
                <w:lang w:val="en-US"/>
              </w:rPr>
              <w:t>80 per year (16</w:t>
            </w:r>
            <w:r w:rsidRPr="002C52F9">
              <w:rPr>
                <w:szCs w:val="16"/>
                <w:lang w:val="en-US"/>
              </w:rPr>
              <w:t xml:space="preserve">0 applications for </w:t>
            </w:r>
            <w:r>
              <w:rPr>
                <w:szCs w:val="16"/>
                <w:lang w:val="en-US"/>
              </w:rPr>
              <w:t>2024/25</w:t>
            </w:r>
            <w:r w:rsidRPr="002C52F9">
              <w:rPr>
                <w:szCs w:val="16"/>
                <w:lang w:val="en-US"/>
              </w:rPr>
              <w:t>)</w:t>
            </w:r>
          </w:p>
        </w:tc>
      </w:tr>
      <w:tr w:rsidR="007151FA" w14:paraId="36E805BF" w14:textId="77777777" w:rsidTr="00B47A61">
        <w:trPr>
          <w:cantSplit/>
          <w:trHeight w:val="1059"/>
        </w:trPr>
        <w:tc>
          <w:tcPr>
            <w:tcW w:w="2444" w:type="dxa"/>
            <w:tcBorders>
              <w:top w:val="single" w:sz="4" w:space="0" w:color="CBD4DB" w:themeColor="accent4" w:themeTint="99"/>
              <w:bottom w:val="single" w:sz="4" w:space="0" w:color="CBD4DB" w:themeColor="accent4" w:themeTint="99"/>
            </w:tcBorders>
          </w:tcPr>
          <w:p w14:paraId="028FE32F" w14:textId="77777777" w:rsidR="007151FA" w:rsidRDefault="007151FA" w:rsidP="0044491C">
            <w:pPr>
              <w:pStyle w:val="TableTextBold"/>
              <w:rPr>
                <w:rStyle w:val="charColoured"/>
              </w:rPr>
            </w:pPr>
          </w:p>
        </w:tc>
        <w:tc>
          <w:tcPr>
            <w:tcW w:w="2445" w:type="dxa"/>
            <w:tcBorders>
              <w:top w:val="single" w:sz="4" w:space="0" w:color="CBD4DB" w:themeColor="accent4" w:themeTint="99"/>
              <w:bottom w:val="single" w:sz="4" w:space="0" w:color="CBD4DB" w:themeColor="accent4" w:themeTint="99"/>
            </w:tcBorders>
            <w:hideMark/>
          </w:tcPr>
          <w:p w14:paraId="650B425C" w14:textId="77777777" w:rsidR="007151FA" w:rsidRDefault="007151FA" w:rsidP="0044491C">
            <w:pPr>
              <w:pStyle w:val="TableText"/>
            </w:pPr>
            <w:r>
              <w:rPr>
                <w:lang w:val="en-US"/>
              </w:rPr>
              <w:t>No. of unique visitors to the Global Database Systems</w:t>
            </w:r>
          </w:p>
          <w:p w14:paraId="7BFDBDC7" w14:textId="77777777" w:rsidR="007151FA" w:rsidRDefault="007151FA" w:rsidP="0044491C">
            <w:pPr>
              <w:pStyle w:val="TableText"/>
              <w:rPr>
                <w:lang w:val="en-US"/>
              </w:rPr>
            </w:pPr>
            <w:r>
              <w:rPr>
                <w:lang w:val="en-US"/>
              </w:rPr>
              <w:t>- PATENTSCOPE</w:t>
            </w:r>
          </w:p>
          <w:p w14:paraId="506683E3" w14:textId="77777777" w:rsidR="007151FA" w:rsidRDefault="007151FA" w:rsidP="0044491C">
            <w:pPr>
              <w:pStyle w:val="TableText"/>
              <w:rPr>
                <w:lang w:val="en-US"/>
              </w:rPr>
            </w:pPr>
            <w:r>
              <w:rPr>
                <w:lang w:val="en-US"/>
              </w:rPr>
              <w:t>- Global Brand Database (GBD)</w:t>
            </w:r>
          </w:p>
          <w:p w14:paraId="07DE7A67" w14:textId="77777777" w:rsidR="007151FA" w:rsidRDefault="007151FA" w:rsidP="0044491C">
            <w:pPr>
              <w:pStyle w:val="TableText"/>
              <w:rPr>
                <w:lang w:val="en-US"/>
              </w:rPr>
            </w:pPr>
            <w:r>
              <w:rPr>
                <w:lang w:val="en-US"/>
              </w:rPr>
              <w:t>- Global Design Database (GDD)</w:t>
            </w:r>
          </w:p>
        </w:tc>
        <w:tc>
          <w:tcPr>
            <w:tcW w:w="2445" w:type="dxa"/>
            <w:tcBorders>
              <w:top w:val="single" w:sz="4" w:space="0" w:color="CBD4DB" w:themeColor="accent4" w:themeTint="99"/>
              <w:bottom w:val="single" w:sz="4" w:space="0" w:color="CBD4DB" w:themeColor="accent4" w:themeTint="99"/>
            </w:tcBorders>
          </w:tcPr>
          <w:p w14:paraId="7D0A7A36" w14:textId="77777777" w:rsidR="007151FA" w:rsidRPr="00D54D7F" w:rsidRDefault="007151FA" w:rsidP="0044491C">
            <w:pPr>
              <w:pStyle w:val="TableText"/>
              <w:rPr>
                <w:lang w:val="fr-CH"/>
              </w:rPr>
            </w:pPr>
            <w:r w:rsidRPr="00D54D7F">
              <w:rPr>
                <w:lang w:val="fr-CH"/>
              </w:rPr>
              <w:t xml:space="preserve">PATENTSCOPE: </w:t>
            </w:r>
            <w:r>
              <w:rPr>
                <w:lang w:val="fr-CH"/>
              </w:rPr>
              <w:t>1,493,595 (Q4 2022)</w:t>
            </w:r>
          </w:p>
          <w:p w14:paraId="15FF5DAF" w14:textId="77777777" w:rsidR="007151FA" w:rsidRPr="00D54D7F" w:rsidRDefault="007151FA" w:rsidP="0044491C">
            <w:pPr>
              <w:pStyle w:val="TableText"/>
              <w:rPr>
                <w:lang w:val="fr-CH"/>
              </w:rPr>
            </w:pPr>
            <w:r w:rsidRPr="00D54D7F">
              <w:rPr>
                <w:lang w:val="fr-CH"/>
              </w:rPr>
              <w:t xml:space="preserve">GBD: </w:t>
            </w:r>
            <w:r>
              <w:rPr>
                <w:lang w:val="fr-CH"/>
              </w:rPr>
              <w:t>1,264,722 (Q4 2022)</w:t>
            </w:r>
          </w:p>
          <w:p w14:paraId="00B9C3FE" w14:textId="77777777" w:rsidR="007151FA" w:rsidRPr="003E181A" w:rsidRDefault="007151FA" w:rsidP="0044491C">
            <w:pPr>
              <w:pStyle w:val="TableText"/>
              <w:rPr>
                <w:lang w:val="fr-CH"/>
              </w:rPr>
            </w:pPr>
            <w:r>
              <w:rPr>
                <w:lang w:val="fr-CH"/>
              </w:rPr>
              <w:t>GDD : 138,815 (Q4 2022)</w:t>
            </w:r>
          </w:p>
        </w:tc>
        <w:tc>
          <w:tcPr>
            <w:tcW w:w="2451" w:type="dxa"/>
            <w:tcBorders>
              <w:top w:val="single" w:sz="4" w:space="0" w:color="CBD4DB" w:themeColor="accent4" w:themeTint="99"/>
              <w:bottom w:val="single" w:sz="4" w:space="0" w:color="CBD4DB" w:themeColor="accent4" w:themeTint="99"/>
            </w:tcBorders>
          </w:tcPr>
          <w:p w14:paraId="71A08A56" w14:textId="77777777" w:rsidR="007151FA" w:rsidRDefault="007151FA" w:rsidP="0044491C">
            <w:pPr>
              <w:pStyle w:val="TableText"/>
              <w:rPr>
                <w:szCs w:val="16"/>
              </w:rPr>
            </w:pPr>
            <w:r>
              <w:rPr>
                <w:szCs w:val="16"/>
                <w:lang w:val="fr-CH"/>
              </w:rPr>
              <w:t>20% increase (biennium)</w:t>
            </w:r>
          </w:p>
        </w:tc>
      </w:tr>
      <w:tr w:rsidR="007151FA" w14:paraId="60A0295D" w14:textId="77777777" w:rsidTr="00B47A61">
        <w:trPr>
          <w:cantSplit/>
          <w:trHeight w:val="339"/>
        </w:trPr>
        <w:tc>
          <w:tcPr>
            <w:tcW w:w="2444" w:type="dxa"/>
            <w:tcBorders>
              <w:top w:val="single" w:sz="4" w:space="0" w:color="CBD4DB" w:themeColor="accent4" w:themeTint="99"/>
            </w:tcBorders>
          </w:tcPr>
          <w:p w14:paraId="7E31432E" w14:textId="77777777" w:rsidR="007151FA" w:rsidRDefault="007151FA" w:rsidP="0044491C">
            <w:pPr>
              <w:pStyle w:val="TableTextBold"/>
              <w:rPr>
                <w:rStyle w:val="charColoured"/>
              </w:rPr>
            </w:pPr>
            <w:r>
              <w:rPr>
                <w:rStyle w:val="charColoured"/>
                <w:lang w:val="en-US"/>
              </w:rPr>
              <w:t xml:space="preserve">3.3  </w:t>
            </w:r>
            <w:r w:rsidRPr="00F17212">
              <w:rPr>
                <w:lang w:val="en-US"/>
              </w:rPr>
              <w:t>Knowledge transfer and technology adaptation is facilitated through WIPO’s IP-based platforms and tools to address global challenges</w:t>
            </w:r>
          </w:p>
        </w:tc>
        <w:tc>
          <w:tcPr>
            <w:tcW w:w="2445" w:type="dxa"/>
            <w:tcBorders>
              <w:top w:val="single" w:sz="4" w:space="0" w:color="CBD4DB" w:themeColor="accent4" w:themeTint="99"/>
            </w:tcBorders>
          </w:tcPr>
          <w:p w14:paraId="42EB30E6" w14:textId="77777777" w:rsidR="007151FA" w:rsidRDefault="007151FA" w:rsidP="0044491C">
            <w:pPr>
              <w:pStyle w:val="TableText"/>
              <w:rPr>
                <w:lang w:val="en-US"/>
              </w:rPr>
            </w:pPr>
            <w:r w:rsidRPr="00F17212">
              <w:rPr>
                <w:lang w:val="en-US"/>
              </w:rPr>
              <w:t>No. of matches between green technology seekers and provid</w:t>
            </w:r>
            <w:r>
              <w:rPr>
                <w:lang w:val="en-US"/>
              </w:rPr>
              <w:t>ers via the WIPO GREEN platform</w:t>
            </w:r>
            <w:r w:rsidRPr="00F17212">
              <w:rPr>
                <w:lang w:val="en-US"/>
              </w:rPr>
              <w:t xml:space="preserve"> and through Acceleration Projects</w:t>
            </w:r>
            <w:r w:rsidRPr="00F17212" w:rsidDel="008D4E6F">
              <w:rPr>
                <w:lang w:val="en-US"/>
              </w:rPr>
              <w:t xml:space="preserve"> </w:t>
            </w:r>
          </w:p>
        </w:tc>
        <w:tc>
          <w:tcPr>
            <w:tcW w:w="2445" w:type="dxa"/>
            <w:tcBorders>
              <w:top w:val="single" w:sz="4" w:space="0" w:color="CBD4DB" w:themeColor="accent4" w:themeTint="99"/>
            </w:tcBorders>
          </w:tcPr>
          <w:p w14:paraId="53BFC4B1" w14:textId="77777777" w:rsidR="007151FA" w:rsidRDefault="007151FA" w:rsidP="0044491C">
            <w:pPr>
              <w:pStyle w:val="TableText"/>
              <w:rPr>
                <w:lang w:val="en-US"/>
              </w:rPr>
            </w:pPr>
            <w:r>
              <w:rPr>
                <w:lang w:val="en-US"/>
              </w:rPr>
              <w:t>11 (cumulative end 2022)</w:t>
            </w:r>
          </w:p>
        </w:tc>
        <w:tc>
          <w:tcPr>
            <w:tcW w:w="2451" w:type="dxa"/>
            <w:tcBorders>
              <w:top w:val="single" w:sz="4" w:space="0" w:color="CBD4DB" w:themeColor="accent4" w:themeTint="99"/>
            </w:tcBorders>
          </w:tcPr>
          <w:p w14:paraId="7EE98BAB" w14:textId="6810F935" w:rsidR="007151FA" w:rsidRDefault="00FE7F45" w:rsidP="0044491C">
            <w:pPr>
              <w:pStyle w:val="TableText"/>
              <w:rPr>
                <w:szCs w:val="16"/>
              </w:rPr>
            </w:pPr>
            <w:r>
              <w:rPr>
                <w:szCs w:val="16"/>
              </w:rPr>
              <w:t>12</w:t>
            </w:r>
            <w:r w:rsidR="007151FA">
              <w:rPr>
                <w:szCs w:val="16"/>
              </w:rPr>
              <w:t xml:space="preserve"> additional in the biennium</w:t>
            </w:r>
          </w:p>
        </w:tc>
      </w:tr>
      <w:tr w:rsidR="007151FA" w14:paraId="2F681549" w14:textId="77777777" w:rsidTr="0044491C">
        <w:trPr>
          <w:cantSplit/>
          <w:trHeight w:val="285"/>
        </w:trPr>
        <w:tc>
          <w:tcPr>
            <w:tcW w:w="2444" w:type="dxa"/>
            <w:shd w:val="clear" w:color="auto" w:fill="EDF0F3" w:themeFill="accent4" w:themeFillTint="33"/>
            <w:hideMark/>
          </w:tcPr>
          <w:p w14:paraId="7B5FB391" w14:textId="77777777" w:rsidR="007151FA" w:rsidRDefault="007151FA" w:rsidP="0044491C">
            <w:pPr>
              <w:pStyle w:val="TableHeading"/>
              <w:rPr>
                <w:b w:val="0"/>
                <w:i/>
                <w:color w:val="005172" w:themeColor="text2"/>
                <w:lang w:val="en-US"/>
              </w:rPr>
            </w:pPr>
            <w:r>
              <w:rPr>
                <w:b w:val="0"/>
                <w:i/>
                <w:color w:val="005172" w:themeColor="text2"/>
                <w:lang w:val="en-US"/>
              </w:rPr>
              <w:t>Strategic Pillar 4</w:t>
            </w:r>
          </w:p>
        </w:tc>
        <w:tc>
          <w:tcPr>
            <w:tcW w:w="7341" w:type="dxa"/>
            <w:gridSpan w:val="3"/>
            <w:shd w:val="clear" w:color="auto" w:fill="EDF0F3" w:themeFill="accent4" w:themeFillTint="33"/>
            <w:hideMark/>
          </w:tcPr>
          <w:p w14:paraId="2178B943" w14:textId="77777777" w:rsidR="007151FA" w:rsidRDefault="007151FA" w:rsidP="0044491C">
            <w:pPr>
              <w:pStyle w:val="TableHeading"/>
              <w:rPr>
                <w:b w:val="0"/>
                <w:i/>
                <w:color w:val="005172" w:themeColor="text2"/>
                <w:lang w:val="en-US"/>
              </w:rPr>
            </w:pPr>
            <w:r>
              <w:rPr>
                <w:b w:val="0"/>
                <w:i/>
                <w:color w:val="005172" w:themeColor="text2"/>
                <w:lang w:val="en-US"/>
              </w:rPr>
              <w:t>Support governments, enterprises, communities and individuals to use intellectual property as a tool for growth and sustainable development</w:t>
            </w:r>
          </w:p>
        </w:tc>
      </w:tr>
      <w:tr w:rsidR="007151FA" w14:paraId="49B77575" w14:textId="77777777" w:rsidTr="0044491C">
        <w:trPr>
          <w:cantSplit/>
          <w:trHeight w:val="495"/>
        </w:trPr>
        <w:tc>
          <w:tcPr>
            <w:tcW w:w="2444" w:type="dxa"/>
            <w:vMerge w:val="restart"/>
            <w:tcBorders>
              <w:top w:val="nil"/>
              <w:left w:val="nil"/>
              <w:bottom w:val="single" w:sz="4" w:space="0" w:color="BFBFBF" w:themeColor="background1" w:themeShade="BF"/>
              <w:right w:val="nil"/>
            </w:tcBorders>
            <w:hideMark/>
          </w:tcPr>
          <w:p w14:paraId="4705521C" w14:textId="11050A47" w:rsidR="007151FA" w:rsidRDefault="007151FA" w:rsidP="0044491C">
            <w:pPr>
              <w:pStyle w:val="TableTextBold"/>
              <w:rPr>
                <w:rStyle w:val="charColoured"/>
              </w:rPr>
            </w:pPr>
            <w:r w:rsidRPr="00024593">
              <w:rPr>
                <w:rStyle w:val="charColoured"/>
                <w:lang w:val="en-US"/>
              </w:rPr>
              <w:t xml:space="preserve">4.1  </w:t>
            </w:r>
            <w:r w:rsidR="001048EB">
              <w:t>More effective use of a balanced IP system to support growth</w:t>
            </w:r>
            <w:r w:rsidR="00D779AD">
              <w:t xml:space="preserve"> </w:t>
            </w:r>
            <w:r w:rsidRPr="00024593">
              <w:t>and development of</w:t>
            </w:r>
            <w:r w:rsidRPr="0070015D">
              <w:t xml:space="preserve"> all Member States and their relevant regions and sub-regions, including through the mainstreaming of the Development Agenda recommendations</w:t>
            </w:r>
          </w:p>
        </w:tc>
        <w:tc>
          <w:tcPr>
            <w:tcW w:w="2445" w:type="dxa"/>
            <w:hideMark/>
          </w:tcPr>
          <w:p w14:paraId="322BC5AD" w14:textId="77777777" w:rsidR="007151FA" w:rsidRDefault="007151FA" w:rsidP="0044491C">
            <w:pPr>
              <w:pStyle w:val="TableText"/>
            </w:pPr>
            <w:r>
              <w:rPr>
                <w:lang w:val="en-US"/>
              </w:rPr>
              <w:t>Implementation of topics on IP and Development discussed in the CDIP</w:t>
            </w:r>
          </w:p>
        </w:tc>
        <w:tc>
          <w:tcPr>
            <w:tcW w:w="2445" w:type="dxa"/>
          </w:tcPr>
          <w:p w14:paraId="544B5EF4" w14:textId="77777777" w:rsidR="007151FA" w:rsidRDefault="007151FA" w:rsidP="0044491C">
            <w:pPr>
              <w:pStyle w:val="TableText"/>
              <w:rPr>
                <w:lang w:val="en-US"/>
              </w:rPr>
            </w:pPr>
            <w:r>
              <w:rPr>
                <w:szCs w:val="16"/>
                <w:lang w:val="en-US"/>
              </w:rPr>
              <w:t xml:space="preserve">CDIP work on IP and Development-related topics implemented </w:t>
            </w:r>
            <w:r w:rsidRPr="00EE1D65">
              <w:rPr>
                <w:szCs w:val="16"/>
                <w:lang w:val="en-US"/>
              </w:rPr>
              <w:t xml:space="preserve">in accordance with the agreed agendas of </w:t>
            </w:r>
            <w:r>
              <w:rPr>
                <w:szCs w:val="16"/>
                <w:lang w:val="en-US"/>
              </w:rPr>
              <w:t>CDIP 28 and CDIP 29</w:t>
            </w:r>
          </w:p>
        </w:tc>
        <w:tc>
          <w:tcPr>
            <w:tcW w:w="2451" w:type="dxa"/>
          </w:tcPr>
          <w:p w14:paraId="6A86A010" w14:textId="77777777" w:rsidR="007151FA" w:rsidRDefault="007151FA" w:rsidP="0044491C">
            <w:pPr>
              <w:pStyle w:val="TableText"/>
              <w:rPr>
                <w:lang w:val="en-US"/>
              </w:rPr>
            </w:pPr>
            <w:r w:rsidRPr="001F205C">
              <w:rPr>
                <w:lang w:val="en-US"/>
              </w:rPr>
              <w:t>Implementation of agreed work in accordance with the CDIP agenda</w:t>
            </w:r>
          </w:p>
        </w:tc>
      </w:tr>
      <w:tr w:rsidR="007151FA" w14:paraId="7D1E3488" w14:textId="77777777" w:rsidTr="0044491C">
        <w:trPr>
          <w:cantSplit/>
          <w:trHeight w:val="888"/>
        </w:trPr>
        <w:tc>
          <w:tcPr>
            <w:tcW w:w="2444" w:type="dxa"/>
            <w:vMerge/>
            <w:tcBorders>
              <w:top w:val="nil"/>
              <w:left w:val="nil"/>
              <w:bottom w:val="single" w:sz="4" w:space="0" w:color="BFBFBF" w:themeColor="background1" w:themeShade="BF"/>
              <w:right w:val="nil"/>
            </w:tcBorders>
            <w:vAlign w:val="center"/>
            <w:hideMark/>
          </w:tcPr>
          <w:p w14:paraId="1E21D5B5" w14:textId="77777777" w:rsidR="007151FA" w:rsidRDefault="007151FA" w:rsidP="0044491C">
            <w:pPr>
              <w:rPr>
                <w:rStyle w:val="charColoured"/>
                <w:rFonts w:ascii="Arial Narrow" w:hAnsi="Arial Narrow"/>
                <w:b/>
                <w:sz w:val="16"/>
              </w:rPr>
            </w:pPr>
          </w:p>
        </w:tc>
        <w:tc>
          <w:tcPr>
            <w:tcW w:w="2445" w:type="dxa"/>
            <w:tcBorders>
              <w:top w:val="nil"/>
              <w:left w:val="nil"/>
              <w:bottom w:val="single" w:sz="4" w:space="0" w:color="BFBFBF" w:themeColor="background1" w:themeShade="BF"/>
              <w:right w:val="nil"/>
            </w:tcBorders>
            <w:hideMark/>
          </w:tcPr>
          <w:p w14:paraId="1310502E" w14:textId="77777777" w:rsidR="007151FA" w:rsidRDefault="007151FA" w:rsidP="0044491C">
            <w:pPr>
              <w:pStyle w:val="TableText"/>
              <w:rPr>
                <w:lang w:val="en-US"/>
              </w:rPr>
            </w:pPr>
            <w:r>
              <w:rPr>
                <w:lang w:val="en-US"/>
              </w:rPr>
              <w:t>No. of national, sub-regional and regional projects, including those implemented through partnership frameworks, that have achieved their expected benefits or completed important milestones</w:t>
            </w:r>
          </w:p>
        </w:tc>
        <w:tc>
          <w:tcPr>
            <w:tcW w:w="2445" w:type="dxa"/>
            <w:tcBorders>
              <w:top w:val="nil"/>
              <w:left w:val="nil"/>
              <w:bottom w:val="single" w:sz="4" w:space="0" w:color="BFBFBF" w:themeColor="background1" w:themeShade="BF"/>
              <w:right w:val="nil"/>
            </w:tcBorders>
          </w:tcPr>
          <w:p w14:paraId="73E0BCDD" w14:textId="77777777" w:rsidR="007151FA" w:rsidRDefault="007151FA" w:rsidP="0044491C">
            <w:pPr>
              <w:pStyle w:val="TableText"/>
              <w:rPr>
                <w:lang w:val="en-US"/>
              </w:rPr>
            </w:pPr>
            <w:r>
              <w:rPr>
                <w:lang w:val="en-US"/>
              </w:rPr>
              <w:t>26 projects</w:t>
            </w:r>
          </w:p>
        </w:tc>
        <w:tc>
          <w:tcPr>
            <w:tcW w:w="2451" w:type="dxa"/>
            <w:tcBorders>
              <w:top w:val="nil"/>
              <w:left w:val="nil"/>
              <w:bottom w:val="single" w:sz="4" w:space="0" w:color="BFBFBF" w:themeColor="background1" w:themeShade="BF"/>
              <w:right w:val="nil"/>
            </w:tcBorders>
          </w:tcPr>
          <w:p w14:paraId="0FBA676B" w14:textId="28CB9481" w:rsidR="007151FA" w:rsidRDefault="00340FA0" w:rsidP="0044491C">
            <w:pPr>
              <w:pStyle w:val="TableText"/>
              <w:rPr>
                <w:lang w:val="en-US"/>
              </w:rPr>
            </w:pPr>
            <w:r w:rsidRPr="00340FA0">
              <w:rPr>
                <w:lang w:val="en-US"/>
              </w:rPr>
              <w:t>45</w:t>
            </w:r>
          </w:p>
        </w:tc>
      </w:tr>
      <w:tr w:rsidR="007151FA" w14:paraId="7B905E56" w14:textId="77777777" w:rsidTr="00F82B5D">
        <w:trPr>
          <w:cantSplit/>
          <w:trHeight w:val="221"/>
        </w:trPr>
        <w:tc>
          <w:tcPr>
            <w:tcW w:w="2444" w:type="dxa"/>
            <w:vMerge w:val="restart"/>
            <w:tcBorders>
              <w:top w:val="single" w:sz="4" w:space="0" w:color="BFBFBF" w:themeColor="background1" w:themeShade="BF"/>
              <w:left w:val="nil"/>
              <w:right w:val="nil"/>
            </w:tcBorders>
            <w:hideMark/>
          </w:tcPr>
          <w:p w14:paraId="0AD23C3F" w14:textId="31FAC8A3" w:rsidR="007151FA" w:rsidRDefault="007151FA" w:rsidP="00EA1593">
            <w:pPr>
              <w:pStyle w:val="TableTextBold"/>
              <w:rPr>
                <w:lang w:val="en-US"/>
              </w:rPr>
            </w:pPr>
            <w:r>
              <w:rPr>
                <w:rStyle w:val="charColoured"/>
                <w:lang w:val="en-US"/>
              </w:rPr>
              <w:t xml:space="preserve">4.2  </w:t>
            </w:r>
            <w:r>
              <w:rPr>
                <w:lang w:val="en-US"/>
              </w:rPr>
              <w:t xml:space="preserve">Development of </w:t>
            </w:r>
            <w:r w:rsidRPr="006D2FC9">
              <w:rPr>
                <w:lang w:val="en-US"/>
              </w:rPr>
              <w:t>balanced</w:t>
            </w:r>
            <w:r w:rsidR="00EA1593">
              <w:rPr>
                <w:lang w:val="en-US"/>
              </w:rPr>
              <w:t xml:space="preserve"> </w:t>
            </w:r>
            <w:r>
              <w:rPr>
                <w:lang w:val="en-US"/>
              </w:rPr>
              <w:t>and effective IP, innovation and creative ecosystems in Member States</w:t>
            </w:r>
          </w:p>
        </w:tc>
        <w:tc>
          <w:tcPr>
            <w:tcW w:w="2445" w:type="dxa"/>
            <w:vMerge w:val="restart"/>
            <w:tcBorders>
              <w:top w:val="single" w:sz="4" w:space="0" w:color="BFBFBF" w:themeColor="background1" w:themeShade="BF"/>
              <w:left w:val="nil"/>
              <w:right w:val="nil"/>
            </w:tcBorders>
            <w:hideMark/>
          </w:tcPr>
          <w:p w14:paraId="3E5DF3A9" w14:textId="77777777" w:rsidR="007151FA" w:rsidRDefault="007151FA" w:rsidP="0044491C">
            <w:pPr>
              <w:pStyle w:val="TableText"/>
              <w:rPr>
                <w:lang w:val="en-US"/>
              </w:rPr>
            </w:pPr>
            <w:r>
              <w:rPr>
                <w:lang w:val="en-US"/>
              </w:rPr>
              <w:t>No. and % of Member States satisfied with the legislative and policy advice provided</w:t>
            </w:r>
            <w:r w:rsidRPr="008D4E6F">
              <w:rPr>
                <w:lang w:val="en-US"/>
              </w:rPr>
              <w:t>.</w:t>
            </w:r>
            <w:r>
              <w:rPr>
                <w:lang w:val="en-US"/>
              </w:rPr>
              <w:t xml:space="preserve"> </w:t>
            </w:r>
          </w:p>
        </w:tc>
        <w:tc>
          <w:tcPr>
            <w:tcW w:w="2445" w:type="dxa"/>
            <w:tcBorders>
              <w:top w:val="single" w:sz="4" w:space="0" w:color="BFBFBF" w:themeColor="background1" w:themeShade="BF"/>
              <w:left w:val="nil"/>
              <w:right w:val="nil"/>
            </w:tcBorders>
          </w:tcPr>
          <w:p w14:paraId="35596BC5" w14:textId="59EE3B69" w:rsidR="007151FA" w:rsidRDefault="007151FA" w:rsidP="00F82B5D">
            <w:pPr>
              <w:pStyle w:val="TableText"/>
              <w:rPr>
                <w:lang w:val="en-US"/>
              </w:rPr>
            </w:pPr>
            <w:r>
              <w:rPr>
                <w:lang w:val="en-US"/>
              </w:rPr>
              <w:t xml:space="preserve">Patents and Technology Law: </w:t>
            </w:r>
            <w:r>
              <w:rPr>
                <w:rFonts w:eastAsia="SimHei"/>
                <w:szCs w:val="16"/>
              </w:rPr>
              <w:t xml:space="preserve">88% </w:t>
            </w:r>
          </w:p>
        </w:tc>
        <w:tc>
          <w:tcPr>
            <w:tcW w:w="2451" w:type="dxa"/>
            <w:tcBorders>
              <w:top w:val="single" w:sz="4" w:space="0" w:color="BFBFBF" w:themeColor="background1" w:themeShade="BF"/>
              <w:left w:val="nil"/>
              <w:right w:val="nil"/>
            </w:tcBorders>
          </w:tcPr>
          <w:p w14:paraId="42882215" w14:textId="77777777" w:rsidR="007151FA" w:rsidRDefault="007151FA" w:rsidP="0044491C">
            <w:pPr>
              <w:pStyle w:val="TableText"/>
              <w:rPr>
                <w:lang w:val="en-US"/>
              </w:rPr>
            </w:pPr>
            <w:r w:rsidRPr="00D22EBC">
              <w:rPr>
                <w:szCs w:val="16"/>
              </w:rPr>
              <w:t xml:space="preserve">≥ </w:t>
            </w:r>
            <w:r w:rsidRPr="00D22EBC">
              <w:rPr>
                <w:szCs w:val="16"/>
                <w:lang w:val="en-US"/>
              </w:rPr>
              <w:t xml:space="preserve">90% </w:t>
            </w:r>
            <w:r w:rsidRPr="00D22EBC">
              <w:rPr>
                <w:szCs w:val="16"/>
              </w:rPr>
              <w:t>satisfied or very satisfied</w:t>
            </w:r>
          </w:p>
        </w:tc>
      </w:tr>
      <w:tr w:rsidR="007151FA" w14:paraId="5ECCA01C" w14:textId="77777777" w:rsidTr="00F82B5D">
        <w:trPr>
          <w:cantSplit/>
          <w:trHeight w:val="411"/>
        </w:trPr>
        <w:tc>
          <w:tcPr>
            <w:tcW w:w="2444" w:type="dxa"/>
            <w:vMerge/>
            <w:tcBorders>
              <w:left w:val="nil"/>
              <w:right w:val="nil"/>
            </w:tcBorders>
          </w:tcPr>
          <w:p w14:paraId="6C7FF9DB" w14:textId="77777777" w:rsidR="007151FA" w:rsidRDefault="007151FA" w:rsidP="0044491C">
            <w:pPr>
              <w:pStyle w:val="TableTextBold"/>
              <w:rPr>
                <w:rStyle w:val="charColoured"/>
                <w:lang w:val="en-US"/>
              </w:rPr>
            </w:pPr>
          </w:p>
        </w:tc>
        <w:tc>
          <w:tcPr>
            <w:tcW w:w="2445" w:type="dxa"/>
            <w:vMerge/>
            <w:tcBorders>
              <w:left w:val="nil"/>
              <w:right w:val="nil"/>
            </w:tcBorders>
          </w:tcPr>
          <w:p w14:paraId="04A14711" w14:textId="77777777" w:rsidR="007151FA" w:rsidRDefault="007151FA" w:rsidP="0044491C">
            <w:pPr>
              <w:pStyle w:val="TableText"/>
              <w:rPr>
                <w:lang w:val="en-US"/>
              </w:rPr>
            </w:pPr>
          </w:p>
        </w:tc>
        <w:tc>
          <w:tcPr>
            <w:tcW w:w="2445" w:type="dxa"/>
            <w:tcBorders>
              <w:left w:val="nil"/>
              <w:right w:val="nil"/>
            </w:tcBorders>
          </w:tcPr>
          <w:p w14:paraId="3A2FF812" w14:textId="1E875763" w:rsidR="007151FA" w:rsidRDefault="007151FA" w:rsidP="00F82B5D">
            <w:pPr>
              <w:pStyle w:val="TableText"/>
              <w:rPr>
                <w:lang w:val="en-US"/>
              </w:rPr>
            </w:pPr>
            <w:r w:rsidRPr="001F0C10">
              <w:rPr>
                <w:szCs w:val="16"/>
                <w:lang w:val="en-US"/>
              </w:rPr>
              <w:t xml:space="preserve">Trademarks, Industrial Designs and Geographical Indications: </w:t>
            </w:r>
            <w:r w:rsidRPr="00653914">
              <w:rPr>
                <w:szCs w:val="16"/>
                <w:lang w:val="en-US"/>
              </w:rPr>
              <w:t xml:space="preserve">100% </w:t>
            </w:r>
          </w:p>
        </w:tc>
        <w:tc>
          <w:tcPr>
            <w:tcW w:w="2451" w:type="dxa"/>
            <w:tcBorders>
              <w:left w:val="nil"/>
              <w:right w:val="nil"/>
            </w:tcBorders>
          </w:tcPr>
          <w:p w14:paraId="5D4C9A69" w14:textId="77777777" w:rsidR="007151FA" w:rsidRDefault="007151FA" w:rsidP="0044491C">
            <w:pPr>
              <w:pStyle w:val="TableText"/>
              <w:rPr>
                <w:lang w:val="en-US"/>
              </w:rPr>
            </w:pPr>
          </w:p>
        </w:tc>
      </w:tr>
      <w:tr w:rsidR="007151FA" w14:paraId="3CC17B11" w14:textId="77777777" w:rsidTr="00F82B5D">
        <w:trPr>
          <w:cantSplit/>
          <w:trHeight w:val="213"/>
        </w:trPr>
        <w:tc>
          <w:tcPr>
            <w:tcW w:w="2444" w:type="dxa"/>
            <w:vMerge/>
            <w:tcBorders>
              <w:left w:val="nil"/>
              <w:right w:val="nil"/>
            </w:tcBorders>
          </w:tcPr>
          <w:p w14:paraId="6B273693" w14:textId="77777777" w:rsidR="007151FA" w:rsidRDefault="007151FA" w:rsidP="0044491C">
            <w:pPr>
              <w:pStyle w:val="TableTextBold"/>
              <w:rPr>
                <w:rStyle w:val="charColoured"/>
                <w:lang w:val="en-US"/>
              </w:rPr>
            </w:pPr>
          </w:p>
        </w:tc>
        <w:tc>
          <w:tcPr>
            <w:tcW w:w="2445" w:type="dxa"/>
            <w:vMerge/>
            <w:tcBorders>
              <w:left w:val="nil"/>
              <w:right w:val="nil"/>
            </w:tcBorders>
          </w:tcPr>
          <w:p w14:paraId="5A658E87" w14:textId="77777777" w:rsidR="007151FA" w:rsidRDefault="007151FA" w:rsidP="0044491C">
            <w:pPr>
              <w:pStyle w:val="TableText"/>
              <w:rPr>
                <w:lang w:val="en-US"/>
              </w:rPr>
            </w:pPr>
          </w:p>
        </w:tc>
        <w:tc>
          <w:tcPr>
            <w:tcW w:w="2445" w:type="dxa"/>
            <w:tcBorders>
              <w:left w:val="nil"/>
              <w:right w:val="nil"/>
            </w:tcBorders>
          </w:tcPr>
          <w:p w14:paraId="0519A4E4" w14:textId="09911B0B" w:rsidR="007151FA" w:rsidRDefault="007151FA" w:rsidP="00F82B5D">
            <w:pPr>
              <w:pStyle w:val="TableText"/>
              <w:rPr>
                <w:lang w:val="en-US"/>
              </w:rPr>
            </w:pPr>
            <w:r w:rsidRPr="00D22EBC">
              <w:rPr>
                <w:szCs w:val="16"/>
              </w:rPr>
              <w:t xml:space="preserve">Copyright: </w:t>
            </w:r>
            <w:r>
              <w:rPr>
                <w:szCs w:val="16"/>
              </w:rPr>
              <w:t xml:space="preserve">100% </w:t>
            </w:r>
          </w:p>
        </w:tc>
        <w:tc>
          <w:tcPr>
            <w:tcW w:w="2451" w:type="dxa"/>
            <w:tcBorders>
              <w:left w:val="nil"/>
              <w:right w:val="nil"/>
            </w:tcBorders>
          </w:tcPr>
          <w:p w14:paraId="43D77C1F" w14:textId="77777777" w:rsidR="007151FA" w:rsidRDefault="007151FA" w:rsidP="0044491C">
            <w:pPr>
              <w:pStyle w:val="TableText"/>
              <w:rPr>
                <w:lang w:val="en-US"/>
              </w:rPr>
            </w:pPr>
          </w:p>
        </w:tc>
      </w:tr>
      <w:tr w:rsidR="007151FA" w14:paraId="5EE0E618" w14:textId="77777777" w:rsidTr="0044491C">
        <w:trPr>
          <w:cantSplit/>
          <w:trHeight w:val="865"/>
        </w:trPr>
        <w:tc>
          <w:tcPr>
            <w:tcW w:w="2444" w:type="dxa"/>
            <w:tcBorders>
              <w:left w:val="nil"/>
              <w:right w:val="nil"/>
            </w:tcBorders>
          </w:tcPr>
          <w:p w14:paraId="659B11CA" w14:textId="77777777" w:rsidR="007151FA" w:rsidRDefault="007151FA" w:rsidP="0044491C">
            <w:pPr>
              <w:pStyle w:val="TableTextBold"/>
              <w:rPr>
                <w:rStyle w:val="charColoured"/>
                <w:lang w:val="en-US"/>
              </w:rPr>
            </w:pPr>
          </w:p>
        </w:tc>
        <w:tc>
          <w:tcPr>
            <w:tcW w:w="2445" w:type="dxa"/>
            <w:tcBorders>
              <w:left w:val="nil"/>
              <w:right w:val="nil"/>
            </w:tcBorders>
          </w:tcPr>
          <w:p w14:paraId="090671B1" w14:textId="77777777" w:rsidR="007151FA" w:rsidRPr="008D4E6F" w:rsidRDefault="007151FA" w:rsidP="0044491C">
            <w:pPr>
              <w:pStyle w:val="TableText"/>
              <w:rPr>
                <w:lang w:val="en-US"/>
              </w:rPr>
            </w:pPr>
            <w:r>
              <w:rPr>
                <w:lang w:val="en-US"/>
              </w:rPr>
              <w:t>No. of Member States, sub-regional and regional IP Offices using WIPO tools and methodologies for the enhancement of their IP and Innovation Ecosystems</w:t>
            </w:r>
          </w:p>
        </w:tc>
        <w:tc>
          <w:tcPr>
            <w:tcW w:w="2445" w:type="dxa"/>
            <w:tcBorders>
              <w:left w:val="nil"/>
              <w:right w:val="nil"/>
            </w:tcBorders>
          </w:tcPr>
          <w:p w14:paraId="574437B7" w14:textId="7AE5D064" w:rsidR="007151FA" w:rsidRDefault="00F82B5D" w:rsidP="0044491C">
            <w:pPr>
              <w:pStyle w:val="TableText"/>
              <w:rPr>
                <w:lang w:val="en-US"/>
              </w:rPr>
            </w:pPr>
            <w:r>
              <w:rPr>
                <w:lang w:val="en-US"/>
              </w:rPr>
              <w:t>6</w:t>
            </w:r>
            <w:r w:rsidR="007151FA">
              <w:rPr>
                <w:lang w:val="en-US"/>
              </w:rPr>
              <w:t>3 Member States</w:t>
            </w:r>
          </w:p>
        </w:tc>
        <w:tc>
          <w:tcPr>
            <w:tcW w:w="2451" w:type="dxa"/>
            <w:tcBorders>
              <w:left w:val="nil"/>
              <w:right w:val="nil"/>
            </w:tcBorders>
          </w:tcPr>
          <w:p w14:paraId="6F1A4BF5" w14:textId="7E7F1E5E" w:rsidR="007151FA" w:rsidRDefault="00340FA0" w:rsidP="0044491C">
            <w:pPr>
              <w:pStyle w:val="TableText"/>
              <w:rPr>
                <w:lang w:val="en-US"/>
              </w:rPr>
            </w:pPr>
            <w:r>
              <w:rPr>
                <w:lang w:val="en-US"/>
              </w:rPr>
              <w:t>80</w:t>
            </w:r>
          </w:p>
        </w:tc>
      </w:tr>
      <w:tr w:rsidR="007151FA" w14:paraId="441F72F8" w14:textId="77777777" w:rsidTr="0044491C">
        <w:trPr>
          <w:cantSplit/>
          <w:trHeight w:val="20"/>
        </w:trPr>
        <w:tc>
          <w:tcPr>
            <w:tcW w:w="2444" w:type="dxa"/>
            <w:vMerge w:val="restart"/>
            <w:tcBorders>
              <w:top w:val="single" w:sz="4" w:space="0" w:color="BFBFBF" w:themeColor="background1" w:themeShade="BF"/>
              <w:left w:val="nil"/>
              <w:right w:val="nil"/>
            </w:tcBorders>
            <w:hideMark/>
          </w:tcPr>
          <w:p w14:paraId="74E81CBA" w14:textId="77777777" w:rsidR="007151FA" w:rsidRDefault="007151FA" w:rsidP="0044491C">
            <w:pPr>
              <w:pStyle w:val="TableTextBold"/>
              <w:rPr>
                <w:lang w:val="en-US"/>
              </w:rPr>
            </w:pPr>
            <w:r>
              <w:rPr>
                <w:rStyle w:val="charColoured"/>
              </w:rPr>
              <w:t xml:space="preserve">4.3  </w:t>
            </w:r>
            <w:r>
              <w:rPr>
                <w:lang w:val="en-US"/>
              </w:rPr>
              <w:t>Increased IP knowledge and skills in all Member States</w:t>
            </w:r>
          </w:p>
        </w:tc>
        <w:tc>
          <w:tcPr>
            <w:tcW w:w="2445" w:type="dxa"/>
            <w:vMerge w:val="restart"/>
            <w:tcBorders>
              <w:top w:val="single" w:sz="4" w:space="0" w:color="BFBFBF" w:themeColor="background1" w:themeShade="BF"/>
              <w:left w:val="nil"/>
              <w:right w:val="nil"/>
            </w:tcBorders>
            <w:hideMark/>
          </w:tcPr>
          <w:p w14:paraId="07A30F00" w14:textId="77777777" w:rsidR="007151FA" w:rsidRDefault="007151FA" w:rsidP="0044491C">
            <w:pPr>
              <w:pStyle w:val="TableText"/>
              <w:rPr>
                <w:lang w:val="en-US"/>
              </w:rPr>
            </w:pPr>
            <w:r>
              <w:rPr>
                <w:lang w:val="en-US"/>
              </w:rPr>
              <w:t>Level of satisfaction of participants in WIPO training and skills development programs</w:t>
            </w:r>
          </w:p>
        </w:tc>
        <w:tc>
          <w:tcPr>
            <w:tcW w:w="2445" w:type="dxa"/>
            <w:tcBorders>
              <w:top w:val="single" w:sz="4" w:space="0" w:color="BFBFBF" w:themeColor="background1" w:themeShade="BF"/>
              <w:left w:val="nil"/>
              <w:bottom w:val="nil"/>
              <w:right w:val="nil"/>
            </w:tcBorders>
          </w:tcPr>
          <w:p w14:paraId="15831731" w14:textId="77777777" w:rsidR="007151FA" w:rsidRDefault="007151FA" w:rsidP="0044491C">
            <w:pPr>
              <w:pStyle w:val="TableText"/>
              <w:rPr>
                <w:lang w:val="en-US"/>
              </w:rPr>
            </w:pPr>
            <w:r>
              <w:rPr>
                <w:rFonts w:eastAsia="SimHei"/>
                <w:szCs w:val="16"/>
              </w:rPr>
              <w:t>Africa:</w:t>
            </w:r>
            <w:r w:rsidRPr="00BE3A19">
              <w:rPr>
                <w:rFonts w:eastAsia="SimHei"/>
                <w:szCs w:val="16"/>
              </w:rPr>
              <w:t xml:space="preserve"> 95% </w:t>
            </w:r>
          </w:p>
        </w:tc>
        <w:tc>
          <w:tcPr>
            <w:tcW w:w="2451" w:type="dxa"/>
            <w:tcBorders>
              <w:top w:val="single" w:sz="4" w:space="0" w:color="BFBFBF" w:themeColor="background1" w:themeShade="BF"/>
              <w:left w:val="nil"/>
              <w:bottom w:val="nil"/>
              <w:right w:val="nil"/>
            </w:tcBorders>
          </w:tcPr>
          <w:p w14:paraId="611D825F" w14:textId="77777777" w:rsidR="007151FA" w:rsidRDefault="007151FA" w:rsidP="0044491C">
            <w:pPr>
              <w:pStyle w:val="TableText"/>
              <w:rPr>
                <w:lang w:val="en-US"/>
              </w:rPr>
            </w:pPr>
            <w:r w:rsidRPr="00D22EBC">
              <w:rPr>
                <w:szCs w:val="16"/>
              </w:rPr>
              <w:t xml:space="preserve">≥ </w:t>
            </w:r>
            <w:r>
              <w:rPr>
                <w:szCs w:val="16"/>
                <w:lang w:val="en-US"/>
              </w:rPr>
              <w:t>85</w:t>
            </w:r>
            <w:r w:rsidRPr="00D22EBC">
              <w:rPr>
                <w:szCs w:val="16"/>
                <w:lang w:val="en-US"/>
              </w:rPr>
              <w:t xml:space="preserve">% </w:t>
            </w:r>
            <w:r w:rsidRPr="00D22EBC">
              <w:rPr>
                <w:szCs w:val="16"/>
              </w:rPr>
              <w:t>satisfied or very satisfied</w:t>
            </w:r>
          </w:p>
        </w:tc>
      </w:tr>
      <w:tr w:rsidR="007151FA" w14:paraId="0D142F1B" w14:textId="77777777" w:rsidTr="0044491C">
        <w:trPr>
          <w:cantSplit/>
          <w:trHeight w:val="20"/>
        </w:trPr>
        <w:tc>
          <w:tcPr>
            <w:tcW w:w="2444" w:type="dxa"/>
            <w:vMerge/>
          </w:tcPr>
          <w:p w14:paraId="058A629F" w14:textId="77777777" w:rsidR="007151FA" w:rsidRDefault="007151FA" w:rsidP="0044491C">
            <w:pPr>
              <w:pStyle w:val="TableTextBold"/>
              <w:rPr>
                <w:rStyle w:val="charColoured"/>
              </w:rPr>
            </w:pPr>
          </w:p>
        </w:tc>
        <w:tc>
          <w:tcPr>
            <w:tcW w:w="2445" w:type="dxa"/>
            <w:vMerge/>
          </w:tcPr>
          <w:p w14:paraId="28F62F07" w14:textId="77777777" w:rsidR="007151FA" w:rsidRDefault="007151FA" w:rsidP="0044491C">
            <w:pPr>
              <w:pStyle w:val="TableText"/>
              <w:rPr>
                <w:lang w:val="en-US"/>
              </w:rPr>
            </w:pPr>
          </w:p>
        </w:tc>
        <w:tc>
          <w:tcPr>
            <w:tcW w:w="2445" w:type="dxa"/>
          </w:tcPr>
          <w:p w14:paraId="0776DB0A" w14:textId="77777777" w:rsidR="007151FA" w:rsidRDefault="007151FA" w:rsidP="0044491C">
            <w:pPr>
              <w:pStyle w:val="TableText"/>
              <w:rPr>
                <w:lang w:val="en-US"/>
              </w:rPr>
            </w:pPr>
            <w:r>
              <w:rPr>
                <w:szCs w:val="16"/>
              </w:rPr>
              <w:t>Arab region</w:t>
            </w:r>
            <w:r w:rsidRPr="000A3CAF">
              <w:rPr>
                <w:szCs w:val="16"/>
              </w:rPr>
              <w:t xml:space="preserve">: 93% </w:t>
            </w:r>
          </w:p>
        </w:tc>
        <w:tc>
          <w:tcPr>
            <w:tcW w:w="2451" w:type="dxa"/>
          </w:tcPr>
          <w:p w14:paraId="75BDCAA6" w14:textId="77777777" w:rsidR="007151FA" w:rsidRDefault="007151FA" w:rsidP="0044491C">
            <w:pPr>
              <w:pStyle w:val="TableText"/>
              <w:rPr>
                <w:lang w:val="en-US"/>
              </w:rPr>
            </w:pPr>
          </w:p>
        </w:tc>
      </w:tr>
      <w:tr w:rsidR="007151FA" w14:paraId="50DB4E96" w14:textId="77777777" w:rsidTr="0044491C">
        <w:trPr>
          <w:cantSplit/>
          <w:trHeight w:val="20"/>
        </w:trPr>
        <w:tc>
          <w:tcPr>
            <w:tcW w:w="2444" w:type="dxa"/>
            <w:vMerge/>
          </w:tcPr>
          <w:p w14:paraId="5A5FC864" w14:textId="77777777" w:rsidR="007151FA" w:rsidRDefault="007151FA" w:rsidP="0044491C">
            <w:pPr>
              <w:pStyle w:val="TableTextBold"/>
              <w:rPr>
                <w:rStyle w:val="charColoured"/>
              </w:rPr>
            </w:pPr>
          </w:p>
        </w:tc>
        <w:tc>
          <w:tcPr>
            <w:tcW w:w="2445" w:type="dxa"/>
            <w:vMerge/>
          </w:tcPr>
          <w:p w14:paraId="27979D44" w14:textId="77777777" w:rsidR="007151FA" w:rsidRDefault="007151FA" w:rsidP="0044491C">
            <w:pPr>
              <w:pStyle w:val="TableText"/>
              <w:rPr>
                <w:lang w:val="en-US"/>
              </w:rPr>
            </w:pPr>
          </w:p>
        </w:tc>
        <w:tc>
          <w:tcPr>
            <w:tcW w:w="2445" w:type="dxa"/>
          </w:tcPr>
          <w:p w14:paraId="7E78F39F" w14:textId="77777777" w:rsidR="007151FA" w:rsidRDefault="007151FA" w:rsidP="0044491C">
            <w:pPr>
              <w:pStyle w:val="TableText"/>
              <w:rPr>
                <w:lang w:val="en-US"/>
              </w:rPr>
            </w:pPr>
            <w:r>
              <w:rPr>
                <w:rFonts w:eastAsia="SimHei"/>
                <w:szCs w:val="16"/>
              </w:rPr>
              <w:t>Asia and the Pacific</w:t>
            </w:r>
            <w:r w:rsidRPr="00BE3A19">
              <w:rPr>
                <w:rFonts w:eastAsia="SimHei"/>
                <w:szCs w:val="16"/>
              </w:rPr>
              <w:t xml:space="preserve">: 97% </w:t>
            </w:r>
          </w:p>
        </w:tc>
        <w:tc>
          <w:tcPr>
            <w:tcW w:w="2451" w:type="dxa"/>
          </w:tcPr>
          <w:p w14:paraId="01270444" w14:textId="77777777" w:rsidR="007151FA" w:rsidRDefault="007151FA" w:rsidP="0044491C">
            <w:pPr>
              <w:pStyle w:val="TableText"/>
              <w:rPr>
                <w:lang w:val="en-US"/>
              </w:rPr>
            </w:pPr>
          </w:p>
        </w:tc>
      </w:tr>
      <w:tr w:rsidR="007151FA" w14:paraId="2FECDA97" w14:textId="77777777" w:rsidTr="0044491C">
        <w:trPr>
          <w:cantSplit/>
          <w:trHeight w:val="20"/>
        </w:trPr>
        <w:tc>
          <w:tcPr>
            <w:tcW w:w="2444" w:type="dxa"/>
            <w:vMerge/>
          </w:tcPr>
          <w:p w14:paraId="0862BEF1" w14:textId="77777777" w:rsidR="007151FA" w:rsidRDefault="007151FA" w:rsidP="0044491C">
            <w:pPr>
              <w:pStyle w:val="TableTextBold"/>
              <w:rPr>
                <w:rStyle w:val="charColoured"/>
              </w:rPr>
            </w:pPr>
          </w:p>
        </w:tc>
        <w:tc>
          <w:tcPr>
            <w:tcW w:w="2445" w:type="dxa"/>
            <w:vMerge/>
          </w:tcPr>
          <w:p w14:paraId="4F43D873" w14:textId="77777777" w:rsidR="007151FA" w:rsidRDefault="007151FA" w:rsidP="0044491C">
            <w:pPr>
              <w:pStyle w:val="TableText"/>
              <w:rPr>
                <w:lang w:val="en-US"/>
              </w:rPr>
            </w:pPr>
          </w:p>
        </w:tc>
        <w:tc>
          <w:tcPr>
            <w:tcW w:w="2445" w:type="dxa"/>
          </w:tcPr>
          <w:p w14:paraId="78D396C1" w14:textId="77777777" w:rsidR="007151FA" w:rsidRDefault="007151FA" w:rsidP="0044491C">
            <w:pPr>
              <w:pStyle w:val="TableText"/>
              <w:rPr>
                <w:lang w:val="en-US"/>
              </w:rPr>
            </w:pPr>
            <w:r w:rsidRPr="009B2BEE">
              <w:rPr>
                <w:szCs w:val="16"/>
              </w:rPr>
              <w:t>Latin America and the Caribbean</w:t>
            </w:r>
            <w:r>
              <w:rPr>
                <w:szCs w:val="16"/>
              </w:rPr>
              <w:t xml:space="preserve">: </w:t>
            </w:r>
            <w:r w:rsidRPr="00BE3A19">
              <w:rPr>
                <w:szCs w:val="16"/>
              </w:rPr>
              <w:t xml:space="preserve">96% </w:t>
            </w:r>
          </w:p>
        </w:tc>
        <w:tc>
          <w:tcPr>
            <w:tcW w:w="2451" w:type="dxa"/>
          </w:tcPr>
          <w:p w14:paraId="684B684A" w14:textId="77777777" w:rsidR="007151FA" w:rsidRDefault="007151FA" w:rsidP="0044491C">
            <w:pPr>
              <w:pStyle w:val="TableText"/>
              <w:rPr>
                <w:lang w:val="en-US"/>
              </w:rPr>
            </w:pPr>
          </w:p>
        </w:tc>
      </w:tr>
      <w:tr w:rsidR="007151FA" w14:paraId="6E76F60F" w14:textId="77777777" w:rsidTr="0044491C">
        <w:trPr>
          <w:cantSplit/>
          <w:trHeight w:val="20"/>
        </w:trPr>
        <w:tc>
          <w:tcPr>
            <w:tcW w:w="2444" w:type="dxa"/>
            <w:vMerge/>
          </w:tcPr>
          <w:p w14:paraId="2C8AA86D" w14:textId="77777777" w:rsidR="007151FA" w:rsidRDefault="007151FA" w:rsidP="0044491C">
            <w:pPr>
              <w:pStyle w:val="TableTextBold"/>
              <w:rPr>
                <w:rStyle w:val="charColoured"/>
              </w:rPr>
            </w:pPr>
          </w:p>
        </w:tc>
        <w:tc>
          <w:tcPr>
            <w:tcW w:w="2445" w:type="dxa"/>
            <w:vMerge/>
          </w:tcPr>
          <w:p w14:paraId="5E6C21B5" w14:textId="77777777" w:rsidR="007151FA" w:rsidRDefault="007151FA" w:rsidP="0044491C">
            <w:pPr>
              <w:pStyle w:val="TableText"/>
              <w:rPr>
                <w:lang w:val="en-US"/>
              </w:rPr>
            </w:pPr>
          </w:p>
        </w:tc>
        <w:tc>
          <w:tcPr>
            <w:tcW w:w="2445" w:type="dxa"/>
          </w:tcPr>
          <w:p w14:paraId="7555FADC" w14:textId="77777777" w:rsidR="007151FA" w:rsidRDefault="007151FA" w:rsidP="0044491C">
            <w:pPr>
              <w:pStyle w:val="TableText"/>
              <w:rPr>
                <w:lang w:val="en-US"/>
              </w:rPr>
            </w:pPr>
            <w:r w:rsidRPr="00BE3A19">
              <w:rPr>
                <w:szCs w:val="16"/>
              </w:rPr>
              <w:t>LDC</w:t>
            </w:r>
            <w:r>
              <w:rPr>
                <w:szCs w:val="16"/>
              </w:rPr>
              <w:t>s</w:t>
            </w:r>
            <w:r w:rsidRPr="00BE3A19">
              <w:rPr>
                <w:szCs w:val="16"/>
              </w:rPr>
              <w:t>: 9</w:t>
            </w:r>
            <w:r>
              <w:rPr>
                <w:szCs w:val="16"/>
              </w:rPr>
              <w:t>7</w:t>
            </w:r>
            <w:r w:rsidRPr="00BE3A19">
              <w:rPr>
                <w:szCs w:val="16"/>
              </w:rPr>
              <w:t>%</w:t>
            </w:r>
          </w:p>
        </w:tc>
        <w:tc>
          <w:tcPr>
            <w:tcW w:w="2451" w:type="dxa"/>
          </w:tcPr>
          <w:p w14:paraId="7E85CF84" w14:textId="77777777" w:rsidR="007151FA" w:rsidRDefault="007151FA" w:rsidP="0044491C">
            <w:pPr>
              <w:pStyle w:val="TableText"/>
              <w:rPr>
                <w:lang w:val="en-US"/>
              </w:rPr>
            </w:pPr>
          </w:p>
        </w:tc>
      </w:tr>
      <w:tr w:rsidR="007151FA" w14:paraId="2DE73AF9" w14:textId="77777777" w:rsidTr="0044491C">
        <w:trPr>
          <w:cantSplit/>
          <w:trHeight w:val="20"/>
        </w:trPr>
        <w:tc>
          <w:tcPr>
            <w:tcW w:w="2444" w:type="dxa"/>
            <w:vMerge/>
          </w:tcPr>
          <w:p w14:paraId="64CA8812" w14:textId="77777777" w:rsidR="007151FA" w:rsidRDefault="007151FA" w:rsidP="0044491C">
            <w:pPr>
              <w:pStyle w:val="TableTextBold"/>
              <w:rPr>
                <w:rStyle w:val="charColoured"/>
              </w:rPr>
            </w:pPr>
          </w:p>
        </w:tc>
        <w:tc>
          <w:tcPr>
            <w:tcW w:w="2445" w:type="dxa"/>
            <w:vMerge/>
          </w:tcPr>
          <w:p w14:paraId="48D306A9" w14:textId="77777777" w:rsidR="007151FA" w:rsidRDefault="007151FA" w:rsidP="0044491C">
            <w:pPr>
              <w:pStyle w:val="TableText"/>
              <w:rPr>
                <w:lang w:val="en-US"/>
              </w:rPr>
            </w:pPr>
          </w:p>
        </w:tc>
        <w:tc>
          <w:tcPr>
            <w:tcW w:w="2445" w:type="dxa"/>
          </w:tcPr>
          <w:p w14:paraId="62B35F5A" w14:textId="77777777" w:rsidR="007151FA" w:rsidRDefault="007151FA" w:rsidP="0044491C">
            <w:pPr>
              <w:pStyle w:val="TableText"/>
              <w:rPr>
                <w:lang w:val="en-US"/>
              </w:rPr>
            </w:pPr>
            <w:r w:rsidRPr="00BE3A19">
              <w:rPr>
                <w:rFonts w:eastAsia="SimHei"/>
                <w:szCs w:val="16"/>
              </w:rPr>
              <w:t>TDC</w:t>
            </w:r>
            <w:r>
              <w:rPr>
                <w:rFonts w:eastAsia="SimHei"/>
                <w:szCs w:val="16"/>
              </w:rPr>
              <w:t>s</w:t>
            </w:r>
            <w:r w:rsidRPr="00BE3A19">
              <w:rPr>
                <w:rFonts w:eastAsia="SimHei"/>
                <w:szCs w:val="16"/>
              </w:rPr>
              <w:t>: 9</w:t>
            </w:r>
            <w:r>
              <w:rPr>
                <w:rFonts w:eastAsia="SimHei"/>
                <w:szCs w:val="16"/>
              </w:rPr>
              <w:t>5</w:t>
            </w:r>
            <w:r w:rsidRPr="00BE3A19">
              <w:rPr>
                <w:rFonts w:eastAsia="SimHei"/>
                <w:szCs w:val="16"/>
              </w:rPr>
              <w:t>%</w:t>
            </w:r>
          </w:p>
        </w:tc>
        <w:tc>
          <w:tcPr>
            <w:tcW w:w="2451" w:type="dxa"/>
          </w:tcPr>
          <w:p w14:paraId="165DF75C" w14:textId="77777777" w:rsidR="007151FA" w:rsidRDefault="007151FA" w:rsidP="0044491C">
            <w:pPr>
              <w:pStyle w:val="TableText"/>
              <w:rPr>
                <w:lang w:val="en-US"/>
              </w:rPr>
            </w:pPr>
          </w:p>
        </w:tc>
      </w:tr>
      <w:tr w:rsidR="007151FA" w14:paraId="262F33F9" w14:textId="77777777" w:rsidTr="0044491C">
        <w:trPr>
          <w:cantSplit/>
          <w:trHeight w:val="20"/>
        </w:trPr>
        <w:tc>
          <w:tcPr>
            <w:tcW w:w="2444" w:type="dxa"/>
            <w:vMerge/>
          </w:tcPr>
          <w:p w14:paraId="1ACE1EED" w14:textId="77777777" w:rsidR="007151FA" w:rsidRDefault="007151FA" w:rsidP="0044491C">
            <w:pPr>
              <w:pStyle w:val="TableTextBold"/>
              <w:rPr>
                <w:rStyle w:val="charColoured"/>
              </w:rPr>
            </w:pPr>
          </w:p>
        </w:tc>
        <w:tc>
          <w:tcPr>
            <w:tcW w:w="2445" w:type="dxa"/>
            <w:vMerge/>
          </w:tcPr>
          <w:p w14:paraId="708533F9" w14:textId="77777777" w:rsidR="007151FA" w:rsidRDefault="007151FA" w:rsidP="0044491C">
            <w:pPr>
              <w:pStyle w:val="TableText"/>
              <w:rPr>
                <w:lang w:val="en-US"/>
              </w:rPr>
            </w:pPr>
          </w:p>
        </w:tc>
        <w:tc>
          <w:tcPr>
            <w:tcW w:w="2445" w:type="dxa"/>
          </w:tcPr>
          <w:p w14:paraId="4127DB68" w14:textId="77777777" w:rsidR="007151FA" w:rsidRDefault="007151FA" w:rsidP="0044491C">
            <w:pPr>
              <w:pStyle w:val="TableText"/>
              <w:rPr>
                <w:lang w:val="en-US"/>
              </w:rPr>
            </w:pPr>
            <w:r>
              <w:rPr>
                <w:rFonts w:eastAsia="SimHei"/>
                <w:szCs w:val="16"/>
              </w:rPr>
              <w:t>EOs: 94%</w:t>
            </w:r>
            <w:r w:rsidRPr="000A3CAF">
              <w:rPr>
                <w:rFonts w:eastAsia="SimHei"/>
                <w:szCs w:val="16"/>
              </w:rPr>
              <w:t xml:space="preserve"> </w:t>
            </w:r>
          </w:p>
        </w:tc>
        <w:tc>
          <w:tcPr>
            <w:tcW w:w="2451" w:type="dxa"/>
          </w:tcPr>
          <w:p w14:paraId="3118F9AD" w14:textId="77777777" w:rsidR="007151FA" w:rsidRDefault="007151FA" w:rsidP="0044491C">
            <w:pPr>
              <w:pStyle w:val="TableText"/>
              <w:rPr>
                <w:lang w:val="en-US"/>
              </w:rPr>
            </w:pPr>
          </w:p>
        </w:tc>
      </w:tr>
      <w:tr w:rsidR="007151FA" w14:paraId="0A9E2D02" w14:textId="77777777" w:rsidTr="0044491C">
        <w:trPr>
          <w:cantSplit/>
          <w:trHeight w:val="334"/>
        </w:trPr>
        <w:tc>
          <w:tcPr>
            <w:tcW w:w="2444" w:type="dxa"/>
          </w:tcPr>
          <w:p w14:paraId="7BE98DED" w14:textId="77777777" w:rsidR="007151FA" w:rsidRDefault="007151FA" w:rsidP="0044491C">
            <w:pPr>
              <w:pStyle w:val="TableTextBold"/>
              <w:rPr>
                <w:rStyle w:val="charColoured"/>
              </w:rPr>
            </w:pPr>
          </w:p>
        </w:tc>
        <w:tc>
          <w:tcPr>
            <w:tcW w:w="2445" w:type="dxa"/>
            <w:hideMark/>
          </w:tcPr>
          <w:p w14:paraId="49F6BF53" w14:textId="77777777" w:rsidR="007151FA" w:rsidRDefault="007151FA" w:rsidP="0044491C">
            <w:pPr>
              <w:pStyle w:val="TableText"/>
              <w:rPr>
                <w:lang w:val="en-US"/>
              </w:rPr>
            </w:pPr>
            <w:r>
              <w:rPr>
                <w:lang w:val="en-US"/>
              </w:rPr>
              <w:t>% of participants who have successfully completed skills-based training programs</w:t>
            </w:r>
          </w:p>
        </w:tc>
        <w:tc>
          <w:tcPr>
            <w:tcW w:w="2445" w:type="dxa"/>
          </w:tcPr>
          <w:p w14:paraId="1A16A14E" w14:textId="77777777" w:rsidR="007151FA" w:rsidRDefault="007151FA" w:rsidP="0044491C">
            <w:pPr>
              <w:pStyle w:val="TableText"/>
              <w:rPr>
                <w:lang w:val="en-US"/>
              </w:rPr>
            </w:pPr>
            <w:r>
              <w:rPr>
                <w:lang w:val="en-US"/>
              </w:rPr>
              <w:t>86%</w:t>
            </w:r>
          </w:p>
        </w:tc>
        <w:tc>
          <w:tcPr>
            <w:tcW w:w="2451" w:type="dxa"/>
          </w:tcPr>
          <w:p w14:paraId="7136F21E" w14:textId="251BB9D5" w:rsidR="007151FA" w:rsidRPr="004C799B" w:rsidRDefault="00267EC3" w:rsidP="0044491C">
            <w:pPr>
              <w:pStyle w:val="TableText"/>
              <w:rPr>
                <w:lang w:val="en-US"/>
              </w:rPr>
            </w:pPr>
            <w:r w:rsidRPr="00267EC3">
              <w:rPr>
                <w:lang w:val="en-US"/>
              </w:rPr>
              <w:t>≥ 80</w:t>
            </w:r>
            <w:r w:rsidR="007151FA" w:rsidRPr="00267EC3">
              <w:rPr>
                <w:lang w:val="en-US"/>
              </w:rPr>
              <w:t>%</w:t>
            </w:r>
          </w:p>
          <w:p w14:paraId="63F35F5C" w14:textId="77777777" w:rsidR="007151FA" w:rsidRDefault="007151FA" w:rsidP="0044491C">
            <w:pPr>
              <w:pStyle w:val="TableText"/>
              <w:rPr>
                <w:lang w:val="en-US"/>
              </w:rPr>
            </w:pPr>
          </w:p>
        </w:tc>
      </w:tr>
      <w:tr w:rsidR="007151FA" w14:paraId="3CA284A7" w14:textId="77777777" w:rsidTr="0044491C">
        <w:trPr>
          <w:cantSplit/>
          <w:trHeight w:val="567"/>
        </w:trPr>
        <w:tc>
          <w:tcPr>
            <w:tcW w:w="2444" w:type="dxa"/>
          </w:tcPr>
          <w:p w14:paraId="71315E5F" w14:textId="77777777" w:rsidR="007151FA" w:rsidRDefault="007151FA" w:rsidP="0044491C">
            <w:pPr>
              <w:pStyle w:val="TableTextBold"/>
              <w:rPr>
                <w:rStyle w:val="charColoured"/>
              </w:rPr>
            </w:pPr>
          </w:p>
        </w:tc>
        <w:tc>
          <w:tcPr>
            <w:tcW w:w="2445" w:type="dxa"/>
            <w:hideMark/>
          </w:tcPr>
          <w:p w14:paraId="0DFE48A4" w14:textId="77777777" w:rsidR="007151FA" w:rsidRDefault="007151FA" w:rsidP="0044491C">
            <w:pPr>
              <w:pStyle w:val="TableText"/>
              <w:rPr>
                <w:lang w:val="en-US"/>
              </w:rPr>
            </w:pPr>
            <w:r>
              <w:rPr>
                <w:lang w:val="en-US"/>
              </w:rPr>
              <w:t>Success rate of participants taking knowledge and skills-based exams of advanced DL courses</w:t>
            </w:r>
          </w:p>
        </w:tc>
        <w:tc>
          <w:tcPr>
            <w:tcW w:w="2445" w:type="dxa"/>
          </w:tcPr>
          <w:p w14:paraId="6F35853B" w14:textId="0A2B56FF" w:rsidR="007151FA" w:rsidRDefault="00996A80" w:rsidP="00996A80">
            <w:pPr>
              <w:pStyle w:val="TableText"/>
              <w:rPr>
                <w:lang w:val="en-US"/>
              </w:rPr>
            </w:pPr>
            <w:r>
              <w:rPr>
                <w:lang w:val="en-US"/>
              </w:rPr>
              <w:t>tbd</w:t>
            </w:r>
          </w:p>
        </w:tc>
        <w:tc>
          <w:tcPr>
            <w:tcW w:w="2451" w:type="dxa"/>
          </w:tcPr>
          <w:p w14:paraId="73451779" w14:textId="78CBE30E" w:rsidR="007151FA" w:rsidRDefault="007151FA" w:rsidP="00267EC3">
            <w:pPr>
              <w:pStyle w:val="TableText"/>
              <w:rPr>
                <w:lang w:val="en-US"/>
              </w:rPr>
            </w:pPr>
            <w:r w:rsidRPr="00267EC3">
              <w:rPr>
                <w:lang w:val="en-US"/>
              </w:rPr>
              <w:t xml:space="preserve">≥ </w:t>
            </w:r>
            <w:r w:rsidR="00267EC3" w:rsidRPr="00267EC3">
              <w:rPr>
                <w:lang w:val="en-US"/>
              </w:rPr>
              <w:t>70</w:t>
            </w:r>
            <w:r w:rsidRPr="00267EC3">
              <w:rPr>
                <w:lang w:val="en-US"/>
              </w:rPr>
              <w:t>%</w:t>
            </w:r>
          </w:p>
        </w:tc>
      </w:tr>
      <w:tr w:rsidR="007151FA" w14:paraId="1D24E9FA" w14:textId="77777777" w:rsidTr="0044491C">
        <w:trPr>
          <w:cantSplit/>
          <w:trHeight w:val="415"/>
        </w:trPr>
        <w:tc>
          <w:tcPr>
            <w:tcW w:w="2444" w:type="dxa"/>
          </w:tcPr>
          <w:p w14:paraId="41C7D2B5" w14:textId="77777777" w:rsidR="007151FA" w:rsidRDefault="007151FA" w:rsidP="0044491C">
            <w:pPr>
              <w:pStyle w:val="TableTextBold"/>
              <w:rPr>
                <w:rStyle w:val="charColoured"/>
              </w:rPr>
            </w:pPr>
          </w:p>
        </w:tc>
        <w:tc>
          <w:tcPr>
            <w:tcW w:w="2445" w:type="dxa"/>
            <w:hideMark/>
          </w:tcPr>
          <w:p w14:paraId="29EB5401" w14:textId="77777777" w:rsidR="007151FA" w:rsidRDefault="007151FA" w:rsidP="0044491C">
            <w:pPr>
              <w:pStyle w:val="TableText"/>
              <w:rPr>
                <w:lang w:val="en-US"/>
              </w:rPr>
            </w:pPr>
            <w:r>
              <w:rPr>
                <w:lang w:val="en-US"/>
              </w:rPr>
              <w:t>No. of sustainable IP training institutions (IPTIs)</w:t>
            </w:r>
          </w:p>
        </w:tc>
        <w:tc>
          <w:tcPr>
            <w:tcW w:w="2445" w:type="dxa"/>
          </w:tcPr>
          <w:p w14:paraId="44027391" w14:textId="77777777" w:rsidR="007151FA" w:rsidRDefault="007151FA" w:rsidP="0044491C">
            <w:pPr>
              <w:pStyle w:val="TableText"/>
              <w:rPr>
                <w:lang w:val="en-US"/>
              </w:rPr>
            </w:pPr>
            <w:r>
              <w:rPr>
                <w:lang w:val="en-US"/>
              </w:rPr>
              <w:t>15</w:t>
            </w:r>
          </w:p>
        </w:tc>
        <w:tc>
          <w:tcPr>
            <w:tcW w:w="2451" w:type="dxa"/>
          </w:tcPr>
          <w:p w14:paraId="2D186D46" w14:textId="17C4F3A7" w:rsidR="007151FA" w:rsidRDefault="007151FA" w:rsidP="0044491C">
            <w:pPr>
              <w:pStyle w:val="TableText"/>
              <w:rPr>
                <w:lang w:val="en-US"/>
              </w:rPr>
            </w:pPr>
            <w:r w:rsidRPr="00B85933">
              <w:rPr>
                <w:lang w:val="en-US"/>
              </w:rPr>
              <w:t>21</w:t>
            </w:r>
            <w:r w:rsidR="00267EC3">
              <w:rPr>
                <w:lang w:val="en-US"/>
              </w:rPr>
              <w:t xml:space="preserve"> cumulative</w:t>
            </w:r>
          </w:p>
        </w:tc>
      </w:tr>
      <w:tr w:rsidR="007151FA" w14:paraId="0B591CD2" w14:textId="77777777" w:rsidTr="00B47A61">
        <w:trPr>
          <w:cantSplit/>
          <w:trHeight w:val="254"/>
        </w:trPr>
        <w:tc>
          <w:tcPr>
            <w:tcW w:w="2444" w:type="dxa"/>
            <w:tcBorders>
              <w:top w:val="nil"/>
              <w:left w:val="nil"/>
              <w:bottom w:val="single" w:sz="4" w:space="0" w:color="BFBFBF" w:themeColor="background1" w:themeShade="BF"/>
              <w:right w:val="nil"/>
            </w:tcBorders>
          </w:tcPr>
          <w:p w14:paraId="2C30E39A" w14:textId="77777777" w:rsidR="007151FA" w:rsidRDefault="007151FA" w:rsidP="0044491C">
            <w:pPr>
              <w:pStyle w:val="TableTextBold"/>
              <w:rPr>
                <w:rStyle w:val="charColoured"/>
              </w:rPr>
            </w:pPr>
          </w:p>
        </w:tc>
        <w:tc>
          <w:tcPr>
            <w:tcW w:w="2445" w:type="dxa"/>
            <w:tcBorders>
              <w:top w:val="nil"/>
              <w:left w:val="nil"/>
              <w:bottom w:val="single" w:sz="4" w:space="0" w:color="BFBFBF" w:themeColor="background1" w:themeShade="BF"/>
              <w:right w:val="nil"/>
            </w:tcBorders>
            <w:hideMark/>
          </w:tcPr>
          <w:p w14:paraId="6A98653B" w14:textId="77777777" w:rsidR="007151FA" w:rsidRDefault="007151FA" w:rsidP="0044491C">
            <w:pPr>
              <w:pStyle w:val="TableText"/>
              <w:rPr>
                <w:lang w:val="en-US"/>
              </w:rPr>
            </w:pPr>
            <w:r>
              <w:rPr>
                <w:lang w:val="en-US"/>
              </w:rPr>
              <w:t>No. of people trained by the IPTIs</w:t>
            </w:r>
          </w:p>
        </w:tc>
        <w:tc>
          <w:tcPr>
            <w:tcW w:w="2445" w:type="dxa"/>
            <w:tcBorders>
              <w:top w:val="nil"/>
              <w:left w:val="nil"/>
              <w:bottom w:val="single" w:sz="4" w:space="0" w:color="BFBFBF" w:themeColor="background1" w:themeShade="BF"/>
              <w:right w:val="nil"/>
            </w:tcBorders>
          </w:tcPr>
          <w:p w14:paraId="737083EA" w14:textId="77777777" w:rsidR="007151FA" w:rsidRDefault="007151FA" w:rsidP="0044491C">
            <w:pPr>
              <w:pStyle w:val="TableText"/>
              <w:rPr>
                <w:lang w:val="en-US"/>
              </w:rPr>
            </w:pPr>
            <w:r w:rsidRPr="00BE3A19">
              <w:rPr>
                <w:rFonts w:eastAsia="SimHei"/>
                <w:szCs w:val="16"/>
              </w:rPr>
              <w:t>87,</w:t>
            </w:r>
            <w:r>
              <w:rPr>
                <w:rFonts w:eastAsia="SimHei"/>
                <w:szCs w:val="16"/>
              </w:rPr>
              <w:t>967</w:t>
            </w:r>
          </w:p>
        </w:tc>
        <w:tc>
          <w:tcPr>
            <w:tcW w:w="2451" w:type="dxa"/>
            <w:tcBorders>
              <w:top w:val="nil"/>
              <w:left w:val="nil"/>
              <w:bottom w:val="single" w:sz="4" w:space="0" w:color="BFBFBF" w:themeColor="background1" w:themeShade="BF"/>
              <w:right w:val="nil"/>
            </w:tcBorders>
          </w:tcPr>
          <w:p w14:paraId="3E818F09" w14:textId="77777777" w:rsidR="007151FA" w:rsidRDefault="007151FA" w:rsidP="0044491C">
            <w:pPr>
              <w:pStyle w:val="TableText"/>
              <w:rPr>
                <w:lang w:val="en-US"/>
              </w:rPr>
            </w:pPr>
            <w:r w:rsidRPr="009B2BEE">
              <w:rPr>
                <w:szCs w:val="16"/>
                <w:lang w:val="en-US"/>
              </w:rPr>
              <w:t>5% annual increase</w:t>
            </w:r>
          </w:p>
        </w:tc>
      </w:tr>
      <w:tr w:rsidR="007151FA" w14:paraId="3B6495C2" w14:textId="77777777" w:rsidTr="0044491C">
        <w:trPr>
          <w:cantSplit/>
          <w:trHeight w:val="470"/>
        </w:trPr>
        <w:tc>
          <w:tcPr>
            <w:tcW w:w="2444" w:type="dxa"/>
            <w:tcBorders>
              <w:top w:val="single" w:sz="4" w:space="0" w:color="BFBFBF" w:themeColor="background1" w:themeShade="BF"/>
              <w:left w:val="nil"/>
              <w:right w:val="nil"/>
            </w:tcBorders>
            <w:hideMark/>
          </w:tcPr>
          <w:p w14:paraId="74B361E1" w14:textId="77777777" w:rsidR="007151FA" w:rsidRDefault="007151FA" w:rsidP="0044491C">
            <w:pPr>
              <w:pStyle w:val="TableTextBold"/>
              <w:rPr>
                <w:rStyle w:val="charColoured"/>
              </w:rPr>
            </w:pPr>
            <w:r>
              <w:rPr>
                <w:rStyle w:val="charColoured"/>
              </w:rPr>
              <w:t xml:space="preserve">4.4  </w:t>
            </w:r>
            <w:r w:rsidRPr="0070015D">
              <w:t>More innovators, creators, SMEs, universities, research institutions and communities leverage IP successfully</w:t>
            </w:r>
            <w:r>
              <w:rPr>
                <w:rStyle w:val="charColoured"/>
              </w:rPr>
              <w:t xml:space="preserve">  </w:t>
            </w:r>
          </w:p>
        </w:tc>
        <w:tc>
          <w:tcPr>
            <w:tcW w:w="2445" w:type="dxa"/>
            <w:tcBorders>
              <w:top w:val="single" w:sz="4" w:space="0" w:color="BFBFBF" w:themeColor="background1" w:themeShade="BF"/>
              <w:left w:val="nil"/>
              <w:right w:val="nil"/>
            </w:tcBorders>
          </w:tcPr>
          <w:p w14:paraId="20BEDA6B" w14:textId="77777777" w:rsidR="007151FA" w:rsidRPr="00620068" w:rsidRDefault="007151FA" w:rsidP="0044491C">
            <w:pPr>
              <w:pStyle w:val="TableText"/>
              <w:rPr>
                <w:lang w:val="en-US"/>
              </w:rPr>
            </w:pPr>
            <w:r w:rsidRPr="00620068">
              <w:rPr>
                <w:lang w:val="en-US"/>
              </w:rPr>
              <w:t>No. of sustainable national TISC networks</w:t>
            </w:r>
          </w:p>
        </w:tc>
        <w:tc>
          <w:tcPr>
            <w:tcW w:w="2445" w:type="dxa"/>
            <w:tcBorders>
              <w:top w:val="single" w:sz="4" w:space="0" w:color="BFBFBF" w:themeColor="background1" w:themeShade="BF"/>
              <w:left w:val="nil"/>
              <w:right w:val="nil"/>
            </w:tcBorders>
          </w:tcPr>
          <w:p w14:paraId="54CE0114" w14:textId="77777777" w:rsidR="007151FA" w:rsidRPr="002E1757" w:rsidRDefault="007151FA" w:rsidP="0044491C">
            <w:pPr>
              <w:pStyle w:val="TableText"/>
              <w:rPr>
                <w:lang w:val="en-US"/>
              </w:rPr>
            </w:pPr>
            <w:r w:rsidRPr="002E1757">
              <w:rPr>
                <w:lang w:val="en-US"/>
              </w:rPr>
              <w:t xml:space="preserve">46 sustainable national networks </w:t>
            </w:r>
          </w:p>
          <w:p w14:paraId="7E0C3DAB" w14:textId="77777777" w:rsidR="007151FA" w:rsidRPr="002E1757" w:rsidRDefault="007151FA" w:rsidP="0044491C">
            <w:pPr>
              <w:pStyle w:val="TableText"/>
              <w:rPr>
                <w:lang w:val="en-US"/>
              </w:rPr>
            </w:pPr>
            <w:r w:rsidRPr="002E1757">
              <w:rPr>
                <w:lang w:val="en-US"/>
              </w:rPr>
              <w:t>(cumulative end 202</w:t>
            </w:r>
            <w:r>
              <w:rPr>
                <w:lang w:val="en-US"/>
              </w:rPr>
              <w:t>2</w:t>
            </w:r>
            <w:r w:rsidRPr="002E1757">
              <w:rPr>
                <w:lang w:val="en-US"/>
              </w:rPr>
              <w:t>)</w:t>
            </w:r>
          </w:p>
          <w:p w14:paraId="36A6CE6B" w14:textId="1F7289A2" w:rsidR="007151FA" w:rsidRPr="002E1757" w:rsidRDefault="007151FA" w:rsidP="00267EC3">
            <w:pPr>
              <w:pStyle w:val="TableText"/>
              <w:rPr>
                <w:lang w:val="en-US"/>
              </w:rPr>
            </w:pPr>
            <w:r w:rsidRPr="002E1757">
              <w:rPr>
                <w:lang w:val="en-US"/>
              </w:rPr>
              <w:t xml:space="preserve">Maturity Level 1: 4 </w:t>
            </w:r>
            <w:r w:rsidR="00267EC3">
              <w:rPr>
                <w:lang w:val="en-US"/>
              </w:rPr>
              <w:t>in t</w:t>
            </w:r>
            <w:r w:rsidRPr="002E1757">
              <w:rPr>
                <w:lang w:val="en-US"/>
              </w:rPr>
              <w:t>otal</w:t>
            </w:r>
          </w:p>
          <w:p w14:paraId="3849BE1B" w14:textId="0A485F3E" w:rsidR="007151FA" w:rsidRPr="002E1757" w:rsidRDefault="007151FA" w:rsidP="00267EC3">
            <w:pPr>
              <w:pStyle w:val="TableText"/>
              <w:rPr>
                <w:lang w:val="en-US"/>
              </w:rPr>
            </w:pPr>
            <w:r w:rsidRPr="002E1757">
              <w:rPr>
                <w:lang w:val="en-US"/>
              </w:rPr>
              <w:t xml:space="preserve">Maturity Level 2: 32 </w:t>
            </w:r>
            <w:r w:rsidR="00267EC3">
              <w:rPr>
                <w:lang w:val="en-US"/>
              </w:rPr>
              <w:t>in t</w:t>
            </w:r>
            <w:r w:rsidRPr="002E1757">
              <w:rPr>
                <w:lang w:val="en-US"/>
              </w:rPr>
              <w:t>otal</w:t>
            </w:r>
          </w:p>
          <w:p w14:paraId="000EE67B" w14:textId="6797C6DB" w:rsidR="007151FA" w:rsidRPr="00620068" w:rsidRDefault="007151FA" w:rsidP="00267EC3">
            <w:pPr>
              <w:pStyle w:val="TableText"/>
              <w:rPr>
                <w:lang w:val="en-US"/>
              </w:rPr>
            </w:pPr>
            <w:r w:rsidRPr="002E1757">
              <w:rPr>
                <w:lang w:val="en-US"/>
              </w:rPr>
              <w:t xml:space="preserve">Maturity Level 3, including the provision of value-added services: 10 </w:t>
            </w:r>
            <w:r w:rsidR="00267EC3">
              <w:rPr>
                <w:lang w:val="en-US"/>
              </w:rPr>
              <w:t>in t</w:t>
            </w:r>
            <w:r w:rsidRPr="002E1757">
              <w:rPr>
                <w:lang w:val="en-US"/>
              </w:rPr>
              <w:t>otal</w:t>
            </w:r>
          </w:p>
        </w:tc>
        <w:tc>
          <w:tcPr>
            <w:tcW w:w="2451" w:type="dxa"/>
            <w:tcBorders>
              <w:top w:val="single" w:sz="4" w:space="0" w:color="BFBFBF" w:themeColor="background1" w:themeShade="BF"/>
              <w:left w:val="nil"/>
              <w:right w:val="nil"/>
            </w:tcBorders>
          </w:tcPr>
          <w:p w14:paraId="260CD140" w14:textId="77777777" w:rsidR="001C2D7E" w:rsidRDefault="001C2D7E" w:rsidP="001C2D7E">
            <w:pPr>
              <w:pStyle w:val="TableText"/>
              <w:rPr>
                <w:lang w:val="en-US"/>
              </w:rPr>
            </w:pPr>
            <w:r>
              <w:rPr>
                <w:lang w:val="en-US"/>
              </w:rPr>
              <w:t xml:space="preserve">50 </w:t>
            </w:r>
            <w:r w:rsidRPr="002E1757">
              <w:rPr>
                <w:lang w:val="en-US"/>
              </w:rPr>
              <w:t>sustainable national networks</w:t>
            </w:r>
          </w:p>
          <w:p w14:paraId="56ACB9E6" w14:textId="54C43E3E" w:rsidR="007151FA" w:rsidRPr="00620068" w:rsidRDefault="001C2D7E" w:rsidP="001C2D7E">
            <w:pPr>
              <w:pStyle w:val="TableText"/>
              <w:rPr>
                <w:lang w:val="en-US"/>
              </w:rPr>
            </w:pPr>
            <w:r>
              <w:rPr>
                <w:lang w:val="en-US"/>
              </w:rPr>
              <w:t>(cumulative)</w:t>
            </w:r>
          </w:p>
        </w:tc>
      </w:tr>
      <w:tr w:rsidR="007151FA" w14:paraId="5A013D7C" w14:textId="77777777" w:rsidTr="0044491C">
        <w:trPr>
          <w:cantSplit/>
          <w:trHeight w:val="620"/>
        </w:trPr>
        <w:tc>
          <w:tcPr>
            <w:tcW w:w="2444" w:type="dxa"/>
            <w:tcBorders>
              <w:left w:val="nil"/>
              <w:right w:val="nil"/>
            </w:tcBorders>
            <w:vAlign w:val="center"/>
          </w:tcPr>
          <w:p w14:paraId="1CD1F57E" w14:textId="77777777" w:rsidR="007151FA" w:rsidRDefault="007151FA" w:rsidP="0044491C">
            <w:pPr>
              <w:rPr>
                <w:rStyle w:val="charColoured"/>
                <w:rFonts w:ascii="Arial Narrow" w:hAnsi="Arial Narrow"/>
                <w:b/>
                <w:sz w:val="16"/>
              </w:rPr>
            </w:pPr>
          </w:p>
        </w:tc>
        <w:tc>
          <w:tcPr>
            <w:tcW w:w="2445" w:type="dxa"/>
            <w:tcBorders>
              <w:top w:val="nil"/>
              <w:left w:val="nil"/>
              <w:right w:val="nil"/>
            </w:tcBorders>
          </w:tcPr>
          <w:p w14:paraId="3DC39739" w14:textId="77777777" w:rsidR="007151FA" w:rsidRPr="008D4E6F" w:rsidRDefault="007151FA" w:rsidP="0044491C">
            <w:pPr>
              <w:pStyle w:val="TableText"/>
              <w:rPr>
                <w:lang w:val="en-US"/>
              </w:rPr>
            </w:pPr>
            <w:r>
              <w:rPr>
                <w:lang w:val="en-US"/>
              </w:rPr>
              <w:t>Level of satisfaction of Technology Transfer entities and other bodies with the services provided by WIPO</w:t>
            </w:r>
          </w:p>
        </w:tc>
        <w:tc>
          <w:tcPr>
            <w:tcW w:w="2445" w:type="dxa"/>
            <w:tcBorders>
              <w:top w:val="nil"/>
              <w:left w:val="nil"/>
              <w:right w:val="nil"/>
            </w:tcBorders>
          </w:tcPr>
          <w:p w14:paraId="138D453E" w14:textId="77777777" w:rsidR="007151FA" w:rsidRDefault="007151FA" w:rsidP="0044491C">
            <w:pPr>
              <w:pStyle w:val="TableText"/>
              <w:rPr>
                <w:lang w:val="en-US"/>
              </w:rPr>
            </w:pPr>
            <w:r>
              <w:rPr>
                <w:lang w:val="en-US"/>
              </w:rPr>
              <w:t>tbd</w:t>
            </w:r>
          </w:p>
        </w:tc>
        <w:tc>
          <w:tcPr>
            <w:tcW w:w="2451" w:type="dxa"/>
            <w:tcBorders>
              <w:top w:val="nil"/>
              <w:left w:val="nil"/>
              <w:right w:val="nil"/>
            </w:tcBorders>
          </w:tcPr>
          <w:p w14:paraId="2DA625B4" w14:textId="77777777" w:rsidR="007151FA" w:rsidRDefault="007151FA" w:rsidP="0044491C">
            <w:pPr>
              <w:pStyle w:val="TableText"/>
              <w:rPr>
                <w:lang w:val="en-US"/>
              </w:rPr>
            </w:pPr>
            <w:r w:rsidRPr="007D21B3">
              <w:rPr>
                <w:lang w:val="en-US"/>
              </w:rPr>
              <w:t xml:space="preserve">≥ </w:t>
            </w:r>
            <w:r>
              <w:rPr>
                <w:lang w:val="en-US"/>
              </w:rPr>
              <w:t>90% satisfied or very satisfied</w:t>
            </w:r>
          </w:p>
        </w:tc>
      </w:tr>
      <w:tr w:rsidR="007151FA" w14:paraId="74105815" w14:textId="77777777" w:rsidTr="00B47A61">
        <w:trPr>
          <w:cantSplit/>
          <w:trHeight w:val="620"/>
        </w:trPr>
        <w:tc>
          <w:tcPr>
            <w:tcW w:w="2444" w:type="dxa"/>
            <w:tcBorders>
              <w:left w:val="nil"/>
              <w:bottom w:val="single" w:sz="4" w:space="0" w:color="BFBFBF" w:themeColor="background1" w:themeShade="BF"/>
              <w:right w:val="nil"/>
            </w:tcBorders>
            <w:vAlign w:val="center"/>
          </w:tcPr>
          <w:p w14:paraId="7CA0A8BE" w14:textId="77777777" w:rsidR="007151FA" w:rsidRDefault="007151FA" w:rsidP="0044491C">
            <w:pPr>
              <w:rPr>
                <w:rStyle w:val="charColoured"/>
                <w:rFonts w:ascii="Arial Narrow" w:hAnsi="Arial Narrow"/>
                <w:b/>
                <w:sz w:val="16"/>
              </w:rPr>
            </w:pPr>
          </w:p>
        </w:tc>
        <w:tc>
          <w:tcPr>
            <w:tcW w:w="2445" w:type="dxa"/>
            <w:tcBorders>
              <w:top w:val="nil"/>
              <w:left w:val="nil"/>
              <w:bottom w:val="single" w:sz="4" w:space="0" w:color="BFBFBF" w:themeColor="background1" w:themeShade="BF"/>
              <w:right w:val="nil"/>
            </w:tcBorders>
          </w:tcPr>
          <w:p w14:paraId="3A76740A" w14:textId="77777777" w:rsidR="007151FA" w:rsidRDefault="007151FA" w:rsidP="0044491C">
            <w:pPr>
              <w:pStyle w:val="TableText"/>
              <w:rPr>
                <w:lang w:val="en-US"/>
              </w:rPr>
            </w:pPr>
            <w:r w:rsidRPr="008D4E6F">
              <w:rPr>
                <w:lang w:val="en-US"/>
              </w:rPr>
              <w:t>No. of unique visitors to the web-based services targeting inventors and SMEs, including no. of visitors downloading</w:t>
            </w:r>
          </w:p>
        </w:tc>
        <w:tc>
          <w:tcPr>
            <w:tcW w:w="2445" w:type="dxa"/>
            <w:tcBorders>
              <w:top w:val="nil"/>
              <w:left w:val="nil"/>
              <w:bottom w:val="single" w:sz="4" w:space="0" w:color="BFBFBF" w:themeColor="background1" w:themeShade="BF"/>
              <w:right w:val="nil"/>
            </w:tcBorders>
          </w:tcPr>
          <w:p w14:paraId="6D4E7693" w14:textId="77777777" w:rsidR="007151FA" w:rsidRDefault="007151FA" w:rsidP="0044491C">
            <w:pPr>
              <w:pStyle w:val="TableText"/>
              <w:rPr>
                <w:lang w:val="en-US"/>
              </w:rPr>
            </w:pPr>
            <w:r w:rsidRPr="00967654">
              <w:rPr>
                <w:szCs w:val="16"/>
              </w:rPr>
              <w:t>225,178</w:t>
            </w:r>
          </w:p>
        </w:tc>
        <w:tc>
          <w:tcPr>
            <w:tcW w:w="2451" w:type="dxa"/>
            <w:tcBorders>
              <w:top w:val="nil"/>
              <w:left w:val="nil"/>
              <w:bottom w:val="single" w:sz="4" w:space="0" w:color="BFBFBF" w:themeColor="background1" w:themeShade="BF"/>
              <w:right w:val="nil"/>
            </w:tcBorders>
          </w:tcPr>
          <w:p w14:paraId="7627E886" w14:textId="77777777" w:rsidR="007151FA" w:rsidRDefault="007151FA" w:rsidP="0044491C">
            <w:pPr>
              <w:pStyle w:val="TableText"/>
              <w:rPr>
                <w:lang w:val="en-US"/>
              </w:rPr>
            </w:pPr>
            <w:r w:rsidRPr="00821671">
              <w:rPr>
                <w:szCs w:val="16"/>
              </w:rPr>
              <w:t>20% increase (biennium)</w:t>
            </w:r>
          </w:p>
        </w:tc>
      </w:tr>
      <w:tr w:rsidR="007151FA" w14:paraId="48B057CA" w14:textId="77777777" w:rsidTr="00B47A61">
        <w:trPr>
          <w:cantSplit/>
          <w:trHeight w:val="473"/>
        </w:trPr>
        <w:tc>
          <w:tcPr>
            <w:tcW w:w="2444" w:type="dxa"/>
            <w:tcBorders>
              <w:top w:val="single" w:sz="4" w:space="0" w:color="BFBFBF" w:themeColor="background1" w:themeShade="BF"/>
              <w:left w:val="nil"/>
              <w:right w:val="nil"/>
            </w:tcBorders>
            <w:vAlign w:val="center"/>
          </w:tcPr>
          <w:p w14:paraId="32102420" w14:textId="77777777" w:rsidR="007151FA" w:rsidRDefault="007151FA" w:rsidP="0044491C">
            <w:pPr>
              <w:rPr>
                <w:rStyle w:val="charColoured"/>
                <w:rFonts w:ascii="Arial Narrow" w:hAnsi="Arial Narrow"/>
                <w:b/>
                <w:sz w:val="16"/>
              </w:rPr>
            </w:pPr>
          </w:p>
        </w:tc>
        <w:tc>
          <w:tcPr>
            <w:tcW w:w="2445" w:type="dxa"/>
            <w:tcBorders>
              <w:top w:val="single" w:sz="4" w:space="0" w:color="BFBFBF" w:themeColor="background1" w:themeShade="BF"/>
              <w:left w:val="nil"/>
              <w:right w:val="nil"/>
            </w:tcBorders>
          </w:tcPr>
          <w:p w14:paraId="3046BB43" w14:textId="77777777" w:rsidR="007151FA" w:rsidRDefault="007151FA" w:rsidP="0044491C">
            <w:pPr>
              <w:pStyle w:val="TableText"/>
              <w:rPr>
                <w:lang w:val="en-US"/>
              </w:rPr>
            </w:pPr>
            <w:r w:rsidRPr="008D4E6F">
              <w:rPr>
                <w:lang w:val="en-US"/>
              </w:rPr>
              <w:t>No. of SME support institutions who are using WIPO materials and tools</w:t>
            </w:r>
          </w:p>
        </w:tc>
        <w:tc>
          <w:tcPr>
            <w:tcW w:w="2445" w:type="dxa"/>
            <w:tcBorders>
              <w:top w:val="single" w:sz="4" w:space="0" w:color="BFBFBF" w:themeColor="background1" w:themeShade="BF"/>
              <w:left w:val="nil"/>
              <w:right w:val="nil"/>
            </w:tcBorders>
          </w:tcPr>
          <w:p w14:paraId="248AD8CD" w14:textId="77777777" w:rsidR="007151FA" w:rsidRDefault="007151FA" w:rsidP="0044491C">
            <w:pPr>
              <w:pStyle w:val="TableText"/>
              <w:rPr>
                <w:lang w:val="en-US"/>
              </w:rPr>
            </w:pPr>
            <w:r>
              <w:rPr>
                <w:lang w:val="en-US"/>
              </w:rPr>
              <w:t>14</w:t>
            </w:r>
          </w:p>
        </w:tc>
        <w:tc>
          <w:tcPr>
            <w:tcW w:w="2451" w:type="dxa"/>
            <w:tcBorders>
              <w:top w:val="single" w:sz="4" w:space="0" w:color="BFBFBF" w:themeColor="background1" w:themeShade="BF"/>
              <w:left w:val="nil"/>
              <w:right w:val="nil"/>
            </w:tcBorders>
          </w:tcPr>
          <w:p w14:paraId="7DABF3AE" w14:textId="77777777" w:rsidR="007151FA" w:rsidRDefault="007151FA" w:rsidP="0044491C">
            <w:pPr>
              <w:pStyle w:val="TableText"/>
              <w:rPr>
                <w:lang w:val="en-US"/>
              </w:rPr>
            </w:pPr>
            <w:r w:rsidRPr="00FA78E7">
              <w:rPr>
                <w:lang w:val="en-US"/>
              </w:rPr>
              <w:t xml:space="preserve">30 additional </w:t>
            </w:r>
          </w:p>
        </w:tc>
      </w:tr>
      <w:tr w:rsidR="00267EC3" w14:paraId="7CC525AF" w14:textId="77777777" w:rsidTr="00B47A61">
        <w:trPr>
          <w:cantSplit/>
          <w:trHeight w:val="620"/>
        </w:trPr>
        <w:tc>
          <w:tcPr>
            <w:tcW w:w="2444" w:type="dxa"/>
            <w:tcBorders>
              <w:left w:val="nil"/>
              <w:right w:val="nil"/>
            </w:tcBorders>
            <w:vAlign w:val="center"/>
          </w:tcPr>
          <w:p w14:paraId="49C82019" w14:textId="77777777" w:rsidR="00267EC3" w:rsidRDefault="00267EC3" w:rsidP="0044491C">
            <w:pPr>
              <w:rPr>
                <w:rStyle w:val="charColoured"/>
                <w:rFonts w:ascii="Arial Narrow" w:hAnsi="Arial Narrow"/>
                <w:b/>
                <w:sz w:val="16"/>
              </w:rPr>
            </w:pPr>
          </w:p>
        </w:tc>
        <w:tc>
          <w:tcPr>
            <w:tcW w:w="2445" w:type="dxa"/>
            <w:tcBorders>
              <w:top w:val="nil"/>
              <w:left w:val="nil"/>
              <w:right w:val="nil"/>
            </w:tcBorders>
          </w:tcPr>
          <w:p w14:paraId="1D842C1C" w14:textId="0C2536CA" w:rsidR="00267EC3" w:rsidRDefault="00267EC3" w:rsidP="00267EC3">
            <w:pPr>
              <w:pStyle w:val="TableText"/>
              <w:rPr>
                <w:lang w:val="en-US"/>
              </w:rPr>
            </w:pPr>
            <w:r>
              <w:rPr>
                <w:lang w:val="en-US"/>
              </w:rPr>
              <w:t>No. of SMEs assisted by support institutions that use WIPO materials and tools</w:t>
            </w:r>
          </w:p>
        </w:tc>
        <w:tc>
          <w:tcPr>
            <w:tcW w:w="2445" w:type="dxa"/>
            <w:tcBorders>
              <w:top w:val="nil"/>
              <w:left w:val="nil"/>
              <w:right w:val="nil"/>
            </w:tcBorders>
          </w:tcPr>
          <w:p w14:paraId="729CFD85" w14:textId="4F4E620D" w:rsidR="00267EC3" w:rsidRPr="00267EC3" w:rsidRDefault="00267EC3" w:rsidP="0044491C">
            <w:pPr>
              <w:pStyle w:val="TableText"/>
              <w:rPr>
                <w:szCs w:val="16"/>
              </w:rPr>
            </w:pPr>
            <w:r w:rsidRPr="00267EC3">
              <w:rPr>
                <w:szCs w:val="16"/>
              </w:rPr>
              <w:t>1,745</w:t>
            </w:r>
          </w:p>
        </w:tc>
        <w:tc>
          <w:tcPr>
            <w:tcW w:w="2451" w:type="dxa"/>
            <w:tcBorders>
              <w:top w:val="nil"/>
              <w:left w:val="nil"/>
              <w:right w:val="nil"/>
            </w:tcBorders>
          </w:tcPr>
          <w:p w14:paraId="0BB6BEDF" w14:textId="374313DC" w:rsidR="00267EC3" w:rsidRPr="00267EC3" w:rsidRDefault="006D25A6" w:rsidP="0044491C">
            <w:pPr>
              <w:pStyle w:val="TableText"/>
              <w:rPr>
                <w:szCs w:val="16"/>
              </w:rPr>
            </w:pPr>
            <w:r w:rsidRPr="006D25A6">
              <w:rPr>
                <w:szCs w:val="16"/>
              </w:rPr>
              <w:t>5</w:t>
            </w:r>
            <w:r w:rsidR="00267EC3" w:rsidRPr="006D25A6">
              <w:rPr>
                <w:szCs w:val="16"/>
              </w:rPr>
              <w:t>,000 additional</w:t>
            </w:r>
          </w:p>
        </w:tc>
      </w:tr>
      <w:tr w:rsidR="007151FA" w14:paraId="23165B6A" w14:textId="77777777" w:rsidTr="00B47A61">
        <w:trPr>
          <w:cantSplit/>
          <w:trHeight w:val="620"/>
        </w:trPr>
        <w:tc>
          <w:tcPr>
            <w:tcW w:w="2444" w:type="dxa"/>
            <w:tcBorders>
              <w:left w:val="nil"/>
              <w:bottom w:val="single" w:sz="4" w:space="0" w:color="C6CFD7" w:themeColor="accent3" w:themeTint="66"/>
              <w:right w:val="nil"/>
            </w:tcBorders>
            <w:vAlign w:val="center"/>
          </w:tcPr>
          <w:p w14:paraId="3024CAB5" w14:textId="77777777" w:rsidR="007151FA" w:rsidRDefault="007151FA" w:rsidP="0044491C">
            <w:pPr>
              <w:rPr>
                <w:rStyle w:val="charColoured"/>
                <w:rFonts w:ascii="Arial Narrow" w:hAnsi="Arial Narrow"/>
                <w:b/>
                <w:sz w:val="16"/>
              </w:rPr>
            </w:pPr>
          </w:p>
        </w:tc>
        <w:tc>
          <w:tcPr>
            <w:tcW w:w="2445" w:type="dxa"/>
            <w:tcBorders>
              <w:top w:val="nil"/>
              <w:left w:val="nil"/>
              <w:right w:val="nil"/>
            </w:tcBorders>
          </w:tcPr>
          <w:p w14:paraId="0E8151EE" w14:textId="77777777" w:rsidR="007151FA" w:rsidRDefault="007151FA" w:rsidP="0044491C">
            <w:pPr>
              <w:pStyle w:val="TableText"/>
              <w:rPr>
                <w:lang w:val="en-US"/>
              </w:rPr>
            </w:pPr>
            <w:r>
              <w:rPr>
                <w:lang w:val="en-US"/>
              </w:rPr>
              <w:t>LDCs: No. of identified and deployed Appropriate Technologies (ATs) addressing development needs</w:t>
            </w:r>
          </w:p>
        </w:tc>
        <w:tc>
          <w:tcPr>
            <w:tcW w:w="2445" w:type="dxa"/>
            <w:tcBorders>
              <w:top w:val="nil"/>
              <w:left w:val="nil"/>
              <w:right w:val="nil"/>
            </w:tcBorders>
          </w:tcPr>
          <w:p w14:paraId="1230D894" w14:textId="43DF664F" w:rsidR="007151FA" w:rsidRDefault="007151FA" w:rsidP="00267EC3">
            <w:pPr>
              <w:pStyle w:val="TableText"/>
              <w:rPr>
                <w:lang w:val="en-US"/>
              </w:rPr>
            </w:pPr>
            <w:r>
              <w:rPr>
                <w:szCs w:val="16"/>
              </w:rPr>
              <w:t>1</w:t>
            </w:r>
            <w:r w:rsidRPr="00085D1F">
              <w:rPr>
                <w:szCs w:val="16"/>
              </w:rPr>
              <w:t xml:space="preserve"> AT identified (0 deployed)</w:t>
            </w:r>
          </w:p>
        </w:tc>
        <w:tc>
          <w:tcPr>
            <w:tcW w:w="2451" w:type="dxa"/>
            <w:tcBorders>
              <w:top w:val="nil"/>
              <w:left w:val="nil"/>
              <w:right w:val="nil"/>
            </w:tcBorders>
          </w:tcPr>
          <w:p w14:paraId="76F15352" w14:textId="77777777" w:rsidR="007151FA" w:rsidRDefault="007151FA" w:rsidP="0044491C">
            <w:pPr>
              <w:pStyle w:val="TableText"/>
              <w:rPr>
                <w:lang w:val="en-US"/>
              </w:rPr>
            </w:pPr>
            <w:r w:rsidRPr="00FA78E7">
              <w:rPr>
                <w:szCs w:val="16"/>
              </w:rPr>
              <w:t xml:space="preserve">4 ATs identified (of which 1 deployed) </w:t>
            </w:r>
          </w:p>
        </w:tc>
      </w:tr>
      <w:tr w:rsidR="007151FA" w14:paraId="3256AA78" w14:textId="77777777" w:rsidTr="0044491C">
        <w:trPr>
          <w:cantSplit/>
          <w:trHeight w:val="689"/>
        </w:trPr>
        <w:tc>
          <w:tcPr>
            <w:tcW w:w="2444" w:type="dxa"/>
            <w:tcBorders>
              <w:top w:val="single" w:sz="4" w:space="0" w:color="C6CFD7" w:themeColor="accent3" w:themeTint="66"/>
              <w:left w:val="nil"/>
              <w:bottom w:val="single" w:sz="4" w:space="0" w:color="C6CFD7" w:themeColor="accent3" w:themeTint="66"/>
              <w:right w:val="nil"/>
            </w:tcBorders>
            <w:hideMark/>
          </w:tcPr>
          <w:p w14:paraId="2BBDB745" w14:textId="77777777" w:rsidR="007151FA" w:rsidRDefault="007151FA" w:rsidP="0044491C">
            <w:pPr>
              <w:pStyle w:val="TableTextBold"/>
              <w:rPr>
                <w:rStyle w:val="charColoured"/>
              </w:rPr>
            </w:pPr>
            <w:r>
              <w:rPr>
                <w:rStyle w:val="charColoured"/>
              </w:rPr>
              <w:t xml:space="preserve">4.5  </w:t>
            </w:r>
            <w:r w:rsidRPr="0070015D">
              <w:t>Enhanced IP infrastructure for IP Offices</w:t>
            </w:r>
            <w:r>
              <w:rPr>
                <w:rStyle w:val="charColoured"/>
              </w:rPr>
              <w:t xml:space="preserve">  </w:t>
            </w:r>
          </w:p>
        </w:tc>
        <w:tc>
          <w:tcPr>
            <w:tcW w:w="2445" w:type="dxa"/>
            <w:tcBorders>
              <w:top w:val="single" w:sz="4" w:space="0" w:color="C6CFD7" w:themeColor="accent3" w:themeTint="66"/>
              <w:left w:val="nil"/>
              <w:bottom w:val="single" w:sz="4" w:space="0" w:color="C6CFD7" w:themeColor="accent3" w:themeTint="66"/>
              <w:right w:val="nil"/>
            </w:tcBorders>
            <w:hideMark/>
          </w:tcPr>
          <w:p w14:paraId="282C89AA" w14:textId="77777777" w:rsidR="007151FA" w:rsidRDefault="007151FA" w:rsidP="0044491C">
            <w:pPr>
              <w:pStyle w:val="TableText"/>
              <w:rPr>
                <w:lang w:val="en-US"/>
              </w:rPr>
            </w:pPr>
            <w:r>
              <w:rPr>
                <w:lang w:val="en-US"/>
              </w:rPr>
              <w:t>Average Service Level of IP Offices assisted (ranging from 1 to 5) through the IPAS suite of applications</w:t>
            </w:r>
          </w:p>
        </w:tc>
        <w:tc>
          <w:tcPr>
            <w:tcW w:w="2445" w:type="dxa"/>
            <w:tcBorders>
              <w:top w:val="single" w:sz="4" w:space="0" w:color="C6CFD7" w:themeColor="accent3" w:themeTint="66"/>
              <w:left w:val="nil"/>
              <w:bottom w:val="single" w:sz="4" w:space="0" w:color="C6CFD7" w:themeColor="accent3" w:themeTint="66"/>
              <w:right w:val="nil"/>
            </w:tcBorders>
          </w:tcPr>
          <w:p w14:paraId="4FAA100E" w14:textId="77777777" w:rsidR="007151FA" w:rsidRDefault="007151FA" w:rsidP="0044491C">
            <w:pPr>
              <w:pStyle w:val="TableText"/>
              <w:rPr>
                <w:lang w:val="en-US"/>
              </w:rPr>
            </w:pPr>
            <w:r>
              <w:rPr>
                <w:lang w:val="en-US"/>
              </w:rPr>
              <w:t>3.6</w:t>
            </w:r>
          </w:p>
        </w:tc>
        <w:tc>
          <w:tcPr>
            <w:tcW w:w="2451" w:type="dxa"/>
            <w:tcBorders>
              <w:top w:val="single" w:sz="4" w:space="0" w:color="C6CFD7" w:themeColor="accent3" w:themeTint="66"/>
              <w:left w:val="nil"/>
              <w:bottom w:val="single" w:sz="4" w:space="0" w:color="C6CFD7" w:themeColor="accent3" w:themeTint="66"/>
              <w:right w:val="nil"/>
            </w:tcBorders>
          </w:tcPr>
          <w:p w14:paraId="4A36C5FF" w14:textId="77777777" w:rsidR="007151FA" w:rsidRDefault="007151FA" w:rsidP="0044491C">
            <w:pPr>
              <w:pStyle w:val="TableText"/>
              <w:rPr>
                <w:lang w:val="en-US"/>
              </w:rPr>
            </w:pPr>
            <w:r>
              <w:rPr>
                <w:szCs w:val="16"/>
              </w:rPr>
              <w:t>≥ 3.5</w:t>
            </w:r>
          </w:p>
        </w:tc>
      </w:tr>
    </w:tbl>
    <w:p w14:paraId="5B594B50" w14:textId="77777777" w:rsidR="007151FA" w:rsidRDefault="007151FA" w:rsidP="007151FA">
      <w:pPr>
        <w:pStyle w:val="Heading1NoNumb"/>
        <w:spacing w:before="480" w:after="120"/>
        <w:rPr>
          <w:lang w:val="en-US"/>
        </w:rPr>
      </w:pPr>
      <w:r>
        <w:rPr>
          <w:lang w:val="en-US"/>
        </w:rPr>
        <w:t>Resources</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151FA" w:rsidRPr="00192178" w14:paraId="410067B9" w14:textId="77777777" w:rsidTr="0044491C">
        <w:trPr>
          <w:trHeight w:val="80"/>
        </w:trPr>
        <w:tc>
          <w:tcPr>
            <w:tcW w:w="9638" w:type="dxa"/>
          </w:tcPr>
          <w:p w14:paraId="0BAB2D95" w14:textId="77777777" w:rsidR="007151FA" w:rsidRPr="00034525" w:rsidRDefault="007151FA" w:rsidP="001A3F3C">
            <w:pPr>
              <w:spacing w:after="60" w:line="240" w:lineRule="auto"/>
              <w:jc w:val="center"/>
              <w:rPr>
                <w:rFonts w:cs="Arial"/>
                <w:b/>
                <w:bCs/>
                <w:color w:val="005172"/>
                <w:sz w:val="16"/>
                <w:szCs w:val="16"/>
              </w:rPr>
            </w:pPr>
            <w:r w:rsidRPr="00F363DB">
              <w:rPr>
                <w:rFonts w:eastAsia="SimHei" w:cs="Arial"/>
                <w:b/>
                <w:bCs/>
                <w:color w:val="005172"/>
                <w:szCs w:val="18"/>
                <w:lang w:val="en-US" w:eastAsia="zh-CN"/>
              </w:rPr>
              <w:t>Regional and National Development</w:t>
            </w:r>
            <w:r>
              <w:rPr>
                <w:rFonts w:cs="Arial"/>
                <w:b/>
                <w:bCs/>
                <w:color w:val="005172"/>
                <w:szCs w:val="16"/>
              </w:rPr>
              <w:t xml:space="preserve">: </w:t>
            </w:r>
            <w:r w:rsidRPr="00034525">
              <w:rPr>
                <w:rFonts w:cs="Arial"/>
                <w:b/>
                <w:bCs/>
                <w:color w:val="005172"/>
                <w:szCs w:val="16"/>
              </w:rPr>
              <w:t>Resources by Cost Category</w:t>
            </w:r>
          </w:p>
        </w:tc>
      </w:tr>
      <w:tr w:rsidR="007151FA" w:rsidRPr="00192178" w14:paraId="03BAF9E5" w14:textId="77777777" w:rsidTr="0044491C">
        <w:trPr>
          <w:trHeight w:val="15"/>
        </w:trPr>
        <w:tc>
          <w:tcPr>
            <w:tcW w:w="9638" w:type="dxa"/>
          </w:tcPr>
          <w:p w14:paraId="2D392130" w14:textId="7760346C" w:rsidR="007151FA" w:rsidRPr="00034525" w:rsidRDefault="007151FA"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BDA40DE" w14:textId="34F28F9D" w:rsidR="00B214A5" w:rsidRDefault="00B214A5" w:rsidP="00792A58">
      <w:pPr>
        <w:spacing w:after="0"/>
        <w:rPr>
          <w:rFonts w:asciiTheme="minorHAnsi" w:hAnsiTheme="minorHAnsi"/>
          <w:sz w:val="22"/>
        </w:rPr>
      </w:pPr>
    </w:p>
    <w:tbl>
      <w:tblPr>
        <w:tblW w:w="8926" w:type="dxa"/>
        <w:jc w:val="center"/>
        <w:tblLook w:val="04A0" w:firstRow="1" w:lastRow="0" w:firstColumn="1" w:lastColumn="0" w:noHBand="0" w:noVBand="1"/>
      </w:tblPr>
      <w:tblGrid>
        <w:gridCol w:w="253"/>
        <w:gridCol w:w="222"/>
        <w:gridCol w:w="2875"/>
        <w:gridCol w:w="253"/>
        <w:gridCol w:w="1023"/>
        <w:gridCol w:w="1139"/>
        <w:gridCol w:w="1139"/>
        <w:gridCol w:w="1023"/>
        <w:gridCol w:w="1023"/>
      </w:tblGrid>
      <w:tr w:rsidR="00B214A5" w:rsidRPr="00B214A5" w14:paraId="76139226" w14:textId="77777777" w:rsidTr="00430C78">
        <w:trPr>
          <w:trHeight w:val="381"/>
          <w:jc w:val="center"/>
        </w:trPr>
        <w:tc>
          <w:tcPr>
            <w:tcW w:w="3578" w:type="dxa"/>
            <w:gridSpan w:val="4"/>
            <w:vMerge w:val="restart"/>
            <w:tcBorders>
              <w:top w:val="nil"/>
              <w:left w:val="nil"/>
              <w:bottom w:val="nil"/>
              <w:right w:val="nil"/>
            </w:tcBorders>
            <w:shd w:val="clear" w:color="000000" w:fill="C7CFD8"/>
            <w:hideMark/>
          </w:tcPr>
          <w:p w14:paraId="059F5B1F" w14:textId="562245BD"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1023" w:type="dxa"/>
            <w:vMerge w:val="restart"/>
            <w:tcBorders>
              <w:top w:val="nil"/>
              <w:left w:val="nil"/>
              <w:bottom w:val="nil"/>
              <w:right w:val="nil"/>
            </w:tcBorders>
            <w:shd w:val="clear" w:color="000000" w:fill="C7CFD8"/>
            <w:vAlign w:val="center"/>
            <w:hideMark/>
          </w:tcPr>
          <w:p w14:paraId="4D776D8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2024/25 </w:t>
            </w:r>
            <w:r w:rsidRPr="00B214A5">
              <w:rPr>
                <w:rFonts w:ascii="Arial Narrow" w:eastAsia="Times New Roman" w:hAnsi="Arial Narrow" w:cs="Times New Roman"/>
                <w:b/>
                <w:bCs/>
                <w:sz w:val="16"/>
                <w:szCs w:val="16"/>
                <w:lang w:val="en-US"/>
              </w:rPr>
              <w:br/>
              <w:t>Proposed</w:t>
            </w:r>
            <w:r w:rsidRPr="00B214A5">
              <w:rPr>
                <w:rFonts w:ascii="Arial Narrow" w:eastAsia="Times New Roman" w:hAnsi="Arial Narrow" w:cs="Times New Roman"/>
                <w:b/>
                <w:bCs/>
                <w:sz w:val="16"/>
                <w:szCs w:val="16"/>
                <w:lang w:val="en-US"/>
              </w:rPr>
              <w:br/>
              <w:t xml:space="preserve"> Budget </w:t>
            </w:r>
          </w:p>
        </w:tc>
        <w:tc>
          <w:tcPr>
            <w:tcW w:w="1139" w:type="dxa"/>
            <w:vMerge w:val="restart"/>
            <w:tcBorders>
              <w:top w:val="nil"/>
              <w:left w:val="nil"/>
              <w:bottom w:val="nil"/>
              <w:right w:val="nil"/>
            </w:tcBorders>
            <w:shd w:val="clear" w:color="000000" w:fill="C7CFD8"/>
            <w:vAlign w:val="center"/>
            <w:hideMark/>
          </w:tcPr>
          <w:p w14:paraId="79B0E55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2022/23</w:t>
            </w:r>
            <w:r w:rsidRPr="00B214A5">
              <w:rPr>
                <w:rFonts w:ascii="Arial Narrow" w:eastAsia="Times New Roman" w:hAnsi="Arial Narrow" w:cs="Times New Roman"/>
                <w:b/>
                <w:bCs/>
                <w:sz w:val="16"/>
                <w:szCs w:val="16"/>
                <w:lang w:val="en-US"/>
              </w:rPr>
              <w:br/>
              <w:t xml:space="preserve"> PoW&amp;B </w:t>
            </w:r>
          </w:p>
        </w:tc>
        <w:tc>
          <w:tcPr>
            <w:tcW w:w="1139" w:type="dxa"/>
            <w:vMerge w:val="restart"/>
            <w:tcBorders>
              <w:top w:val="nil"/>
              <w:left w:val="nil"/>
              <w:bottom w:val="nil"/>
              <w:right w:val="nil"/>
            </w:tcBorders>
            <w:shd w:val="clear" w:color="000000" w:fill="C7CFD8"/>
            <w:vAlign w:val="center"/>
            <w:hideMark/>
          </w:tcPr>
          <w:p w14:paraId="125C62DA"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2022/23 </w:t>
            </w:r>
            <w:r w:rsidRPr="00B214A5">
              <w:rPr>
                <w:rFonts w:ascii="Arial Narrow" w:eastAsia="Times New Roman" w:hAnsi="Arial Narrow" w:cs="Times New Roman"/>
                <w:b/>
                <w:bCs/>
                <w:sz w:val="16"/>
                <w:szCs w:val="16"/>
                <w:lang w:val="en-US"/>
              </w:rPr>
              <w:br/>
              <w:t>Budget after</w:t>
            </w:r>
            <w:r w:rsidRPr="00B214A5">
              <w:rPr>
                <w:rFonts w:ascii="Arial Narrow" w:eastAsia="Times New Roman" w:hAnsi="Arial Narrow" w:cs="Times New Roman"/>
                <w:b/>
                <w:bCs/>
                <w:sz w:val="16"/>
                <w:szCs w:val="16"/>
                <w:lang w:val="en-US"/>
              </w:rPr>
              <w:br/>
              <w:t xml:space="preserve"> Transfers </w:t>
            </w:r>
          </w:p>
        </w:tc>
        <w:tc>
          <w:tcPr>
            <w:tcW w:w="2047" w:type="dxa"/>
            <w:gridSpan w:val="2"/>
            <w:tcBorders>
              <w:top w:val="nil"/>
              <w:left w:val="nil"/>
              <w:bottom w:val="single" w:sz="4" w:space="0" w:color="748B9E"/>
              <w:right w:val="nil"/>
            </w:tcBorders>
            <w:shd w:val="clear" w:color="000000" w:fill="C7CFD8"/>
            <w:vAlign w:val="center"/>
            <w:hideMark/>
          </w:tcPr>
          <w:p w14:paraId="7D490A0D" w14:textId="77777777"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2024/25 </w:t>
            </w:r>
            <w:r w:rsidRPr="00B214A5">
              <w:rPr>
                <w:rFonts w:ascii="Arial Narrow" w:eastAsia="Times New Roman" w:hAnsi="Arial Narrow" w:cs="Times New Roman"/>
                <w:b/>
                <w:bCs/>
                <w:sz w:val="16"/>
                <w:szCs w:val="16"/>
                <w:lang w:val="en-US"/>
              </w:rPr>
              <w:br/>
              <w:t xml:space="preserve">vs. 2022/23 PoW&amp;B </w:t>
            </w:r>
          </w:p>
        </w:tc>
      </w:tr>
      <w:tr w:rsidR="00B214A5" w:rsidRPr="00B214A5" w14:paraId="654C4CE8" w14:textId="77777777" w:rsidTr="00430C78">
        <w:trPr>
          <w:trHeight w:val="286"/>
          <w:jc w:val="center"/>
        </w:trPr>
        <w:tc>
          <w:tcPr>
            <w:tcW w:w="3578" w:type="dxa"/>
            <w:gridSpan w:val="4"/>
            <w:vMerge/>
            <w:tcBorders>
              <w:top w:val="nil"/>
              <w:left w:val="nil"/>
              <w:bottom w:val="nil"/>
              <w:right w:val="nil"/>
            </w:tcBorders>
            <w:vAlign w:val="center"/>
            <w:hideMark/>
          </w:tcPr>
          <w:p w14:paraId="67DABEB4"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p>
        </w:tc>
        <w:tc>
          <w:tcPr>
            <w:tcW w:w="1023" w:type="dxa"/>
            <w:vMerge/>
            <w:tcBorders>
              <w:top w:val="nil"/>
              <w:left w:val="nil"/>
              <w:bottom w:val="nil"/>
              <w:right w:val="nil"/>
            </w:tcBorders>
            <w:vAlign w:val="center"/>
            <w:hideMark/>
          </w:tcPr>
          <w:p w14:paraId="4DD2E5D1"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vMerge/>
            <w:tcBorders>
              <w:top w:val="nil"/>
              <w:left w:val="nil"/>
              <w:bottom w:val="nil"/>
              <w:right w:val="nil"/>
            </w:tcBorders>
            <w:vAlign w:val="center"/>
            <w:hideMark/>
          </w:tcPr>
          <w:p w14:paraId="2EC76861"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vMerge/>
            <w:tcBorders>
              <w:top w:val="nil"/>
              <w:left w:val="nil"/>
              <w:bottom w:val="nil"/>
              <w:right w:val="nil"/>
            </w:tcBorders>
            <w:vAlign w:val="center"/>
            <w:hideMark/>
          </w:tcPr>
          <w:p w14:paraId="32FC28D5"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23" w:type="dxa"/>
            <w:tcBorders>
              <w:top w:val="nil"/>
              <w:left w:val="nil"/>
              <w:bottom w:val="nil"/>
              <w:right w:val="nil"/>
            </w:tcBorders>
            <w:shd w:val="clear" w:color="000000" w:fill="C7CFD8"/>
            <w:vAlign w:val="center"/>
            <w:hideMark/>
          </w:tcPr>
          <w:p w14:paraId="0EB733D2" w14:textId="77777777" w:rsidR="00B214A5" w:rsidRPr="00B214A5" w:rsidRDefault="00B214A5" w:rsidP="00B214A5">
            <w:pPr>
              <w:spacing w:after="0" w:line="240" w:lineRule="auto"/>
              <w:ind w:firstLineChars="100" w:firstLine="160"/>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Amount </w:t>
            </w:r>
          </w:p>
        </w:tc>
        <w:tc>
          <w:tcPr>
            <w:tcW w:w="1023" w:type="dxa"/>
            <w:tcBorders>
              <w:top w:val="nil"/>
              <w:left w:val="nil"/>
              <w:bottom w:val="nil"/>
              <w:right w:val="nil"/>
            </w:tcBorders>
            <w:shd w:val="clear" w:color="000000" w:fill="C7CFD8"/>
            <w:vAlign w:val="center"/>
            <w:hideMark/>
          </w:tcPr>
          <w:p w14:paraId="254BBADC" w14:textId="77777777" w:rsidR="00B214A5" w:rsidRPr="00B214A5" w:rsidRDefault="00B214A5" w:rsidP="00B214A5">
            <w:pPr>
              <w:spacing w:after="0" w:line="240" w:lineRule="auto"/>
              <w:ind w:firstLineChars="200" w:firstLine="320"/>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w:t>
            </w:r>
          </w:p>
        </w:tc>
      </w:tr>
      <w:tr w:rsidR="00B214A5" w:rsidRPr="00B214A5" w14:paraId="475D57A3" w14:textId="77777777" w:rsidTr="008A121C">
        <w:trPr>
          <w:trHeight w:hRule="exact" w:val="216"/>
          <w:jc w:val="center"/>
        </w:trPr>
        <w:tc>
          <w:tcPr>
            <w:tcW w:w="3578" w:type="dxa"/>
            <w:gridSpan w:val="4"/>
            <w:tcBorders>
              <w:top w:val="nil"/>
              <w:left w:val="nil"/>
              <w:bottom w:val="nil"/>
              <w:right w:val="nil"/>
            </w:tcBorders>
            <w:shd w:val="clear" w:color="auto" w:fill="auto"/>
            <w:noWrap/>
            <w:hideMark/>
          </w:tcPr>
          <w:p w14:paraId="3B2F48F5"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r w:rsidRPr="00B214A5">
              <w:rPr>
                <w:rFonts w:ascii="Arial Narrow" w:eastAsia="Times New Roman" w:hAnsi="Arial Narrow" w:cs="Times New Roman"/>
                <w:b/>
                <w:bCs/>
                <w:color w:val="005172"/>
                <w:sz w:val="16"/>
                <w:szCs w:val="16"/>
                <w:lang w:val="en-US"/>
              </w:rPr>
              <w:t>A. Personnel Resources</w:t>
            </w:r>
          </w:p>
        </w:tc>
        <w:tc>
          <w:tcPr>
            <w:tcW w:w="1023" w:type="dxa"/>
            <w:tcBorders>
              <w:top w:val="nil"/>
              <w:left w:val="nil"/>
              <w:bottom w:val="nil"/>
              <w:right w:val="nil"/>
            </w:tcBorders>
            <w:shd w:val="clear" w:color="auto" w:fill="auto"/>
            <w:noWrap/>
            <w:hideMark/>
          </w:tcPr>
          <w:p w14:paraId="200EAF54"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p>
        </w:tc>
        <w:tc>
          <w:tcPr>
            <w:tcW w:w="1139" w:type="dxa"/>
            <w:tcBorders>
              <w:top w:val="nil"/>
              <w:left w:val="nil"/>
              <w:bottom w:val="nil"/>
              <w:right w:val="nil"/>
            </w:tcBorders>
            <w:shd w:val="clear" w:color="auto" w:fill="auto"/>
            <w:noWrap/>
            <w:hideMark/>
          </w:tcPr>
          <w:p w14:paraId="6E68F890"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4C149E5A"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4E0BCE3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35F306EC"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r w:rsidR="00B214A5" w:rsidRPr="00B214A5" w14:paraId="35C84A49" w14:textId="77777777" w:rsidTr="008A121C">
        <w:trPr>
          <w:trHeight w:hRule="exact" w:val="216"/>
          <w:jc w:val="center"/>
        </w:trPr>
        <w:tc>
          <w:tcPr>
            <w:tcW w:w="244" w:type="dxa"/>
            <w:tcBorders>
              <w:top w:val="nil"/>
              <w:left w:val="nil"/>
              <w:bottom w:val="nil"/>
              <w:right w:val="nil"/>
            </w:tcBorders>
            <w:shd w:val="clear" w:color="auto" w:fill="auto"/>
            <w:noWrap/>
            <w:hideMark/>
          </w:tcPr>
          <w:p w14:paraId="62F7E22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5AAAE4A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6911C9C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Posts</w:t>
            </w:r>
          </w:p>
        </w:tc>
        <w:tc>
          <w:tcPr>
            <w:tcW w:w="244" w:type="dxa"/>
            <w:tcBorders>
              <w:top w:val="nil"/>
              <w:left w:val="nil"/>
              <w:bottom w:val="nil"/>
              <w:right w:val="nil"/>
            </w:tcBorders>
            <w:shd w:val="clear" w:color="auto" w:fill="auto"/>
            <w:noWrap/>
            <w:hideMark/>
          </w:tcPr>
          <w:p w14:paraId="6A75E61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4808557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45,575</w:t>
            </w:r>
          </w:p>
        </w:tc>
        <w:tc>
          <w:tcPr>
            <w:tcW w:w="1139" w:type="dxa"/>
            <w:tcBorders>
              <w:top w:val="nil"/>
              <w:left w:val="nil"/>
              <w:bottom w:val="nil"/>
              <w:right w:val="nil"/>
            </w:tcBorders>
            <w:shd w:val="clear" w:color="auto" w:fill="auto"/>
            <w:noWrap/>
            <w:hideMark/>
          </w:tcPr>
          <w:p w14:paraId="02C4C6E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41,967</w:t>
            </w:r>
          </w:p>
        </w:tc>
        <w:tc>
          <w:tcPr>
            <w:tcW w:w="1139" w:type="dxa"/>
            <w:tcBorders>
              <w:top w:val="nil"/>
              <w:left w:val="nil"/>
              <w:bottom w:val="nil"/>
              <w:right w:val="nil"/>
            </w:tcBorders>
            <w:shd w:val="clear" w:color="auto" w:fill="auto"/>
            <w:noWrap/>
            <w:hideMark/>
          </w:tcPr>
          <w:p w14:paraId="520E3BC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43,062</w:t>
            </w:r>
          </w:p>
        </w:tc>
        <w:tc>
          <w:tcPr>
            <w:tcW w:w="1023" w:type="dxa"/>
            <w:tcBorders>
              <w:top w:val="nil"/>
              <w:left w:val="nil"/>
              <w:bottom w:val="nil"/>
              <w:right w:val="nil"/>
            </w:tcBorders>
            <w:shd w:val="clear" w:color="auto" w:fill="auto"/>
            <w:noWrap/>
            <w:hideMark/>
          </w:tcPr>
          <w:p w14:paraId="0717B77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3,608</w:t>
            </w:r>
          </w:p>
        </w:tc>
        <w:tc>
          <w:tcPr>
            <w:tcW w:w="1023" w:type="dxa"/>
            <w:tcBorders>
              <w:top w:val="nil"/>
              <w:left w:val="nil"/>
              <w:bottom w:val="nil"/>
              <w:right w:val="nil"/>
            </w:tcBorders>
            <w:shd w:val="clear" w:color="auto" w:fill="auto"/>
            <w:noWrap/>
            <w:hideMark/>
          </w:tcPr>
          <w:p w14:paraId="33E6BC0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w:t>
            </w:r>
          </w:p>
        </w:tc>
      </w:tr>
      <w:tr w:rsidR="00B214A5" w:rsidRPr="00B214A5" w14:paraId="44C4A3BB" w14:textId="77777777" w:rsidTr="008A121C">
        <w:trPr>
          <w:trHeight w:hRule="exact" w:val="216"/>
          <w:jc w:val="center"/>
        </w:trPr>
        <w:tc>
          <w:tcPr>
            <w:tcW w:w="244" w:type="dxa"/>
            <w:tcBorders>
              <w:top w:val="nil"/>
              <w:left w:val="nil"/>
              <w:bottom w:val="nil"/>
              <w:right w:val="nil"/>
            </w:tcBorders>
            <w:shd w:val="clear" w:color="auto" w:fill="auto"/>
            <w:noWrap/>
            <w:hideMark/>
          </w:tcPr>
          <w:p w14:paraId="5FD6A20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481268F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0550B83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Temporary Staff</w:t>
            </w:r>
          </w:p>
        </w:tc>
        <w:tc>
          <w:tcPr>
            <w:tcW w:w="244" w:type="dxa"/>
            <w:tcBorders>
              <w:top w:val="nil"/>
              <w:left w:val="nil"/>
              <w:bottom w:val="nil"/>
              <w:right w:val="nil"/>
            </w:tcBorders>
            <w:shd w:val="clear" w:color="auto" w:fill="auto"/>
            <w:noWrap/>
            <w:hideMark/>
          </w:tcPr>
          <w:p w14:paraId="04B73D6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04BBF0E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2,861</w:t>
            </w:r>
          </w:p>
        </w:tc>
        <w:tc>
          <w:tcPr>
            <w:tcW w:w="1139" w:type="dxa"/>
            <w:tcBorders>
              <w:top w:val="nil"/>
              <w:left w:val="nil"/>
              <w:bottom w:val="nil"/>
              <w:right w:val="nil"/>
            </w:tcBorders>
            <w:shd w:val="clear" w:color="auto" w:fill="auto"/>
            <w:noWrap/>
            <w:hideMark/>
          </w:tcPr>
          <w:p w14:paraId="3915051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2,247</w:t>
            </w:r>
          </w:p>
        </w:tc>
        <w:tc>
          <w:tcPr>
            <w:tcW w:w="1139" w:type="dxa"/>
            <w:tcBorders>
              <w:top w:val="nil"/>
              <w:left w:val="nil"/>
              <w:bottom w:val="nil"/>
              <w:right w:val="nil"/>
            </w:tcBorders>
            <w:shd w:val="clear" w:color="auto" w:fill="auto"/>
            <w:noWrap/>
            <w:hideMark/>
          </w:tcPr>
          <w:p w14:paraId="767107E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3,416</w:t>
            </w:r>
          </w:p>
        </w:tc>
        <w:tc>
          <w:tcPr>
            <w:tcW w:w="1023" w:type="dxa"/>
            <w:tcBorders>
              <w:top w:val="nil"/>
              <w:left w:val="nil"/>
              <w:bottom w:val="nil"/>
              <w:right w:val="nil"/>
            </w:tcBorders>
            <w:shd w:val="clear" w:color="auto" w:fill="auto"/>
            <w:noWrap/>
            <w:hideMark/>
          </w:tcPr>
          <w:p w14:paraId="69497D9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614</w:t>
            </w:r>
          </w:p>
        </w:tc>
        <w:tc>
          <w:tcPr>
            <w:tcW w:w="1023" w:type="dxa"/>
            <w:tcBorders>
              <w:top w:val="nil"/>
              <w:left w:val="nil"/>
              <w:bottom w:val="nil"/>
              <w:right w:val="nil"/>
            </w:tcBorders>
            <w:shd w:val="clear" w:color="auto" w:fill="auto"/>
            <w:noWrap/>
            <w:hideMark/>
          </w:tcPr>
          <w:p w14:paraId="4362EA5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27%</w:t>
            </w:r>
          </w:p>
        </w:tc>
      </w:tr>
      <w:tr w:rsidR="00B214A5" w:rsidRPr="00B214A5" w14:paraId="65F8B248" w14:textId="77777777" w:rsidTr="008A121C">
        <w:trPr>
          <w:trHeight w:hRule="exact" w:val="216"/>
          <w:jc w:val="center"/>
        </w:trPr>
        <w:tc>
          <w:tcPr>
            <w:tcW w:w="244" w:type="dxa"/>
            <w:tcBorders>
              <w:top w:val="nil"/>
              <w:left w:val="nil"/>
              <w:bottom w:val="nil"/>
              <w:right w:val="nil"/>
            </w:tcBorders>
            <w:shd w:val="clear" w:color="auto" w:fill="auto"/>
            <w:noWrap/>
            <w:hideMark/>
          </w:tcPr>
          <w:p w14:paraId="46CA298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54A71B4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29CE050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Other Staff Costs</w:t>
            </w:r>
          </w:p>
        </w:tc>
        <w:tc>
          <w:tcPr>
            <w:tcW w:w="244" w:type="dxa"/>
            <w:tcBorders>
              <w:top w:val="nil"/>
              <w:left w:val="nil"/>
              <w:bottom w:val="nil"/>
              <w:right w:val="nil"/>
            </w:tcBorders>
            <w:shd w:val="clear" w:color="auto" w:fill="auto"/>
            <w:noWrap/>
            <w:hideMark/>
          </w:tcPr>
          <w:p w14:paraId="5FA2B028"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7F4CE29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nil"/>
              <w:right w:val="nil"/>
            </w:tcBorders>
            <w:shd w:val="clear" w:color="auto" w:fill="auto"/>
            <w:noWrap/>
            <w:hideMark/>
          </w:tcPr>
          <w:p w14:paraId="439DC8E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nil"/>
              <w:right w:val="nil"/>
            </w:tcBorders>
            <w:shd w:val="clear" w:color="auto" w:fill="auto"/>
            <w:noWrap/>
            <w:hideMark/>
          </w:tcPr>
          <w:p w14:paraId="1731C83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nil"/>
              <w:right w:val="nil"/>
            </w:tcBorders>
            <w:shd w:val="clear" w:color="auto" w:fill="auto"/>
            <w:noWrap/>
            <w:hideMark/>
          </w:tcPr>
          <w:p w14:paraId="6BDA046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nil"/>
              <w:right w:val="nil"/>
            </w:tcBorders>
            <w:shd w:val="clear" w:color="auto" w:fill="auto"/>
            <w:noWrap/>
            <w:hideMark/>
          </w:tcPr>
          <w:p w14:paraId="25E8906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2667A681" w14:textId="77777777" w:rsidTr="008A121C">
        <w:trPr>
          <w:trHeight w:hRule="exact" w:val="216"/>
          <w:jc w:val="center"/>
        </w:trPr>
        <w:tc>
          <w:tcPr>
            <w:tcW w:w="244" w:type="dxa"/>
            <w:tcBorders>
              <w:top w:val="single" w:sz="4" w:space="0" w:color="C7CFD8"/>
              <w:left w:val="nil"/>
              <w:bottom w:val="single" w:sz="8" w:space="0" w:color="C7CFD8"/>
              <w:right w:val="nil"/>
            </w:tcBorders>
            <w:shd w:val="clear" w:color="auto" w:fill="auto"/>
            <w:noWrap/>
            <w:hideMark/>
          </w:tcPr>
          <w:p w14:paraId="10DC5F75"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3089" w:type="dxa"/>
            <w:gridSpan w:val="2"/>
            <w:tcBorders>
              <w:top w:val="single" w:sz="4" w:space="0" w:color="C7CFD8"/>
              <w:left w:val="nil"/>
              <w:bottom w:val="single" w:sz="8" w:space="0" w:color="C7CFD8"/>
              <w:right w:val="nil"/>
            </w:tcBorders>
            <w:shd w:val="clear" w:color="auto" w:fill="auto"/>
            <w:noWrap/>
            <w:vAlign w:val="center"/>
            <w:hideMark/>
          </w:tcPr>
          <w:p w14:paraId="7146C32C"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 A</w:t>
            </w:r>
          </w:p>
        </w:tc>
        <w:tc>
          <w:tcPr>
            <w:tcW w:w="244" w:type="dxa"/>
            <w:tcBorders>
              <w:top w:val="single" w:sz="4" w:space="0" w:color="C7CFD8"/>
              <w:left w:val="nil"/>
              <w:bottom w:val="single" w:sz="8" w:space="0" w:color="C7CFD8"/>
              <w:right w:val="nil"/>
            </w:tcBorders>
            <w:shd w:val="clear" w:color="auto" w:fill="auto"/>
            <w:noWrap/>
            <w:hideMark/>
          </w:tcPr>
          <w:p w14:paraId="42BA6D9D"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23" w:type="dxa"/>
            <w:tcBorders>
              <w:top w:val="single" w:sz="4" w:space="0" w:color="C7CFD8"/>
              <w:left w:val="nil"/>
              <w:bottom w:val="single" w:sz="8" w:space="0" w:color="C7CFD8"/>
              <w:right w:val="nil"/>
            </w:tcBorders>
            <w:shd w:val="clear" w:color="auto" w:fill="auto"/>
            <w:noWrap/>
            <w:vAlign w:val="center"/>
            <w:hideMark/>
          </w:tcPr>
          <w:p w14:paraId="050BF8FB"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48,435</w:t>
            </w:r>
          </w:p>
        </w:tc>
        <w:tc>
          <w:tcPr>
            <w:tcW w:w="1139" w:type="dxa"/>
            <w:tcBorders>
              <w:top w:val="single" w:sz="4" w:space="0" w:color="C7CFD8"/>
              <w:left w:val="nil"/>
              <w:bottom w:val="single" w:sz="8" w:space="0" w:color="C7CFD8"/>
              <w:right w:val="nil"/>
            </w:tcBorders>
            <w:shd w:val="clear" w:color="auto" w:fill="auto"/>
            <w:noWrap/>
            <w:vAlign w:val="center"/>
            <w:hideMark/>
          </w:tcPr>
          <w:p w14:paraId="375B599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44,214</w:t>
            </w:r>
          </w:p>
        </w:tc>
        <w:tc>
          <w:tcPr>
            <w:tcW w:w="1139" w:type="dxa"/>
            <w:tcBorders>
              <w:top w:val="single" w:sz="4" w:space="0" w:color="C7CFD8"/>
              <w:left w:val="nil"/>
              <w:bottom w:val="single" w:sz="8" w:space="0" w:color="C7CFD8"/>
              <w:right w:val="nil"/>
            </w:tcBorders>
            <w:shd w:val="clear" w:color="auto" w:fill="auto"/>
            <w:noWrap/>
            <w:vAlign w:val="center"/>
            <w:hideMark/>
          </w:tcPr>
          <w:p w14:paraId="4689271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46,478</w:t>
            </w:r>
          </w:p>
        </w:tc>
        <w:tc>
          <w:tcPr>
            <w:tcW w:w="1023" w:type="dxa"/>
            <w:tcBorders>
              <w:top w:val="single" w:sz="4" w:space="0" w:color="C7CFD8"/>
              <w:left w:val="nil"/>
              <w:bottom w:val="single" w:sz="8" w:space="0" w:color="C7CFD8"/>
              <w:right w:val="nil"/>
            </w:tcBorders>
            <w:shd w:val="clear" w:color="auto" w:fill="auto"/>
            <w:noWrap/>
            <w:vAlign w:val="center"/>
            <w:hideMark/>
          </w:tcPr>
          <w:p w14:paraId="16AC5A8B"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4,222</w:t>
            </w:r>
          </w:p>
        </w:tc>
        <w:tc>
          <w:tcPr>
            <w:tcW w:w="1023" w:type="dxa"/>
            <w:tcBorders>
              <w:top w:val="single" w:sz="4" w:space="0" w:color="C7CFD8"/>
              <w:left w:val="nil"/>
              <w:bottom w:val="single" w:sz="8" w:space="0" w:color="C7CFD8"/>
              <w:right w:val="nil"/>
            </w:tcBorders>
            <w:shd w:val="clear" w:color="auto" w:fill="auto"/>
            <w:noWrap/>
            <w:vAlign w:val="center"/>
            <w:hideMark/>
          </w:tcPr>
          <w:p w14:paraId="6D1A562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10%</w:t>
            </w:r>
          </w:p>
        </w:tc>
      </w:tr>
      <w:tr w:rsidR="00B214A5" w:rsidRPr="00B214A5" w14:paraId="236DD8D6" w14:textId="77777777" w:rsidTr="008A121C">
        <w:trPr>
          <w:trHeight w:hRule="exact" w:val="216"/>
          <w:jc w:val="center"/>
        </w:trPr>
        <w:tc>
          <w:tcPr>
            <w:tcW w:w="3578" w:type="dxa"/>
            <w:gridSpan w:val="4"/>
            <w:tcBorders>
              <w:top w:val="nil"/>
              <w:left w:val="nil"/>
              <w:bottom w:val="nil"/>
              <w:right w:val="nil"/>
            </w:tcBorders>
            <w:shd w:val="clear" w:color="auto" w:fill="auto"/>
            <w:noWrap/>
            <w:hideMark/>
          </w:tcPr>
          <w:p w14:paraId="716B6D6A"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r w:rsidRPr="00B214A5">
              <w:rPr>
                <w:rFonts w:ascii="Arial Narrow" w:eastAsia="Times New Roman" w:hAnsi="Arial Narrow" w:cs="Times New Roman"/>
                <w:b/>
                <w:bCs/>
                <w:color w:val="005172"/>
                <w:sz w:val="16"/>
                <w:szCs w:val="16"/>
                <w:lang w:val="en-US"/>
              </w:rPr>
              <w:t>B. Non-personnel Resources</w:t>
            </w:r>
          </w:p>
        </w:tc>
        <w:tc>
          <w:tcPr>
            <w:tcW w:w="1023" w:type="dxa"/>
            <w:tcBorders>
              <w:top w:val="nil"/>
              <w:left w:val="nil"/>
              <w:bottom w:val="nil"/>
              <w:right w:val="nil"/>
            </w:tcBorders>
            <w:shd w:val="clear" w:color="auto" w:fill="auto"/>
            <w:noWrap/>
            <w:hideMark/>
          </w:tcPr>
          <w:p w14:paraId="41517172" w14:textId="77777777" w:rsidR="00B214A5" w:rsidRPr="00B214A5" w:rsidRDefault="00B214A5" w:rsidP="00B214A5">
            <w:pPr>
              <w:spacing w:after="0" w:line="240" w:lineRule="auto"/>
              <w:rPr>
                <w:rFonts w:ascii="Arial Narrow" w:eastAsia="Times New Roman" w:hAnsi="Arial Narrow" w:cs="Times New Roman"/>
                <w:b/>
                <w:bCs/>
                <w:color w:val="005172"/>
                <w:sz w:val="16"/>
                <w:szCs w:val="16"/>
                <w:lang w:val="en-US"/>
              </w:rPr>
            </w:pPr>
          </w:p>
        </w:tc>
        <w:tc>
          <w:tcPr>
            <w:tcW w:w="1139" w:type="dxa"/>
            <w:tcBorders>
              <w:top w:val="nil"/>
              <w:left w:val="nil"/>
              <w:bottom w:val="nil"/>
              <w:right w:val="nil"/>
            </w:tcBorders>
            <w:shd w:val="clear" w:color="auto" w:fill="auto"/>
            <w:noWrap/>
            <w:hideMark/>
          </w:tcPr>
          <w:p w14:paraId="6C79F8A7"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1E45217F"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5D22BE4E"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18EBA6E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03E0C6E8" w14:textId="77777777" w:rsidTr="008A121C">
        <w:trPr>
          <w:trHeight w:hRule="exact" w:val="216"/>
          <w:jc w:val="center"/>
        </w:trPr>
        <w:tc>
          <w:tcPr>
            <w:tcW w:w="244" w:type="dxa"/>
            <w:tcBorders>
              <w:top w:val="nil"/>
              <w:left w:val="nil"/>
              <w:bottom w:val="nil"/>
              <w:right w:val="nil"/>
            </w:tcBorders>
            <w:shd w:val="clear" w:color="auto" w:fill="auto"/>
            <w:noWrap/>
            <w:hideMark/>
          </w:tcPr>
          <w:p w14:paraId="48244E14"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334" w:type="dxa"/>
            <w:gridSpan w:val="3"/>
            <w:tcBorders>
              <w:top w:val="nil"/>
              <w:left w:val="nil"/>
              <w:bottom w:val="nil"/>
              <w:right w:val="nil"/>
            </w:tcBorders>
            <w:shd w:val="clear" w:color="auto" w:fill="auto"/>
            <w:noWrap/>
            <w:hideMark/>
          </w:tcPr>
          <w:p w14:paraId="33D421EB"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Internships and WIPO Fellowships</w:t>
            </w:r>
          </w:p>
        </w:tc>
        <w:tc>
          <w:tcPr>
            <w:tcW w:w="1023" w:type="dxa"/>
            <w:tcBorders>
              <w:top w:val="nil"/>
              <w:left w:val="nil"/>
              <w:bottom w:val="nil"/>
              <w:right w:val="nil"/>
            </w:tcBorders>
            <w:shd w:val="clear" w:color="auto" w:fill="auto"/>
            <w:noWrap/>
            <w:hideMark/>
          </w:tcPr>
          <w:p w14:paraId="6C26073D"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tcBorders>
              <w:top w:val="nil"/>
              <w:left w:val="nil"/>
              <w:bottom w:val="nil"/>
              <w:right w:val="nil"/>
            </w:tcBorders>
            <w:shd w:val="clear" w:color="auto" w:fill="auto"/>
            <w:noWrap/>
            <w:hideMark/>
          </w:tcPr>
          <w:p w14:paraId="09F0AB52"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70E91B83"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39D16FAB"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32B5CF5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7E67F10" w14:textId="77777777" w:rsidTr="008A121C">
        <w:trPr>
          <w:trHeight w:hRule="exact" w:val="216"/>
          <w:jc w:val="center"/>
        </w:trPr>
        <w:tc>
          <w:tcPr>
            <w:tcW w:w="244" w:type="dxa"/>
            <w:tcBorders>
              <w:top w:val="nil"/>
              <w:left w:val="nil"/>
              <w:bottom w:val="nil"/>
              <w:right w:val="nil"/>
            </w:tcBorders>
            <w:shd w:val="clear" w:color="auto" w:fill="auto"/>
            <w:noWrap/>
            <w:hideMark/>
          </w:tcPr>
          <w:p w14:paraId="613B548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3C2672E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2A128958"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Internships</w:t>
            </w:r>
          </w:p>
        </w:tc>
        <w:tc>
          <w:tcPr>
            <w:tcW w:w="244" w:type="dxa"/>
            <w:tcBorders>
              <w:top w:val="nil"/>
              <w:left w:val="nil"/>
              <w:bottom w:val="nil"/>
              <w:right w:val="nil"/>
            </w:tcBorders>
            <w:shd w:val="clear" w:color="auto" w:fill="auto"/>
            <w:noWrap/>
            <w:hideMark/>
          </w:tcPr>
          <w:p w14:paraId="242BB9C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3C81F13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276</w:t>
            </w:r>
          </w:p>
        </w:tc>
        <w:tc>
          <w:tcPr>
            <w:tcW w:w="1139" w:type="dxa"/>
            <w:tcBorders>
              <w:top w:val="nil"/>
              <w:left w:val="nil"/>
              <w:bottom w:val="nil"/>
              <w:right w:val="nil"/>
            </w:tcBorders>
            <w:shd w:val="clear" w:color="auto" w:fill="auto"/>
            <w:noWrap/>
            <w:hideMark/>
          </w:tcPr>
          <w:p w14:paraId="600F852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514</w:t>
            </w:r>
          </w:p>
        </w:tc>
        <w:tc>
          <w:tcPr>
            <w:tcW w:w="1139" w:type="dxa"/>
            <w:tcBorders>
              <w:top w:val="nil"/>
              <w:left w:val="nil"/>
              <w:bottom w:val="nil"/>
              <w:right w:val="nil"/>
            </w:tcBorders>
            <w:shd w:val="clear" w:color="auto" w:fill="auto"/>
            <w:noWrap/>
            <w:hideMark/>
          </w:tcPr>
          <w:p w14:paraId="4E72F4A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250</w:t>
            </w:r>
          </w:p>
        </w:tc>
        <w:tc>
          <w:tcPr>
            <w:tcW w:w="1023" w:type="dxa"/>
            <w:tcBorders>
              <w:top w:val="nil"/>
              <w:left w:val="nil"/>
              <w:bottom w:val="nil"/>
              <w:right w:val="nil"/>
            </w:tcBorders>
            <w:shd w:val="clear" w:color="auto" w:fill="auto"/>
            <w:noWrap/>
            <w:hideMark/>
          </w:tcPr>
          <w:p w14:paraId="2B21080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(239)</w:t>
            </w:r>
          </w:p>
        </w:tc>
        <w:tc>
          <w:tcPr>
            <w:tcW w:w="1023" w:type="dxa"/>
            <w:tcBorders>
              <w:top w:val="nil"/>
              <w:left w:val="nil"/>
              <w:bottom w:val="nil"/>
              <w:right w:val="nil"/>
            </w:tcBorders>
            <w:shd w:val="clear" w:color="auto" w:fill="auto"/>
            <w:noWrap/>
            <w:hideMark/>
          </w:tcPr>
          <w:p w14:paraId="2D3CFDE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r>
      <w:tr w:rsidR="00B214A5" w:rsidRPr="00B214A5" w14:paraId="2E8E7482" w14:textId="77777777" w:rsidTr="008A121C">
        <w:trPr>
          <w:trHeight w:hRule="exact" w:val="216"/>
          <w:jc w:val="center"/>
        </w:trPr>
        <w:tc>
          <w:tcPr>
            <w:tcW w:w="244" w:type="dxa"/>
            <w:tcBorders>
              <w:top w:val="nil"/>
              <w:left w:val="nil"/>
              <w:bottom w:val="nil"/>
              <w:right w:val="nil"/>
            </w:tcBorders>
            <w:shd w:val="clear" w:color="auto" w:fill="auto"/>
            <w:noWrap/>
            <w:hideMark/>
          </w:tcPr>
          <w:p w14:paraId="00A5360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5D153F6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132EC62A"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WIPO Fellowships</w:t>
            </w:r>
          </w:p>
        </w:tc>
        <w:tc>
          <w:tcPr>
            <w:tcW w:w="244" w:type="dxa"/>
            <w:tcBorders>
              <w:top w:val="nil"/>
              <w:left w:val="nil"/>
              <w:bottom w:val="nil"/>
              <w:right w:val="nil"/>
            </w:tcBorders>
            <w:shd w:val="clear" w:color="auto" w:fill="auto"/>
            <w:noWrap/>
            <w:hideMark/>
          </w:tcPr>
          <w:p w14:paraId="0474F37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15AD6E5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1,176</w:t>
            </w:r>
          </w:p>
        </w:tc>
        <w:tc>
          <w:tcPr>
            <w:tcW w:w="1139" w:type="dxa"/>
            <w:tcBorders>
              <w:top w:val="nil"/>
              <w:left w:val="nil"/>
              <w:bottom w:val="nil"/>
              <w:right w:val="nil"/>
            </w:tcBorders>
            <w:shd w:val="clear" w:color="auto" w:fill="auto"/>
            <w:noWrap/>
            <w:hideMark/>
          </w:tcPr>
          <w:p w14:paraId="396E72A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634</w:t>
            </w:r>
          </w:p>
        </w:tc>
        <w:tc>
          <w:tcPr>
            <w:tcW w:w="1139" w:type="dxa"/>
            <w:tcBorders>
              <w:top w:val="nil"/>
              <w:left w:val="nil"/>
              <w:bottom w:val="nil"/>
              <w:right w:val="nil"/>
            </w:tcBorders>
            <w:shd w:val="clear" w:color="auto" w:fill="auto"/>
            <w:noWrap/>
            <w:hideMark/>
          </w:tcPr>
          <w:p w14:paraId="5D30ED8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1,099</w:t>
            </w:r>
          </w:p>
        </w:tc>
        <w:tc>
          <w:tcPr>
            <w:tcW w:w="1023" w:type="dxa"/>
            <w:tcBorders>
              <w:top w:val="nil"/>
              <w:left w:val="nil"/>
              <w:bottom w:val="nil"/>
              <w:right w:val="nil"/>
            </w:tcBorders>
            <w:shd w:val="clear" w:color="auto" w:fill="auto"/>
            <w:noWrap/>
            <w:hideMark/>
          </w:tcPr>
          <w:p w14:paraId="3914EF6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542</w:t>
            </w:r>
          </w:p>
        </w:tc>
        <w:tc>
          <w:tcPr>
            <w:tcW w:w="1023" w:type="dxa"/>
            <w:tcBorders>
              <w:top w:val="nil"/>
              <w:left w:val="nil"/>
              <w:bottom w:val="nil"/>
              <w:right w:val="nil"/>
            </w:tcBorders>
            <w:shd w:val="clear" w:color="auto" w:fill="auto"/>
            <w:noWrap/>
            <w:hideMark/>
          </w:tcPr>
          <w:p w14:paraId="7330B4A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85%</w:t>
            </w:r>
          </w:p>
        </w:tc>
      </w:tr>
      <w:tr w:rsidR="00B214A5" w:rsidRPr="00B214A5" w14:paraId="0413A63C"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2A1867FC"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0559F05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6665D92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23" w:type="dxa"/>
            <w:tcBorders>
              <w:top w:val="nil"/>
              <w:left w:val="nil"/>
              <w:bottom w:val="single" w:sz="4" w:space="0" w:color="C7CFD8"/>
              <w:right w:val="nil"/>
            </w:tcBorders>
            <w:shd w:val="clear" w:color="auto" w:fill="auto"/>
            <w:noWrap/>
            <w:hideMark/>
          </w:tcPr>
          <w:p w14:paraId="6C4872B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1,452</w:t>
            </w:r>
          </w:p>
        </w:tc>
        <w:tc>
          <w:tcPr>
            <w:tcW w:w="1139" w:type="dxa"/>
            <w:tcBorders>
              <w:top w:val="nil"/>
              <w:left w:val="nil"/>
              <w:bottom w:val="single" w:sz="4" w:space="0" w:color="C7CFD8"/>
              <w:right w:val="nil"/>
            </w:tcBorders>
            <w:shd w:val="clear" w:color="auto" w:fill="auto"/>
            <w:noWrap/>
            <w:hideMark/>
          </w:tcPr>
          <w:p w14:paraId="32652C7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1,148</w:t>
            </w:r>
          </w:p>
        </w:tc>
        <w:tc>
          <w:tcPr>
            <w:tcW w:w="1139" w:type="dxa"/>
            <w:tcBorders>
              <w:top w:val="nil"/>
              <w:left w:val="nil"/>
              <w:bottom w:val="single" w:sz="4" w:space="0" w:color="C7CFD8"/>
              <w:right w:val="nil"/>
            </w:tcBorders>
            <w:shd w:val="clear" w:color="auto" w:fill="auto"/>
            <w:noWrap/>
            <w:hideMark/>
          </w:tcPr>
          <w:p w14:paraId="6E66EF2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1,349</w:t>
            </w:r>
          </w:p>
        </w:tc>
        <w:tc>
          <w:tcPr>
            <w:tcW w:w="1023" w:type="dxa"/>
            <w:tcBorders>
              <w:top w:val="nil"/>
              <w:left w:val="nil"/>
              <w:bottom w:val="single" w:sz="4" w:space="0" w:color="C7CFD8"/>
              <w:right w:val="nil"/>
            </w:tcBorders>
            <w:shd w:val="clear" w:color="auto" w:fill="auto"/>
            <w:noWrap/>
            <w:hideMark/>
          </w:tcPr>
          <w:p w14:paraId="7DF1678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303</w:t>
            </w:r>
          </w:p>
        </w:tc>
        <w:tc>
          <w:tcPr>
            <w:tcW w:w="1023" w:type="dxa"/>
            <w:tcBorders>
              <w:top w:val="nil"/>
              <w:left w:val="nil"/>
              <w:bottom w:val="single" w:sz="4" w:space="0" w:color="C7CFD8"/>
              <w:right w:val="nil"/>
            </w:tcBorders>
            <w:shd w:val="clear" w:color="auto" w:fill="auto"/>
            <w:noWrap/>
            <w:hideMark/>
          </w:tcPr>
          <w:p w14:paraId="311EC26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26%</w:t>
            </w:r>
          </w:p>
        </w:tc>
      </w:tr>
      <w:tr w:rsidR="00B214A5" w:rsidRPr="00B214A5" w14:paraId="55855186" w14:textId="77777777" w:rsidTr="008A121C">
        <w:trPr>
          <w:trHeight w:hRule="exact" w:val="216"/>
          <w:jc w:val="center"/>
        </w:trPr>
        <w:tc>
          <w:tcPr>
            <w:tcW w:w="244" w:type="dxa"/>
            <w:tcBorders>
              <w:top w:val="nil"/>
              <w:left w:val="nil"/>
              <w:bottom w:val="nil"/>
              <w:right w:val="nil"/>
            </w:tcBorders>
            <w:shd w:val="clear" w:color="auto" w:fill="auto"/>
            <w:noWrap/>
            <w:hideMark/>
          </w:tcPr>
          <w:p w14:paraId="00DCF89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334" w:type="dxa"/>
            <w:gridSpan w:val="3"/>
            <w:tcBorders>
              <w:top w:val="nil"/>
              <w:left w:val="nil"/>
              <w:bottom w:val="nil"/>
              <w:right w:val="nil"/>
            </w:tcBorders>
            <w:shd w:val="clear" w:color="auto" w:fill="auto"/>
            <w:noWrap/>
            <w:hideMark/>
          </w:tcPr>
          <w:p w14:paraId="383A1D9D"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Travel, Training and Grants</w:t>
            </w:r>
          </w:p>
        </w:tc>
        <w:tc>
          <w:tcPr>
            <w:tcW w:w="1023" w:type="dxa"/>
            <w:tcBorders>
              <w:top w:val="nil"/>
              <w:left w:val="nil"/>
              <w:bottom w:val="nil"/>
              <w:right w:val="nil"/>
            </w:tcBorders>
            <w:shd w:val="clear" w:color="auto" w:fill="auto"/>
            <w:noWrap/>
            <w:hideMark/>
          </w:tcPr>
          <w:p w14:paraId="288ED892"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tcBorders>
              <w:top w:val="nil"/>
              <w:left w:val="nil"/>
              <w:bottom w:val="nil"/>
              <w:right w:val="nil"/>
            </w:tcBorders>
            <w:shd w:val="clear" w:color="auto" w:fill="auto"/>
            <w:noWrap/>
            <w:hideMark/>
          </w:tcPr>
          <w:p w14:paraId="0B171164"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0F02CD39"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7987B768"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6693F75B"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288F1F33" w14:textId="77777777" w:rsidTr="008A121C">
        <w:trPr>
          <w:trHeight w:hRule="exact" w:val="216"/>
          <w:jc w:val="center"/>
        </w:trPr>
        <w:tc>
          <w:tcPr>
            <w:tcW w:w="244" w:type="dxa"/>
            <w:tcBorders>
              <w:top w:val="nil"/>
              <w:left w:val="nil"/>
              <w:bottom w:val="nil"/>
              <w:right w:val="nil"/>
            </w:tcBorders>
            <w:shd w:val="clear" w:color="auto" w:fill="auto"/>
            <w:noWrap/>
            <w:hideMark/>
          </w:tcPr>
          <w:p w14:paraId="769557FE"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5A5DB51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57F8288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Staff Missions</w:t>
            </w:r>
          </w:p>
        </w:tc>
        <w:tc>
          <w:tcPr>
            <w:tcW w:w="244" w:type="dxa"/>
            <w:tcBorders>
              <w:top w:val="nil"/>
              <w:left w:val="nil"/>
              <w:bottom w:val="nil"/>
              <w:right w:val="nil"/>
            </w:tcBorders>
            <w:shd w:val="clear" w:color="auto" w:fill="auto"/>
            <w:noWrap/>
            <w:hideMark/>
          </w:tcPr>
          <w:p w14:paraId="66371389"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69F568D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3,284</w:t>
            </w:r>
          </w:p>
        </w:tc>
        <w:tc>
          <w:tcPr>
            <w:tcW w:w="1139" w:type="dxa"/>
            <w:tcBorders>
              <w:top w:val="nil"/>
              <w:left w:val="nil"/>
              <w:bottom w:val="nil"/>
              <w:right w:val="nil"/>
            </w:tcBorders>
            <w:shd w:val="clear" w:color="auto" w:fill="auto"/>
            <w:noWrap/>
            <w:hideMark/>
          </w:tcPr>
          <w:p w14:paraId="06C362B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3,172</w:t>
            </w:r>
          </w:p>
        </w:tc>
        <w:tc>
          <w:tcPr>
            <w:tcW w:w="1139" w:type="dxa"/>
            <w:tcBorders>
              <w:top w:val="nil"/>
              <w:left w:val="nil"/>
              <w:bottom w:val="nil"/>
              <w:right w:val="nil"/>
            </w:tcBorders>
            <w:shd w:val="clear" w:color="auto" w:fill="auto"/>
            <w:noWrap/>
            <w:hideMark/>
          </w:tcPr>
          <w:p w14:paraId="10AF985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2,574</w:t>
            </w:r>
          </w:p>
        </w:tc>
        <w:tc>
          <w:tcPr>
            <w:tcW w:w="1023" w:type="dxa"/>
            <w:tcBorders>
              <w:top w:val="nil"/>
              <w:left w:val="nil"/>
              <w:bottom w:val="nil"/>
              <w:right w:val="nil"/>
            </w:tcBorders>
            <w:shd w:val="clear" w:color="auto" w:fill="auto"/>
            <w:noWrap/>
            <w:hideMark/>
          </w:tcPr>
          <w:p w14:paraId="3B743DD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111</w:t>
            </w:r>
          </w:p>
        </w:tc>
        <w:tc>
          <w:tcPr>
            <w:tcW w:w="1023" w:type="dxa"/>
            <w:tcBorders>
              <w:top w:val="nil"/>
              <w:left w:val="nil"/>
              <w:bottom w:val="nil"/>
              <w:right w:val="nil"/>
            </w:tcBorders>
            <w:shd w:val="clear" w:color="auto" w:fill="auto"/>
            <w:noWrap/>
            <w:hideMark/>
          </w:tcPr>
          <w:p w14:paraId="75751AB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w:t>
            </w:r>
          </w:p>
        </w:tc>
      </w:tr>
      <w:tr w:rsidR="00B214A5" w:rsidRPr="00B214A5" w14:paraId="453717E7" w14:textId="77777777" w:rsidTr="008A121C">
        <w:trPr>
          <w:trHeight w:hRule="exact" w:val="216"/>
          <w:jc w:val="center"/>
        </w:trPr>
        <w:tc>
          <w:tcPr>
            <w:tcW w:w="244" w:type="dxa"/>
            <w:tcBorders>
              <w:top w:val="nil"/>
              <w:left w:val="nil"/>
              <w:bottom w:val="nil"/>
              <w:right w:val="nil"/>
            </w:tcBorders>
            <w:shd w:val="clear" w:color="auto" w:fill="auto"/>
            <w:noWrap/>
            <w:hideMark/>
          </w:tcPr>
          <w:p w14:paraId="15ACA1E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1ACBBB24"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14D70B9A"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Third-party Travel</w:t>
            </w:r>
          </w:p>
        </w:tc>
        <w:tc>
          <w:tcPr>
            <w:tcW w:w="244" w:type="dxa"/>
            <w:tcBorders>
              <w:top w:val="nil"/>
              <w:left w:val="nil"/>
              <w:bottom w:val="nil"/>
              <w:right w:val="nil"/>
            </w:tcBorders>
            <w:shd w:val="clear" w:color="auto" w:fill="auto"/>
            <w:noWrap/>
            <w:hideMark/>
          </w:tcPr>
          <w:p w14:paraId="18E4DD47"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1F09A77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6,198</w:t>
            </w:r>
          </w:p>
        </w:tc>
        <w:tc>
          <w:tcPr>
            <w:tcW w:w="1139" w:type="dxa"/>
            <w:tcBorders>
              <w:top w:val="nil"/>
              <w:left w:val="nil"/>
              <w:bottom w:val="nil"/>
              <w:right w:val="nil"/>
            </w:tcBorders>
            <w:shd w:val="clear" w:color="auto" w:fill="auto"/>
            <w:noWrap/>
            <w:hideMark/>
          </w:tcPr>
          <w:p w14:paraId="506A3C5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5,873</w:t>
            </w:r>
          </w:p>
        </w:tc>
        <w:tc>
          <w:tcPr>
            <w:tcW w:w="1139" w:type="dxa"/>
            <w:tcBorders>
              <w:top w:val="nil"/>
              <w:left w:val="nil"/>
              <w:bottom w:val="nil"/>
              <w:right w:val="nil"/>
            </w:tcBorders>
            <w:shd w:val="clear" w:color="auto" w:fill="auto"/>
            <w:noWrap/>
            <w:hideMark/>
          </w:tcPr>
          <w:p w14:paraId="1699098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4,353</w:t>
            </w:r>
          </w:p>
        </w:tc>
        <w:tc>
          <w:tcPr>
            <w:tcW w:w="1023" w:type="dxa"/>
            <w:tcBorders>
              <w:top w:val="nil"/>
              <w:left w:val="nil"/>
              <w:bottom w:val="nil"/>
              <w:right w:val="nil"/>
            </w:tcBorders>
            <w:shd w:val="clear" w:color="auto" w:fill="auto"/>
            <w:noWrap/>
            <w:hideMark/>
          </w:tcPr>
          <w:p w14:paraId="0810586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325</w:t>
            </w:r>
          </w:p>
        </w:tc>
        <w:tc>
          <w:tcPr>
            <w:tcW w:w="1023" w:type="dxa"/>
            <w:tcBorders>
              <w:top w:val="nil"/>
              <w:left w:val="nil"/>
              <w:bottom w:val="nil"/>
              <w:right w:val="nil"/>
            </w:tcBorders>
            <w:shd w:val="clear" w:color="auto" w:fill="auto"/>
            <w:noWrap/>
            <w:hideMark/>
          </w:tcPr>
          <w:p w14:paraId="761CAD7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w:t>
            </w:r>
          </w:p>
        </w:tc>
      </w:tr>
      <w:tr w:rsidR="00B214A5" w:rsidRPr="00B214A5" w14:paraId="552D5DE2"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6D9CCDF6"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3396366D"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24B2C858"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23" w:type="dxa"/>
            <w:tcBorders>
              <w:top w:val="nil"/>
              <w:left w:val="nil"/>
              <w:bottom w:val="single" w:sz="4" w:space="0" w:color="C7CFD8"/>
              <w:right w:val="nil"/>
            </w:tcBorders>
            <w:shd w:val="clear" w:color="auto" w:fill="auto"/>
            <w:noWrap/>
            <w:hideMark/>
          </w:tcPr>
          <w:p w14:paraId="79BC9C2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9,482</w:t>
            </w:r>
          </w:p>
        </w:tc>
        <w:tc>
          <w:tcPr>
            <w:tcW w:w="1139" w:type="dxa"/>
            <w:tcBorders>
              <w:top w:val="nil"/>
              <w:left w:val="nil"/>
              <w:bottom w:val="single" w:sz="4" w:space="0" w:color="C7CFD8"/>
              <w:right w:val="nil"/>
            </w:tcBorders>
            <w:shd w:val="clear" w:color="auto" w:fill="auto"/>
            <w:noWrap/>
            <w:hideMark/>
          </w:tcPr>
          <w:p w14:paraId="53BF693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9,046</w:t>
            </w:r>
          </w:p>
        </w:tc>
        <w:tc>
          <w:tcPr>
            <w:tcW w:w="1139" w:type="dxa"/>
            <w:tcBorders>
              <w:top w:val="nil"/>
              <w:left w:val="nil"/>
              <w:bottom w:val="single" w:sz="4" w:space="0" w:color="C7CFD8"/>
              <w:right w:val="nil"/>
            </w:tcBorders>
            <w:shd w:val="clear" w:color="auto" w:fill="auto"/>
            <w:noWrap/>
            <w:hideMark/>
          </w:tcPr>
          <w:p w14:paraId="7135711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6,928</w:t>
            </w:r>
          </w:p>
        </w:tc>
        <w:tc>
          <w:tcPr>
            <w:tcW w:w="1023" w:type="dxa"/>
            <w:tcBorders>
              <w:top w:val="nil"/>
              <w:left w:val="nil"/>
              <w:bottom w:val="single" w:sz="4" w:space="0" w:color="C7CFD8"/>
              <w:right w:val="nil"/>
            </w:tcBorders>
            <w:shd w:val="clear" w:color="auto" w:fill="auto"/>
            <w:noWrap/>
            <w:hideMark/>
          </w:tcPr>
          <w:p w14:paraId="2A3FC1E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436</w:t>
            </w:r>
          </w:p>
        </w:tc>
        <w:tc>
          <w:tcPr>
            <w:tcW w:w="1023" w:type="dxa"/>
            <w:tcBorders>
              <w:top w:val="nil"/>
              <w:left w:val="nil"/>
              <w:bottom w:val="single" w:sz="4" w:space="0" w:color="C7CFD8"/>
              <w:right w:val="nil"/>
            </w:tcBorders>
            <w:shd w:val="clear" w:color="auto" w:fill="auto"/>
            <w:noWrap/>
            <w:hideMark/>
          </w:tcPr>
          <w:p w14:paraId="6AFF09F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w:t>
            </w:r>
          </w:p>
        </w:tc>
      </w:tr>
      <w:tr w:rsidR="00B214A5" w:rsidRPr="00B214A5" w14:paraId="658AB8CA" w14:textId="77777777" w:rsidTr="008A121C">
        <w:trPr>
          <w:trHeight w:hRule="exact" w:val="216"/>
          <w:jc w:val="center"/>
        </w:trPr>
        <w:tc>
          <w:tcPr>
            <w:tcW w:w="244" w:type="dxa"/>
            <w:tcBorders>
              <w:top w:val="nil"/>
              <w:left w:val="nil"/>
              <w:bottom w:val="nil"/>
              <w:right w:val="nil"/>
            </w:tcBorders>
            <w:shd w:val="clear" w:color="auto" w:fill="auto"/>
            <w:noWrap/>
            <w:hideMark/>
          </w:tcPr>
          <w:p w14:paraId="4877805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334" w:type="dxa"/>
            <w:gridSpan w:val="3"/>
            <w:tcBorders>
              <w:top w:val="nil"/>
              <w:left w:val="nil"/>
              <w:bottom w:val="nil"/>
              <w:right w:val="nil"/>
            </w:tcBorders>
            <w:shd w:val="clear" w:color="auto" w:fill="auto"/>
            <w:noWrap/>
            <w:hideMark/>
          </w:tcPr>
          <w:p w14:paraId="2B837042"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Contractual Services</w:t>
            </w:r>
          </w:p>
        </w:tc>
        <w:tc>
          <w:tcPr>
            <w:tcW w:w="1023" w:type="dxa"/>
            <w:tcBorders>
              <w:top w:val="nil"/>
              <w:left w:val="nil"/>
              <w:bottom w:val="nil"/>
              <w:right w:val="nil"/>
            </w:tcBorders>
            <w:shd w:val="clear" w:color="auto" w:fill="auto"/>
            <w:noWrap/>
            <w:hideMark/>
          </w:tcPr>
          <w:p w14:paraId="6C7667F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tcBorders>
              <w:top w:val="nil"/>
              <w:left w:val="nil"/>
              <w:bottom w:val="nil"/>
              <w:right w:val="nil"/>
            </w:tcBorders>
            <w:shd w:val="clear" w:color="auto" w:fill="auto"/>
            <w:noWrap/>
            <w:hideMark/>
          </w:tcPr>
          <w:p w14:paraId="157F86B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585ECF8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484B38DE"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08D16E8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7DEE9EEE" w14:textId="77777777" w:rsidTr="008A121C">
        <w:trPr>
          <w:trHeight w:hRule="exact" w:val="216"/>
          <w:jc w:val="center"/>
        </w:trPr>
        <w:tc>
          <w:tcPr>
            <w:tcW w:w="244" w:type="dxa"/>
            <w:tcBorders>
              <w:top w:val="nil"/>
              <w:left w:val="nil"/>
              <w:bottom w:val="nil"/>
              <w:right w:val="nil"/>
            </w:tcBorders>
            <w:shd w:val="clear" w:color="auto" w:fill="auto"/>
            <w:noWrap/>
            <w:hideMark/>
          </w:tcPr>
          <w:p w14:paraId="15E0059C"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4E43FE8C"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218928A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Conferences</w:t>
            </w:r>
          </w:p>
        </w:tc>
        <w:tc>
          <w:tcPr>
            <w:tcW w:w="244" w:type="dxa"/>
            <w:tcBorders>
              <w:top w:val="nil"/>
              <w:left w:val="nil"/>
              <w:bottom w:val="nil"/>
              <w:right w:val="nil"/>
            </w:tcBorders>
            <w:shd w:val="clear" w:color="auto" w:fill="auto"/>
            <w:noWrap/>
            <w:hideMark/>
          </w:tcPr>
          <w:p w14:paraId="25E8BEA6"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6CE69A1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2,851</w:t>
            </w:r>
          </w:p>
        </w:tc>
        <w:tc>
          <w:tcPr>
            <w:tcW w:w="1139" w:type="dxa"/>
            <w:tcBorders>
              <w:top w:val="nil"/>
              <w:left w:val="nil"/>
              <w:bottom w:val="nil"/>
              <w:right w:val="nil"/>
            </w:tcBorders>
            <w:shd w:val="clear" w:color="auto" w:fill="auto"/>
            <w:noWrap/>
            <w:hideMark/>
          </w:tcPr>
          <w:p w14:paraId="65B1DEC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3,209</w:t>
            </w:r>
          </w:p>
        </w:tc>
        <w:tc>
          <w:tcPr>
            <w:tcW w:w="1139" w:type="dxa"/>
            <w:tcBorders>
              <w:top w:val="nil"/>
              <w:left w:val="nil"/>
              <w:bottom w:val="nil"/>
              <w:right w:val="nil"/>
            </w:tcBorders>
            <w:shd w:val="clear" w:color="auto" w:fill="auto"/>
            <w:noWrap/>
            <w:hideMark/>
          </w:tcPr>
          <w:p w14:paraId="73BD9A9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2,604</w:t>
            </w:r>
          </w:p>
        </w:tc>
        <w:tc>
          <w:tcPr>
            <w:tcW w:w="1023" w:type="dxa"/>
            <w:tcBorders>
              <w:top w:val="nil"/>
              <w:left w:val="nil"/>
              <w:bottom w:val="nil"/>
              <w:right w:val="nil"/>
            </w:tcBorders>
            <w:shd w:val="clear" w:color="auto" w:fill="auto"/>
            <w:noWrap/>
            <w:hideMark/>
          </w:tcPr>
          <w:p w14:paraId="4BE17D0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(359)</w:t>
            </w:r>
          </w:p>
        </w:tc>
        <w:tc>
          <w:tcPr>
            <w:tcW w:w="1023" w:type="dxa"/>
            <w:tcBorders>
              <w:top w:val="nil"/>
              <w:left w:val="nil"/>
              <w:bottom w:val="nil"/>
              <w:right w:val="nil"/>
            </w:tcBorders>
            <w:shd w:val="clear" w:color="auto" w:fill="auto"/>
            <w:noWrap/>
            <w:hideMark/>
          </w:tcPr>
          <w:p w14:paraId="2487846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w:t>
            </w:r>
          </w:p>
        </w:tc>
      </w:tr>
      <w:tr w:rsidR="00B214A5" w:rsidRPr="00B214A5" w14:paraId="34F0A0EE" w14:textId="77777777" w:rsidTr="008A121C">
        <w:trPr>
          <w:trHeight w:hRule="exact" w:val="216"/>
          <w:jc w:val="center"/>
        </w:trPr>
        <w:tc>
          <w:tcPr>
            <w:tcW w:w="244" w:type="dxa"/>
            <w:tcBorders>
              <w:top w:val="nil"/>
              <w:left w:val="nil"/>
              <w:bottom w:val="nil"/>
              <w:right w:val="nil"/>
            </w:tcBorders>
            <w:shd w:val="clear" w:color="auto" w:fill="auto"/>
            <w:noWrap/>
            <w:hideMark/>
          </w:tcPr>
          <w:p w14:paraId="46540FE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21F35CCD"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103BE151"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Publishing</w:t>
            </w:r>
          </w:p>
        </w:tc>
        <w:tc>
          <w:tcPr>
            <w:tcW w:w="244" w:type="dxa"/>
            <w:tcBorders>
              <w:top w:val="nil"/>
              <w:left w:val="nil"/>
              <w:bottom w:val="nil"/>
              <w:right w:val="nil"/>
            </w:tcBorders>
            <w:shd w:val="clear" w:color="auto" w:fill="auto"/>
            <w:noWrap/>
            <w:hideMark/>
          </w:tcPr>
          <w:p w14:paraId="643FA6C8"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78EE35F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170</w:t>
            </w:r>
          </w:p>
        </w:tc>
        <w:tc>
          <w:tcPr>
            <w:tcW w:w="1139" w:type="dxa"/>
            <w:tcBorders>
              <w:top w:val="nil"/>
              <w:left w:val="nil"/>
              <w:bottom w:val="nil"/>
              <w:right w:val="nil"/>
            </w:tcBorders>
            <w:shd w:val="clear" w:color="auto" w:fill="auto"/>
            <w:noWrap/>
            <w:hideMark/>
          </w:tcPr>
          <w:p w14:paraId="659A74B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245</w:t>
            </w:r>
          </w:p>
        </w:tc>
        <w:tc>
          <w:tcPr>
            <w:tcW w:w="1139" w:type="dxa"/>
            <w:tcBorders>
              <w:top w:val="nil"/>
              <w:left w:val="nil"/>
              <w:bottom w:val="nil"/>
              <w:right w:val="nil"/>
            </w:tcBorders>
            <w:shd w:val="clear" w:color="auto" w:fill="auto"/>
            <w:noWrap/>
            <w:hideMark/>
          </w:tcPr>
          <w:p w14:paraId="717B8A4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192</w:t>
            </w:r>
          </w:p>
        </w:tc>
        <w:tc>
          <w:tcPr>
            <w:tcW w:w="1023" w:type="dxa"/>
            <w:tcBorders>
              <w:top w:val="nil"/>
              <w:left w:val="nil"/>
              <w:bottom w:val="nil"/>
              <w:right w:val="nil"/>
            </w:tcBorders>
            <w:shd w:val="clear" w:color="auto" w:fill="auto"/>
            <w:noWrap/>
            <w:hideMark/>
          </w:tcPr>
          <w:p w14:paraId="2B74E02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(74)</w:t>
            </w:r>
          </w:p>
        </w:tc>
        <w:tc>
          <w:tcPr>
            <w:tcW w:w="1023" w:type="dxa"/>
            <w:tcBorders>
              <w:top w:val="nil"/>
              <w:left w:val="nil"/>
              <w:bottom w:val="nil"/>
              <w:right w:val="nil"/>
            </w:tcBorders>
            <w:shd w:val="clear" w:color="auto" w:fill="auto"/>
            <w:noWrap/>
            <w:hideMark/>
          </w:tcPr>
          <w:p w14:paraId="3DC7CC2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-30%</w:t>
            </w:r>
          </w:p>
        </w:tc>
      </w:tr>
      <w:tr w:rsidR="00B214A5" w:rsidRPr="00B214A5" w14:paraId="050A89F0" w14:textId="77777777" w:rsidTr="008A121C">
        <w:trPr>
          <w:trHeight w:hRule="exact" w:val="216"/>
          <w:jc w:val="center"/>
        </w:trPr>
        <w:tc>
          <w:tcPr>
            <w:tcW w:w="244" w:type="dxa"/>
            <w:tcBorders>
              <w:top w:val="nil"/>
              <w:left w:val="nil"/>
              <w:bottom w:val="nil"/>
              <w:right w:val="nil"/>
            </w:tcBorders>
            <w:shd w:val="clear" w:color="auto" w:fill="auto"/>
            <w:noWrap/>
            <w:hideMark/>
          </w:tcPr>
          <w:p w14:paraId="0E5AA85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46F928A9"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noWrap/>
            <w:hideMark/>
          </w:tcPr>
          <w:p w14:paraId="5F99BC6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Individual Contractual Services</w:t>
            </w:r>
          </w:p>
        </w:tc>
        <w:tc>
          <w:tcPr>
            <w:tcW w:w="1023" w:type="dxa"/>
            <w:tcBorders>
              <w:top w:val="nil"/>
              <w:left w:val="nil"/>
              <w:bottom w:val="nil"/>
              <w:right w:val="nil"/>
            </w:tcBorders>
            <w:shd w:val="clear" w:color="auto" w:fill="auto"/>
            <w:noWrap/>
            <w:hideMark/>
          </w:tcPr>
          <w:p w14:paraId="27DE840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13,432</w:t>
            </w:r>
          </w:p>
        </w:tc>
        <w:tc>
          <w:tcPr>
            <w:tcW w:w="1139" w:type="dxa"/>
            <w:tcBorders>
              <w:top w:val="nil"/>
              <w:left w:val="nil"/>
              <w:bottom w:val="nil"/>
              <w:right w:val="nil"/>
            </w:tcBorders>
            <w:shd w:val="clear" w:color="auto" w:fill="auto"/>
            <w:noWrap/>
            <w:hideMark/>
          </w:tcPr>
          <w:p w14:paraId="1E7CDA7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7,593</w:t>
            </w:r>
          </w:p>
        </w:tc>
        <w:tc>
          <w:tcPr>
            <w:tcW w:w="1139" w:type="dxa"/>
            <w:tcBorders>
              <w:top w:val="nil"/>
              <w:left w:val="nil"/>
              <w:bottom w:val="nil"/>
              <w:right w:val="nil"/>
            </w:tcBorders>
            <w:shd w:val="clear" w:color="auto" w:fill="auto"/>
            <w:noWrap/>
            <w:hideMark/>
          </w:tcPr>
          <w:p w14:paraId="36D6B93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7,929</w:t>
            </w:r>
          </w:p>
        </w:tc>
        <w:tc>
          <w:tcPr>
            <w:tcW w:w="1023" w:type="dxa"/>
            <w:tcBorders>
              <w:top w:val="nil"/>
              <w:left w:val="nil"/>
              <w:bottom w:val="nil"/>
              <w:right w:val="nil"/>
            </w:tcBorders>
            <w:shd w:val="clear" w:color="auto" w:fill="auto"/>
            <w:noWrap/>
            <w:hideMark/>
          </w:tcPr>
          <w:p w14:paraId="668D2C1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5,839</w:t>
            </w:r>
          </w:p>
        </w:tc>
        <w:tc>
          <w:tcPr>
            <w:tcW w:w="1023" w:type="dxa"/>
            <w:tcBorders>
              <w:top w:val="nil"/>
              <w:left w:val="nil"/>
              <w:bottom w:val="nil"/>
              <w:right w:val="nil"/>
            </w:tcBorders>
            <w:shd w:val="clear" w:color="auto" w:fill="auto"/>
            <w:noWrap/>
            <w:hideMark/>
          </w:tcPr>
          <w:p w14:paraId="50E1E49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77%</w:t>
            </w:r>
          </w:p>
        </w:tc>
      </w:tr>
      <w:tr w:rsidR="00B214A5" w:rsidRPr="00B214A5" w14:paraId="5C8E2732" w14:textId="77777777" w:rsidTr="008A121C">
        <w:trPr>
          <w:trHeight w:hRule="exact" w:val="216"/>
          <w:jc w:val="center"/>
        </w:trPr>
        <w:tc>
          <w:tcPr>
            <w:tcW w:w="244" w:type="dxa"/>
            <w:tcBorders>
              <w:top w:val="nil"/>
              <w:left w:val="nil"/>
              <w:bottom w:val="nil"/>
              <w:right w:val="nil"/>
            </w:tcBorders>
            <w:shd w:val="clear" w:color="auto" w:fill="auto"/>
            <w:noWrap/>
            <w:hideMark/>
          </w:tcPr>
          <w:p w14:paraId="005A67F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27528BC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noWrap/>
            <w:hideMark/>
          </w:tcPr>
          <w:p w14:paraId="24C8209E"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Other Contractual Services</w:t>
            </w:r>
          </w:p>
        </w:tc>
        <w:tc>
          <w:tcPr>
            <w:tcW w:w="1023" w:type="dxa"/>
            <w:tcBorders>
              <w:top w:val="nil"/>
              <w:left w:val="nil"/>
              <w:bottom w:val="nil"/>
              <w:right w:val="nil"/>
            </w:tcBorders>
            <w:shd w:val="clear" w:color="auto" w:fill="auto"/>
            <w:noWrap/>
            <w:hideMark/>
          </w:tcPr>
          <w:p w14:paraId="2C98036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3,377</w:t>
            </w:r>
          </w:p>
        </w:tc>
        <w:tc>
          <w:tcPr>
            <w:tcW w:w="1139" w:type="dxa"/>
            <w:tcBorders>
              <w:top w:val="nil"/>
              <w:left w:val="nil"/>
              <w:bottom w:val="nil"/>
              <w:right w:val="nil"/>
            </w:tcBorders>
            <w:shd w:val="clear" w:color="auto" w:fill="auto"/>
            <w:noWrap/>
            <w:hideMark/>
          </w:tcPr>
          <w:p w14:paraId="5EC81EA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2,261</w:t>
            </w:r>
          </w:p>
        </w:tc>
        <w:tc>
          <w:tcPr>
            <w:tcW w:w="1139" w:type="dxa"/>
            <w:tcBorders>
              <w:top w:val="nil"/>
              <w:left w:val="nil"/>
              <w:bottom w:val="nil"/>
              <w:right w:val="nil"/>
            </w:tcBorders>
            <w:shd w:val="clear" w:color="auto" w:fill="auto"/>
            <w:noWrap/>
            <w:hideMark/>
          </w:tcPr>
          <w:p w14:paraId="3E4CAD0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6,693</w:t>
            </w:r>
          </w:p>
        </w:tc>
        <w:tc>
          <w:tcPr>
            <w:tcW w:w="1023" w:type="dxa"/>
            <w:tcBorders>
              <w:top w:val="nil"/>
              <w:left w:val="nil"/>
              <w:bottom w:val="nil"/>
              <w:right w:val="nil"/>
            </w:tcBorders>
            <w:shd w:val="clear" w:color="auto" w:fill="auto"/>
            <w:noWrap/>
            <w:hideMark/>
          </w:tcPr>
          <w:p w14:paraId="1E96E6D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1,116</w:t>
            </w:r>
          </w:p>
        </w:tc>
        <w:tc>
          <w:tcPr>
            <w:tcW w:w="1023" w:type="dxa"/>
            <w:tcBorders>
              <w:top w:val="nil"/>
              <w:left w:val="nil"/>
              <w:bottom w:val="nil"/>
              <w:right w:val="nil"/>
            </w:tcBorders>
            <w:shd w:val="clear" w:color="auto" w:fill="auto"/>
            <w:noWrap/>
            <w:hideMark/>
          </w:tcPr>
          <w:p w14:paraId="1E23C01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49%</w:t>
            </w:r>
          </w:p>
        </w:tc>
      </w:tr>
      <w:tr w:rsidR="00B214A5" w:rsidRPr="00B214A5" w14:paraId="79C4C8B6"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5482A35F"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32C2572B"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6496D66C"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23" w:type="dxa"/>
            <w:tcBorders>
              <w:top w:val="nil"/>
              <w:left w:val="nil"/>
              <w:bottom w:val="single" w:sz="4" w:space="0" w:color="C7CFD8"/>
              <w:right w:val="nil"/>
            </w:tcBorders>
            <w:shd w:val="clear" w:color="auto" w:fill="auto"/>
            <w:noWrap/>
            <w:hideMark/>
          </w:tcPr>
          <w:p w14:paraId="09ACEA3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19,830</w:t>
            </w:r>
          </w:p>
        </w:tc>
        <w:tc>
          <w:tcPr>
            <w:tcW w:w="1139" w:type="dxa"/>
            <w:tcBorders>
              <w:top w:val="nil"/>
              <w:left w:val="nil"/>
              <w:bottom w:val="single" w:sz="4" w:space="0" w:color="C7CFD8"/>
              <w:right w:val="nil"/>
            </w:tcBorders>
            <w:shd w:val="clear" w:color="auto" w:fill="auto"/>
            <w:noWrap/>
            <w:hideMark/>
          </w:tcPr>
          <w:p w14:paraId="49A218E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13,308</w:t>
            </w:r>
          </w:p>
        </w:tc>
        <w:tc>
          <w:tcPr>
            <w:tcW w:w="1139" w:type="dxa"/>
            <w:tcBorders>
              <w:top w:val="nil"/>
              <w:left w:val="nil"/>
              <w:bottom w:val="single" w:sz="4" w:space="0" w:color="C7CFD8"/>
              <w:right w:val="nil"/>
            </w:tcBorders>
            <w:shd w:val="clear" w:color="auto" w:fill="auto"/>
            <w:noWrap/>
            <w:hideMark/>
          </w:tcPr>
          <w:p w14:paraId="6AA2E08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17,418</w:t>
            </w:r>
          </w:p>
        </w:tc>
        <w:tc>
          <w:tcPr>
            <w:tcW w:w="1023" w:type="dxa"/>
            <w:tcBorders>
              <w:top w:val="nil"/>
              <w:left w:val="nil"/>
              <w:bottom w:val="single" w:sz="4" w:space="0" w:color="C7CFD8"/>
              <w:right w:val="nil"/>
            </w:tcBorders>
            <w:shd w:val="clear" w:color="auto" w:fill="auto"/>
            <w:noWrap/>
            <w:hideMark/>
          </w:tcPr>
          <w:p w14:paraId="058BE61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6,522</w:t>
            </w:r>
          </w:p>
        </w:tc>
        <w:tc>
          <w:tcPr>
            <w:tcW w:w="1023" w:type="dxa"/>
            <w:tcBorders>
              <w:top w:val="nil"/>
              <w:left w:val="nil"/>
              <w:bottom w:val="single" w:sz="4" w:space="0" w:color="C7CFD8"/>
              <w:right w:val="nil"/>
            </w:tcBorders>
            <w:shd w:val="clear" w:color="auto" w:fill="auto"/>
            <w:noWrap/>
            <w:hideMark/>
          </w:tcPr>
          <w:p w14:paraId="63060A4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49%</w:t>
            </w:r>
          </w:p>
        </w:tc>
      </w:tr>
      <w:tr w:rsidR="00B214A5" w:rsidRPr="00B214A5" w14:paraId="7666A083" w14:textId="77777777" w:rsidTr="008A121C">
        <w:trPr>
          <w:trHeight w:hRule="exact" w:val="216"/>
          <w:jc w:val="center"/>
        </w:trPr>
        <w:tc>
          <w:tcPr>
            <w:tcW w:w="244" w:type="dxa"/>
            <w:tcBorders>
              <w:top w:val="nil"/>
              <w:left w:val="nil"/>
              <w:bottom w:val="nil"/>
              <w:right w:val="nil"/>
            </w:tcBorders>
            <w:shd w:val="clear" w:color="auto" w:fill="auto"/>
            <w:noWrap/>
            <w:hideMark/>
          </w:tcPr>
          <w:p w14:paraId="0D54F18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089" w:type="dxa"/>
            <w:gridSpan w:val="2"/>
            <w:tcBorders>
              <w:top w:val="nil"/>
              <w:left w:val="nil"/>
              <w:bottom w:val="nil"/>
              <w:right w:val="nil"/>
            </w:tcBorders>
            <w:shd w:val="clear" w:color="auto" w:fill="auto"/>
            <w:noWrap/>
            <w:hideMark/>
          </w:tcPr>
          <w:p w14:paraId="0EC32C0E"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Finance Costs</w:t>
            </w:r>
          </w:p>
        </w:tc>
        <w:tc>
          <w:tcPr>
            <w:tcW w:w="244" w:type="dxa"/>
            <w:tcBorders>
              <w:top w:val="nil"/>
              <w:left w:val="nil"/>
              <w:bottom w:val="nil"/>
              <w:right w:val="nil"/>
            </w:tcBorders>
            <w:shd w:val="clear" w:color="auto" w:fill="auto"/>
            <w:noWrap/>
            <w:hideMark/>
          </w:tcPr>
          <w:p w14:paraId="707DBE4B"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23" w:type="dxa"/>
            <w:tcBorders>
              <w:top w:val="nil"/>
              <w:left w:val="nil"/>
              <w:bottom w:val="nil"/>
              <w:right w:val="nil"/>
            </w:tcBorders>
            <w:shd w:val="clear" w:color="auto" w:fill="auto"/>
            <w:noWrap/>
            <w:hideMark/>
          </w:tcPr>
          <w:p w14:paraId="22FA3FB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nil"/>
              <w:right w:val="nil"/>
            </w:tcBorders>
            <w:shd w:val="clear" w:color="auto" w:fill="auto"/>
            <w:noWrap/>
            <w:hideMark/>
          </w:tcPr>
          <w:p w14:paraId="756AAAF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nil"/>
              <w:right w:val="nil"/>
            </w:tcBorders>
            <w:shd w:val="clear" w:color="auto" w:fill="auto"/>
            <w:noWrap/>
            <w:hideMark/>
          </w:tcPr>
          <w:p w14:paraId="182E9A8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nil"/>
              <w:right w:val="nil"/>
            </w:tcBorders>
            <w:shd w:val="clear" w:color="auto" w:fill="auto"/>
            <w:noWrap/>
            <w:hideMark/>
          </w:tcPr>
          <w:p w14:paraId="4EEA249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nil"/>
              <w:right w:val="nil"/>
            </w:tcBorders>
            <w:shd w:val="clear" w:color="auto" w:fill="auto"/>
            <w:noWrap/>
            <w:hideMark/>
          </w:tcPr>
          <w:p w14:paraId="078AE45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0035D187"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5A28C9A9"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69CD2CD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7F3E02C7"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023" w:type="dxa"/>
            <w:tcBorders>
              <w:top w:val="nil"/>
              <w:left w:val="nil"/>
              <w:bottom w:val="single" w:sz="4" w:space="0" w:color="C7CFD8"/>
              <w:right w:val="nil"/>
            </w:tcBorders>
            <w:shd w:val="clear" w:color="auto" w:fill="auto"/>
            <w:noWrap/>
            <w:hideMark/>
          </w:tcPr>
          <w:p w14:paraId="08FD81D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single" w:sz="4" w:space="0" w:color="C7CFD8"/>
              <w:right w:val="nil"/>
            </w:tcBorders>
            <w:shd w:val="clear" w:color="auto" w:fill="auto"/>
            <w:noWrap/>
            <w:hideMark/>
          </w:tcPr>
          <w:p w14:paraId="006B884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39" w:type="dxa"/>
            <w:tcBorders>
              <w:top w:val="nil"/>
              <w:left w:val="nil"/>
              <w:bottom w:val="single" w:sz="4" w:space="0" w:color="C7CFD8"/>
              <w:right w:val="nil"/>
            </w:tcBorders>
            <w:shd w:val="clear" w:color="auto" w:fill="auto"/>
            <w:noWrap/>
            <w:hideMark/>
          </w:tcPr>
          <w:p w14:paraId="3856C2F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single" w:sz="4" w:space="0" w:color="C7CFD8"/>
              <w:right w:val="nil"/>
            </w:tcBorders>
            <w:shd w:val="clear" w:color="auto" w:fill="auto"/>
            <w:noWrap/>
            <w:hideMark/>
          </w:tcPr>
          <w:p w14:paraId="73831F2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023" w:type="dxa"/>
            <w:tcBorders>
              <w:top w:val="nil"/>
              <w:left w:val="nil"/>
              <w:bottom w:val="single" w:sz="4" w:space="0" w:color="C7CFD8"/>
              <w:right w:val="nil"/>
            </w:tcBorders>
            <w:shd w:val="clear" w:color="auto" w:fill="auto"/>
            <w:noWrap/>
            <w:hideMark/>
          </w:tcPr>
          <w:p w14:paraId="085000A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n/a</w:t>
            </w:r>
          </w:p>
        </w:tc>
      </w:tr>
      <w:tr w:rsidR="00B214A5" w:rsidRPr="00B214A5" w14:paraId="11495A19" w14:textId="77777777" w:rsidTr="008A121C">
        <w:trPr>
          <w:trHeight w:hRule="exact" w:val="216"/>
          <w:jc w:val="center"/>
        </w:trPr>
        <w:tc>
          <w:tcPr>
            <w:tcW w:w="244" w:type="dxa"/>
            <w:tcBorders>
              <w:top w:val="nil"/>
              <w:left w:val="nil"/>
              <w:bottom w:val="nil"/>
              <w:right w:val="nil"/>
            </w:tcBorders>
            <w:shd w:val="clear" w:color="auto" w:fill="auto"/>
            <w:noWrap/>
            <w:hideMark/>
          </w:tcPr>
          <w:p w14:paraId="2BB3C6C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089" w:type="dxa"/>
            <w:gridSpan w:val="2"/>
            <w:tcBorders>
              <w:top w:val="nil"/>
              <w:left w:val="nil"/>
              <w:bottom w:val="nil"/>
              <w:right w:val="nil"/>
            </w:tcBorders>
            <w:shd w:val="clear" w:color="auto" w:fill="auto"/>
            <w:noWrap/>
            <w:hideMark/>
          </w:tcPr>
          <w:p w14:paraId="2ADD12D1"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Operating Expenses</w:t>
            </w:r>
          </w:p>
        </w:tc>
        <w:tc>
          <w:tcPr>
            <w:tcW w:w="244" w:type="dxa"/>
            <w:tcBorders>
              <w:top w:val="nil"/>
              <w:left w:val="nil"/>
              <w:bottom w:val="nil"/>
              <w:right w:val="nil"/>
            </w:tcBorders>
            <w:shd w:val="clear" w:color="auto" w:fill="auto"/>
            <w:noWrap/>
            <w:hideMark/>
          </w:tcPr>
          <w:p w14:paraId="7E2793F8"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023" w:type="dxa"/>
            <w:tcBorders>
              <w:top w:val="nil"/>
              <w:left w:val="nil"/>
              <w:bottom w:val="nil"/>
              <w:right w:val="nil"/>
            </w:tcBorders>
            <w:shd w:val="clear" w:color="auto" w:fill="auto"/>
            <w:noWrap/>
            <w:hideMark/>
          </w:tcPr>
          <w:p w14:paraId="4F648C33"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5F636B26"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04127CDB"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544C8E3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17F79CD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399D52AC" w14:textId="77777777" w:rsidTr="008A121C">
        <w:trPr>
          <w:trHeight w:hRule="exact" w:val="216"/>
          <w:jc w:val="center"/>
        </w:trPr>
        <w:tc>
          <w:tcPr>
            <w:tcW w:w="244" w:type="dxa"/>
            <w:tcBorders>
              <w:top w:val="nil"/>
              <w:left w:val="nil"/>
              <w:bottom w:val="nil"/>
              <w:right w:val="nil"/>
            </w:tcBorders>
            <w:shd w:val="clear" w:color="auto" w:fill="auto"/>
            <w:noWrap/>
            <w:hideMark/>
          </w:tcPr>
          <w:p w14:paraId="46123112"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42F15E0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noWrap/>
            <w:hideMark/>
          </w:tcPr>
          <w:p w14:paraId="40B0E7E4"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Premises &amp; Maintenance</w:t>
            </w:r>
          </w:p>
        </w:tc>
        <w:tc>
          <w:tcPr>
            <w:tcW w:w="1023" w:type="dxa"/>
            <w:tcBorders>
              <w:top w:val="nil"/>
              <w:left w:val="nil"/>
              <w:bottom w:val="nil"/>
              <w:right w:val="nil"/>
            </w:tcBorders>
            <w:shd w:val="clear" w:color="auto" w:fill="auto"/>
            <w:noWrap/>
            <w:hideMark/>
          </w:tcPr>
          <w:p w14:paraId="5DBCFC4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330</w:t>
            </w:r>
          </w:p>
        </w:tc>
        <w:tc>
          <w:tcPr>
            <w:tcW w:w="1139" w:type="dxa"/>
            <w:tcBorders>
              <w:top w:val="nil"/>
              <w:left w:val="nil"/>
              <w:bottom w:val="nil"/>
              <w:right w:val="nil"/>
            </w:tcBorders>
            <w:shd w:val="clear" w:color="auto" w:fill="auto"/>
            <w:noWrap/>
            <w:hideMark/>
          </w:tcPr>
          <w:p w14:paraId="36262F1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418</w:t>
            </w:r>
          </w:p>
        </w:tc>
        <w:tc>
          <w:tcPr>
            <w:tcW w:w="1139" w:type="dxa"/>
            <w:tcBorders>
              <w:top w:val="nil"/>
              <w:left w:val="nil"/>
              <w:bottom w:val="nil"/>
              <w:right w:val="nil"/>
            </w:tcBorders>
            <w:shd w:val="clear" w:color="auto" w:fill="auto"/>
            <w:noWrap/>
            <w:hideMark/>
          </w:tcPr>
          <w:p w14:paraId="71E876C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433</w:t>
            </w:r>
          </w:p>
        </w:tc>
        <w:tc>
          <w:tcPr>
            <w:tcW w:w="1023" w:type="dxa"/>
            <w:tcBorders>
              <w:top w:val="nil"/>
              <w:left w:val="nil"/>
              <w:bottom w:val="nil"/>
              <w:right w:val="nil"/>
            </w:tcBorders>
            <w:shd w:val="clear" w:color="auto" w:fill="auto"/>
            <w:noWrap/>
            <w:hideMark/>
          </w:tcPr>
          <w:p w14:paraId="7E21240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(88)</w:t>
            </w:r>
          </w:p>
        </w:tc>
        <w:tc>
          <w:tcPr>
            <w:tcW w:w="1023" w:type="dxa"/>
            <w:tcBorders>
              <w:top w:val="nil"/>
              <w:left w:val="nil"/>
              <w:bottom w:val="nil"/>
              <w:right w:val="nil"/>
            </w:tcBorders>
            <w:shd w:val="clear" w:color="auto" w:fill="auto"/>
            <w:noWrap/>
            <w:hideMark/>
          </w:tcPr>
          <w:p w14:paraId="586F1C4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-21%</w:t>
            </w:r>
          </w:p>
        </w:tc>
      </w:tr>
      <w:tr w:rsidR="00B214A5" w:rsidRPr="00B214A5" w14:paraId="2D9A0224" w14:textId="77777777" w:rsidTr="008A121C">
        <w:trPr>
          <w:trHeight w:hRule="exact" w:val="216"/>
          <w:jc w:val="center"/>
        </w:trPr>
        <w:tc>
          <w:tcPr>
            <w:tcW w:w="244" w:type="dxa"/>
            <w:tcBorders>
              <w:top w:val="nil"/>
              <w:left w:val="nil"/>
              <w:bottom w:val="nil"/>
              <w:right w:val="nil"/>
            </w:tcBorders>
            <w:shd w:val="clear" w:color="auto" w:fill="auto"/>
            <w:noWrap/>
            <w:hideMark/>
          </w:tcPr>
          <w:p w14:paraId="637959C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4175806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53CBE534"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Communication</w:t>
            </w:r>
          </w:p>
        </w:tc>
        <w:tc>
          <w:tcPr>
            <w:tcW w:w="244" w:type="dxa"/>
            <w:tcBorders>
              <w:top w:val="nil"/>
              <w:left w:val="nil"/>
              <w:bottom w:val="nil"/>
              <w:right w:val="nil"/>
            </w:tcBorders>
            <w:shd w:val="clear" w:color="auto" w:fill="auto"/>
            <w:noWrap/>
            <w:hideMark/>
          </w:tcPr>
          <w:p w14:paraId="5024EA69"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334194E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160</w:t>
            </w:r>
          </w:p>
        </w:tc>
        <w:tc>
          <w:tcPr>
            <w:tcW w:w="1139" w:type="dxa"/>
            <w:tcBorders>
              <w:top w:val="nil"/>
              <w:left w:val="nil"/>
              <w:bottom w:val="nil"/>
              <w:right w:val="nil"/>
            </w:tcBorders>
            <w:shd w:val="clear" w:color="auto" w:fill="auto"/>
            <w:noWrap/>
            <w:hideMark/>
          </w:tcPr>
          <w:p w14:paraId="75FA958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157</w:t>
            </w:r>
          </w:p>
        </w:tc>
        <w:tc>
          <w:tcPr>
            <w:tcW w:w="1139" w:type="dxa"/>
            <w:tcBorders>
              <w:top w:val="nil"/>
              <w:left w:val="nil"/>
              <w:bottom w:val="nil"/>
              <w:right w:val="nil"/>
            </w:tcBorders>
            <w:shd w:val="clear" w:color="auto" w:fill="auto"/>
            <w:noWrap/>
            <w:hideMark/>
          </w:tcPr>
          <w:p w14:paraId="2946F83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142</w:t>
            </w:r>
          </w:p>
        </w:tc>
        <w:tc>
          <w:tcPr>
            <w:tcW w:w="1023" w:type="dxa"/>
            <w:tcBorders>
              <w:top w:val="nil"/>
              <w:left w:val="nil"/>
              <w:bottom w:val="nil"/>
              <w:right w:val="nil"/>
            </w:tcBorders>
            <w:shd w:val="clear" w:color="auto" w:fill="auto"/>
            <w:noWrap/>
            <w:hideMark/>
          </w:tcPr>
          <w:p w14:paraId="22AD3B3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w:t>
            </w:r>
          </w:p>
        </w:tc>
        <w:tc>
          <w:tcPr>
            <w:tcW w:w="1023" w:type="dxa"/>
            <w:tcBorders>
              <w:top w:val="nil"/>
              <w:left w:val="nil"/>
              <w:bottom w:val="nil"/>
              <w:right w:val="nil"/>
            </w:tcBorders>
            <w:shd w:val="clear" w:color="auto" w:fill="auto"/>
            <w:noWrap/>
            <w:hideMark/>
          </w:tcPr>
          <w:p w14:paraId="6AC5494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w:t>
            </w:r>
          </w:p>
        </w:tc>
      </w:tr>
      <w:tr w:rsidR="00B214A5" w:rsidRPr="00B214A5" w14:paraId="320160BA" w14:textId="77777777" w:rsidTr="008A121C">
        <w:trPr>
          <w:trHeight w:hRule="exact" w:val="216"/>
          <w:jc w:val="center"/>
        </w:trPr>
        <w:tc>
          <w:tcPr>
            <w:tcW w:w="244" w:type="dxa"/>
            <w:tcBorders>
              <w:top w:val="nil"/>
              <w:left w:val="nil"/>
              <w:bottom w:val="nil"/>
              <w:right w:val="nil"/>
            </w:tcBorders>
            <w:shd w:val="clear" w:color="auto" w:fill="auto"/>
            <w:noWrap/>
            <w:hideMark/>
          </w:tcPr>
          <w:p w14:paraId="0850D99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20B8971A"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hideMark/>
          </w:tcPr>
          <w:p w14:paraId="64899616"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Representation &amp; Other Operating Expenses</w:t>
            </w:r>
          </w:p>
        </w:tc>
        <w:tc>
          <w:tcPr>
            <w:tcW w:w="1023" w:type="dxa"/>
            <w:tcBorders>
              <w:top w:val="nil"/>
              <w:left w:val="nil"/>
              <w:bottom w:val="nil"/>
              <w:right w:val="nil"/>
            </w:tcBorders>
            <w:shd w:val="clear" w:color="auto" w:fill="auto"/>
            <w:noWrap/>
            <w:hideMark/>
          </w:tcPr>
          <w:p w14:paraId="0D4FBB7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63</w:t>
            </w:r>
          </w:p>
        </w:tc>
        <w:tc>
          <w:tcPr>
            <w:tcW w:w="1139" w:type="dxa"/>
            <w:tcBorders>
              <w:top w:val="nil"/>
              <w:left w:val="nil"/>
              <w:bottom w:val="nil"/>
              <w:right w:val="nil"/>
            </w:tcBorders>
            <w:shd w:val="clear" w:color="auto" w:fill="auto"/>
            <w:noWrap/>
            <w:hideMark/>
          </w:tcPr>
          <w:p w14:paraId="46D66B5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131</w:t>
            </w:r>
          </w:p>
        </w:tc>
        <w:tc>
          <w:tcPr>
            <w:tcW w:w="1139" w:type="dxa"/>
            <w:tcBorders>
              <w:top w:val="nil"/>
              <w:left w:val="nil"/>
              <w:bottom w:val="nil"/>
              <w:right w:val="nil"/>
            </w:tcBorders>
            <w:shd w:val="clear" w:color="auto" w:fill="auto"/>
            <w:noWrap/>
            <w:hideMark/>
          </w:tcPr>
          <w:p w14:paraId="2ADFBBA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176</w:t>
            </w:r>
          </w:p>
        </w:tc>
        <w:tc>
          <w:tcPr>
            <w:tcW w:w="1023" w:type="dxa"/>
            <w:tcBorders>
              <w:top w:val="nil"/>
              <w:left w:val="nil"/>
              <w:bottom w:val="nil"/>
              <w:right w:val="nil"/>
            </w:tcBorders>
            <w:shd w:val="clear" w:color="auto" w:fill="auto"/>
            <w:noWrap/>
            <w:hideMark/>
          </w:tcPr>
          <w:p w14:paraId="642F86A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(69)</w:t>
            </w:r>
          </w:p>
        </w:tc>
        <w:tc>
          <w:tcPr>
            <w:tcW w:w="1023" w:type="dxa"/>
            <w:tcBorders>
              <w:top w:val="nil"/>
              <w:left w:val="nil"/>
              <w:bottom w:val="nil"/>
              <w:right w:val="nil"/>
            </w:tcBorders>
            <w:shd w:val="clear" w:color="auto" w:fill="auto"/>
            <w:noWrap/>
            <w:hideMark/>
          </w:tcPr>
          <w:p w14:paraId="0E4CC3D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-52%</w:t>
            </w:r>
          </w:p>
        </w:tc>
      </w:tr>
      <w:tr w:rsidR="00B214A5" w:rsidRPr="00B214A5" w14:paraId="6C43FB5E" w14:textId="77777777" w:rsidTr="008A121C">
        <w:trPr>
          <w:trHeight w:hRule="exact" w:val="216"/>
          <w:jc w:val="center"/>
        </w:trPr>
        <w:tc>
          <w:tcPr>
            <w:tcW w:w="244" w:type="dxa"/>
            <w:tcBorders>
              <w:top w:val="nil"/>
              <w:left w:val="nil"/>
              <w:bottom w:val="nil"/>
              <w:right w:val="nil"/>
            </w:tcBorders>
            <w:shd w:val="clear" w:color="auto" w:fill="auto"/>
            <w:noWrap/>
            <w:hideMark/>
          </w:tcPr>
          <w:p w14:paraId="79E888B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68D11FA7"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875" w:type="dxa"/>
            <w:tcBorders>
              <w:top w:val="nil"/>
              <w:left w:val="nil"/>
              <w:bottom w:val="nil"/>
              <w:right w:val="nil"/>
            </w:tcBorders>
            <w:shd w:val="clear" w:color="auto" w:fill="auto"/>
            <w:noWrap/>
            <w:hideMark/>
          </w:tcPr>
          <w:p w14:paraId="39B847C6"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UN Joint Services</w:t>
            </w:r>
          </w:p>
        </w:tc>
        <w:tc>
          <w:tcPr>
            <w:tcW w:w="244" w:type="dxa"/>
            <w:tcBorders>
              <w:top w:val="nil"/>
              <w:left w:val="nil"/>
              <w:bottom w:val="nil"/>
              <w:right w:val="nil"/>
            </w:tcBorders>
            <w:shd w:val="clear" w:color="auto" w:fill="auto"/>
            <w:noWrap/>
            <w:hideMark/>
          </w:tcPr>
          <w:p w14:paraId="6DA6454D"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p>
        </w:tc>
        <w:tc>
          <w:tcPr>
            <w:tcW w:w="1023" w:type="dxa"/>
            <w:tcBorders>
              <w:top w:val="nil"/>
              <w:left w:val="nil"/>
              <w:bottom w:val="nil"/>
              <w:right w:val="nil"/>
            </w:tcBorders>
            <w:shd w:val="clear" w:color="auto" w:fill="auto"/>
            <w:noWrap/>
            <w:hideMark/>
          </w:tcPr>
          <w:p w14:paraId="1EBD9B0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483</w:t>
            </w:r>
          </w:p>
        </w:tc>
        <w:tc>
          <w:tcPr>
            <w:tcW w:w="1139" w:type="dxa"/>
            <w:tcBorders>
              <w:top w:val="nil"/>
              <w:left w:val="nil"/>
              <w:bottom w:val="nil"/>
              <w:right w:val="nil"/>
            </w:tcBorders>
            <w:shd w:val="clear" w:color="auto" w:fill="auto"/>
            <w:noWrap/>
            <w:hideMark/>
          </w:tcPr>
          <w:p w14:paraId="6AF11F5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467</w:t>
            </w:r>
          </w:p>
        </w:tc>
        <w:tc>
          <w:tcPr>
            <w:tcW w:w="1139" w:type="dxa"/>
            <w:tcBorders>
              <w:top w:val="nil"/>
              <w:left w:val="nil"/>
              <w:bottom w:val="nil"/>
              <w:right w:val="nil"/>
            </w:tcBorders>
            <w:shd w:val="clear" w:color="auto" w:fill="auto"/>
            <w:noWrap/>
            <w:hideMark/>
          </w:tcPr>
          <w:p w14:paraId="3F4CA84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469</w:t>
            </w:r>
          </w:p>
        </w:tc>
        <w:tc>
          <w:tcPr>
            <w:tcW w:w="1023" w:type="dxa"/>
            <w:tcBorders>
              <w:top w:val="nil"/>
              <w:left w:val="nil"/>
              <w:bottom w:val="nil"/>
              <w:right w:val="nil"/>
            </w:tcBorders>
            <w:shd w:val="clear" w:color="auto" w:fill="auto"/>
            <w:noWrap/>
            <w:hideMark/>
          </w:tcPr>
          <w:p w14:paraId="7AE134F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w:t>
            </w:r>
          </w:p>
        </w:tc>
        <w:tc>
          <w:tcPr>
            <w:tcW w:w="1023" w:type="dxa"/>
            <w:tcBorders>
              <w:top w:val="nil"/>
              <w:left w:val="nil"/>
              <w:bottom w:val="nil"/>
              <w:right w:val="nil"/>
            </w:tcBorders>
            <w:shd w:val="clear" w:color="auto" w:fill="auto"/>
            <w:noWrap/>
            <w:hideMark/>
          </w:tcPr>
          <w:p w14:paraId="2CB9BAE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w:t>
            </w:r>
          </w:p>
        </w:tc>
      </w:tr>
      <w:tr w:rsidR="00B214A5" w:rsidRPr="00B214A5" w14:paraId="220ACCDC"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070F41FC"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6F630556"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44D09533"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 </w:t>
            </w:r>
          </w:p>
        </w:tc>
        <w:tc>
          <w:tcPr>
            <w:tcW w:w="1023" w:type="dxa"/>
            <w:tcBorders>
              <w:top w:val="nil"/>
              <w:left w:val="nil"/>
              <w:bottom w:val="single" w:sz="4" w:space="0" w:color="C7CFD8"/>
              <w:right w:val="nil"/>
            </w:tcBorders>
            <w:shd w:val="clear" w:color="auto" w:fill="auto"/>
            <w:noWrap/>
            <w:hideMark/>
          </w:tcPr>
          <w:p w14:paraId="10F8A12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1,035</w:t>
            </w:r>
          </w:p>
        </w:tc>
        <w:tc>
          <w:tcPr>
            <w:tcW w:w="1139" w:type="dxa"/>
            <w:tcBorders>
              <w:top w:val="nil"/>
              <w:left w:val="nil"/>
              <w:bottom w:val="single" w:sz="4" w:space="0" w:color="C7CFD8"/>
              <w:right w:val="nil"/>
            </w:tcBorders>
            <w:shd w:val="clear" w:color="auto" w:fill="auto"/>
            <w:noWrap/>
            <w:hideMark/>
          </w:tcPr>
          <w:p w14:paraId="2D4BA7B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1,173</w:t>
            </w:r>
          </w:p>
        </w:tc>
        <w:tc>
          <w:tcPr>
            <w:tcW w:w="1139" w:type="dxa"/>
            <w:tcBorders>
              <w:top w:val="nil"/>
              <w:left w:val="nil"/>
              <w:bottom w:val="single" w:sz="4" w:space="0" w:color="C7CFD8"/>
              <w:right w:val="nil"/>
            </w:tcBorders>
            <w:shd w:val="clear" w:color="auto" w:fill="auto"/>
            <w:noWrap/>
            <w:hideMark/>
          </w:tcPr>
          <w:p w14:paraId="4A6E010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1,220</w:t>
            </w:r>
          </w:p>
        </w:tc>
        <w:tc>
          <w:tcPr>
            <w:tcW w:w="1023" w:type="dxa"/>
            <w:tcBorders>
              <w:top w:val="nil"/>
              <w:left w:val="nil"/>
              <w:bottom w:val="single" w:sz="4" w:space="0" w:color="C7CFD8"/>
              <w:right w:val="nil"/>
            </w:tcBorders>
            <w:shd w:val="clear" w:color="auto" w:fill="auto"/>
            <w:noWrap/>
            <w:hideMark/>
          </w:tcPr>
          <w:p w14:paraId="792B4D4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(139)</w:t>
            </w:r>
          </w:p>
        </w:tc>
        <w:tc>
          <w:tcPr>
            <w:tcW w:w="1023" w:type="dxa"/>
            <w:tcBorders>
              <w:top w:val="nil"/>
              <w:left w:val="nil"/>
              <w:bottom w:val="single" w:sz="4" w:space="0" w:color="C7CFD8"/>
              <w:right w:val="nil"/>
            </w:tcBorders>
            <w:shd w:val="clear" w:color="auto" w:fill="auto"/>
            <w:noWrap/>
            <w:hideMark/>
          </w:tcPr>
          <w:p w14:paraId="0D416D4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w:t>
            </w:r>
          </w:p>
        </w:tc>
      </w:tr>
      <w:tr w:rsidR="00B214A5" w:rsidRPr="00B214A5" w14:paraId="4BA114D4" w14:textId="77777777" w:rsidTr="008A121C">
        <w:trPr>
          <w:trHeight w:hRule="exact" w:val="216"/>
          <w:jc w:val="center"/>
        </w:trPr>
        <w:tc>
          <w:tcPr>
            <w:tcW w:w="244" w:type="dxa"/>
            <w:tcBorders>
              <w:top w:val="nil"/>
              <w:left w:val="nil"/>
              <w:bottom w:val="nil"/>
              <w:right w:val="nil"/>
            </w:tcBorders>
            <w:shd w:val="clear" w:color="auto" w:fill="auto"/>
            <w:noWrap/>
            <w:hideMark/>
          </w:tcPr>
          <w:p w14:paraId="1361DC0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3334" w:type="dxa"/>
            <w:gridSpan w:val="3"/>
            <w:tcBorders>
              <w:top w:val="nil"/>
              <w:left w:val="nil"/>
              <w:bottom w:val="nil"/>
              <w:right w:val="nil"/>
            </w:tcBorders>
            <w:shd w:val="clear" w:color="auto" w:fill="auto"/>
            <w:noWrap/>
            <w:hideMark/>
          </w:tcPr>
          <w:p w14:paraId="2C41E22A"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Equipment and Supplies</w:t>
            </w:r>
          </w:p>
        </w:tc>
        <w:tc>
          <w:tcPr>
            <w:tcW w:w="1023" w:type="dxa"/>
            <w:tcBorders>
              <w:top w:val="nil"/>
              <w:left w:val="nil"/>
              <w:bottom w:val="nil"/>
              <w:right w:val="nil"/>
            </w:tcBorders>
            <w:shd w:val="clear" w:color="auto" w:fill="auto"/>
            <w:noWrap/>
            <w:hideMark/>
          </w:tcPr>
          <w:p w14:paraId="768E29E4"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p>
        </w:tc>
        <w:tc>
          <w:tcPr>
            <w:tcW w:w="1139" w:type="dxa"/>
            <w:tcBorders>
              <w:top w:val="nil"/>
              <w:left w:val="nil"/>
              <w:bottom w:val="nil"/>
              <w:right w:val="nil"/>
            </w:tcBorders>
            <w:shd w:val="clear" w:color="auto" w:fill="auto"/>
            <w:noWrap/>
            <w:hideMark/>
          </w:tcPr>
          <w:p w14:paraId="46E9F85A"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18E97D86"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50813593"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07F13594"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20C46429" w14:textId="77777777" w:rsidTr="008A121C">
        <w:trPr>
          <w:trHeight w:hRule="exact" w:val="216"/>
          <w:jc w:val="center"/>
        </w:trPr>
        <w:tc>
          <w:tcPr>
            <w:tcW w:w="244" w:type="dxa"/>
            <w:tcBorders>
              <w:top w:val="nil"/>
              <w:left w:val="nil"/>
              <w:bottom w:val="nil"/>
              <w:right w:val="nil"/>
            </w:tcBorders>
            <w:shd w:val="clear" w:color="auto" w:fill="auto"/>
            <w:noWrap/>
            <w:hideMark/>
          </w:tcPr>
          <w:p w14:paraId="7DA8ED57"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214" w:type="dxa"/>
            <w:tcBorders>
              <w:top w:val="nil"/>
              <w:left w:val="nil"/>
              <w:bottom w:val="nil"/>
              <w:right w:val="nil"/>
            </w:tcBorders>
            <w:shd w:val="clear" w:color="auto" w:fill="auto"/>
            <w:noWrap/>
            <w:hideMark/>
          </w:tcPr>
          <w:p w14:paraId="54A62B20"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noWrap/>
            <w:hideMark/>
          </w:tcPr>
          <w:p w14:paraId="05D142AB"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Furniture &amp; Equipment</w:t>
            </w:r>
          </w:p>
        </w:tc>
        <w:tc>
          <w:tcPr>
            <w:tcW w:w="1023" w:type="dxa"/>
            <w:tcBorders>
              <w:top w:val="nil"/>
              <w:left w:val="nil"/>
              <w:bottom w:val="nil"/>
              <w:right w:val="nil"/>
            </w:tcBorders>
            <w:shd w:val="clear" w:color="auto" w:fill="auto"/>
            <w:noWrap/>
            <w:hideMark/>
          </w:tcPr>
          <w:p w14:paraId="47F75E0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25</w:t>
            </w:r>
          </w:p>
        </w:tc>
        <w:tc>
          <w:tcPr>
            <w:tcW w:w="1139" w:type="dxa"/>
            <w:tcBorders>
              <w:top w:val="nil"/>
              <w:left w:val="nil"/>
              <w:bottom w:val="nil"/>
              <w:right w:val="nil"/>
            </w:tcBorders>
            <w:shd w:val="clear" w:color="auto" w:fill="auto"/>
            <w:noWrap/>
            <w:hideMark/>
          </w:tcPr>
          <w:p w14:paraId="77DE3BE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53</w:t>
            </w:r>
          </w:p>
        </w:tc>
        <w:tc>
          <w:tcPr>
            <w:tcW w:w="1139" w:type="dxa"/>
            <w:tcBorders>
              <w:top w:val="nil"/>
              <w:left w:val="nil"/>
              <w:bottom w:val="nil"/>
              <w:right w:val="nil"/>
            </w:tcBorders>
            <w:shd w:val="clear" w:color="auto" w:fill="auto"/>
            <w:noWrap/>
            <w:hideMark/>
          </w:tcPr>
          <w:p w14:paraId="23AE050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58</w:t>
            </w:r>
          </w:p>
        </w:tc>
        <w:tc>
          <w:tcPr>
            <w:tcW w:w="1023" w:type="dxa"/>
            <w:tcBorders>
              <w:top w:val="nil"/>
              <w:left w:val="nil"/>
              <w:bottom w:val="nil"/>
              <w:right w:val="nil"/>
            </w:tcBorders>
            <w:shd w:val="clear" w:color="auto" w:fill="auto"/>
            <w:noWrap/>
            <w:hideMark/>
          </w:tcPr>
          <w:p w14:paraId="6604E3F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(28)</w:t>
            </w:r>
          </w:p>
        </w:tc>
        <w:tc>
          <w:tcPr>
            <w:tcW w:w="1023" w:type="dxa"/>
            <w:tcBorders>
              <w:top w:val="nil"/>
              <w:left w:val="nil"/>
              <w:bottom w:val="nil"/>
              <w:right w:val="nil"/>
            </w:tcBorders>
            <w:shd w:val="clear" w:color="auto" w:fill="auto"/>
            <w:noWrap/>
            <w:hideMark/>
          </w:tcPr>
          <w:p w14:paraId="64AB756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-53%</w:t>
            </w:r>
          </w:p>
        </w:tc>
      </w:tr>
      <w:tr w:rsidR="00B214A5" w:rsidRPr="00B214A5" w14:paraId="37AFDF65" w14:textId="77777777" w:rsidTr="008A121C">
        <w:trPr>
          <w:trHeight w:hRule="exact" w:val="216"/>
          <w:jc w:val="center"/>
        </w:trPr>
        <w:tc>
          <w:tcPr>
            <w:tcW w:w="244" w:type="dxa"/>
            <w:tcBorders>
              <w:top w:val="nil"/>
              <w:left w:val="nil"/>
              <w:bottom w:val="nil"/>
              <w:right w:val="nil"/>
            </w:tcBorders>
            <w:shd w:val="clear" w:color="auto" w:fill="auto"/>
            <w:noWrap/>
            <w:hideMark/>
          </w:tcPr>
          <w:p w14:paraId="29434E0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p>
        </w:tc>
        <w:tc>
          <w:tcPr>
            <w:tcW w:w="214" w:type="dxa"/>
            <w:tcBorders>
              <w:top w:val="nil"/>
              <w:left w:val="nil"/>
              <w:bottom w:val="nil"/>
              <w:right w:val="nil"/>
            </w:tcBorders>
            <w:shd w:val="clear" w:color="auto" w:fill="auto"/>
            <w:noWrap/>
            <w:hideMark/>
          </w:tcPr>
          <w:p w14:paraId="1614B01E"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3119" w:type="dxa"/>
            <w:gridSpan w:val="2"/>
            <w:tcBorders>
              <w:top w:val="nil"/>
              <w:left w:val="nil"/>
              <w:bottom w:val="nil"/>
              <w:right w:val="nil"/>
            </w:tcBorders>
            <w:shd w:val="clear" w:color="auto" w:fill="auto"/>
            <w:noWrap/>
            <w:hideMark/>
          </w:tcPr>
          <w:p w14:paraId="32B53F5F"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Supplies &amp; Materials</w:t>
            </w:r>
          </w:p>
        </w:tc>
        <w:tc>
          <w:tcPr>
            <w:tcW w:w="1023" w:type="dxa"/>
            <w:tcBorders>
              <w:top w:val="nil"/>
              <w:left w:val="nil"/>
              <w:bottom w:val="nil"/>
              <w:right w:val="nil"/>
            </w:tcBorders>
            <w:shd w:val="clear" w:color="auto" w:fill="auto"/>
            <w:noWrap/>
            <w:hideMark/>
          </w:tcPr>
          <w:p w14:paraId="6E4CFC7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115</w:t>
            </w:r>
          </w:p>
        </w:tc>
        <w:tc>
          <w:tcPr>
            <w:tcW w:w="1139" w:type="dxa"/>
            <w:tcBorders>
              <w:top w:val="nil"/>
              <w:left w:val="nil"/>
              <w:bottom w:val="nil"/>
              <w:right w:val="nil"/>
            </w:tcBorders>
            <w:shd w:val="clear" w:color="auto" w:fill="auto"/>
            <w:noWrap/>
            <w:hideMark/>
          </w:tcPr>
          <w:p w14:paraId="1A7F7DF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204</w:t>
            </w:r>
          </w:p>
        </w:tc>
        <w:tc>
          <w:tcPr>
            <w:tcW w:w="1139" w:type="dxa"/>
            <w:tcBorders>
              <w:top w:val="nil"/>
              <w:left w:val="nil"/>
              <w:bottom w:val="nil"/>
              <w:right w:val="nil"/>
            </w:tcBorders>
            <w:shd w:val="clear" w:color="auto" w:fill="auto"/>
            <w:noWrap/>
            <w:hideMark/>
          </w:tcPr>
          <w:p w14:paraId="280F25F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240</w:t>
            </w:r>
          </w:p>
        </w:tc>
        <w:tc>
          <w:tcPr>
            <w:tcW w:w="1023" w:type="dxa"/>
            <w:tcBorders>
              <w:top w:val="nil"/>
              <w:left w:val="nil"/>
              <w:bottom w:val="nil"/>
              <w:right w:val="nil"/>
            </w:tcBorders>
            <w:shd w:val="clear" w:color="auto" w:fill="auto"/>
            <w:noWrap/>
            <w:hideMark/>
          </w:tcPr>
          <w:p w14:paraId="682F92DF"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(89)</w:t>
            </w:r>
          </w:p>
        </w:tc>
        <w:tc>
          <w:tcPr>
            <w:tcW w:w="1023" w:type="dxa"/>
            <w:tcBorders>
              <w:top w:val="nil"/>
              <w:left w:val="nil"/>
              <w:bottom w:val="nil"/>
              <w:right w:val="nil"/>
            </w:tcBorders>
            <w:shd w:val="clear" w:color="auto" w:fill="auto"/>
            <w:noWrap/>
            <w:hideMark/>
          </w:tcPr>
          <w:p w14:paraId="04226CA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-44%</w:t>
            </w:r>
          </w:p>
        </w:tc>
      </w:tr>
      <w:tr w:rsidR="00B214A5" w:rsidRPr="00B214A5" w14:paraId="2EFC7101"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711A0885" w14:textId="77777777" w:rsidR="00B214A5" w:rsidRPr="00B214A5" w:rsidRDefault="00B214A5" w:rsidP="00B214A5">
            <w:pPr>
              <w:spacing w:after="0" w:line="240" w:lineRule="auto"/>
              <w:rPr>
                <w:rFonts w:ascii="Arial Narrow" w:eastAsia="Times New Roman" w:hAnsi="Arial Narrow" w:cs="Times New Roman"/>
                <w:b/>
                <w:bCs/>
                <w:i/>
                <w:iCs/>
                <w:sz w:val="16"/>
                <w:szCs w:val="16"/>
                <w:lang w:val="en-US"/>
              </w:rPr>
            </w:pPr>
            <w:r w:rsidRPr="00B214A5">
              <w:rPr>
                <w:rFonts w:ascii="Arial Narrow" w:eastAsia="Times New Roman" w:hAnsi="Arial Narrow" w:cs="Times New Roman"/>
                <w:b/>
                <w:bCs/>
                <w:i/>
                <w:iCs/>
                <w:sz w:val="16"/>
                <w:szCs w:val="16"/>
                <w:lang w:val="en-US"/>
              </w:rPr>
              <w:t> </w:t>
            </w:r>
          </w:p>
        </w:tc>
        <w:tc>
          <w:tcPr>
            <w:tcW w:w="3089" w:type="dxa"/>
            <w:gridSpan w:val="2"/>
            <w:tcBorders>
              <w:top w:val="nil"/>
              <w:left w:val="nil"/>
              <w:bottom w:val="single" w:sz="4" w:space="0" w:color="C7CFD8"/>
              <w:right w:val="nil"/>
            </w:tcBorders>
            <w:shd w:val="clear" w:color="auto" w:fill="auto"/>
            <w:noWrap/>
            <w:hideMark/>
          </w:tcPr>
          <w:p w14:paraId="0EC5C69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Sub-total</w:t>
            </w:r>
          </w:p>
        </w:tc>
        <w:tc>
          <w:tcPr>
            <w:tcW w:w="244" w:type="dxa"/>
            <w:tcBorders>
              <w:top w:val="nil"/>
              <w:left w:val="nil"/>
              <w:bottom w:val="single" w:sz="4" w:space="0" w:color="C7CFD8"/>
              <w:right w:val="nil"/>
            </w:tcBorders>
            <w:shd w:val="clear" w:color="auto" w:fill="auto"/>
            <w:noWrap/>
            <w:hideMark/>
          </w:tcPr>
          <w:p w14:paraId="545F39AF" w14:textId="77777777" w:rsidR="00B214A5" w:rsidRPr="00B214A5" w:rsidRDefault="00B214A5" w:rsidP="00B214A5">
            <w:pPr>
              <w:spacing w:after="0" w:line="240" w:lineRule="auto"/>
              <w:rPr>
                <w:rFonts w:ascii="Arial Narrow" w:eastAsia="Times New Roman" w:hAnsi="Arial Narrow" w:cs="Times New Roman"/>
                <w:i/>
                <w:iCs/>
                <w:sz w:val="16"/>
                <w:szCs w:val="16"/>
                <w:lang w:val="en-US"/>
              </w:rPr>
            </w:pPr>
            <w:r w:rsidRPr="00B214A5">
              <w:rPr>
                <w:rFonts w:ascii="Arial Narrow" w:eastAsia="Times New Roman" w:hAnsi="Arial Narrow" w:cs="Times New Roman"/>
                <w:i/>
                <w:iCs/>
                <w:sz w:val="16"/>
                <w:szCs w:val="16"/>
                <w:lang w:val="en-US"/>
              </w:rPr>
              <w:t> </w:t>
            </w:r>
          </w:p>
        </w:tc>
        <w:tc>
          <w:tcPr>
            <w:tcW w:w="1023" w:type="dxa"/>
            <w:tcBorders>
              <w:top w:val="nil"/>
              <w:left w:val="nil"/>
              <w:bottom w:val="single" w:sz="4" w:space="0" w:color="C7CFD8"/>
              <w:right w:val="nil"/>
            </w:tcBorders>
            <w:shd w:val="clear" w:color="auto" w:fill="auto"/>
            <w:noWrap/>
            <w:hideMark/>
          </w:tcPr>
          <w:p w14:paraId="6434D15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140</w:t>
            </w:r>
          </w:p>
        </w:tc>
        <w:tc>
          <w:tcPr>
            <w:tcW w:w="1139" w:type="dxa"/>
            <w:tcBorders>
              <w:top w:val="nil"/>
              <w:left w:val="nil"/>
              <w:bottom w:val="single" w:sz="4" w:space="0" w:color="C7CFD8"/>
              <w:right w:val="nil"/>
            </w:tcBorders>
            <w:shd w:val="clear" w:color="auto" w:fill="auto"/>
            <w:noWrap/>
            <w:hideMark/>
          </w:tcPr>
          <w:p w14:paraId="594F6CC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257</w:t>
            </w:r>
          </w:p>
        </w:tc>
        <w:tc>
          <w:tcPr>
            <w:tcW w:w="1139" w:type="dxa"/>
            <w:tcBorders>
              <w:top w:val="nil"/>
              <w:left w:val="nil"/>
              <w:bottom w:val="single" w:sz="4" w:space="0" w:color="C7CFD8"/>
              <w:right w:val="nil"/>
            </w:tcBorders>
            <w:shd w:val="clear" w:color="auto" w:fill="auto"/>
            <w:noWrap/>
            <w:hideMark/>
          </w:tcPr>
          <w:p w14:paraId="570D631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298</w:t>
            </w:r>
          </w:p>
        </w:tc>
        <w:tc>
          <w:tcPr>
            <w:tcW w:w="1023" w:type="dxa"/>
            <w:tcBorders>
              <w:top w:val="nil"/>
              <w:left w:val="nil"/>
              <w:bottom w:val="single" w:sz="4" w:space="0" w:color="C7CFD8"/>
              <w:right w:val="nil"/>
            </w:tcBorders>
            <w:shd w:val="clear" w:color="auto" w:fill="auto"/>
            <w:noWrap/>
            <w:hideMark/>
          </w:tcPr>
          <w:p w14:paraId="379F3DC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(117)</w:t>
            </w:r>
          </w:p>
        </w:tc>
        <w:tc>
          <w:tcPr>
            <w:tcW w:w="1023" w:type="dxa"/>
            <w:tcBorders>
              <w:top w:val="nil"/>
              <w:left w:val="nil"/>
              <w:bottom w:val="single" w:sz="4" w:space="0" w:color="C7CFD8"/>
              <w:right w:val="nil"/>
            </w:tcBorders>
            <w:shd w:val="clear" w:color="auto" w:fill="auto"/>
            <w:noWrap/>
            <w:hideMark/>
          </w:tcPr>
          <w:p w14:paraId="7312B02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r>
      <w:tr w:rsidR="00B214A5" w:rsidRPr="00B214A5" w14:paraId="4E7F6970" w14:textId="77777777" w:rsidTr="008A121C">
        <w:trPr>
          <w:trHeight w:hRule="exact" w:val="216"/>
          <w:jc w:val="center"/>
        </w:trPr>
        <w:tc>
          <w:tcPr>
            <w:tcW w:w="244" w:type="dxa"/>
            <w:tcBorders>
              <w:top w:val="nil"/>
              <w:left w:val="nil"/>
              <w:bottom w:val="single" w:sz="8" w:space="0" w:color="C7CFD8"/>
              <w:right w:val="nil"/>
            </w:tcBorders>
            <w:shd w:val="clear" w:color="auto" w:fill="auto"/>
            <w:noWrap/>
            <w:hideMark/>
          </w:tcPr>
          <w:p w14:paraId="25880D0E"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single" w:sz="4" w:space="0" w:color="C7CFD8"/>
              <w:left w:val="nil"/>
              <w:bottom w:val="single" w:sz="8" w:space="0" w:color="C7CFD8"/>
              <w:right w:val="nil"/>
            </w:tcBorders>
            <w:shd w:val="clear" w:color="auto" w:fill="auto"/>
            <w:noWrap/>
            <w:vAlign w:val="center"/>
            <w:hideMark/>
          </w:tcPr>
          <w:p w14:paraId="6F6995D2"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 B</w:t>
            </w:r>
          </w:p>
        </w:tc>
        <w:tc>
          <w:tcPr>
            <w:tcW w:w="244" w:type="dxa"/>
            <w:tcBorders>
              <w:top w:val="nil"/>
              <w:left w:val="nil"/>
              <w:bottom w:val="single" w:sz="8" w:space="0" w:color="C7CFD8"/>
              <w:right w:val="nil"/>
            </w:tcBorders>
            <w:shd w:val="clear" w:color="auto" w:fill="auto"/>
            <w:noWrap/>
            <w:hideMark/>
          </w:tcPr>
          <w:p w14:paraId="40A57AEC"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23" w:type="dxa"/>
            <w:tcBorders>
              <w:top w:val="nil"/>
              <w:left w:val="nil"/>
              <w:bottom w:val="single" w:sz="8" w:space="0" w:color="C7CFD8"/>
              <w:right w:val="nil"/>
            </w:tcBorders>
            <w:shd w:val="clear" w:color="auto" w:fill="auto"/>
            <w:noWrap/>
            <w:vAlign w:val="center"/>
            <w:hideMark/>
          </w:tcPr>
          <w:p w14:paraId="27697D4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31,938</w:t>
            </w:r>
          </w:p>
        </w:tc>
        <w:tc>
          <w:tcPr>
            <w:tcW w:w="1139" w:type="dxa"/>
            <w:tcBorders>
              <w:top w:val="nil"/>
              <w:left w:val="nil"/>
              <w:bottom w:val="single" w:sz="8" w:space="0" w:color="C7CFD8"/>
              <w:right w:val="nil"/>
            </w:tcBorders>
            <w:shd w:val="clear" w:color="auto" w:fill="auto"/>
            <w:noWrap/>
            <w:vAlign w:val="center"/>
            <w:hideMark/>
          </w:tcPr>
          <w:p w14:paraId="14F83349"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24,932</w:t>
            </w:r>
          </w:p>
        </w:tc>
        <w:tc>
          <w:tcPr>
            <w:tcW w:w="1139" w:type="dxa"/>
            <w:tcBorders>
              <w:top w:val="nil"/>
              <w:left w:val="nil"/>
              <w:bottom w:val="single" w:sz="8" w:space="0" w:color="C7CFD8"/>
              <w:right w:val="nil"/>
            </w:tcBorders>
            <w:shd w:val="clear" w:color="auto" w:fill="auto"/>
            <w:noWrap/>
            <w:vAlign w:val="center"/>
            <w:hideMark/>
          </w:tcPr>
          <w:p w14:paraId="10D4423A"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27,213</w:t>
            </w:r>
          </w:p>
        </w:tc>
        <w:tc>
          <w:tcPr>
            <w:tcW w:w="1023" w:type="dxa"/>
            <w:tcBorders>
              <w:top w:val="nil"/>
              <w:left w:val="nil"/>
              <w:bottom w:val="single" w:sz="8" w:space="0" w:color="C7CFD8"/>
              <w:right w:val="nil"/>
            </w:tcBorders>
            <w:shd w:val="clear" w:color="auto" w:fill="auto"/>
            <w:noWrap/>
            <w:vAlign w:val="center"/>
            <w:hideMark/>
          </w:tcPr>
          <w:p w14:paraId="39FD623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7,006</w:t>
            </w:r>
          </w:p>
        </w:tc>
        <w:tc>
          <w:tcPr>
            <w:tcW w:w="1023" w:type="dxa"/>
            <w:tcBorders>
              <w:top w:val="nil"/>
              <w:left w:val="nil"/>
              <w:bottom w:val="single" w:sz="8" w:space="0" w:color="C7CFD8"/>
              <w:right w:val="nil"/>
            </w:tcBorders>
            <w:shd w:val="clear" w:color="auto" w:fill="auto"/>
            <w:noWrap/>
            <w:vAlign w:val="center"/>
            <w:hideMark/>
          </w:tcPr>
          <w:p w14:paraId="48ADCC3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28%</w:t>
            </w:r>
          </w:p>
        </w:tc>
      </w:tr>
      <w:tr w:rsidR="00B214A5" w:rsidRPr="00B214A5" w14:paraId="28424269" w14:textId="77777777" w:rsidTr="008A121C">
        <w:trPr>
          <w:trHeight w:hRule="exact" w:val="216"/>
          <w:jc w:val="center"/>
        </w:trPr>
        <w:tc>
          <w:tcPr>
            <w:tcW w:w="244" w:type="dxa"/>
            <w:tcBorders>
              <w:top w:val="nil"/>
              <w:left w:val="nil"/>
              <w:bottom w:val="single" w:sz="8" w:space="0" w:color="C7CFD8"/>
              <w:right w:val="nil"/>
            </w:tcBorders>
            <w:shd w:val="clear" w:color="auto" w:fill="auto"/>
            <w:noWrap/>
            <w:hideMark/>
          </w:tcPr>
          <w:p w14:paraId="08FCCE46"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089" w:type="dxa"/>
            <w:gridSpan w:val="2"/>
            <w:tcBorders>
              <w:top w:val="nil"/>
              <w:left w:val="nil"/>
              <w:bottom w:val="single" w:sz="8" w:space="0" w:color="C7CFD8"/>
              <w:right w:val="nil"/>
            </w:tcBorders>
            <w:shd w:val="clear" w:color="auto" w:fill="auto"/>
            <w:noWrap/>
            <w:vAlign w:val="center"/>
            <w:hideMark/>
          </w:tcPr>
          <w:p w14:paraId="65820C13"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TOTAL</w:t>
            </w:r>
          </w:p>
        </w:tc>
        <w:tc>
          <w:tcPr>
            <w:tcW w:w="244" w:type="dxa"/>
            <w:tcBorders>
              <w:top w:val="nil"/>
              <w:left w:val="nil"/>
              <w:bottom w:val="single" w:sz="8" w:space="0" w:color="C7CFD8"/>
              <w:right w:val="nil"/>
            </w:tcBorders>
            <w:shd w:val="clear" w:color="auto" w:fill="auto"/>
            <w:noWrap/>
            <w:hideMark/>
          </w:tcPr>
          <w:p w14:paraId="49161B08" w14:textId="77777777"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23" w:type="dxa"/>
            <w:tcBorders>
              <w:top w:val="nil"/>
              <w:left w:val="nil"/>
              <w:bottom w:val="single" w:sz="8" w:space="0" w:color="C7CFD8"/>
              <w:right w:val="nil"/>
            </w:tcBorders>
            <w:shd w:val="clear" w:color="auto" w:fill="auto"/>
            <w:noWrap/>
            <w:vAlign w:val="center"/>
            <w:hideMark/>
          </w:tcPr>
          <w:p w14:paraId="7017CB7C"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80,374</w:t>
            </w:r>
          </w:p>
        </w:tc>
        <w:tc>
          <w:tcPr>
            <w:tcW w:w="1139" w:type="dxa"/>
            <w:tcBorders>
              <w:top w:val="nil"/>
              <w:left w:val="nil"/>
              <w:bottom w:val="single" w:sz="8" w:space="0" w:color="C7CFD8"/>
              <w:right w:val="nil"/>
            </w:tcBorders>
            <w:shd w:val="clear" w:color="auto" w:fill="auto"/>
            <w:noWrap/>
            <w:vAlign w:val="center"/>
            <w:hideMark/>
          </w:tcPr>
          <w:p w14:paraId="5BE63C1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69,145</w:t>
            </w:r>
          </w:p>
        </w:tc>
        <w:tc>
          <w:tcPr>
            <w:tcW w:w="1139" w:type="dxa"/>
            <w:tcBorders>
              <w:top w:val="nil"/>
              <w:left w:val="nil"/>
              <w:bottom w:val="single" w:sz="8" w:space="0" w:color="C7CFD8"/>
              <w:right w:val="nil"/>
            </w:tcBorders>
            <w:shd w:val="clear" w:color="auto" w:fill="auto"/>
            <w:noWrap/>
            <w:vAlign w:val="center"/>
            <w:hideMark/>
          </w:tcPr>
          <w:p w14:paraId="2A9D56A4"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73,690</w:t>
            </w:r>
          </w:p>
        </w:tc>
        <w:tc>
          <w:tcPr>
            <w:tcW w:w="1023" w:type="dxa"/>
            <w:tcBorders>
              <w:top w:val="nil"/>
              <w:left w:val="nil"/>
              <w:bottom w:val="single" w:sz="8" w:space="0" w:color="C7CFD8"/>
              <w:right w:val="nil"/>
            </w:tcBorders>
            <w:shd w:val="clear" w:color="auto" w:fill="auto"/>
            <w:noWrap/>
            <w:vAlign w:val="center"/>
            <w:hideMark/>
          </w:tcPr>
          <w:p w14:paraId="7111A23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11,228</w:t>
            </w:r>
          </w:p>
        </w:tc>
        <w:tc>
          <w:tcPr>
            <w:tcW w:w="1023" w:type="dxa"/>
            <w:tcBorders>
              <w:top w:val="nil"/>
              <w:left w:val="nil"/>
              <w:bottom w:val="single" w:sz="8" w:space="0" w:color="C7CFD8"/>
              <w:right w:val="nil"/>
            </w:tcBorders>
            <w:shd w:val="clear" w:color="auto" w:fill="auto"/>
            <w:noWrap/>
            <w:vAlign w:val="center"/>
            <w:hideMark/>
          </w:tcPr>
          <w:p w14:paraId="4C88697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16%</w:t>
            </w:r>
          </w:p>
        </w:tc>
      </w:tr>
      <w:tr w:rsidR="00B214A5" w:rsidRPr="00B214A5" w14:paraId="6A78ACA2" w14:textId="77777777" w:rsidTr="008A121C">
        <w:trPr>
          <w:trHeight w:hRule="exact" w:val="216"/>
          <w:jc w:val="center"/>
        </w:trPr>
        <w:tc>
          <w:tcPr>
            <w:tcW w:w="244" w:type="dxa"/>
            <w:tcBorders>
              <w:top w:val="nil"/>
              <w:left w:val="nil"/>
              <w:bottom w:val="nil"/>
              <w:right w:val="nil"/>
            </w:tcBorders>
            <w:shd w:val="clear" w:color="auto" w:fill="auto"/>
            <w:noWrap/>
            <w:hideMark/>
          </w:tcPr>
          <w:p w14:paraId="10FA83A0"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3089" w:type="dxa"/>
            <w:gridSpan w:val="2"/>
            <w:tcBorders>
              <w:top w:val="nil"/>
              <w:left w:val="nil"/>
              <w:bottom w:val="nil"/>
              <w:right w:val="nil"/>
            </w:tcBorders>
            <w:shd w:val="clear" w:color="auto" w:fill="auto"/>
            <w:noWrap/>
            <w:hideMark/>
          </w:tcPr>
          <w:p w14:paraId="75983D8E"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xml:space="preserve">of which </w:t>
            </w:r>
          </w:p>
        </w:tc>
        <w:tc>
          <w:tcPr>
            <w:tcW w:w="244" w:type="dxa"/>
            <w:tcBorders>
              <w:top w:val="nil"/>
              <w:left w:val="nil"/>
              <w:bottom w:val="nil"/>
              <w:right w:val="nil"/>
            </w:tcBorders>
            <w:shd w:val="clear" w:color="auto" w:fill="auto"/>
            <w:noWrap/>
            <w:hideMark/>
          </w:tcPr>
          <w:p w14:paraId="6C7E65C5" w14:textId="77777777" w:rsidR="00B214A5" w:rsidRPr="00B214A5" w:rsidRDefault="00B214A5" w:rsidP="00B214A5">
            <w:pPr>
              <w:spacing w:after="0" w:line="240" w:lineRule="auto"/>
              <w:rPr>
                <w:rFonts w:ascii="Arial Narrow" w:eastAsia="Times New Roman" w:hAnsi="Arial Narrow" w:cs="Times New Roman"/>
                <w:sz w:val="16"/>
                <w:szCs w:val="16"/>
                <w:lang w:val="en-US"/>
              </w:rPr>
            </w:pPr>
          </w:p>
        </w:tc>
        <w:tc>
          <w:tcPr>
            <w:tcW w:w="1023" w:type="dxa"/>
            <w:tcBorders>
              <w:top w:val="nil"/>
              <w:left w:val="nil"/>
              <w:bottom w:val="nil"/>
              <w:right w:val="nil"/>
            </w:tcBorders>
            <w:shd w:val="clear" w:color="auto" w:fill="auto"/>
            <w:noWrap/>
            <w:hideMark/>
          </w:tcPr>
          <w:p w14:paraId="48133A11"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24A76FA0"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39" w:type="dxa"/>
            <w:tcBorders>
              <w:top w:val="nil"/>
              <w:left w:val="nil"/>
              <w:bottom w:val="nil"/>
              <w:right w:val="nil"/>
            </w:tcBorders>
            <w:shd w:val="clear" w:color="auto" w:fill="auto"/>
            <w:noWrap/>
            <w:hideMark/>
          </w:tcPr>
          <w:p w14:paraId="4672119C"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211A6843"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023" w:type="dxa"/>
            <w:tcBorders>
              <w:top w:val="nil"/>
              <w:left w:val="nil"/>
              <w:bottom w:val="nil"/>
              <w:right w:val="nil"/>
            </w:tcBorders>
            <w:shd w:val="clear" w:color="auto" w:fill="auto"/>
            <w:noWrap/>
            <w:hideMark/>
          </w:tcPr>
          <w:p w14:paraId="0D1E9CF9"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806C0E1" w14:textId="77777777" w:rsidTr="008A121C">
        <w:trPr>
          <w:trHeight w:hRule="exact" w:val="216"/>
          <w:jc w:val="center"/>
        </w:trPr>
        <w:tc>
          <w:tcPr>
            <w:tcW w:w="244" w:type="dxa"/>
            <w:tcBorders>
              <w:top w:val="nil"/>
              <w:left w:val="nil"/>
              <w:bottom w:val="single" w:sz="4" w:space="0" w:color="C7CFD8"/>
              <w:right w:val="nil"/>
            </w:tcBorders>
            <w:shd w:val="clear" w:color="auto" w:fill="auto"/>
            <w:noWrap/>
            <w:hideMark/>
          </w:tcPr>
          <w:p w14:paraId="3283BB30"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3334" w:type="dxa"/>
            <w:gridSpan w:val="3"/>
            <w:tcBorders>
              <w:top w:val="nil"/>
              <w:left w:val="nil"/>
              <w:bottom w:val="single" w:sz="4" w:space="0" w:color="C7CFD8"/>
              <w:right w:val="nil"/>
            </w:tcBorders>
            <w:shd w:val="clear" w:color="auto" w:fill="auto"/>
            <w:noWrap/>
            <w:hideMark/>
          </w:tcPr>
          <w:p w14:paraId="02B0EF57" w14:textId="77777777" w:rsidR="00B214A5" w:rsidRPr="00B214A5" w:rsidRDefault="00B214A5" w:rsidP="00B214A5">
            <w:pPr>
              <w:spacing w:after="0" w:line="240" w:lineRule="auto"/>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Development Agenda Project</w:t>
            </w:r>
          </w:p>
        </w:tc>
        <w:tc>
          <w:tcPr>
            <w:tcW w:w="1023" w:type="dxa"/>
            <w:tcBorders>
              <w:top w:val="nil"/>
              <w:left w:val="nil"/>
              <w:bottom w:val="single" w:sz="4" w:space="0" w:color="C7CFD8"/>
              <w:right w:val="nil"/>
            </w:tcBorders>
            <w:shd w:val="clear" w:color="auto" w:fill="auto"/>
            <w:noWrap/>
            <w:hideMark/>
          </w:tcPr>
          <w:p w14:paraId="58DA9A5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980</w:t>
            </w:r>
          </w:p>
        </w:tc>
        <w:tc>
          <w:tcPr>
            <w:tcW w:w="1139" w:type="dxa"/>
            <w:tcBorders>
              <w:top w:val="nil"/>
              <w:left w:val="nil"/>
              <w:bottom w:val="single" w:sz="4" w:space="0" w:color="C7CFD8"/>
              <w:right w:val="nil"/>
            </w:tcBorders>
            <w:shd w:val="clear" w:color="auto" w:fill="auto"/>
            <w:noWrap/>
            <w:hideMark/>
          </w:tcPr>
          <w:p w14:paraId="5560159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 </w:t>
            </w:r>
          </w:p>
        </w:tc>
        <w:tc>
          <w:tcPr>
            <w:tcW w:w="1139" w:type="dxa"/>
            <w:tcBorders>
              <w:top w:val="nil"/>
              <w:left w:val="nil"/>
              <w:bottom w:val="single" w:sz="4" w:space="0" w:color="C7CFD8"/>
              <w:right w:val="nil"/>
            </w:tcBorders>
            <w:shd w:val="clear" w:color="auto" w:fill="auto"/>
            <w:noWrap/>
            <w:hideMark/>
          </w:tcPr>
          <w:p w14:paraId="6228F06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w:t>
            </w:r>
          </w:p>
        </w:tc>
        <w:tc>
          <w:tcPr>
            <w:tcW w:w="1023" w:type="dxa"/>
            <w:tcBorders>
              <w:top w:val="nil"/>
              <w:left w:val="nil"/>
              <w:bottom w:val="single" w:sz="4" w:space="0" w:color="C7CFD8"/>
              <w:right w:val="nil"/>
            </w:tcBorders>
            <w:shd w:val="clear" w:color="auto" w:fill="auto"/>
            <w:noWrap/>
            <w:hideMark/>
          </w:tcPr>
          <w:p w14:paraId="579AD816" w14:textId="77777777" w:rsidR="00B214A5" w:rsidRPr="00B214A5" w:rsidRDefault="00B214A5" w:rsidP="00B214A5">
            <w:pPr>
              <w:spacing w:after="0" w:line="240" w:lineRule="auto"/>
              <w:jc w:val="right"/>
              <w:rPr>
                <w:rFonts w:ascii="Arial Narrow" w:eastAsia="Times New Roman" w:hAnsi="Arial Narrow" w:cs="Times New Roman"/>
                <w:b/>
                <w:bCs/>
                <w:color w:val="FF0000"/>
                <w:sz w:val="16"/>
                <w:szCs w:val="16"/>
                <w:lang w:val="en-US"/>
              </w:rPr>
            </w:pPr>
            <w:r w:rsidRPr="00B214A5">
              <w:rPr>
                <w:rFonts w:ascii="Arial Narrow" w:eastAsia="Times New Roman" w:hAnsi="Arial Narrow" w:cs="Times New Roman"/>
                <w:b/>
                <w:bCs/>
                <w:color w:val="FF0000"/>
                <w:sz w:val="16"/>
                <w:szCs w:val="16"/>
                <w:lang w:val="en-US"/>
              </w:rPr>
              <w:t> </w:t>
            </w:r>
          </w:p>
        </w:tc>
        <w:tc>
          <w:tcPr>
            <w:tcW w:w="1023" w:type="dxa"/>
            <w:tcBorders>
              <w:top w:val="nil"/>
              <w:left w:val="nil"/>
              <w:bottom w:val="single" w:sz="4" w:space="0" w:color="C7CFD8"/>
              <w:right w:val="nil"/>
            </w:tcBorders>
            <w:shd w:val="clear" w:color="auto" w:fill="auto"/>
            <w:noWrap/>
            <w:hideMark/>
          </w:tcPr>
          <w:p w14:paraId="6A60A0D3" w14:textId="77777777" w:rsidR="00B214A5" w:rsidRPr="00B214A5" w:rsidRDefault="00B214A5" w:rsidP="00B214A5">
            <w:pPr>
              <w:spacing w:after="0" w:line="240" w:lineRule="auto"/>
              <w:rPr>
                <w:rFonts w:ascii="Arial Narrow" w:eastAsia="Times New Roman" w:hAnsi="Arial Narrow" w:cs="Times New Roman"/>
                <w:b/>
                <w:bCs/>
                <w:color w:val="FF0000"/>
                <w:sz w:val="16"/>
                <w:szCs w:val="16"/>
                <w:lang w:val="en-US"/>
              </w:rPr>
            </w:pPr>
            <w:r w:rsidRPr="00B214A5">
              <w:rPr>
                <w:rFonts w:ascii="Arial Narrow" w:eastAsia="Times New Roman" w:hAnsi="Arial Narrow" w:cs="Times New Roman"/>
                <w:b/>
                <w:bCs/>
                <w:color w:val="FF0000"/>
                <w:sz w:val="16"/>
                <w:szCs w:val="16"/>
                <w:lang w:val="en-US"/>
              </w:rPr>
              <w:t> </w:t>
            </w:r>
          </w:p>
        </w:tc>
      </w:tr>
    </w:tbl>
    <w:p w14:paraId="72F870C9" w14:textId="2FC46D0C" w:rsidR="00B14BAF" w:rsidRDefault="00B14BA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7151FA" w:rsidRPr="00034525" w14:paraId="187EB3AA" w14:textId="77777777" w:rsidTr="0044491C">
        <w:trPr>
          <w:trHeight w:val="72"/>
        </w:trPr>
        <w:tc>
          <w:tcPr>
            <w:tcW w:w="9630" w:type="dxa"/>
          </w:tcPr>
          <w:p w14:paraId="722F37DB" w14:textId="5F810061" w:rsidR="007151FA" w:rsidRPr="00034525" w:rsidRDefault="007151FA" w:rsidP="00EF3B0C">
            <w:pPr>
              <w:spacing w:after="60" w:line="240" w:lineRule="auto"/>
              <w:jc w:val="center"/>
              <w:rPr>
                <w:rFonts w:cs="Arial"/>
                <w:b/>
                <w:bCs/>
                <w:color w:val="005172"/>
                <w:sz w:val="16"/>
                <w:szCs w:val="16"/>
              </w:rPr>
            </w:pPr>
            <w:r w:rsidRPr="00F363DB">
              <w:rPr>
                <w:rFonts w:eastAsia="SimHei" w:cs="Arial"/>
                <w:b/>
                <w:bCs/>
                <w:color w:val="005172"/>
                <w:szCs w:val="18"/>
                <w:lang w:val="en-US" w:eastAsia="zh-CN"/>
              </w:rPr>
              <w:t>Regional and National Development</w:t>
            </w:r>
            <w:r>
              <w:rPr>
                <w:rFonts w:cs="Arial"/>
                <w:b/>
                <w:bCs/>
                <w:color w:val="005172"/>
                <w:szCs w:val="16"/>
              </w:rPr>
              <w:t xml:space="preserve">: </w:t>
            </w:r>
            <w:r w:rsidRPr="00034525">
              <w:rPr>
                <w:rFonts w:cs="Arial"/>
                <w:b/>
                <w:bCs/>
                <w:color w:val="005172"/>
                <w:szCs w:val="16"/>
              </w:rPr>
              <w:t>Resources by Result</w:t>
            </w:r>
          </w:p>
        </w:tc>
      </w:tr>
      <w:tr w:rsidR="007151FA" w:rsidRPr="00034525" w14:paraId="39A21A5C" w14:textId="77777777" w:rsidTr="0044491C">
        <w:trPr>
          <w:trHeight w:val="80"/>
        </w:trPr>
        <w:tc>
          <w:tcPr>
            <w:tcW w:w="9630" w:type="dxa"/>
          </w:tcPr>
          <w:p w14:paraId="787B9F7B" w14:textId="23FCF90C" w:rsidR="007151FA" w:rsidRPr="00034525" w:rsidRDefault="007151FA"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1FF2E297" w14:textId="76139917" w:rsidR="00B214A5" w:rsidRDefault="00B214A5" w:rsidP="00792A58">
      <w:pPr>
        <w:spacing w:after="0"/>
        <w:rPr>
          <w:rFonts w:asciiTheme="minorHAnsi" w:hAnsiTheme="minorHAnsi"/>
          <w:sz w:val="22"/>
        </w:rPr>
      </w:pPr>
    </w:p>
    <w:tbl>
      <w:tblPr>
        <w:tblW w:w="9570" w:type="dxa"/>
        <w:tblLook w:val="04A0" w:firstRow="1" w:lastRow="0" w:firstColumn="1" w:lastColumn="0" w:noHBand="0" w:noVBand="1"/>
      </w:tblPr>
      <w:tblGrid>
        <w:gridCol w:w="399"/>
        <w:gridCol w:w="6118"/>
        <w:gridCol w:w="1026"/>
        <w:gridCol w:w="1026"/>
        <w:gridCol w:w="1027"/>
      </w:tblGrid>
      <w:tr w:rsidR="00B214A5" w:rsidRPr="00B214A5" w14:paraId="7D17BC56" w14:textId="77777777" w:rsidTr="00B214A5">
        <w:trPr>
          <w:trHeight w:val="541"/>
        </w:trPr>
        <w:tc>
          <w:tcPr>
            <w:tcW w:w="6491" w:type="dxa"/>
            <w:gridSpan w:val="2"/>
            <w:tcBorders>
              <w:top w:val="nil"/>
              <w:left w:val="nil"/>
              <w:bottom w:val="nil"/>
              <w:right w:val="nil"/>
            </w:tcBorders>
            <w:shd w:val="clear" w:color="000000" w:fill="C7CFD8"/>
            <w:noWrap/>
            <w:vAlign w:val="center"/>
            <w:hideMark/>
          </w:tcPr>
          <w:p w14:paraId="47FBFC1A" w14:textId="09872068" w:rsidR="00B214A5" w:rsidRPr="00B214A5" w:rsidRDefault="00B214A5" w:rsidP="00B214A5">
            <w:pPr>
              <w:spacing w:after="0" w:line="240" w:lineRule="auto"/>
              <w:ind w:firstLineChars="100" w:firstLine="160"/>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 xml:space="preserve">Expected Result </w:t>
            </w:r>
          </w:p>
        </w:tc>
        <w:tc>
          <w:tcPr>
            <w:tcW w:w="1026" w:type="dxa"/>
            <w:tcBorders>
              <w:top w:val="nil"/>
              <w:left w:val="nil"/>
              <w:bottom w:val="nil"/>
              <w:right w:val="nil"/>
            </w:tcBorders>
            <w:shd w:val="clear" w:color="000000" w:fill="C7CFD8"/>
            <w:vAlign w:val="center"/>
            <w:hideMark/>
          </w:tcPr>
          <w:p w14:paraId="29033C27" w14:textId="77777777" w:rsidR="00B214A5" w:rsidRPr="00B214A5" w:rsidRDefault="00B214A5" w:rsidP="00B214A5">
            <w:pPr>
              <w:spacing w:after="0" w:line="240" w:lineRule="auto"/>
              <w:ind w:firstLineChars="100" w:firstLine="160"/>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 xml:space="preserve"> 2024/25 </w:t>
            </w:r>
            <w:r w:rsidRPr="00B214A5">
              <w:rPr>
                <w:rFonts w:ascii="Arial Narrow" w:eastAsia="Times New Roman" w:hAnsi="Arial Narrow" w:cs="Arial"/>
                <w:b/>
                <w:bCs/>
                <w:sz w:val="16"/>
                <w:szCs w:val="16"/>
                <w:lang w:val="en-US"/>
              </w:rPr>
              <w:br/>
              <w:t>Proposed</w:t>
            </w:r>
            <w:r w:rsidRPr="00B214A5">
              <w:rPr>
                <w:rFonts w:ascii="Arial Narrow" w:eastAsia="Times New Roman" w:hAnsi="Arial Narrow" w:cs="Arial"/>
                <w:b/>
                <w:bCs/>
                <w:sz w:val="16"/>
                <w:szCs w:val="16"/>
                <w:lang w:val="en-US"/>
              </w:rPr>
              <w:br/>
              <w:t xml:space="preserve"> Budget </w:t>
            </w:r>
          </w:p>
        </w:tc>
        <w:tc>
          <w:tcPr>
            <w:tcW w:w="1026" w:type="dxa"/>
            <w:tcBorders>
              <w:top w:val="nil"/>
              <w:left w:val="nil"/>
              <w:bottom w:val="nil"/>
              <w:right w:val="nil"/>
            </w:tcBorders>
            <w:shd w:val="clear" w:color="000000" w:fill="C7CFD8"/>
            <w:vAlign w:val="center"/>
            <w:hideMark/>
          </w:tcPr>
          <w:p w14:paraId="7C2766C7" w14:textId="77777777" w:rsidR="00B214A5" w:rsidRPr="00B214A5" w:rsidRDefault="00B214A5" w:rsidP="00B214A5">
            <w:pPr>
              <w:spacing w:after="0" w:line="240" w:lineRule="auto"/>
              <w:ind w:firstLineChars="100" w:firstLine="160"/>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 xml:space="preserve"> 2022/23 </w:t>
            </w:r>
            <w:r w:rsidRPr="00B214A5">
              <w:rPr>
                <w:rFonts w:ascii="Arial Narrow" w:eastAsia="Times New Roman" w:hAnsi="Arial Narrow" w:cs="Arial"/>
                <w:b/>
                <w:bCs/>
                <w:sz w:val="16"/>
                <w:szCs w:val="16"/>
                <w:lang w:val="en-US"/>
              </w:rPr>
              <w:br/>
              <w:t xml:space="preserve">PoW&amp;B </w:t>
            </w:r>
          </w:p>
        </w:tc>
        <w:tc>
          <w:tcPr>
            <w:tcW w:w="1027" w:type="dxa"/>
            <w:tcBorders>
              <w:top w:val="nil"/>
              <w:left w:val="nil"/>
              <w:bottom w:val="nil"/>
              <w:right w:val="nil"/>
            </w:tcBorders>
            <w:shd w:val="clear" w:color="000000" w:fill="C7CFD8"/>
            <w:vAlign w:val="center"/>
            <w:hideMark/>
          </w:tcPr>
          <w:p w14:paraId="0E9ECC7E" w14:textId="77777777" w:rsidR="00B214A5" w:rsidRPr="00B214A5" w:rsidRDefault="00B214A5" w:rsidP="00B214A5">
            <w:pPr>
              <w:spacing w:after="0" w:line="240" w:lineRule="auto"/>
              <w:ind w:firstLineChars="100" w:firstLine="160"/>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 xml:space="preserve"> 2022/23 </w:t>
            </w:r>
            <w:r w:rsidRPr="00B214A5">
              <w:rPr>
                <w:rFonts w:ascii="Arial Narrow" w:eastAsia="Times New Roman" w:hAnsi="Arial Narrow" w:cs="Arial"/>
                <w:b/>
                <w:bCs/>
                <w:sz w:val="16"/>
                <w:szCs w:val="16"/>
                <w:lang w:val="en-US"/>
              </w:rPr>
              <w:br/>
              <w:t xml:space="preserve">Budget after Transfers </w:t>
            </w:r>
          </w:p>
        </w:tc>
      </w:tr>
      <w:tr w:rsidR="00B214A5" w:rsidRPr="00B214A5" w14:paraId="6EA81D17" w14:textId="77777777" w:rsidTr="00B214A5">
        <w:trPr>
          <w:trHeight w:val="35"/>
        </w:trPr>
        <w:tc>
          <w:tcPr>
            <w:tcW w:w="373" w:type="dxa"/>
            <w:tcBorders>
              <w:top w:val="nil"/>
              <w:left w:val="nil"/>
              <w:bottom w:val="nil"/>
              <w:right w:val="nil"/>
            </w:tcBorders>
            <w:shd w:val="clear" w:color="auto" w:fill="auto"/>
            <w:noWrap/>
            <w:vAlign w:val="center"/>
            <w:hideMark/>
          </w:tcPr>
          <w:p w14:paraId="12A122C9" w14:textId="77777777" w:rsidR="00B214A5" w:rsidRPr="00B214A5" w:rsidRDefault="00B214A5" w:rsidP="00B214A5">
            <w:pPr>
              <w:spacing w:after="0" w:line="240" w:lineRule="auto"/>
              <w:ind w:firstLineChars="100" w:firstLine="160"/>
              <w:jc w:val="right"/>
              <w:rPr>
                <w:rFonts w:ascii="Arial Narrow" w:eastAsia="Times New Roman" w:hAnsi="Arial Narrow" w:cs="Arial"/>
                <w:b/>
                <w:bCs/>
                <w:sz w:val="16"/>
                <w:szCs w:val="16"/>
                <w:lang w:val="en-US"/>
              </w:rPr>
            </w:pPr>
          </w:p>
        </w:tc>
        <w:tc>
          <w:tcPr>
            <w:tcW w:w="6118" w:type="dxa"/>
            <w:tcBorders>
              <w:top w:val="nil"/>
              <w:left w:val="nil"/>
              <w:bottom w:val="nil"/>
              <w:right w:val="nil"/>
            </w:tcBorders>
            <w:shd w:val="clear" w:color="auto" w:fill="auto"/>
            <w:noWrap/>
            <w:vAlign w:val="center"/>
            <w:hideMark/>
          </w:tcPr>
          <w:p w14:paraId="4AC03017" w14:textId="77777777" w:rsidR="00B214A5" w:rsidRPr="00B214A5" w:rsidRDefault="00B214A5" w:rsidP="00B214A5">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noWrap/>
            <w:vAlign w:val="center"/>
            <w:hideMark/>
          </w:tcPr>
          <w:p w14:paraId="4A01CF9A" w14:textId="77777777" w:rsidR="00B214A5" w:rsidRPr="00B214A5" w:rsidRDefault="00B214A5" w:rsidP="00B214A5">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vAlign w:val="center"/>
            <w:hideMark/>
          </w:tcPr>
          <w:p w14:paraId="42861A57" w14:textId="77777777" w:rsidR="00B214A5" w:rsidRPr="00B214A5" w:rsidRDefault="00B214A5" w:rsidP="00B214A5">
            <w:pPr>
              <w:spacing w:after="0" w:line="240" w:lineRule="auto"/>
              <w:ind w:firstLineChars="100" w:firstLine="200"/>
              <w:rPr>
                <w:rFonts w:ascii="Times New Roman" w:eastAsia="Times New Roman" w:hAnsi="Times New Roman" w:cs="Times New Roman"/>
                <w:sz w:val="20"/>
                <w:szCs w:val="20"/>
                <w:lang w:val="en-US"/>
              </w:rPr>
            </w:pPr>
          </w:p>
        </w:tc>
        <w:tc>
          <w:tcPr>
            <w:tcW w:w="1027" w:type="dxa"/>
            <w:tcBorders>
              <w:top w:val="nil"/>
              <w:left w:val="nil"/>
              <w:bottom w:val="nil"/>
              <w:right w:val="nil"/>
            </w:tcBorders>
            <w:shd w:val="clear" w:color="auto" w:fill="auto"/>
            <w:vAlign w:val="center"/>
            <w:hideMark/>
          </w:tcPr>
          <w:p w14:paraId="2DAD5BD1" w14:textId="77777777" w:rsidR="00B214A5" w:rsidRPr="00B214A5" w:rsidRDefault="00B214A5" w:rsidP="00B214A5">
            <w:pPr>
              <w:spacing w:after="0" w:line="240" w:lineRule="auto"/>
              <w:ind w:firstLineChars="100" w:firstLine="200"/>
              <w:jc w:val="right"/>
              <w:rPr>
                <w:rFonts w:ascii="Times New Roman" w:eastAsia="Times New Roman" w:hAnsi="Times New Roman" w:cs="Times New Roman"/>
                <w:sz w:val="20"/>
                <w:szCs w:val="20"/>
                <w:lang w:val="en-US"/>
              </w:rPr>
            </w:pPr>
          </w:p>
        </w:tc>
      </w:tr>
      <w:tr w:rsidR="00B214A5" w:rsidRPr="00B214A5" w14:paraId="0E6EEF42" w14:textId="77777777" w:rsidTr="00B214A5">
        <w:trPr>
          <w:trHeight w:val="364"/>
        </w:trPr>
        <w:tc>
          <w:tcPr>
            <w:tcW w:w="373" w:type="dxa"/>
            <w:tcBorders>
              <w:top w:val="nil"/>
              <w:left w:val="nil"/>
              <w:bottom w:val="nil"/>
              <w:right w:val="nil"/>
            </w:tcBorders>
            <w:shd w:val="clear" w:color="auto" w:fill="auto"/>
            <w:noWrap/>
            <w:hideMark/>
          </w:tcPr>
          <w:p w14:paraId="4270F617"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1.1</w:t>
            </w:r>
          </w:p>
        </w:tc>
        <w:tc>
          <w:tcPr>
            <w:tcW w:w="6118" w:type="dxa"/>
            <w:tcBorders>
              <w:top w:val="nil"/>
              <w:left w:val="nil"/>
              <w:bottom w:val="nil"/>
              <w:right w:val="nil"/>
            </w:tcBorders>
            <w:shd w:val="clear" w:color="auto" w:fill="auto"/>
            <w:hideMark/>
          </w:tcPr>
          <w:p w14:paraId="54E9D58B"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More effective communication and engagement world-wide to raise awareness of and increase knowledge about the potential of IP to improve the lives of everyone, everywhere</w:t>
            </w:r>
          </w:p>
          <w:p w14:paraId="029D9837" w14:textId="48B7F975"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72E530DF"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5,466</w:t>
            </w:r>
          </w:p>
        </w:tc>
        <w:tc>
          <w:tcPr>
            <w:tcW w:w="1026" w:type="dxa"/>
            <w:tcBorders>
              <w:top w:val="nil"/>
              <w:left w:val="nil"/>
              <w:bottom w:val="nil"/>
              <w:right w:val="nil"/>
            </w:tcBorders>
            <w:shd w:val="clear" w:color="auto" w:fill="auto"/>
            <w:noWrap/>
            <w:hideMark/>
          </w:tcPr>
          <w:p w14:paraId="5D90D260"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3,149</w:t>
            </w:r>
          </w:p>
        </w:tc>
        <w:tc>
          <w:tcPr>
            <w:tcW w:w="1027" w:type="dxa"/>
            <w:tcBorders>
              <w:top w:val="nil"/>
              <w:left w:val="nil"/>
              <w:bottom w:val="nil"/>
              <w:right w:val="nil"/>
            </w:tcBorders>
            <w:shd w:val="clear" w:color="auto" w:fill="auto"/>
            <w:noWrap/>
            <w:hideMark/>
          </w:tcPr>
          <w:p w14:paraId="17E384EB"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3,689</w:t>
            </w:r>
          </w:p>
        </w:tc>
      </w:tr>
      <w:tr w:rsidR="00B214A5" w:rsidRPr="00B214A5" w14:paraId="27347D44" w14:textId="77777777" w:rsidTr="00B214A5">
        <w:trPr>
          <w:trHeight w:val="235"/>
        </w:trPr>
        <w:tc>
          <w:tcPr>
            <w:tcW w:w="373" w:type="dxa"/>
            <w:tcBorders>
              <w:top w:val="nil"/>
              <w:left w:val="nil"/>
              <w:bottom w:val="nil"/>
              <w:right w:val="nil"/>
            </w:tcBorders>
            <w:shd w:val="clear" w:color="auto" w:fill="auto"/>
            <w:noWrap/>
            <w:hideMark/>
          </w:tcPr>
          <w:p w14:paraId="50DD802E"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2.4</w:t>
            </w:r>
          </w:p>
        </w:tc>
        <w:tc>
          <w:tcPr>
            <w:tcW w:w="6118" w:type="dxa"/>
            <w:tcBorders>
              <w:top w:val="nil"/>
              <w:left w:val="nil"/>
              <w:bottom w:val="nil"/>
              <w:right w:val="nil"/>
            </w:tcBorders>
            <w:shd w:val="clear" w:color="auto" w:fill="auto"/>
            <w:hideMark/>
          </w:tcPr>
          <w:p w14:paraId="65D13DE5"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Effective interaction and partnerships with the UN, IGOs and NGOs in support of global goals to which IP can contribute</w:t>
            </w:r>
          </w:p>
          <w:p w14:paraId="5C8B504E" w14:textId="4C07E461"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6794BA3E"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1,194</w:t>
            </w:r>
          </w:p>
        </w:tc>
        <w:tc>
          <w:tcPr>
            <w:tcW w:w="1026" w:type="dxa"/>
            <w:tcBorders>
              <w:top w:val="nil"/>
              <w:left w:val="nil"/>
              <w:bottom w:val="nil"/>
              <w:right w:val="nil"/>
            </w:tcBorders>
            <w:shd w:val="clear" w:color="auto" w:fill="auto"/>
            <w:noWrap/>
            <w:hideMark/>
          </w:tcPr>
          <w:p w14:paraId="4FB9CAAB"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918</w:t>
            </w:r>
          </w:p>
        </w:tc>
        <w:tc>
          <w:tcPr>
            <w:tcW w:w="1027" w:type="dxa"/>
            <w:tcBorders>
              <w:top w:val="nil"/>
              <w:left w:val="nil"/>
              <w:bottom w:val="nil"/>
              <w:right w:val="nil"/>
            </w:tcBorders>
            <w:shd w:val="clear" w:color="auto" w:fill="auto"/>
            <w:noWrap/>
            <w:hideMark/>
          </w:tcPr>
          <w:p w14:paraId="25A0DC69"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854</w:t>
            </w:r>
          </w:p>
        </w:tc>
      </w:tr>
      <w:tr w:rsidR="00B214A5" w:rsidRPr="00B214A5" w14:paraId="37613033" w14:textId="77777777" w:rsidTr="00B214A5">
        <w:trPr>
          <w:trHeight w:val="235"/>
        </w:trPr>
        <w:tc>
          <w:tcPr>
            <w:tcW w:w="373" w:type="dxa"/>
            <w:tcBorders>
              <w:top w:val="nil"/>
              <w:left w:val="nil"/>
              <w:bottom w:val="nil"/>
              <w:right w:val="nil"/>
            </w:tcBorders>
            <w:shd w:val="clear" w:color="auto" w:fill="auto"/>
            <w:noWrap/>
            <w:hideMark/>
          </w:tcPr>
          <w:p w14:paraId="23B65A5E"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3.1</w:t>
            </w:r>
          </w:p>
        </w:tc>
        <w:tc>
          <w:tcPr>
            <w:tcW w:w="6118" w:type="dxa"/>
            <w:tcBorders>
              <w:top w:val="nil"/>
              <w:left w:val="nil"/>
              <w:bottom w:val="nil"/>
              <w:right w:val="nil"/>
            </w:tcBorders>
            <w:shd w:val="clear" w:color="auto" w:fill="auto"/>
            <w:hideMark/>
          </w:tcPr>
          <w:p w14:paraId="2C039D0D"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Wider and more effective use of WIPO’s global IP systems, services, knowledge and data</w:t>
            </w:r>
          </w:p>
          <w:p w14:paraId="25B598A0" w14:textId="3DEC4443"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42ACE8BF"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3,972</w:t>
            </w:r>
          </w:p>
        </w:tc>
        <w:tc>
          <w:tcPr>
            <w:tcW w:w="1026" w:type="dxa"/>
            <w:tcBorders>
              <w:top w:val="nil"/>
              <w:left w:val="nil"/>
              <w:bottom w:val="nil"/>
              <w:right w:val="nil"/>
            </w:tcBorders>
            <w:shd w:val="clear" w:color="auto" w:fill="auto"/>
            <w:noWrap/>
            <w:hideMark/>
          </w:tcPr>
          <w:p w14:paraId="7E69D12F"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7,880</w:t>
            </w:r>
          </w:p>
        </w:tc>
        <w:tc>
          <w:tcPr>
            <w:tcW w:w="1027" w:type="dxa"/>
            <w:tcBorders>
              <w:top w:val="nil"/>
              <w:left w:val="nil"/>
              <w:bottom w:val="nil"/>
              <w:right w:val="nil"/>
            </w:tcBorders>
            <w:shd w:val="clear" w:color="auto" w:fill="auto"/>
            <w:noWrap/>
            <w:hideMark/>
          </w:tcPr>
          <w:p w14:paraId="3C8AE432"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7,464</w:t>
            </w:r>
          </w:p>
        </w:tc>
      </w:tr>
      <w:tr w:rsidR="00B214A5" w:rsidRPr="00B214A5" w14:paraId="1D202D25" w14:textId="77777777" w:rsidTr="00B214A5">
        <w:trPr>
          <w:trHeight w:val="364"/>
        </w:trPr>
        <w:tc>
          <w:tcPr>
            <w:tcW w:w="373" w:type="dxa"/>
            <w:tcBorders>
              <w:top w:val="nil"/>
              <w:left w:val="nil"/>
              <w:bottom w:val="nil"/>
              <w:right w:val="nil"/>
            </w:tcBorders>
            <w:shd w:val="clear" w:color="auto" w:fill="auto"/>
            <w:noWrap/>
            <w:hideMark/>
          </w:tcPr>
          <w:p w14:paraId="2682ECCB"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3.3</w:t>
            </w:r>
          </w:p>
        </w:tc>
        <w:tc>
          <w:tcPr>
            <w:tcW w:w="6118" w:type="dxa"/>
            <w:tcBorders>
              <w:top w:val="nil"/>
              <w:left w:val="nil"/>
              <w:bottom w:val="nil"/>
              <w:right w:val="nil"/>
            </w:tcBorders>
            <w:shd w:val="clear" w:color="auto" w:fill="auto"/>
            <w:hideMark/>
          </w:tcPr>
          <w:p w14:paraId="4A6108E8"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Knowledge transfer and technology adaptation is facilitated through WIPO’s IP-based platforms and tools to address global challenges</w:t>
            </w:r>
          </w:p>
          <w:p w14:paraId="07C3008A" w14:textId="018AF18B"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5EF86AF9"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749</w:t>
            </w:r>
          </w:p>
        </w:tc>
        <w:tc>
          <w:tcPr>
            <w:tcW w:w="1026" w:type="dxa"/>
            <w:tcBorders>
              <w:top w:val="nil"/>
              <w:left w:val="nil"/>
              <w:bottom w:val="nil"/>
              <w:right w:val="nil"/>
            </w:tcBorders>
            <w:shd w:val="clear" w:color="auto" w:fill="auto"/>
            <w:noWrap/>
            <w:hideMark/>
          </w:tcPr>
          <w:p w14:paraId="7B2CBF2D"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1,095</w:t>
            </w:r>
          </w:p>
        </w:tc>
        <w:tc>
          <w:tcPr>
            <w:tcW w:w="1027" w:type="dxa"/>
            <w:tcBorders>
              <w:top w:val="nil"/>
              <w:left w:val="nil"/>
              <w:bottom w:val="nil"/>
              <w:right w:val="nil"/>
            </w:tcBorders>
            <w:shd w:val="clear" w:color="auto" w:fill="auto"/>
            <w:noWrap/>
            <w:hideMark/>
          </w:tcPr>
          <w:p w14:paraId="7EAF10B0"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1,003</w:t>
            </w:r>
          </w:p>
        </w:tc>
      </w:tr>
      <w:tr w:rsidR="00B214A5" w:rsidRPr="00B214A5" w14:paraId="7189D8E4" w14:textId="77777777" w:rsidTr="00B214A5">
        <w:trPr>
          <w:trHeight w:val="364"/>
        </w:trPr>
        <w:tc>
          <w:tcPr>
            <w:tcW w:w="373" w:type="dxa"/>
            <w:tcBorders>
              <w:top w:val="nil"/>
              <w:left w:val="nil"/>
              <w:bottom w:val="nil"/>
              <w:right w:val="nil"/>
            </w:tcBorders>
            <w:shd w:val="clear" w:color="auto" w:fill="auto"/>
            <w:noWrap/>
            <w:hideMark/>
          </w:tcPr>
          <w:p w14:paraId="7670ABFF"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4.1</w:t>
            </w:r>
          </w:p>
        </w:tc>
        <w:tc>
          <w:tcPr>
            <w:tcW w:w="6118" w:type="dxa"/>
            <w:tcBorders>
              <w:top w:val="nil"/>
              <w:left w:val="nil"/>
              <w:bottom w:val="nil"/>
              <w:right w:val="nil"/>
            </w:tcBorders>
            <w:shd w:val="clear" w:color="auto" w:fill="auto"/>
            <w:hideMark/>
          </w:tcPr>
          <w:p w14:paraId="02569B76" w14:textId="3F353E55" w:rsidR="00B214A5" w:rsidRDefault="001048EB" w:rsidP="00B214A5">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More effective use of a balanced IP system to support growth</w:t>
            </w:r>
            <w:r w:rsidR="005D7F78">
              <w:rPr>
                <w:rFonts w:ascii="Arial Narrow" w:eastAsia="Times New Roman" w:hAnsi="Arial Narrow" w:cs="Arial"/>
                <w:sz w:val="16"/>
                <w:szCs w:val="16"/>
                <w:lang w:val="en-US"/>
              </w:rPr>
              <w:t xml:space="preserve"> </w:t>
            </w:r>
            <w:r w:rsidR="00B214A5" w:rsidRPr="00B214A5">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p w14:paraId="5B834162" w14:textId="6D0C0CDE"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55702E3B"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16,519</w:t>
            </w:r>
          </w:p>
        </w:tc>
        <w:tc>
          <w:tcPr>
            <w:tcW w:w="1026" w:type="dxa"/>
            <w:tcBorders>
              <w:top w:val="nil"/>
              <w:left w:val="nil"/>
              <w:bottom w:val="nil"/>
              <w:right w:val="nil"/>
            </w:tcBorders>
            <w:shd w:val="clear" w:color="auto" w:fill="auto"/>
            <w:noWrap/>
            <w:hideMark/>
          </w:tcPr>
          <w:p w14:paraId="4BAA8146"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11,744</w:t>
            </w:r>
          </w:p>
        </w:tc>
        <w:tc>
          <w:tcPr>
            <w:tcW w:w="1027" w:type="dxa"/>
            <w:tcBorders>
              <w:top w:val="nil"/>
              <w:left w:val="nil"/>
              <w:bottom w:val="nil"/>
              <w:right w:val="nil"/>
            </w:tcBorders>
            <w:shd w:val="clear" w:color="auto" w:fill="auto"/>
            <w:noWrap/>
            <w:hideMark/>
          </w:tcPr>
          <w:p w14:paraId="672E2D39"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14,467</w:t>
            </w:r>
          </w:p>
        </w:tc>
      </w:tr>
      <w:tr w:rsidR="00B214A5" w:rsidRPr="00B214A5" w14:paraId="393B1AAA" w14:textId="77777777" w:rsidTr="00B214A5">
        <w:trPr>
          <w:trHeight w:val="235"/>
        </w:trPr>
        <w:tc>
          <w:tcPr>
            <w:tcW w:w="373" w:type="dxa"/>
            <w:tcBorders>
              <w:top w:val="nil"/>
              <w:left w:val="nil"/>
              <w:bottom w:val="nil"/>
              <w:right w:val="nil"/>
            </w:tcBorders>
            <w:shd w:val="clear" w:color="auto" w:fill="auto"/>
            <w:noWrap/>
            <w:hideMark/>
          </w:tcPr>
          <w:p w14:paraId="5052A654"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4.2</w:t>
            </w:r>
          </w:p>
        </w:tc>
        <w:tc>
          <w:tcPr>
            <w:tcW w:w="6118" w:type="dxa"/>
            <w:tcBorders>
              <w:top w:val="nil"/>
              <w:left w:val="nil"/>
              <w:bottom w:val="nil"/>
              <w:right w:val="nil"/>
            </w:tcBorders>
            <w:shd w:val="clear" w:color="auto" w:fill="auto"/>
            <w:hideMark/>
          </w:tcPr>
          <w:p w14:paraId="01F7CEAE"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Development of balanced and effective IP, innovation and creative ecosystems in Member States</w:t>
            </w:r>
          </w:p>
          <w:p w14:paraId="0DC3B5F7" w14:textId="5F70B5B5"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28288937"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8,351</w:t>
            </w:r>
          </w:p>
        </w:tc>
        <w:tc>
          <w:tcPr>
            <w:tcW w:w="1026" w:type="dxa"/>
            <w:tcBorders>
              <w:top w:val="nil"/>
              <w:left w:val="nil"/>
              <w:bottom w:val="nil"/>
              <w:right w:val="nil"/>
            </w:tcBorders>
            <w:shd w:val="clear" w:color="auto" w:fill="auto"/>
            <w:noWrap/>
            <w:hideMark/>
          </w:tcPr>
          <w:p w14:paraId="3624DD92"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11,288</w:t>
            </w:r>
          </w:p>
        </w:tc>
        <w:tc>
          <w:tcPr>
            <w:tcW w:w="1027" w:type="dxa"/>
            <w:tcBorders>
              <w:top w:val="nil"/>
              <w:left w:val="nil"/>
              <w:bottom w:val="nil"/>
              <w:right w:val="nil"/>
            </w:tcBorders>
            <w:shd w:val="clear" w:color="auto" w:fill="auto"/>
            <w:noWrap/>
            <w:hideMark/>
          </w:tcPr>
          <w:p w14:paraId="3F54F4AB"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10,013</w:t>
            </w:r>
          </w:p>
        </w:tc>
      </w:tr>
      <w:tr w:rsidR="00B214A5" w:rsidRPr="00B214A5" w14:paraId="3C2DCE79" w14:textId="77777777" w:rsidTr="00B214A5">
        <w:trPr>
          <w:trHeight w:val="235"/>
        </w:trPr>
        <w:tc>
          <w:tcPr>
            <w:tcW w:w="373" w:type="dxa"/>
            <w:tcBorders>
              <w:top w:val="nil"/>
              <w:left w:val="nil"/>
              <w:bottom w:val="nil"/>
              <w:right w:val="nil"/>
            </w:tcBorders>
            <w:shd w:val="clear" w:color="auto" w:fill="auto"/>
            <w:noWrap/>
            <w:hideMark/>
          </w:tcPr>
          <w:p w14:paraId="2B7ABDBB"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4.3</w:t>
            </w:r>
          </w:p>
        </w:tc>
        <w:tc>
          <w:tcPr>
            <w:tcW w:w="6118" w:type="dxa"/>
            <w:tcBorders>
              <w:top w:val="nil"/>
              <w:left w:val="nil"/>
              <w:bottom w:val="nil"/>
              <w:right w:val="nil"/>
            </w:tcBorders>
            <w:shd w:val="clear" w:color="auto" w:fill="auto"/>
            <w:hideMark/>
          </w:tcPr>
          <w:p w14:paraId="0D2965E6"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Increased IP knowledge and skills in all Member States</w:t>
            </w:r>
          </w:p>
          <w:p w14:paraId="1ECD7DD6" w14:textId="3D1296A1"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4C61387C"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33,424</w:t>
            </w:r>
          </w:p>
        </w:tc>
        <w:tc>
          <w:tcPr>
            <w:tcW w:w="1026" w:type="dxa"/>
            <w:tcBorders>
              <w:top w:val="nil"/>
              <w:left w:val="nil"/>
              <w:bottom w:val="nil"/>
              <w:right w:val="nil"/>
            </w:tcBorders>
            <w:shd w:val="clear" w:color="auto" w:fill="auto"/>
            <w:noWrap/>
            <w:hideMark/>
          </w:tcPr>
          <w:p w14:paraId="48C0BA4C"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25,297</w:t>
            </w:r>
          </w:p>
        </w:tc>
        <w:tc>
          <w:tcPr>
            <w:tcW w:w="1027" w:type="dxa"/>
            <w:tcBorders>
              <w:top w:val="nil"/>
              <w:left w:val="nil"/>
              <w:bottom w:val="nil"/>
              <w:right w:val="nil"/>
            </w:tcBorders>
            <w:shd w:val="clear" w:color="auto" w:fill="auto"/>
            <w:noWrap/>
            <w:hideMark/>
          </w:tcPr>
          <w:p w14:paraId="24B7D9DE"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28,039</w:t>
            </w:r>
          </w:p>
        </w:tc>
      </w:tr>
      <w:tr w:rsidR="00B214A5" w:rsidRPr="00B214A5" w14:paraId="7C0B9326" w14:textId="77777777" w:rsidTr="00B214A5">
        <w:trPr>
          <w:trHeight w:val="235"/>
        </w:trPr>
        <w:tc>
          <w:tcPr>
            <w:tcW w:w="373" w:type="dxa"/>
            <w:tcBorders>
              <w:top w:val="nil"/>
              <w:left w:val="nil"/>
              <w:bottom w:val="nil"/>
              <w:right w:val="nil"/>
            </w:tcBorders>
            <w:shd w:val="clear" w:color="auto" w:fill="auto"/>
            <w:noWrap/>
            <w:hideMark/>
          </w:tcPr>
          <w:p w14:paraId="4456D3F8"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4.4</w:t>
            </w:r>
          </w:p>
        </w:tc>
        <w:tc>
          <w:tcPr>
            <w:tcW w:w="6118" w:type="dxa"/>
            <w:tcBorders>
              <w:top w:val="nil"/>
              <w:left w:val="nil"/>
              <w:bottom w:val="nil"/>
              <w:right w:val="nil"/>
            </w:tcBorders>
            <w:shd w:val="clear" w:color="auto" w:fill="auto"/>
            <w:hideMark/>
          </w:tcPr>
          <w:p w14:paraId="52B2925E" w14:textId="77777777" w:rsid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More innovators, creators, SMEs, universities, research institutions and communities leverage IP successfully</w:t>
            </w:r>
          </w:p>
          <w:p w14:paraId="520EAD08" w14:textId="6192AAE2" w:rsidR="00AC3759" w:rsidRPr="00AC3759" w:rsidRDefault="00AC3759" w:rsidP="00B214A5">
            <w:pPr>
              <w:spacing w:after="0" w:line="240" w:lineRule="auto"/>
              <w:rPr>
                <w:rFonts w:ascii="Arial Narrow" w:eastAsia="Times New Roman" w:hAnsi="Arial Narrow" w:cs="Arial"/>
                <w:sz w:val="8"/>
                <w:szCs w:val="8"/>
                <w:lang w:val="en-US"/>
              </w:rPr>
            </w:pPr>
          </w:p>
        </w:tc>
        <w:tc>
          <w:tcPr>
            <w:tcW w:w="1026" w:type="dxa"/>
            <w:tcBorders>
              <w:top w:val="nil"/>
              <w:left w:val="nil"/>
              <w:bottom w:val="nil"/>
              <w:right w:val="nil"/>
            </w:tcBorders>
            <w:shd w:val="clear" w:color="auto" w:fill="auto"/>
            <w:noWrap/>
            <w:hideMark/>
          </w:tcPr>
          <w:p w14:paraId="1810E0E1"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9,658</w:t>
            </w:r>
          </w:p>
        </w:tc>
        <w:tc>
          <w:tcPr>
            <w:tcW w:w="1026" w:type="dxa"/>
            <w:tcBorders>
              <w:top w:val="nil"/>
              <w:left w:val="nil"/>
              <w:bottom w:val="nil"/>
              <w:right w:val="nil"/>
            </w:tcBorders>
            <w:shd w:val="clear" w:color="auto" w:fill="auto"/>
            <w:noWrap/>
            <w:hideMark/>
          </w:tcPr>
          <w:p w14:paraId="5A8FCA77"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7,396</w:t>
            </w:r>
          </w:p>
        </w:tc>
        <w:tc>
          <w:tcPr>
            <w:tcW w:w="1027" w:type="dxa"/>
            <w:tcBorders>
              <w:top w:val="nil"/>
              <w:left w:val="nil"/>
              <w:bottom w:val="nil"/>
              <w:right w:val="nil"/>
            </w:tcBorders>
            <w:shd w:val="clear" w:color="auto" w:fill="auto"/>
            <w:noWrap/>
            <w:hideMark/>
          </w:tcPr>
          <w:p w14:paraId="59570FF2"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7,841</w:t>
            </w:r>
          </w:p>
        </w:tc>
      </w:tr>
      <w:tr w:rsidR="00B214A5" w:rsidRPr="00B214A5" w14:paraId="1EAFAEC7" w14:textId="77777777" w:rsidTr="00B214A5">
        <w:trPr>
          <w:trHeight w:val="235"/>
        </w:trPr>
        <w:tc>
          <w:tcPr>
            <w:tcW w:w="373" w:type="dxa"/>
            <w:tcBorders>
              <w:top w:val="nil"/>
              <w:left w:val="nil"/>
              <w:bottom w:val="nil"/>
              <w:right w:val="nil"/>
            </w:tcBorders>
            <w:shd w:val="clear" w:color="auto" w:fill="auto"/>
            <w:noWrap/>
            <w:hideMark/>
          </w:tcPr>
          <w:p w14:paraId="631909A5"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4.5</w:t>
            </w:r>
          </w:p>
        </w:tc>
        <w:tc>
          <w:tcPr>
            <w:tcW w:w="6118" w:type="dxa"/>
            <w:tcBorders>
              <w:top w:val="nil"/>
              <w:left w:val="nil"/>
              <w:bottom w:val="nil"/>
              <w:right w:val="nil"/>
            </w:tcBorders>
            <w:shd w:val="clear" w:color="auto" w:fill="auto"/>
            <w:hideMark/>
          </w:tcPr>
          <w:p w14:paraId="5293EE0F" w14:textId="77777777" w:rsidR="00B214A5" w:rsidRPr="00B214A5" w:rsidRDefault="00B214A5" w:rsidP="00B214A5">
            <w:pPr>
              <w:spacing w:after="0" w:line="240" w:lineRule="auto"/>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Enhanced IP infrastructure for IP Offices</w:t>
            </w:r>
          </w:p>
        </w:tc>
        <w:tc>
          <w:tcPr>
            <w:tcW w:w="1026" w:type="dxa"/>
            <w:tcBorders>
              <w:top w:val="nil"/>
              <w:left w:val="nil"/>
              <w:bottom w:val="nil"/>
              <w:right w:val="nil"/>
            </w:tcBorders>
            <w:shd w:val="clear" w:color="auto" w:fill="auto"/>
            <w:noWrap/>
            <w:hideMark/>
          </w:tcPr>
          <w:p w14:paraId="10209D9A"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1,041</w:t>
            </w:r>
          </w:p>
        </w:tc>
        <w:tc>
          <w:tcPr>
            <w:tcW w:w="1026" w:type="dxa"/>
            <w:tcBorders>
              <w:top w:val="nil"/>
              <w:left w:val="nil"/>
              <w:bottom w:val="nil"/>
              <w:right w:val="nil"/>
            </w:tcBorders>
            <w:shd w:val="clear" w:color="auto" w:fill="auto"/>
            <w:noWrap/>
            <w:hideMark/>
          </w:tcPr>
          <w:p w14:paraId="4E4AE2DA"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379</w:t>
            </w:r>
          </w:p>
        </w:tc>
        <w:tc>
          <w:tcPr>
            <w:tcW w:w="1027" w:type="dxa"/>
            <w:tcBorders>
              <w:top w:val="nil"/>
              <w:left w:val="nil"/>
              <w:bottom w:val="nil"/>
              <w:right w:val="nil"/>
            </w:tcBorders>
            <w:shd w:val="clear" w:color="auto" w:fill="auto"/>
            <w:noWrap/>
            <w:hideMark/>
          </w:tcPr>
          <w:p w14:paraId="29EDB118" w14:textId="77777777" w:rsidR="00B214A5" w:rsidRPr="00B214A5" w:rsidRDefault="00B214A5" w:rsidP="00B214A5">
            <w:pPr>
              <w:spacing w:after="0" w:line="240" w:lineRule="auto"/>
              <w:jc w:val="right"/>
              <w:rPr>
                <w:rFonts w:ascii="Arial Narrow" w:eastAsia="Times New Roman" w:hAnsi="Arial Narrow" w:cs="Arial"/>
                <w:sz w:val="16"/>
                <w:szCs w:val="16"/>
                <w:lang w:val="en-US"/>
              </w:rPr>
            </w:pPr>
            <w:r w:rsidRPr="00B214A5">
              <w:rPr>
                <w:rFonts w:ascii="Arial Narrow" w:eastAsia="Times New Roman" w:hAnsi="Arial Narrow" w:cs="Arial"/>
                <w:sz w:val="16"/>
                <w:szCs w:val="16"/>
                <w:lang w:val="en-US"/>
              </w:rPr>
              <w:t>319</w:t>
            </w:r>
          </w:p>
        </w:tc>
      </w:tr>
      <w:tr w:rsidR="00B214A5" w:rsidRPr="00B214A5" w14:paraId="3DC6AA7C" w14:textId="77777777" w:rsidTr="00B214A5">
        <w:trPr>
          <w:trHeight w:val="235"/>
        </w:trPr>
        <w:tc>
          <w:tcPr>
            <w:tcW w:w="373" w:type="dxa"/>
            <w:tcBorders>
              <w:top w:val="single" w:sz="4" w:space="0" w:color="BFBFBF"/>
              <w:left w:val="nil"/>
              <w:bottom w:val="single" w:sz="8" w:space="0" w:color="C7CFD8"/>
              <w:right w:val="nil"/>
            </w:tcBorders>
            <w:shd w:val="clear" w:color="auto" w:fill="auto"/>
            <w:noWrap/>
            <w:vAlign w:val="center"/>
            <w:hideMark/>
          </w:tcPr>
          <w:p w14:paraId="54D0BF97" w14:textId="77777777" w:rsidR="00B214A5" w:rsidRPr="00B214A5" w:rsidRDefault="00B214A5" w:rsidP="00B214A5">
            <w:pPr>
              <w:spacing w:after="0" w:line="240" w:lineRule="auto"/>
              <w:rPr>
                <w:rFonts w:ascii="Arial Narrow" w:eastAsia="Times New Roman" w:hAnsi="Arial Narrow" w:cs="Arial"/>
                <w:color w:val="005172"/>
                <w:sz w:val="16"/>
                <w:szCs w:val="16"/>
                <w:lang w:val="en-US"/>
              </w:rPr>
            </w:pPr>
            <w:r w:rsidRPr="00B214A5">
              <w:rPr>
                <w:rFonts w:ascii="Arial Narrow" w:eastAsia="Times New Roman" w:hAnsi="Arial Narrow" w:cs="Arial"/>
                <w:color w:val="005172"/>
                <w:sz w:val="16"/>
                <w:szCs w:val="16"/>
                <w:lang w:val="en-US"/>
              </w:rPr>
              <w:t> </w:t>
            </w:r>
          </w:p>
        </w:tc>
        <w:tc>
          <w:tcPr>
            <w:tcW w:w="6118" w:type="dxa"/>
            <w:tcBorders>
              <w:top w:val="single" w:sz="4" w:space="0" w:color="BFBFBF"/>
              <w:left w:val="nil"/>
              <w:bottom w:val="single" w:sz="8" w:space="0" w:color="C7CFD8"/>
              <w:right w:val="nil"/>
            </w:tcBorders>
            <w:shd w:val="clear" w:color="auto" w:fill="auto"/>
            <w:noWrap/>
            <w:vAlign w:val="center"/>
            <w:hideMark/>
          </w:tcPr>
          <w:p w14:paraId="6752DFA4" w14:textId="77777777" w:rsidR="00B214A5" w:rsidRPr="00B214A5" w:rsidRDefault="00B214A5" w:rsidP="00B214A5">
            <w:pPr>
              <w:spacing w:after="0" w:line="240" w:lineRule="auto"/>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Total</w:t>
            </w:r>
          </w:p>
        </w:tc>
        <w:tc>
          <w:tcPr>
            <w:tcW w:w="1026" w:type="dxa"/>
            <w:tcBorders>
              <w:top w:val="single" w:sz="4" w:space="0" w:color="BFBFBF"/>
              <w:left w:val="nil"/>
              <w:bottom w:val="single" w:sz="8" w:space="0" w:color="C7CFD8"/>
              <w:right w:val="nil"/>
            </w:tcBorders>
            <w:shd w:val="clear" w:color="auto" w:fill="auto"/>
            <w:noWrap/>
            <w:vAlign w:val="center"/>
            <w:hideMark/>
          </w:tcPr>
          <w:p w14:paraId="715A83F9" w14:textId="77777777" w:rsidR="00B214A5" w:rsidRPr="00B214A5" w:rsidRDefault="00B214A5" w:rsidP="00B214A5">
            <w:pPr>
              <w:spacing w:after="0" w:line="240" w:lineRule="auto"/>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80,374</w:t>
            </w:r>
          </w:p>
        </w:tc>
        <w:tc>
          <w:tcPr>
            <w:tcW w:w="1026" w:type="dxa"/>
            <w:tcBorders>
              <w:top w:val="single" w:sz="4" w:space="0" w:color="BFBFBF"/>
              <w:left w:val="nil"/>
              <w:bottom w:val="single" w:sz="8" w:space="0" w:color="C7CFD8"/>
              <w:right w:val="nil"/>
            </w:tcBorders>
            <w:shd w:val="clear" w:color="auto" w:fill="auto"/>
            <w:noWrap/>
            <w:vAlign w:val="center"/>
            <w:hideMark/>
          </w:tcPr>
          <w:p w14:paraId="3885C8CA" w14:textId="77777777" w:rsidR="00B214A5" w:rsidRPr="00B214A5" w:rsidRDefault="00B214A5" w:rsidP="00B214A5">
            <w:pPr>
              <w:spacing w:after="0" w:line="240" w:lineRule="auto"/>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69,145</w:t>
            </w:r>
          </w:p>
        </w:tc>
        <w:tc>
          <w:tcPr>
            <w:tcW w:w="1027" w:type="dxa"/>
            <w:tcBorders>
              <w:top w:val="single" w:sz="4" w:space="0" w:color="BFBFBF"/>
              <w:left w:val="nil"/>
              <w:bottom w:val="single" w:sz="8" w:space="0" w:color="C7CFD8"/>
              <w:right w:val="nil"/>
            </w:tcBorders>
            <w:shd w:val="clear" w:color="auto" w:fill="auto"/>
            <w:noWrap/>
            <w:vAlign w:val="center"/>
            <w:hideMark/>
          </w:tcPr>
          <w:p w14:paraId="7F74C56C" w14:textId="77777777" w:rsidR="00B214A5" w:rsidRPr="00B214A5" w:rsidRDefault="00B214A5" w:rsidP="00B214A5">
            <w:pPr>
              <w:spacing w:after="0" w:line="240" w:lineRule="auto"/>
              <w:jc w:val="right"/>
              <w:rPr>
                <w:rFonts w:ascii="Arial Narrow" w:eastAsia="Times New Roman" w:hAnsi="Arial Narrow" w:cs="Arial"/>
                <w:b/>
                <w:bCs/>
                <w:sz w:val="16"/>
                <w:szCs w:val="16"/>
                <w:lang w:val="en-US"/>
              </w:rPr>
            </w:pPr>
            <w:r w:rsidRPr="00B214A5">
              <w:rPr>
                <w:rFonts w:ascii="Arial Narrow" w:eastAsia="Times New Roman" w:hAnsi="Arial Narrow" w:cs="Arial"/>
                <w:b/>
                <w:bCs/>
                <w:sz w:val="16"/>
                <w:szCs w:val="16"/>
                <w:lang w:val="en-US"/>
              </w:rPr>
              <w:t>73,690</w:t>
            </w:r>
          </w:p>
        </w:tc>
      </w:tr>
    </w:tbl>
    <w:p w14:paraId="3E38C22F" w14:textId="5C52F87C" w:rsidR="00B214A5" w:rsidRDefault="00B214A5" w:rsidP="007151FA">
      <w:pPr>
        <w:rPr>
          <w:rFonts w:cs="Arial"/>
          <w:szCs w:val="18"/>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7151FA" w:rsidRPr="00034525" w14:paraId="546C49A9" w14:textId="77777777" w:rsidTr="0044491C">
        <w:trPr>
          <w:trHeight w:val="72"/>
        </w:trPr>
        <w:tc>
          <w:tcPr>
            <w:tcW w:w="9630" w:type="dxa"/>
          </w:tcPr>
          <w:p w14:paraId="5D81B792" w14:textId="120335F3" w:rsidR="007151FA" w:rsidRPr="00034525" w:rsidRDefault="007151FA" w:rsidP="00EF3B0C">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p>
        </w:tc>
      </w:tr>
      <w:tr w:rsidR="007151FA" w:rsidRPr="00034525" w14:paraId="6187C686" w14:textId="77777777" w:rsidTr="0044491C">
        <w:trPr>
          <w:trHeight w:val="80"/>
        </w:trPr>
        <w:tc>
          <w:tcPr>
            <w:tcW w:w="9630" w:type="dxa"/>
          </w:tcPr>
          <w:p w14:paraId="530E2AAB" w14:textId="239EFA71" w:rsidR="007151FA" w:rsidRPr="00034525" w:rsidRDefault="007151FA"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B207F61" w14:textId="48400D81" w:rsidR="00B214A5" w:rsidRDefault="00B214A5" w:rsidP="00792A58">
      <w:pPr>
        <w:spacing w:after="0" w:line="276" w:lineRule="auto"/>
        <w:rPr>
          <w:rFonts w:asciiTheme="minorHAnsi" w:hAnsiTheme="minorHAnsi"/>
          <w:sz w:val="22"/>
        </w:rPr>
      </w:pPr>
    </w:p>
    <w:tbl>
      <w:tblPr>
        <w:tblW w:w="9280" w:type="dxa"/>
        <w:jc w:val="center"/>
        <w:tblLook w:val="04A0" w:firstRow="1" w:lastRow="0" w:firstColumn="1" w:lastColumn="0" w:noHBand="0" w:noVBand="1"/>
      </w:tblPr>
      <w:tblGrid>
        <w:gridCol w:w="2320"/>
        <w:gridCol w:w="1120"/>
        <w:gridCol w:w="1120"/>
        <w:gridCol w:w="1120"/>
        <w:gridCol w:w="1120"/>
        <w:gridCol w:w="1120"/>
        <w:gridCol w:w="1360"/>
      </w:tblGrid>
      <w:tr w:rsidR="00B214A5" w:rsidRPr="00B214A5" w14:paraId="56E1848D" w14:textId="77777777" w:rsidTr="001A3F3C">
        <w:trPr>
          <w:divId w:val="1270746437"/>
          <w:trHeight w:val="855"/>
          <w:jc w:val="center"/>
        </w:trPr>
        <w:tc>
          <w:tcPr>
            <w:tcW w:w="2320" w:type="dxa"/>
            <w:tcBorders>
              <w:top w:val="nil"/>
              <w:left w:val="nil"/>
              <w:bottom w:val="nil"/>
              <w:right w:val="nil"/>
            </w:tcBorders>
            <w:shd w:val="clear" w:color="000000" w:fill="C7CFD8"/>
            <w:vAlign w:val="center"/>
            <w:hideMark/>
          </w:tcPr>
          <w:p w14:paraId="1030123F" w14:textId="259FB647" w:rsidR="00B214A5" w:rsidRPr="00B214A5" w:rsidRDefault="00B214A5" w:rsidP="00B214A5">
            <w:pPr>
              <w:spacing w:after="0" w:line="240" w:lineRule="auto"/>
              <w:jc w:val="center"/>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Fund-in-Trust (FIT)</w:t>
            </w:r>
          </w:p>
        </w:tc>
        <w:tc>
          <w:tcPr>
            <w:tcW w:w="1120" w:type="dxa"/>
            <w:tcBorders>
              <w:top w:val="nil"/>
              <w:left w:val="nil"/>
              <w:bottom w:val="nil"/>
              <w:right w:val="nil"/>
            </w:tcBorders>
            <w:shd w:val="clear" w:color="000000" w:fill="C7CFD8"/>
            <w:vAlign w:val="center"/>
            <w:hideMark/>
          </w:tcPr>
          <w:p w14:paraId="1F38C06C"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Balance as of December 31, 2022</w:t>
            </w:r>
          </w:p>
        </w:tc>
        <w:tc>
          <w:tcPr>
            <w:tcW w:w="1120" w:type="dxa"/>
            <w:tcBorders>
              <w:top w:val="nil"/>
              <w:left w:val="nil"/>
              <w:bottom w:val="nil"/>
              <w:right w:val="nil"/>
            </w:tcBorders>
            <w:shd w:val="clear" w:color="000000" w:fill="C7CFD8"/>
            <w:vAlign w:val="center"/>
            <w:hideMark/>
          </w:tcPr>
          <w:p w14:paraId="5F3AB84A" w14:textId="4A62950E" w:rsidR="00B214A5" w:rsidRPr="00B214A5" w:rsidRDefault="00B214A5" w:rsidP="00267EC3">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w:t>
            </w:r>
            <w:r w:rsidRPr="00B214A5">
              <w:rPr>
                <w:rFonts w:ascii="Arial Narrow" w:eastAsia="Times New Roman" w:hAnsi="Arial Narrow" w:cs="Times New Roman"/>
                <w:b/>
                <w:bCs/>
                <w:sz w:val="16"/>
                <w:szCs w:val="16"/>
                <w:lang w:val="en-US"/>
              </w:rPr>
              <w:br/>
              <w:t xml:space="preserve">2023 </w:t>
            </w:r>
          </w:p>
        </w:tc>
        <w:tc>
          <w:tcPr>
            <w:tcW w:w="1120" w:type="dxa"/>
            <w:tcBorders>
              <w:top w:val="nil"/>
              <w:left w:val="nil"/>
              <w:bottom w:val="nil"/>
              <w:right w:val="nil"/>
            </w:tcBorders>
            <w:shd w:val="clear" w:color="000000" w:fill="C7CFD8"/>
            <w:vAlign w:val="center"/>
            <w:hideMark/>
          </w:tcPr>
          <w:p w14:paraId="6ABCCC8A" w14:textId="57A89659" w:rsidR="00B214A5" w:rsidRPr="00B214A5" w:rsidRDefault="00B214A5" w:rsidP="00267EC3">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expenditure end 2023 </w:t>
            </w:r>
          </w:p>
        </w:tc>
        <w:tc>
          <w:tcPr>
            <w:tcW w:w="1120" w:type="dxa"/>
            <w:tcBorders>
              <w:top w:val="nil"/>
              <w:left w:val="nil"/>
              <w:bottom w:val="nil"/>
              <w:right w:val="nil"/>
            </w:tcBorders>
            <w:shd w:val="clear" w:color="000000" w:fill="C7CFD8"/>
            <w:vAlign w:val="center"/>
            <w:hideMark/>
          </w:tcPr>
          <w:p w14:paraId="67FFCC48"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Expected balance end 2023 </w:t>
            </w:r>
          </w:p>
        </w:tc>
        <w:tc>
          <w:tcPr>
            <w:tcW w:w="1120" w:type="dxa"/>
            <w:tcBorders>
              <w:top w:val="nil"/>
              <w:left w:val="nil"/>
              <w:bottom w:val="nil"/>
              <w:right w:val="nil"/>
            </w:tcBorders>
            <w:shd w:val="clear" w:color="000000" w:fill="C7CFD8"/>
            <w:vAlign w:val="center"/>
            <w:hideMark/>
          </w:tcPr>
          <w:p w14:paraId="5B4CD38D" w14:textId="6F3D3390" w:rsidR="00B214A5" w:rsidRPr="00B214A5" w:rsidRDefault="00B214A5" w:rsidP="00267EC3">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Estimated contributions 2024/25 </w:t>
            </w:r>
          </w:p>
        </w:tc>
        <w:tc>
          <w:tcPr>
            <w:tcW w:w="1360" w:type="dxa"/>
            <w:tcBorders>
              <w:top w:val="nil"/>
              <w:left w:val="nil"/>
              <w:bottom w:val="nil"/>
              <w:right w:val="nil"/>
            </w:tcBorders>
            <w:shd w:val="clear" w:color="000000" w:fill="C7CFD8"/>
            <w:vAlign w:val="center"/>
            <w:hideMark/>
          </w:tcPr>
          <w:p w14:paraId="2D5CA98E"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Estimated amount available for programming in 2024/25 </w:t>
            </w:r>
          </w:p>
        </w:tc>
      </w:tr>
      <w:tr w:rsidR="00B214A5" w:rsidRPr="00B214A5" w14:paraId="691ED607" w14:textId="77777777" w:rsidTr="001A3F3C">
        <w:trPr>
          <w:divId w:val="1270746437"/>
          <w:trHeight w:val="60"/>
          <w:jc w:val="center"/>
        </w:trPr>
        <w:tc>
          <w:tcPr>
            <w:tcW w:w="2320" w:type="dxa"/>
            <w:tcBorders>
              <w:top w:val="nil"/>
              <w:left w:val="nil"/>
              <w:bottom w:val="nil"/>
              <w:right w:val="nil"/>
            </w:tcBorders>
            <w:shd w:val="clear" w:color="auto" w:fill="auto"/>
            <w:vAlign w:val="center"/>
            <w:hideMark/>
          </w:tcPr>
          <w:p w14:paraId="24A6F881"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vAlign w:val="center"/>
            <w:hideMark/>
          </w:tcPr>
          <w:p w14:paraId="34983A31" w14:textId="77777777" w:rsidR="00B214A5" w:rsidRPr="00B214A5" w:rsidRDefault="00B214A5" w:rsidP="00B214A5">
            <w:pPr>
              <w:spacing w:after="0" w:line="240" w:lineRule="auto"/>
              <w:jc w:val="center"/>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4EFD2EA9"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1F3E076"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3F6EB40"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12ABF508"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vAlign w:val="center"/>
            <w:hideMark/>
          </w:tcPr>
          <w:p w14:paraId="69E3F444" w14:textId="77777777" w:rsidR="00B214A5" w:rsidRPr="00B214A5" w:rsidRDefault="00B214A5" w:rsidP="00B214A5">
            <w:pPr>
              <w:spacing w:after="0" w:line="240" w:lineRule="auto"/>
              <w:jc w:val="right"/>
              <w:rPr>
                <w:rFonts w:ascii="Times New Roman" w:eastAsia="Times New Roman" w:hAnsi="Times New Roman" w:cs="Times New Roman"/>
                <w:sz w:val="20"/>
                <w:szCs w:val="20"/>
                <w:lang w:val="en-US"/>
              </w:rPr>
            </w:pPr>
          </w:p>
        </w:tc>
      </w:tr>
      <w:tr w:rsidR="00B214A5" w:rsidRPr="00B214A5" w14:paraId="1ECCB8AB" w14:textId="77777777" w:rsidTr="001A3F3C">
        <w:trPr>
          <w:divId w:val="1270746437"/>
          <w:trHeight w:val="285"/>
          <w:jc w:val="center"/>
        </w:trPr>
        <w:tc>
          <w:tcPr>
            <w:tcW w:w="2320" w:type="dxa"/>
            <w:tcBorders>
              <w:top w:val="nil"/>
              <w:left w:val="nil"/>
              <w:bottom w:val="nil"/>
              <w:right w:val="nil"/>
            </w:tcBorders>
            <w:shd w:val="clear" w:color="000000" w:fill="FFFFFF"/>
            <w:hideMark/>
          </w:tcPr>
          <w:p w14:paraId="5F05B803"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France (Industrial Property)</w:t>
            </w:r>
          </w:p>
        </w:tc>
        <w:tc>
          <w:tcPr>
            <w:tcW w:w="1120" w:type="dxa"/>
            <w:tcBorders>
              <w:top w:val="nil"/>
              <w:left w:val="nil"/>
              <w:bottom w:val="nil"/>
              <w:right w:val="nil"/>
            </w:tcBorders>
            <w:shd w:val="clear" w:color="000000" w:fill="FFFFFF"/>
            <w:noWrap/>
            <w:hideMark/>
          </w:tcPr>
          <w:p w14:paraId="79713363"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1,045</w:t>
            </w:r>
          </w:p>
        </w:tc>
        <w:tc>
          <w:tcPr>
            <w:tcW w:w="1120" w:type="dxa"/>
            <w:tcBorders>
              <w:top w:val="nil"/>
              <w:left w:val="nil"/>
              <w:bottom w:val="nil"/>
              <w:right w:val="nil"/>
            </w:tcBorders>
            <w:shd w:val="clear" w:color="000000" w:fill="FFFFFF"/>
            <w:noWrap/>
            <w:hideMark/>
          </w:tcPr>
          <w:p w14:paraId="06CD572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300</w:t>
            </w:r>
          </w:p>
        </w:tc>
        <w:tc>
          <w:tcPr>
            <w:tcW w:w="1120" w:type="dxa"/>
            <w:tcBorders>
              <w:top w:val="nil"/>
              <w:left w:val="nil"/>
              <w:bottom w:val="nil"/>
              <w:right w:val="nil"/>
            </w:tcBorders>
            <w:shd w:val="clear" w:color="000000" w:fill="FFFFFF"/>
            <w:noWrap/>
            <w:hideMark/>
          </w:tcPr>
          <w:p w14:paraId="0E9616B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248</w:t>
            </w:r>
          </w:p>
        </w:tc>
        <w:tc>
          <w:tcPr>
            <w:tcW w:w="1120" w:type="dxa"/>
            <w:tcBorders>
              <w:top w:val="nil"/>
              <w:left w:val="nil"/>
              <w:bottom w:val="nil"/>
              <w:right w:val="nil"/>
            </w:tcBorders>
            <w:shd w:val="clear" w:color="000000" w:fill="FFFFFF"/>
            <w:noWrap/>
            <w:hideMark/>
          </w:tcPr>
          <w:p w14:paraId="2EF23B4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1,097</w:t>
            </w:r>
          </w:p>
        </w:tc>
        <w:tc>
          <w:tcPr>
            <w:tcW w:w="1120" w:type="dxa"/>
            <w:tcBorders>
              <w:top w:val="nil"/>
              <w:left w:val="nil"/>
              <w:bottom w:val="nil"/>
              <w:right w:val="nil"/>
            </w:tcBorders>
            <w:shd w:val="clear" w:color="000000" w:fill="FFFFFF"/>
            <w:noWrap/>
            <w:hideMark/>
          </w:tcPr>
          <w:p w14:paraId="1DD7FF1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600</w:t>
            </w:r>
          </w:p>
        </w:tc>
        <w:tc>
          <w:tcPr>
            <w:tcW w:w="1360" w:type="dxa"/>
            <w:tcBorders>
              <w:top w:val="nil"/>
              <w:left w:val="nil"/>
              <w:bottom w:val="nil"/>
              <w:right w:val="nil"/>
            </w:tcBorders>
            <w:shd w:val="clear" w:color="000000" w:fill="FFFFFF"/>
            <w:noWrap/>
            <w:hideMark/>
          </w:tcPr>
          <w:p w14:paraId="0262AE7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1,697</w:t>
            </w:r>
          </w:p>
        </w:tc>
      </w:tr>
      <w:tr w:rsidR="00B214A5" w:rsidRPr="00B214A5" w14:paraId="0178693C" w14:textId="77777777" w:rsidTr="001A3F3C">
        <w:trPr>
          <w:divId w:val="1270746437"/>
          <w:trHeight w:val="285"/>
          <w:jc w:val="center"/>
        </w:trPr>
        <w:tc>
          <w:tcPr>
            <w:tcW w:w="2320" w:type="dxa"/>
            <w:tcBorders>
              <w:top w:val="nil"/>
              <w:left w:val="nil"/>
              <w:bottom w:val="nil"/>
              <w:right w:val="nil"/>
            </w:tcBorders>
            <w:shd w:val="clear" w:color="000000" w:fill="FFFFFF"/>
            <w:hideMark/>
          </w:tcPr>
          <w:p w14:paraId="2ED54800"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France (Lisbon)</w:t>
            </w:r>
          </w:p>
        </w:tc>
        <w:tc>
          <w:tcPr>
            <w:tcW w:w="1120" w:type="dxa"/>
            <w:tcBorders>
              <w:top w:val="nil"/>
              <w:left w:val="nil"/>
              <w:bottom w:val="nil"/>
              <w:right w:val="nil"/>
            </w:tcBorders>
            <w:shd w:val="clear" w:color="000000" w:fill="FFFFFF"/>
            <w:noWrap/>
            <w:hideMark/>
          </w:tcPr>
          <w:p w14:paraId="4737E43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97</w:t>
            </w:r>
          </w:p>
        </w:tc>
        <w:tc>
          <w:tcPr>
            <w:tcW w:w="1120" w:type="dxa"/>
            <w:tcBorders>
              <w:top w:val="nil"/>
              <w:left w:val="nil"/>
              <w:bottom w:val="nil"/>
              <w:right w:val="nil"/>
            </w:tcBorders>
            <w:shd w:val="clear" w:color="000000" w:fill="FFFFFF"/>
            <w:noWrap/>
            <w:hideMark/>
          </w:tcPr>
          <w:p w14:paraId="463BF9D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05ED56E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97</w:t>
            </w:r>
          </w:p>
        </w:tc>
        <w:tc>
          <w:tcPr>
            <w:tcW w:w="1120" w:type="dxa"/>
            <w:tcBorders>
              <w:top w:val="nil"/>
              <w:left w:val="nil"/>
              <w:bottom w:val="nil"/>
              <w:right w:val="nil"/>
            </w:tcBorders>
            <w:shd w:val="clear" w:color="000000" w:fill="FFFFFF"/>
            <w:noWrap/>
            <w:hideMark/>
          </w:tcPr>
          <w:p w14:paraId="7D2A7CB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61FF017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360" w:type="dxa"/>
            <w:tcBorders>
              <w:top w:val="nil"/>
              <w:left w:val="nil"/>
              <w:bottom w:val="nil"/>
              <w:right w:val="nil"/>
            </w:tcBorders>
            <w:shd w:val="clear" w:color="000000" w:fill="FFFFFF"/>
            <w:noWrap/>
            <w:hideMark/>
          </w:tcPr>
          <w:p w14:paraId="0EE8510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r>
      <w:tr w:rsidR="00B214A5" w:rsidRPr="00B214A5" w14:paraId="14CB9A50" w14:textId="77777777" w:rsidTr="001A3F3C">
        <w:trPr>
          <w:divId w:val="1270746437"/>
          <w:trHeight w:val="285"/>
          <w:jc w:val="center"/>
        </w:trPr>
        <w:tc>
          <w:tcPr>
            <w:tcW w:w="2320" w:type="dxa"/>
            <w:tcBorders>
              <w:top w:val="nil"/>
              <w:left w:val="nil"/>
              <w:bottom w:val="nil"/>
              <w:right w:val="nil"/>
            </w:tcBorders>
            <w:shd w:val="clear" w:color="000000" w:fill="FFFFFF"/>
            <w:hideMark/>
          </w:tcPr>
          <w:p w14:paraId="0369DC6C"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Mexico</w:t>
            </w:r>
          </w:p>
        </w:tc>
        <w:tc>
          <w:tcPr>
            <w:tcW w:w="1120" w:type="dxa"/>
            <w:tcBorders>
              <w:top w:val="nil"/>
              <w:left w:val="nil"/>
              <w:bottom w:val="nil"/>
              <w:right w:val="nil"/>
            </w:tcBorders>
            <w:shd w:val="clear" w:color="000000" w:fill="FFFFFF"/>
            <w:noWrap/>
            <w:hideMark/>
          </w:tcPr>
          <w:p w14:paraId="0F39C28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123</w:t>
            </w:r>
          </w:p>
        </w:tc>
        <w:tc>
          <w:tcPr>
            <w:tcW w:w="1120" w:type="dxa"/>
            <w:tcBorders>
              <w:top w:val="nil"/>
              <w:left w:val="nil"/>
              <w:bottom w:val="nil"/>
              <w:right w:val="nil"/>
            </w:tcBorders>
            <w:shd w:val="clear" w:color="000000" w:fill="FFFFFF"/>
            <w:noWrap/>
            <w:hideMark/>
          </w:tcPr>
          <w:p w14:paraId="35E76E5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0A81D9C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10</w:t>
            </w:r>
          </w:p>
        </w:tc>
        <w:tc>
          <w:tcPr>
            <w:tcW w:w="1120" w:type="dxa"/>
            <w:tcBorders>
              <w:top w:val="nil"/>
              <w:left w:val="nil"/>
              <w:bottom w:val="nil"/>
              <w:right w:val="nil"/>
            </w:tcBorders>
            <w:shd w:val="clear" w:color="000000" w:fill="FFFFFF"/>
            <w:noWrap/>
            <w:hideMark/>
          </w:tcPr>
          <w:p w14:paraId="328BA9B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113</w:t>
            </w:r>
          </w:p>
        </w:tc>
        <w:tc>
          <w:tcPr>
            <w:tcW w:w="1120" w:type="dxa"/>
            <w:tcBorders>
              <w:top w:val="nil"/>
              <w:left w:val="nil"/>
              <w:bottom w:val="nil"/>
              <w:right w:val="nil"/>
            </w:tcBorders>
            <w:shd w:val="clear" w:color="000000" w:fill="FFFFFF"/>
            <w:noWrap/>
            <w:hideMark/>
          </w:tcPr>
          <w:p w14:paraId="32FA9AD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360" w:type="dxa"/>
            <w:tcBorders>
              <w:top w:val="nil"/>
              <w:left w:val="nil"/>
              <w:bottom w:val="nil"/>
              <w:right w:val="nil"/>
            </w:tcBorders>
            <w:shd w:val="clear" w:color="000000" w:fill="FFFFFF"/>
            <w:noWrap/>
            <w:hideMark/>
          </w:tcPr>
          <w:p w14:paraId="5312D6E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113</w:t>
            </w:r>
          </w:p>
        </w:tc>
      </w:tr>
      <w:tr w:rsidR="00B214A5" w:rsidRPr="00B214A5" w14:paraId="5CA1E81E" w14:textId="77777777" w:rsidTr="001A3F3C">
        <w:trPr>
          <w:divId w:val="1270746437"/>
          <w:trHeight w:val="300"/>
          <w:jc w:val="center"/>
        </w:trPr>
        <w:tc>
          <w:tcPr>
            <w:tcW w:w="2320" w:type="dxa"/>
            <w:tcBorders>
              <w:top w:val="nil"/>
              <w:left w:val="nil"/>
              <w:bottom w:val="nil"/>
              <w:right w:val="nil"/>
            </w:tcBorders>
            <w:shd w:val="clear" w:color="000000" w:fill="FFFFFF"/>
            <w:hideMark/>
          </w:tcPr>
          <w:p w14:paraId="2A551378" w14:textId="77777777" w:rsid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Republic of Korea (Industrial Property)</w:t>
            </w:r>
          </w:p>
          <w:p w14:paraId="61EBB797" w14:textId="4A0E86C5" w:rsidR="00AC3759" w:rsidRPr="00AC3759" w:rsidRDefault="00AC3759" w:rsidP="00B214A5">
            <w:pPr>
              <w:spacing w:after="0" w:line="240" w:lineRule="auto"/>
              <w:rPr>
                <w:rFonts w:ascii="Arial Narrow" w:eastAsia="Times New Roman" w:hAnsi="Arial Narrow" w:cs="Times New Roman"/>
                <w:sz w:val="8"/>
                <w:szCs w:val="8"/>
                <w:lang w:val="en-US"/>
              </w:rPr>
            </w:pPr>
          </w:p>
        </w:tc>
        <w:tc>
          <w:tcPr>
            <w:tcW w:w="1120" w:type="dxa"/>
            <w:tcBorders>
              <w:top w:val="nil"/>
              <w:left w:val="nil"/>
              <w:bottom w:val="nil"/>
              <w:right w:val="nil"/>
            </w:tcBorders>
            <w:shd w:val="clear" w:color="000000" w:fill="FFFFFF"/>
            <w:noWrap/>
            <w:hideMark/>
          </w:tcPr>
          <w:p w14:paraId="2AEF1577"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581</w:t>
            </w:r>
          </w:p>
        </w:tc>
        <w:tc>
          <w:tcPr>
            <w:tcW w:w="1120" w:type="dxa"/>
            <w:tcBorders>
              <w:top w:val="nil"/>
              <w:left w:val="nil"/>
              <w:bottom w:val="nil"/>
              <w:right w:val="nil"/>
            </w:tcBorders>
            <w:shd w:val="clear" w:color="000000" w:fill="FFFFFF"/>
            <w:noWrap/>
            <w:hideMark/>
          </w:tcPr>
          <w:p w14:paraId="3117488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260</w:t>
            </w:r>
          </w:p>
        </w:tc>
        <w:tc>
          <w:tcPr>
            <w:tcW w:w="1120" w:type="dxa"/>
            <w:tcBorders>
              <w:top w:val="nil"/>
              <w:left w:val="nil"/>
              <w:bottom w:val="nil"/>
              <w:right w:val="nil"/>
            </w:tcBorders>
            <w:shd w:val="clear" w:color="000000" w:fill="FFFFFF"/>
            <w:noWrap/>
            <w:hideMark/>
          </w:tcPr>
          <w:p w14:paraId="65454145"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212</w:t>
            </w:r>
          </w:p>
        </w:tc>
        <w:tc>
          <w:tcPr>
            <w:tcW w:w="1120" w:type="dxa"/>
            <w:tcBorders>
              <w:top w:val="nil"/>
              <w:left w:val="nil"/>
              <w:bottom w:val="nil"/>
              <w:right w:val="nil"/>
            </w:tcBorders>
            <w:shd w:val="clear" w:color="000000" w:fill="FFFFFF"/>
            <w:noWrap/>
            <w:hideMark/>
          </w:tcPr>
          <w:p w14:paraId="2CE5EE0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629</w:t>
            </w:r>
          </w:p>
        </w:tc>
        <w:tc>
          <w:tcPr>
            <w:tcW w:w="1120" w:type="dxa"/>
            <w:tcBorders>
              <w:top w:val="nil"/>
              <w:left w:val="nil"/>
              <w:bottom w:val="nil"/>
              <w:right w:val="nil"/>
            </w:tcBorders>
            <w:shd w:val="clear" w:color="000000" w:fill="FFFFFF"/>
            <w:noWrap/>
            <w:hideMark/>
          </w:tcPr>
          <w:p w14:paraId="0BEA377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520</w:t>
            </w:r>
          </w:p>
        </w:tc>
        <w:tc>
          <w:tcPr>
            <w:tcW w:w="1360" w:type="dxa"/>
            <w:tcBorders>
              <w:top w:val="nil"/>
              <w:left w:val="nil"/>
              <w:bottom w:val="nil"/>
              <w:right w:val="nil"/>
            </w:tcBorders>
            <w:shd w:val="clear" w:color="000000" w:fill="FFFFFF"/>
            <w:noWrap/>
            <w:hideMark/>
          </w:tcPr>
          <w:p w14:paraId="335EF32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1,150</w:t>
            </w:r>
          </w:p>
        </w:tc>
      </w:tr>
      <w:tr w:rsidR="00B214A5" w:rsidRPr="00B214A5" w14:paraId="68B7D2FD" w14:textId="77777777" w:rsidTr="001A3F3C">
        <w:trPr>
          <w:divId w:val="1270746437"/>
          <w:trHeight w:val="285"/>
          <w:jc w:val="center"/>
        </w:trPr>
        <w:tc>
          <w:tcPr>
            <w:tcW w:w="2320" w:type="dxa"/>
            <w:tcBorders>
              <w:top w:val="nil"/>
              <w:left w:val="nil"/>
              <w:bottom w:val="nil"/>
              <w:right w:val="nil"/>
            </w:tcBorders>
            <w:shd w:val="clear" w:color="000000" w:fill="FFFFFF"/>
            <w:hideMark/>
          </w:tcPr>
          <w:p w14:paraId="4A52AA67"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Republic of Korea (IP Education)</w:t>
            </w:r>
          </w:p>
        </w:tc>
        <w:tc>
          <w:tcPr>
            <w:tcW w:w="1120" w:type="dxa"/>
            <w:tcBorders>
              <w:top w:val="nil"/>
              <w:left w:val="nil"/>
              <w:bottom w:val="nil"/>
              <w:right w:val="nil"/>
            </w:tcBorders>
            <w:shd w:val="clear" w:color="000000" w:fill="FFFFFF"/>
            <w:noWrap/>
            <w:hideMark/>
          </w:tcPr>
          <w:p w14:paraId="606013A6"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815</w:t>
            </w:r>
          </w:p>
        </w:tc>
        <w:tc>
          <w:tcPr>
            <w:tcW w:w="1120" w:type="dxa"/>
            <w:tcBorders>
              <w:top w:val="nil"/>
              <w:left w:val="nil"/>
              <w:bottom w:val="nil"/>
              <w:right w:val="nil"/>
            </w:tcBorders>
            <w:shd w:val="clear" w:color="000000" w:fill="FFFFFF"/>
            <w:noWrap/>
            <w:hideMark/>
          </w:tcPr>
          <w:p w14:paraId="60DEA62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316</w:t>
            </w:r>
          </w:p>
        </w:tc>
        <w:tc>
          <w:tcPr>
            <w:tcW w:w="1120" w:type="dxa"/>
            <w:tcBorders>
              <w:top w:val="nil"/>
              <w:left w:val="nil"/>
              <w:bottom w:val="nil"/>
              <w:right w:val="nil"/>
            </w:tcBorders>
            <w:shd w:val="clear" w:color="000000" w:fill="FFFFFF"/>
            <w:noWrap/>
            <w:hideMark/>
          </w:tcPr>
          <w:p w14:paraId="5899717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277</w:t>
            </w:r>
          </w:p>
        </w:tc>
        <w:tc>
          <w:tcPr>
            <w:tcW w:w="1120" w:type="dxa"/>
            <w:tcBorders>
              <w:top w:val="nil"/>
              <w:left w:val="nil"/>
              <w:bottom w:val="nil"/>
              <w:right w:val="nil"/>
            </w:tcBorders>
            <w:shd w:val="clear" w:color="000000" w:fill="FFFFFF"/>
            <w:noWrap/>
            <w:hideMark/>
          </w:tcPr>
          <w:p w14:paraId="11A21A9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854</w:t>
            </w:r>
          </w:p>
        </w:tc>
        <w:tc>
          <w:tcPr>
            <w:tcW w:w="1120" w:type="dxa"/>
            <w:tcBorders>
              <w:top w:val="nil"/>
              <w:left w:val="nil"/>
              <w:bottom w:val="nil"/>
              <w:right w:val="nil"/>
            </w:tcBorders>
            <w:shd w:val="clear" w:color="000000" w:fill="FFFFFF"/>
            <w:noWrap/>
            <w:hideMark/>
          </w:tcPr>
          <w:p w14:paraId="12E346E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633</w:t>
            </w:r>
          </w:p>
        </w:tc>
        <w:tc>
          <w:tcPr>
            <w:tcW w:w="1360" w:type="dxa"/>
            <w:tcBorders>
              <w:top w:val="nil"/>
              <w:left w:val="nil"/>
              <w:bottom w:val="nil"/>
              <w:right w:val="nil"/>
            </w:tcBorders>
            <w:shd w:val="clear" w:color="000000" w:fill="FFFFFF"/>
            <w:noWrap/>
            <w:hideMark/>
          </w:tcPr>
          <w:p w14:paraId="34241EA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1,486</w:t>
            </w:r>
          </w:p>
        </w:tc>
      </w:tr>
      <w:tr w:rsidR="00B214A5" w:rsidRPr="00B214A5" w14:paraId="6FF83425" w14:textId="77777777" w:rsidTr="001A3F3C">
        <w:trPr>
          <w:divId w:val="1270746437"/>
          <w:trHeight w:val="285"/>
          <w:jc w:val="center"/>
        </w:trPr>
        <w:tc>
          <w:tcPr>
            <w:tcW w:w="2320" w:type="dxa"/>
            <w:tcBorders>
              <w:top w:val="nil"/>
              <w:left w:val="nil"/>
              <w:bottom w:val="nil"/>
              <w:right w:val="nil"/>
            </w:tcBorders>
            <w:shd w:val="clear" w:color="000000" w:fill="FFFFFF"/>
            <w:noWrap/>
            <w:hideMark/>
          </w:tcPr>
          <w:p w14:paraId="6F261F34"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Uruguay</w:t>
            </w:r>
          </w:p>
        </w:tc>
        <w:tc>
          <w:tcPr>
            <w:tcW w:w="1120" w:type="dxa"/>
            <w:tcBorders>
              <w:top w:val="nil"/>
              <w:left w:val="nil"/>
              <w:bottom w:val="nil"/>
              <w:right w:val="nil"/>
            </w:tcBorders>
            <w:shd w:val="clear" w:color="000000" w:fill="FFFFFF"/>
            <w:noWrap/>
            <w:hideMark/>
          </w:tcPr>
          <w:p w14:paraId="2488124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45</w:t>
            </w:r>
          </w:p>
        </w:tc>
        <w:tc>
          <w:tcPr>
            <w:tcW w:w="1120" w:type="dxa"/>
            <w:tcBorders>
              <w:top w:val="nil"/>
              <w:left w:val="nil"/>
              <w:bottom w:val="nil"/>
              <w:right w:val="nil"/>
            </w:tcBorders>
            <w:shd w:val="clear" w:color="000000" w:fill="FFFFFF"/>
            <w:noWrap/>
            <w:hideMark/>
          </w:tcPr>
          <w:p w14:paraId="1332793A"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12615F78"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25</w:t>
            </w:r>
          </w:p>
        </w:tc>
        <w:tc>
          <w:tcPr>
            <w:tcW w:w="1120" w:type="dxa"/>
            <w:tcBorders>
              <w:top w:val="nil"/>
              <w:left w:val="nil"/>
              <w:bottom w:val="nil"/>
              <w:right w:val="nil"/>
            </w:tcBorders>
            <w:shd w:val="clear" w:color="000000" w:fill="FFFFFF"/>
            <w:noWrap/>
            <w:hideMark/>
          </w:tcPr>
          <w:p w14:paraId="3C983751"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w:t>
            </w:r>
          </w:p>
        </w:tc>
        <w:tc>
          <w:tcPr>
            <w:tcW w:w="1120" w:type="dxa"/>
            <w:tcBorders>
              <w:top w:val="nil"/>
              <w:left w:val="nil"/>
              <w:bottom w:val="nil"/>
              <w:right w:val="nil"/>
            </w:tcBorders>
            <w:shd w:val="clear" w:color="000000" w:fill="FFFFFF"/>
            <w:noWrap/>
            <w:hideMark/>
          </w:tcPr>
          <w:p w14:paraId="368EE529"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360" w:type="dxa"/>
            <w:tcBorders>
              <w:top w:val="nil"/>
              <w:left w:val="nil"/>
              <w:bottom w:val="nil"/>
              <w:right w:val="nil"/>
            </w:tcBorders>
            <w:shd w:val="clear" w:color="000000" w:fill="FFFFFF"/>
            <w:noWrap/>
            <w:hideMark/>
          </w:tcPr>
          <w:p w14:paraId="22FA1B5B"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20</w:t>
            </w:r>
          </w:p>
        </w:tc>
      </w:tr>
      <w:tr w:rsidR="00B214A5" w:rsidRPr="00B214A5" w14:paraId="663EC250" w14:textId="77777777" w:rsidTr="001A3F3C">
        <w:trPr>
          <w:divId w:val="1270746437"/>
          <w:trHeight w:val="285"/>
          <w:jc w:val="center"/>
        </w:trPr>
        <w:tc>
          <w:tcPr>
            <w:tcW w:w="2320" w:type="dxa"/>
            <w:tcBorders>
              <w:top w:val="nil"/>
              <w:left w:val="nil"/>
              <w:bottom w:val="nil"/>
              <w:right w:val="nil"/>
            </w:tcBorders>
            <w:shd w:val="clear" w:color="000000" w:fill="FFFFFF"/>
            <w:noWrap/>
            <w:hideMark/>
          </w:tcPr>
          <w:p w14:paraId="1FF5513A" w14:textId="77777777" w:rsidR="00B214A5" w:rsidRPr="00B214A5" w:rsidRDefault="00B214A5" w:rsidP="00B214A5">
            <w:pPr>
              <w:spacing w:after="0" w:line="240" w:lineRule="auto"/>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The United Arab Emirates</w:t>
            </w:r>
          </w:p>
        </w:tc>
        <w:tc>
          <w:tcPr>
            <w:tcW w:w="1120" w:type="dxa"/>
            <w:tcBorders>
              <w:top w:val="nil"/>
              <w:left w:val="nil"/>
              <w:bottom w:val="nil"/>
              <w:right w:val="nil"/>
            </w:tcBorders>
            <w:shd w:val="clear" w:color="000000" w:fill="FFFFFF"/>
            <w:noWrap/>
            <w:hideMark/>
          </w:tcPr>
          <w:p w14:paraId="2139D332"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c>
          <w:tcPr>
            <w:tcW w:w="1120" w:type="dxa"/>
            <w:tcBorders>
              <w:top w:val="nil"/>
              <w:left w:val="nil"/>
              <w:bottom w:val="nil"/>
              <w:right w:val="nil"/>
            </w:tcBorders>
            <w:shd w:val="clear" w:color="000000" w:fill="FFFFFF"/>
            <w:noWrap/>
            <w:hideMark/>
          </w:tcPr>
          <w:p w14:paraId="4267F6B0"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296F8964"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120" w:type="dxa"/>
            <w:tcBorders>
              <w:top w:val="nil"/>
              <w:left w:val="nil"/>
              <w:bottom w:val="nil"/>
              <w:right w:val="nil"/>
            </w:tcBorders>
            <w:shd w:val="clear" w:color="000000" w:fill="FFFFFF"/>
            <w:noWrap/>
            <w:hideMark/>
          </w:tcPr>
          <w:p w14:paraId="36F697CC"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c>
          <w:tcPr>
            <w:tcW w:w="1120" w:type="dxa"/>
            <w:tcBorders>
              <w:top w:val="nil"/>
              <w:left w:val="nil"/>
              <w:bottom w:val="nil"/>
              <w:right w:val="nil"/>
            </w:tcBorders>
            <w:shd w:val="clear" w:color="000000" w:fill="FFFFFF"/>
            <w:noWrap/>
            <w:hideMark/>
          </w:tcPr>
          <w:p w14:paraId="2D2A381D"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w:t>
            </w:r>
          </w:p>
        </w:tc>
        <w:tc>
          <w:tcPr>
            <w:tcW w:w="1360" w:type="dxa"/>
            <w:tcBorders>
              <w:top w:val="nil"/>
              <w:left w:val="nil"/>
              <w:bottom w:val="nil"/>
              <w:right w:val="nil"/>
            </w:tcBorders>
            <w:shd w:val="clear" w:color="000000" w:fill="FFFFFF"/>
            <w:noWrap/>
            <w:hideMark/>
          </w:tcPr>
          <w:p w14:paraId="47B7838E" w14:textId="77777777" w:rsidR="00B214A5" w:rsidRPr="00B214A5" w:rsidRDefault="00B214A5" w:rsidP="00B214A5">
            <w:pPr>
              <w:spacing w:after="0" w:line="240" w:lineRule="auto"/>
              <w:jc w:val="right"/>
              <w:rPr>
                <w:rFonts w:ascii="Arial Narrow" w:eastAsia="Times New Roman" w:hAnsi="Arial Narrow" w:cs="Times New Roman"/>
                <w:sz w:val="16"/>
                <w:szCs w:val="16"/>
                <w:lang w:val="en-US"/>
              </w:rPr>
            </w:pPr>
            <w:r w:rsidRPr="00B214A5">
              <w:rPr>
                <w:rFonts w:ascii="Arial Narrow" w:eastAsia="Times New Roman" w:hAnsi="Arial Narrow" w:cs="Times New Roman"/>
                <w:sz w:val="16"/>
                <w:szCs w:val="16"/>
                <w:lang w:val="en-US"/>
              </w:rPr>
              <w:t>46</w:t>
            </w:r>
          </w:p>
        </w:tc>
      </w:tr>
      <w:tr w:rsidR="00B214A5" w:rsidRPr="00B214A5" w14:paraId="7C686489" w14:textId="77777777" w:rsidTr="001A3F3C">
        <w:trPr>
          <w:divId w:val="1270746437"/>
          <w:trHeight w:val="285"/>
          <w:jc w:val="center"/>
        </w:trPr>
        <w:tc>
          <w:tcPr>
            <w:tcW w:w="2320" w:type="dxa"/>
            <w:tcBorders>
              <w:top w:val="single" w:sz="4" w:space="0" w:color="BFBFBF"/>
              <w:left w:val="nil"/>
              <w:bottom w:val="single" w:sz="4" w:space="0" w:color="BFBFBF"/>
              <w:right w:val="nil"/>
            </w:tcBorders>
            <w:shd w:val="clear" w:color="000000" w:fill="FFFFFF"/>
            <w:vAlign w:val="center"/>
            <w:hideMark/>
          </w:tcPr>
          <w:p w14:paraId="10B16E34" w14:textId="77777777" w:rsidR="00B214A5" w:rsidRPr="00B214A5" w:rsidRDefault="00B214A5" w:rsidP="00B214A5">
            <w:pPr>
              <w:spacing w:after="0" w:line="240" w:lineRule="auto"/>
              <w:ind w:firstLineChars="200" w:firstLine="320"/>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 xml:space="preserve"> Total</w:t>
            </w:r>
          </w:p>
        </w:tc>
        <w:tc>
          <w:tcPr>
            <w:tcW w:w="1120" w:type="dxa"/>
            <w:tcBorders>
              <w:top w:val="single" w:sz="4" w:space="0" w:color="BFBFBF"/>
              <w:left w:val="nil"/>
              <w:bottom w:val="single" w:sz="4" w:space="0" w:color="BFBFBF"/>
              <w:right w:val="nil"/>
            </w:tcBorders>
            <w:shd w:val="clear" w:color="000000" w:fill="FFFFFF"/>
            <w:vAlign w:val="center"/>
            <w:hideMark/>
          </w:tcPr>
          <w:p w14:paraId="01DD6D07"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2,751</w:t>
            </w:r>
          </w:p>
        </w:tc>
        <w:tc>
          <w:tcPr>
            <w:tcW w:w="1120" w:type="dxa"/>
            <w:tcBorders>
              <w:top w:val="single" w:sz="4" w:space="0" w:color="BFBFBF"/>
              <w:left w:val="nil"/>
              <w:bottom w:val="single" w:sz="4" w:space="0" w:color="BFBFBF"/>
              <w:right w:val="nil"/>
            </w:tcBorders>
            <w:shd w:val="clear" w:color="000000" w:fill="FFFFFF"/>
            <w:vAlign w:val="center"/>
            <w:hideMark/>
          </w:tcPr>
          <w:p w14:paraId="26AC587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876</w:t>
            </w:r>
          </w:p>
        </w:tc>
        <w:tc>
          <w:tcPr>
            <w:tcW w:w="1120" w:type="dxa"/>
            <w:tcBorders>
              <w:top w:val="single" w:sz="4" w:space="0" w:color="BFBFBF"/>
              <w:left w:val="nil"/>
              <w:bottom w:val="single" w:sz="4" w:space="0" w:color="BFBFBF"/>
              <w:right w:val="nil"/>
            </w:tcBorders>
            <w:shd w:val="clear" w:color="000000" w:fill="FFFFFF"/>
            <w:vAlign w:val="center"/>
            <w:hideMark/>
          </w:tcPr>
          <w:p w14:paraId="3CCBC765"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869</w:t>
            </w:r>
          </w:p>
        </w:tc>
        <w:tc>
          <w:tcPr>
            <w:tcW w:w="1120" w:type="dxa"/>
            <w:tcBorders>
              <w:top w:val="single" w:sz="4" w:space="0" w:color="BFBFBF"/>
              <w:left w:val="nil"/>
              <w:bottom w:val="single" w:sz="4" w:space="0" w:color="BFBFBF"/>
              <w:right w:val="nil"/>
            </w:tcBorders>
            <w:shd w:val="clear" w:color="000000" w:fill="FFFFFF"/>
            <w:vAlign w:val="center"/>
            <w:hideMark/>
          </w:tcPr>
          <w:p w14:paraId="70AD5491"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2,759</w:t>
            </w:r>
          </w:p>
        </w:tc>
        <w:tc>
          <w:tcPr>
            <w:tcW w:w="1120" w:type="dxa"/>
            <w:tcBorders>
              <w:top w:val="single" w:sz="4" w:space="0" w:color="BFBFBF"/>
              <w:left w:val="nil"/>
              <w:bottom w:val="single" w:sz="4" w:space="0" w:color="BFBFBF"/>
              <w:right w:val="nil"/>
            </w:tcBorders>
            <w:shd w:val="clear" w:color="000000" w:fill="FFFFFF"/>
            <w:vAlign w:val="center"/>
            <w:hideMark/>
          </w:tcPr>
          <w:p w14:paraId="44922793"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1,753</w:t>
            </w:r>
          </w:p>
        </w:tc>
        <w:tc>
          <w:tcPr>
            <w:tcW w:w="1360" w:type="dxa"/>
            <w:tcBorders>
              <w:top w:val="single" w:sz="4" w:space="0" w:color="BFBFBF"/>
              <w:left w:val="nil"/>
              <w:bottom w:val="single" w:sz="4" w:space="0" w:color="BFBFBF"/>
              <w:right w:val="nil"/>
            </w:tcBorders>
            <w:shd w:val="clear" w:color="000000" w:fill="FFFFFF"/>
            <w:vAlign w:val="center"/>
            <w:hideMark/>
          </w:tcPr>
          <w:p w14:paraId="360517A2"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r w:rsidRPr="00B214A5">
              <w:rPr>
                <w:rFonts w:ascii="Arial Narrow" w:eastAsia="Times New Roman" w:hAnsi="Arial Narrow" w:cs="Times New Roman"/>
                <w:b/>
                <w:bCs/>
                <w:sz w:val="16"/>
                <w:szCs w:val="16"/>
                <w:lang w:val="en-US"/>
              </w:rPr>
              <w:t>4,512</w:t>
            </w:r>
          </w:p>
        </w:tc>
      </w:tr>
      <w:tr w:rsidR="00B214A5" w:rsidRPr="00B214A5" w14:paraId="569A475D" w14:textId="77777777" w:rsidTr="001A3F3C">
        <w:trPr>
          <w:divId w:val="1270746437"/>
          <w:trHeight w:val="75"/>
          <w:jc w:val="center"/>
        </w:trPr>
        <w:tc>
          <w:tcPr>
            <w:tcW w:w="2320" w:type="dxa"/>
            <w:tcBorders>
              <w:top w:val="nil"/>
              <w:left w:val="nil"/>
              <w:bottom w:val="nil"/>
              <w:right w:val="nil"/>
            </w:tcBorders>
            <w:shd w:val="clear" w:color="auto" w:fill="auto"/>
            <w:noWrap/>
            <w:vAlign w:val="bottom"/>
            <w:hideMark/>
          </w:tcPr>
          <w:p w14:paraId="4BE5CEEF" w14:textId="77777777" w:rsidR="00B214A5" w:rsidRPr="00B214A5" w:rsidRDefault="00B214A5" w:rsidP="00B214A5">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noWrap/>
            <w:vAlign w:val="bottom"/>
            <w:hideMark/>
          </w:tcPr>
          <w:p w14:paraId="4A4087B5"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28A2FF46"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1027F613"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681801FA"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7C10D42B"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2CA87B98" w14:textId="77777777" w:rsidR="00B214A5" w:rsidRPr="00B214A5" w:rsidRDefault="00B214A5" w:rsidP="00B214A5">
            <w:pPr>
              <w:spacing w:after="0" w:line="240" w:lineRule="auto"/>
              <w:rPr>
                <w:rFonts w:ascii="Times New Roman" w:eastAsia="Times New Roman" w:hAnsi="Times New Roman" w:cs="Times New Roman"/>
                <w:sz w:val="20"/>
                <w:szCs w:val="20"/>
                <w:lang w:val="en-US"/>
              </w:rPr>
            </w:pPr>
          </w:p>
        </w:tc>
      </w:tr>
    </w:tbl>
    <w:p w14:paraId="1F7FB63B" w14:textId="733EB8AF" w:rsidR="006C7C9D" w:rsidRPr="00CB1AF7" w:rsidRDefault="003A513B" w:rsidP="00CC2401">
      <w:pPr>
        <w:spacing w:after="200" w:line="276" w:lineRule="auto"/>
        <w:rPr>
          <w:rFonts w:eastAsia="SimHei" w:cs="Arial"/>
          <w:b/>
          <w:bCs/>
          <w:color w:val="005172"/>
          <w:szCs w:val="18"/>
          <w:lang w:val="en-US" w:eastAsia="zh-CN"/>
        </w:rPr>
      </w:pPr>
      <w:r>
        <w:rPr>
          <w:rFonts w:eastAsia="SimHei" w:cs="Arial"/>
          <w:b/>
          <w:bCs/>
          <w:color w:val="005172"/>
          <w:szCs w:val="18"/>
          <w:lang w:val="en-US" w:eastAsia="zh-CN"/>
        </w:rPr>
        <w:br w:type="page"/>
      </w:r>
    </w:p>
    <w:p w14:paraId="0B1FC241" w14:textId="51504581" w:rsidR="00407521" w:rsidRPr="00D350B5" w:rsidRDefault="00972877" w:rsidP="005320C7">
      <w:pPr>
        <w:pStyle w:val="SectorTitle"/>
      </w:pPr>
      <w:bookmarkStart w:id="27" w:name="_Toc131175987"/>
      <w:r w:rsidRPr="00972877">
        <w:t>Infrastructure and Platfo</w:t>
      </w:r>
      <w:r w:rsidR="001949B7">
        <w:t>rms</w:t>
      </w:r>
      <w:bookmarkEnd w:id="27"/>
    </w:p>
    <w:p w14:paraId="3F04D6DD" w14:textId="03AB8C40" w:rsidR="003978EA" w:rsidRPr="00D350B5" w:rsidRDefault="00B22227" w:rsidP="00407521">
      <w:pPr>
        <w:tabs>
          <w:tab w:val="left" w:pos="2670"/>
          <w:tab w:val="left" w:pos="2715"/>
          <w:tab w:val="left" w:pos="2775"/>
          <w:tab w:val="left" w:pos="2820"/>
        </w:tabs>
        <w:rPr>
          <w:lang w:val="en-US"/>
        </w:rPr>
      </w:pPr>
      <w:r>
        <w:rPr>
          <w:noProof/>
          <w:lang w:val="en-US"/>
        </w:rPr>
        <w:drawing>
          <wp:inline distT="0" distB="0" distL="0" distR="0" wp14:anchorId="67301471" wp14:editId="5FD71033">
            <wp:extent cx="1097280" cy="367782"/>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97280" cy="367782"/>
                    </a:xfrm>
                    <a:prstGeom prst="rect">
                      <a:avLst/>
                    </a:prstGeom>
                    <a:noFill/>
                  </pic:spPr>
                </pic:pic>
              </a:graphicData>
            </a:graphic>
          </wp:inline>
        </w:drawing>
      </w:r>
      <w:r w:rsidR="00407521" w:rsidRPr="00D350B5">
        <w:rPr>
          <w:lang w:val="en-US"/>
        </w:rPr>
        <w:tab/>
      </w:r>
      <w:r w:rsidR="00407521" w:rsidRPr="00D350B5">
        <w:rPr>
          <w:lang w:val="en-US"/>
        </w:rPr>
        <w:tab/>
      </w:r>
      <w:r w:rsidR="00407521" w:rsidRPr="00D350B5">
        <w:rPr>
          <w:lang w:val="en-US"/>
        </w:rPr>
        <w:tab/>
      </w:r>
    </w:p>
    <w:p w14:paraId="1090F44E" w14:textId="77777777" w:rsidR="0036583B" w:rsidRDefault="0036583B" w:rsidP="0036583B">
      <w:pPr>
        <w:pStyle w:val="Heading1NoNumb"/>
        <w:rPr>
          <w:lang w:val="en-US"/>
        </w:rPr>
      </w:pPr>
      <w:r>
        <w:rPr>
          <w:noProof/>
          <w:lang w:val="en-US"/>
        </w:rPr>
        <w:drawing>
          <wp:anchor distT="0" distB="0" distL="114300" distR="114300" simplePos="0" relativeHeight="251818496" behindDoc="0" locked="0" layoutInCell="1" allowOverlap="1" wp14:anchorId="7A1B53D8" wp14:editId="056C7305">
            <wp:simplePos x="0" y="0"/>
            <wp:positionH relativeFrom="margin">
              <wp:align>right</wp:align>
            </wp:positionH>
            <wp:positionV relativeFrom="paragraph">
              <wp:posOffset>349022</wp:posOffset>
            </wp:positionV>
            <wp:extent cx="1439894" cy="2286000"/>
            <wp:effectExtent l="0" t="0" r="8255"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39894" cy="2286000"/>
                    </a:xfrm>
                    <a:prstGeom prst="rect">
                      <a:avLst/>
                    </a:prstGeom>
                    <a:noFill/>
                  </pic:spPr>
                </pic:pic>
              </a:graphicData>
            </a:graphic>
            <wp14:sizeRelH relativeFrom="margin">
              <wp14:pctWidth>0</wp14:pctWidth>
            </wp14:sizeRelH>
            <wp14:sizeRelV relativeFrom="margin">
              <wp14:pctHeight>0</wp14:pctHeight>
            </wp14:sizeRelV>
          </wp:anchor>
        </w:drawing>
      </w:r>
      <w:r w:rsidRPr="00D350B5">
        <w:rPr>
          <w:lang w:val="en-US"/>
        </w:rPr>
        <w:t>Implementation Strategies</w:t>
      </w:r>
    </w:p>
    <w:p w14:paraId="23F908CA" w14:textId="77777777" w:rsidR="0036583B" w:rsidRPr="00470297" w:rsidRDefault="0036583B" w:rsidP="0036583B">
      <w:pPr>
        <w:rPr>
          <w:lang w:val="en-US"/>
        </w:rPr>
      </w:pPr>
      <w:r w:rsidRPr="00470297">
        <w:rPr>
          <w:lang w:val="en-US"/>
        </w:rPr>
        <w:t>Information and Communication Technologies and frontier technologies</w:t>
      </w:r>
      <w:r>
        <w:rPr>
          <w:lang w:val="en-US"/>
        </w:rPr>
        <w:t>,</w:t>
      </w:r>
      <w:r w:rsidRPr="00470297">
        <w:rPr>
          <w:lang w:val="en-US"/>
        </w:rPr>
        <w:t xml:space="preserve"> such as Artificial Intelligence (AI)</w:t>
      </w:r>
      <w:r>
        <w:rPr>
          <w:lang w:val="en-US"/>
        </w:rPr>
        <w:t>,</w:t>
      </w:r>
      <w:r w:rsidRPr="00470297">
        <w:rPr>
          <w:lang w:val="en-US"/>
        </w:rPr>
        <w:t xml:space="preserve"> represent a significant opportunity for making IP more accessible and understandable for innovators and creators on the ground and in supporting IP as a tool for economic growth and development everywhere. </w:t>
      </w:r>
    </w:p>
    <w:p w14:paraId="23D2E68E" w14:textId="7A051C35" w:rsidR="0036583B" w:rsidRPr="00470297" w:rsidRDefault="0036583B" w:rsidP="0036583B">
      <w:pPr>
        <w:rPr>
          <w:lang w:val="en-US"/>
        </w:rPr>
      </w:pPr>
      <w:r w:rsidRPr="00470297">
        <w:rPr>
          <w:lang w:val="en-US"/>
        </w:rPr>
        <w:t xml:space="preserve">Digitalization, digital transformation and the development and adaptation of technologies for IP </w:t>
      </w:r>
      <w:r w:rsidR="0026419C" w:rsidRPr="00470297">
        <w:rPr>
          <w:lang w:val="en-US"/>
        </w:rPr>
        <w:t>administration</w:t>
      </w:r>
      <w:r w:rsidRPr="00470297">
        <w:rPr>
          <w:lang w:val="en-US"/>
        </w:rPr>
        <w:t xml:space="preserve"> are key factors to enable IP information and IP systems to become more accessible, faster and efficient and to match the transformation of business models in the new digital age. </w:t>
      </w:r>
      <w:r>
        <w:rPr>
          <w:lang w:val="en-US"/>
        </w:rPr>
        <w:t xml:space="preserve"> </w:t>
      </w:r>
      <w:r w:rsidRPr="00470297">
        <w:rPr>
          <w:lang w:val="en-US"/>
        </w:rPr>
        <w:t>Intangible assets are becoming more and more important and the speed and volume of innovation and creation is increasing and subject to more volatility. Consequently, easily accessible and understandable IP information is a bedrock for IP to become easier to value, transact, secure financing</w:t>
      </w:r>
      <w:r w:rsidR="0026419C">
        <w:rPr>
          <w:lang w:val="en-US"/>
        </w:rPr>
        <w:t>,</w:t>
      </w:r>
      <w:r w:rsidRPr="00470297">
        <w:rPr>
          <w:lang w:val="en-US"/>
        </w:rPr>
        <w:t xml:space="preserve"> and to become a commercial asset. </w:t>
      </w:r>
      <w:r>
        <w:rPr>
          <w:lang w:val="en-US"/>
        </w:rPr>
        <w:t xml:space="preserve"> </w:t>
      </w:r>
      <w:r w:rsidRPr="00470297">
        <w:rPr>
          <w:lang w:val="en-US"/>
        </w:rPr>
        <w:t xml:space="preserve">It is therefore essential for innovators and creators around the </w:t>
      </w:r>
      <w:r w:rsidR="0026419C" w:rsidRPr="00470297">
        <w:rPr>
          <w:lang w:val="en-US"/>
        </w:rPr>
        <w:t>globe</w:t>
      </w:r>
      <w:r w:rsidRPr="00470297">
        <w:rPr>
          <w:lang w:val="en-US"/>
        </w:rPr>
        <w:t xml:space="preserve"> to have easy and quick access to the IP information in good quality, as well as to ensure adequate platforms to support this.</w:t>
      </w:r>
    </w:p>
    <w:p w14:paraId="6CE39FC3" w14:textId="77777777" w:rsidR="0036583B" w:rsidRPr="00470297" w:rsidRDefault="0036583B" w:rsidP="0036583B">
      <w:pPr>
        <w:rPr>
          <w:lang w:val="en-US"/>
        </w:rPr>
      </w:pPr>
      <w:r w:rsidRPr="00470297">
        <w:rPr>
          <w:lang w:val="en-US"/>
        </w:rPr>
        <w:t xml:space="preserve">Those technologies also represent a potential springboard for multiple players to close the technology gap and address some of the most pressing global issues. </w:t>
      </w:r>
      <w:r>
        <w:rPr>
          <w:lang w:val="en-US"/>
        </w:rPr>
        <w:t xml:space="preserve"> </w:t>
      </w:r>
      <w:r w:rsidRPr="00470297">
        <w:rPr>
          <w:lang w:val="en-US"/>
        </w:rPr>
        <w:t xml:space="preserve">IP plays a major role in fostering innovation in this space. </w:t>
      </w:r>
    </w:p>
    <w:p w14:paraId="7374F54C" w14:textId="3730535A" w:rsidR="0036583B" w:rsidRDefault="0036583B" w:rsidP="0036583B">
      <w:pPr>
        <w:rPr>
          <w:lang w:val="en-US"/>
        </w:rPr>
      </w:pPr>
      <w:r w:rsidRPr="00470297">
        <w:rPr>
          <w:lang w:val="en-US"/>
        </w:rPr>
        <w:t xml:space="preserve">Within the above context, the Infrastructure and Platforms Sector </w:t>
      </w:r>
      <w:r w:rsidR="0026419C" w:rsidRPr="00470297">
        <w:rPr>
          <w:lang w:val="en-US"/>
        </w:rPr>
        <w:t>particularly</w:t>
      </w:r>
      <w:r w:rsidRPr="00470297">
        <w:rPr>
          <w:lang w:val="en-US"/>
        </w:rPr>
        <w:t xml:space="preserve"> focuses on the following priorities in the biennium 2024/25:</w:t>
      </w:r>
      <w:r>
        <w:rPr>
          <w:lang w:val="en-US"/>
        </w:rPr>
        <w:t xml:space="preserve"> </w:t>
      </w:r>
    </w:p>
    <w:p w14:paraId="68F34F61" w14:textId="77777777" w:rsidR="0036583B" w:rsidRPr="00FA5BF0" w:rsidRDefault="0036583B" w:rsidP="0036583B">
      <w:r w:rsidRPr="00FA5BF0">
        <w:t xml:space="preserve">First, </w:t>
      </w:r>
      <w:r>
        <w:t>the Sector</w:t>
      </w:r>
      <w:r w:rsidRPr="00FA5BF0">
        <w:t xml:space="preserve"> contributes to the development of balanced and effective international frameworks for IP through International Classifications and WIPO Standards</w:t>
      </w:r>
      <w:r>
        <w:t>;</w:t>
      </w:r>
    </w:p>
    <w:p w14:paraId="5939364C" w14:textId="77777777" w:rsidR="0036583B" w:rsidRPr="00FA5BF0" w:rsidRDefault="0036583B" w:rsidP="0036583B">
      <w:r w:rsidRPr="00FA5BF0">
        <w:t xml:space="preserve">Second, it provides high quality IP services, knowledge and data that deliver value to users around the world </w:t>
      </w:r>
      <w:r w:rsidRPr="00FA5BF0">
        <w:rPr>
          <w:lang w:val="en-US"/>
        </w:rPr>
        <w:t>such as IP Offices, IP professionals, researchers, and other specialized users in national, regional and global IP and innovation ecosystems.  This is implemented through the work relating to</w:t>
      </w:r>
      <w:r>
        <w:rPr>
          <w:lang w:val="en-US"/>
        </w:rPr>
        <w:t xml:space="preserve"> </w:t>
      </w:r>
      <w:r w:rsidRPr="00FA5BF0">
        <w:rPr>
          <w:lang w:val="en-US"/>
        </w:rPr>
        <w:t xml:space="preserve">global databases, as well as by providing tools that utilize </w:t>
      </w:r>
      <w:r>
        <w:rPr>
          <w:lang w:val="en-US"/>
        </w:rPr>
        <w:t xml:space="preserve">frontier </w:t>
      </w:r>
      <w:r w:rsidRPr="00FA5BF0">
        <w:rPr>
          <w:lang w:val="en-US"/>
        </w:rPr>
        <w:t>technologies</w:t>
      </w:r>
      <w:r>
        <w:rPr>
          <w:lang w:val="en-US"/>
        </w:rPr>
        <w:t>,</w:t>
      </w:r>
      <w:r w:rsidRPr="00FA5BF0">
        <w:rPr>
          <w:lang w:val="en-US"/>
        </w:rPr>
        <w:t xml:space="preserve"> including AI.</w:t>
      </w:r>
      <w:r>
        <w:rPr>
          <w:lang w:val="en-US"/>
        </w:rPr>
        <w:t xml:space="preserve"> </w:t>
      </w:r>
      <w:r w:rsidRPr="00FA5BF0">
        <w:rPr>
          <w:lang w:val="en-US"/>
        </w:rPr>
        <w:t xml:space="preserve"> In addition, </w:t>
      </w:r>
      <w:r w:rsidRPr="00FA5BF0">
        <w:t xml:space="preserve">marketing and customer service activities will be enhanced </w:t>
      </w:r>
      <w:r>
        <w:t xml:space="preserve">from a customer experience frame </w:t>
      </w:r>
      <w:r w:rsidRPr="00FA5BF0">
        <w:t xml:space="preserve">with </w:t>
      </w:r>
      <w:r>
        <w:t>a view to coordinate</w:t>
      </w:r>
      <w:r w:rsidRPr="00FA5BF0">
        <w:t xml:space="preserve"> the strategy, planning and execution of the Organization’s overall customer experience goals.</w:t>
      </w:r>
    </w:p>
    <w:p w14:paraId="02E4D755" w14:textId="010FAAD4" w:rsidR="0036583B" w:rsidRPr="00FA5BF0" w:rsidRDefault="0036583B" w:rsidP="0036583B">
      <w:r w:rsidRPr="00FA5BF0">
        <w:t>Third, it brings the international community together to proactively address emerging issues and policy challenges posed to the global IP ecosystem by frontier technologies</w:t>
      </w:r>
      <w:r w:rsidR="0019742F">
        <w:t>,</w:t>
      </w:r>
      <w:r w:rsidRPr="00FA5BF0">
        <w:t xml:space="preserve"> including AI, big data, blockchain and genetic engineering. </w:t>
      </w:r>
    </w:p>
    <w:p w14:paraId="20258390" w14:textId="77777777" w:rsidR="0036583B" w:rsidRDefault="0036583B" w:rsidP="0036583B">
      <w:pPr>
        <w:rPr>
          <w:lang w:val="en-US"/>
        </w:rPr>
      </w:pPr>
      <w:r w:rsidRPr="00FA5BF0">
        <w:t xml:space="preserve">Fourth, the Sector also </w:t>
      </w:r>
      <w:r w:rsidRPr="00FA5BF0">
        <w:rPr>
          <w:lang w:val="en-US"/>
        </w:rPr>
        <w:t>supports the important</w:t>
      </w:r>
      <w:r>
        <w:rPr>
          <w:lang w:val="en-US"/>
        </w:rPr>
        <w:t xml:space="preserve"> work of enhancing </w:t>
      </w:r>
      <w:r w:rsidRPr="009C1F79">
        <w:rPr>
          <w:lang w:val="en-US"/>
        </w:rPr>
        <w:t>IP infrastructure for IP Offices</w:t>
      </w:r>
      <w:r>
        <w:rPr>
          <w:lang w:val="en-US"/>
        </w:rPr>
        <w:t xml:space="preserve"> through providing tools and business systems that allow them</w:t>
      </w:r>
      <w:r w:rsidRPr="00C96A47">
        <w:rPr>
          <w:lang w:val="en-US"/>
        </w:rPr>
        <w:t xml:space="preserve"> to </w:t>
      </w:r>
      <w:r>
        <w:rPr>
          <w:lang w:val="en-US"/>
        </w:rPr>
        <w:t xml:space="preserve">digitally transform. </w:t>
      </w:r>
    </w:p>
    <w:p w14:paraId="5A35012E" w14:textId="77777777" w:rsidR="0036583B" w:rsidRPr="00CE7001" w:rsidRDefault="0036583B" w:rsidP="00CE7001">
      <w:pPr>
        <w:spacing w:before="320" w:after="240" w:line="240" w:lineRule="auto"/>
        <w:rPr>
          <w:rFonts w:eastAsia="Arial" w:cs="Times New Roman"/>
          <w:color w:val="005172"/>
          <w:sz w:val="22"/>
          <w:lang w:val="en-US"/>
        </w:rPr>
      </w:pPr>
      <w:r w:rsidRPr="00CE7001">
        <w:rPr>
          <w:rFonts w:eastAsia="Arial" w:cs="Times New Roman"/>
          <w:color w:val="005172"/>
          <w:sz w:val="22"/>
          <w:lang w:val="en-US"/>
        </w:rPr>
        <w:t xml:space="preserve">International Classifications and Standards </w:t>
      </w:r>
    </w:p>
    <w:p w14:paraId="3E7B38B3" w14:textId="77777777" w:rsidR="0036583B" w:rsidRPr="00256E9A" w:rsidRDefault="0036583B" w:rsidP="0036583B">
      <w:r w:rsidRPr="00256E9A">
        <w:t xml:space="preserve">By enabling data to flow on a common platform and databases, International Classifications and Standards </w:t>
      </w:r>
      <w:r>
        <w:t xml:space="preserve">contribute to </w:t>
      </w:r>
      <w:r w:rsidRPr="00470297">
        <w:rPr>
          <w:lang w:val="en-US"/>
        </w:rPr>
        <w:t>Expected Result 2.1 of the MTSP by providing</w:t>
      </w:r>
      <w:r w:rsidRPr="00256E9A">
        <w:t xml:space="preserve"> crucial tools and instruments to bridge the gaps between various IP </w:t>
      </w:r>
      <w:r>
        <w:t>O</w:t>
      </w:r>
      <w:r w:rsidRPr="00256E9A">
        <w:t xml:space="preserve">ffices working in different systems and languages.  In order to </w:t>
      </w:r>
      <w:r>
        <w:t xml:space="preserve">ensure that WIPO </w:t>
      </w:r>
      <w:r w:rsidRPr="00256E9A">
        <w:t>contin</w:t>
      </w:r>
      <w:r>
        <w:t>u</w:t>
      </w:r>
      <w:r w:rsidRPr="00256E9A">
        <w:t>e</w:t>
      </w:r>
      <w:r>
        <w:t>s</w:t>
      </w:r>
      <w:r w:rsidRPr="00256E9A">
        <w:t xml:space="preserve"> to lead across the establishment, maintenance</w:t>
      </w:r>
      <w:r>
        <w:t>,</w:t>
      </w:r>
      <w:r w:rsidRPr="00256E9A">
        <w:t xml:space="preserve"> and dynamic updating of international classifications and standards, initiatives in the next biennium will focus on:  </w:t>
      </w:r>
    </w:p>
    <w:p w14:paraId="183AEF97" w14:textId="77777777" w:rsidR="0036583B" w:rsidRPr="00CE7001" w:rsidRDefault="0036583B" w:rsidP="00CE7001">
      <w:pPr>
        <w:rPr>
          <w:b/>
          <w:color w:val="005172" w:themeColor="text2"/>
          <w:sz w:val="20"/>
          <w:lang w:val="en-US"/>
        </w:rPr>
      </w:pPr>
      <w:r w:rsidRPr="00CE7001">
        <w:rPr>
          <w:color w:val="005172" w:themeColor="text2"/>
          <w:sz w:val="20"/>
          <w:lang w:val="en-US"/>
        </w:rPr>
        <w:t xml:space="preserve">IPC (International Patent Classification)  </w:t>
      </w:r>
    </w:p>
    <w:p w14:paraId="28062F0D" w14:textId="4FD8A522" w:rsidR="0036583B" w:rsidRPr="00F37356" w:rsidRDefault="0036583B" w:rsidP="008407D7">
      <w:pPr>
        <w:pStyle w:val="Bullet1"/>
        <w:numPr>
          <w:ilvl w:val="0"/>
          <w:numId w:val="30"/>
        </w:numPr>
        <w:tabs>
          <w:tab w:val="clear" w:pos="340"/>
        </w:tabs>
        <w:ind w:left="1134" w:hanging="567"/>
      </w:pPr>
      <w:r>
        <w:t>Enhancing</w:t>
      </w:r>
      <w:r w:rsidRPr="00F37356">
        <w:t xml:space="preserve"> the IPC within the framework of the IPC Revision Roadmap adopted by the IPC Committee of Experts to respond to technological developments</w:t>
      </w:r>
      <w:r>
        <w:t xml:space="preserve"> (including both new emerging technologies and complex technologies),</w:t>
      </w:r>
      <w:r w:rsidRPr="00F37356">
        <w:t xml:space="preserve"> and ensur</w:t>
      </w:r>
      <w:r w:rsidR="0089750C">
        <w:t>ing</w:t>
      </w:r>
      <w:r w:rsidRPr="00F37356">
        <w:t xml:space="preserve"> maximum</w:t>
      </w:r>
      <w:r>
        <w:t xml:space="preserve"> international</w:t>
      </w:r>
      <w:r w:rsidRPr="00F37356">
        <w:t xml:space="preserve"> coherence </w:t>
      </w:r>
      <w:r>
        <w:t>of patent classification</w:t>
      </w:r>
      <w:r w:rsidRPr="00F37356">
        <w:t xml:space="preserve"> </w:t>
      </w:r>
      <w:r>
        <w:t xml:space="preserve">through, </w:t>
      </w:r>
      <w:r w:rsidRPr="009E5C87">
        <w:rPr>
          <w:i/>
        </w:rPr>
        <w:t>inter alia</w:t>
      </w:r>
      <w:r>
        <w:rPr>
          <w:i/>
        </w:rPr>
        <w:t>,</w:t>
      </w:r>
      <w:r>
        <w:t xml:space="preserve"> enhancing the integration of</w:t>
      </w:r>
      <w:r w:rsidRPr="00F37356">
        <w:t xml:space="preserve"> IPCRMS (IPC Revision Management Solution)</w:t>
      </w:r>
      <w:r>
        <w:t xml:space="preserve"> and e-forum to facilitate revision procedures</w:t>
      </w:r>
      <w:r w:rsidRPr="00F37356">
        <w:t xml:space="preserve">;  </w:t>
      </w:r>
    </w:p>
    <w:p w14:paraId="1047CC3C" w14:textId="751F4673" w:rsidR="0036583B" w:rsidRPr="00330B67" w:rsidRDefault="0036583B" w:rsidP="008407D7">
      <w:pPr>
        <w:pStyle w:val="Bullet1"/>
        <w:numPr>
          <w:ilvl w:val="0"/>
          <w:numId w:val="30"/>
        </w:numPr>
        <w:tabs>
          <w:tab w:val="clear" w:pos="340"/>
        </w:tabs>
        <w:ind w:left="1134" w:hanging="567"/>
      </w:pPr>
      <w:r>
        <w:t xml:space="preserve">Promoting and facilitating </w:t>
      </w:r>
      <w:r w:rsidRPr="00F37356">
        <w:t>wider use of the IPC system by providing assistance</w:t>
      </w:r>
      <w:r>
        <w:t>, including</w:t>
      </w:r>
      <w:r w:rsidRPr="00F37356">
        <w:t xml:space="preserve"> for the </w:t>
      </w:r>
      <w:r>
        <w:t xml:space="preserve">preparation, </w:t>
      </w:r>
      <w:r w:rsidRPr="00F37356">
        <w:t xml:space="preserve">maintenance and publication of national </w:t>
      </w:r>
      <w:r>
        <w:t>language versions</w:t>
      </w:r>
      <w:r w:rsidRPr="00F37356">
        <w:t xml:space="preserve"> of the IPC</w:t>
      </w:r>
      <w:r>
        <w:t xml:space="preserve"> and by providing on-</w:t>
      </w:r>
      <w:r w:rsidRPr="00330B67">
        <w:t>de</w:t>
      </w:r>
      <w:r>
        <w:t xml:space="preserve">mand training (mainly </w:t>
      </w:r>
      <w:r w:rsidRPr="00330B67">
        <w:t>th</w:t>
      </w:r>
      <w:r w:rsidR="0019742F">
        <w:t>r</w:t>
      </w:r>
      <w:r w:rsidRPr="00330B67">
        <w:t>ough</w:t>
      </w:r>
      <w:r>
        <w:t xml:space="preserve"> webinars and video conferences);  </w:t>
      </w:r>
    </w:p>
    <w:p w14:paraId="2D72CA5A" w14:textId="3E6B752B" w:rsidR="0036583B" w:rsidRPr="00F37356" w:rsidRDefault="0036583B" w:rsidP="008407D7">
      <w:pPr>
        <w:pStyle w:val="Bullet1"/>
        <w:numPr>
          <w:ilvl w:val="0"/>
          <w:numId w:val="30"/>
        </w:numPr>
        <w:tabs>
          <w:tab w:val="clear" w:pos="340"/>
          <w:tab w:val="num" w:pos="567"/>
        </w:tabs>
        <w:ind w:left="1134" w:hanging="567"/>
      </w:pPr>
      <w:r w:rsidRPr="006B2AC8">
        <w:t>Enhanc</w:t>
      </w:r>
      <w:r>
        <w:t>ing</w:t>
      </w:r>
      <w:r w:rsidRPr="006B2AC8">
        <w:t xml:space="preserve"> the international cooperation on reclassification of patent docu</w:t>
      </w:r>
      <w:r>
        <w:t xml:space="preserve">ments through the effective use of </w:t>
      </w:r>
      <w:r w:rsidR="0019742F">
        <w:t xml:space="preserve">the </w:t>
      </w:r>
      <w:r>
        <w:t>IPC Reclassification Management S</w:t>
      </w:r>
      <w:r w:rsidRPr="006B2AC8">
        <w:t>olution</w:t>
      </w:r>
      <w:r>
        <w:t xml:space="preserve"> (IPCWLMS), including </w:t>
      </w:r>
      <w:r w:rsidRPr="00B22F21">
        <w:t>possible use of AI for IPC reclassification to reduce the backlog</w:t>
      </w:r>
      <w:r>
        <w:t>.</w:t>
      </w:r>
    </w:p>
    <w:p w14:paraId="27C9AD26" w14:textId="77777777" w:rsidR="0036583B" w:rsidRPr="00CE7001" w:rsidRDefault="0036583B" w:rsidP="00CE7001">
      <w:pPr>
        <w:rPr>
          <w:color w:val="005172" w:themeColor="text2"/>
          <w:sz w:val="20"/>
          <w:lang w:val="en-US"/>
        </w:rPr>
      </w:pPr>
      <w:r w:rsidRPr="00CE7001">
        <w:rPr>
          <w:color w:val="005172" w:themeColor="text2"/>
          <w:sz w:val="20"/>
          <w:lang w:val="en-US"/>
        </w:rPr>
        <w:t>Nice Classification (list of goods and services for the registration of trademarks), Locarno Classification (list of goods for the registration of industrial designs) and Vienna Classification (figurative elements of trademarks)</w:t>
      </w:r>
    </w:p>
    <w:p w14:paraId="7F044518" w14:textId="77777777" w:rsidR="0036583B" w:rsidRDefault="0036583B" w:rsidP="008407D7">
      <w:pPr>
        <w:pStyle w:val="Bullet1"/>
        <w:numPr>
          <w:ilvl w:val="0"/>
          <w:numId w:val="30"/>
        </w:numPr>
        <w:tabs>
          <w:tab w:val="clear" w:pos="340"/>
        </w:tabs>
        <w:spacing w:after="0" w:line="240" w:lineRule="auto"/>
        <w:ind w:left="1124" w:hanging="562"/>
      </w:pPr>
      <w:r>
        <w:rPr>
          <w:lang w:val="en-US"/>
        </w:rPr>
        <w:t xml:space="preserve">Further </w:t>
      </w:r>
      <w:r>
        <w:t>enhancing</w:t>
      </w:r>
      <w:r w:rsidRPr="00F37356">
        <w:t xml:space="preserve"> the Nice Classification </w:t>
      </w:r>
      <w:r>
        <w:t xml:space="preserve">and its revision procedures </w:t>
      </w:r>
      <w:r w:rsidRPr="00F37356">
        <w:t>under the auspices of the Nice Union Committee</w:t>
      </w:r>
      <w:r>
        <w:t xml:space="preserve"> of Experts with an emphasis on: (i) </w:t>
      </w:r>
      <w:r w:rsidRPr="00F37356">
        <w:t>ensuring that the list of goods and services takes due account of the specificities of emerging markets</w:t>
      </w:r>
      <w:r>
        <w:t xml:space="preserve"> and business needs; (ii) securing the</w:t>
      </w:r>
      <w:r w:rsidRPr="00F37356">
        <w:t xml:space="preserve"> </w:t>
      </w:r>
      <w:r>
        <w:t>speedy</w:t>
      </w:r>
      <w:r w:rsidRPr="00F37356">
        <w:t xml:space="preserve"> </w:t>
      </w:r>
    </w:p>
    <w:p w14:paraId="61DBB60F" w14:textId="77777777" w:rsidR="0036583B" w:rsidRPr="00F37356" w:rsidRDefault="0036583B" w:rsidP="0036583B">
      <w:pPr>
        <w:pStyle w:val="Bullet1"/>
        <w:numPr>
          <w:ilvl w:val="0"/>
          <w:numId w:val="0"/>
        </w:numPr>
        <w:ind w:left="1134"/>
      </w:pPr>
      <w:r w:rsidRPr="00F37356">
        <w:t>integration in the list of goods and services of new widely-used indications,</w:t>
      </w:r>
      <w:r>
        <w:t xml:space="preserve"> including the terms from</w:t>
      </w:r>
      <w:r w:rsidRPr="00F37356">
        <w:t xml:space="preserve"> the Madrid Goods and Services Database</w:t>
      </w:r>
      <w:r>
        <w:t>; and (iii) contributing guidance on the proper use of terms in trademark applications;</w:t>
      </w:r>
    </w:p>
    <w:p w14:paraId="44E43F88" w14:textId="1A8ADE14" w:rsidR="0036583B" w:rsidRPr="00F37356" w:rsidRDefault="0036583B" w:rsidP="008407D7">
      <w:pPr>
        <w:pStyle w:val="Bullet1"/>
        <w:numPr>
          <w:ilvl w:val="0"/>
          <w:numId w:val="30"/>
        </w:numPr>
        <w:tabs>
          <w:tab w:val="clear" w:pos="340"/>
        </w:tabs>
        <w:ind w:left="1134" w:hanging="567"/>
      </w:pPr>
      <w:r>
        <w:t>Enhancing</w:t>
      </w:r>
      <w:r w:rsidRPr="00F37356">
        <w:t xml:space="preserve"> the Locarno Classification</w:t>
      </w:r>
      <w:r>
        <w:t xml:space="preserve"> and its revision procedures </w:t>
      </w:r>
      <w:r w:rsidRPr="00F37356">
        <w:t xml:space="preserve">under the auspices of the Locarno Union Committee of Experts to allow for more efficient </w:t>
      </w:r>
      <w:r>
        <w:t>development</w:t>
      </w:r>
      <w:r w:rsidRPr="00F37356">
        <w:t xml:space="preserve"> </w:t>
      </w:r>
      <w:r w:rsidR="0019742F">
        <w:t>in</w:t>
      </w:r>
      <w:r w:rsidRPr="00F37356">
        <w:t xml:space="preserve"> design databases</w:t>
      </w:r>
      <w:r>
        <w:t>,</w:t>
      </w:r>
      <w:r w:rsidRPr="00F37356">
        <w:t xml:space="preserve"> </w:t>
      </w:r>
      <w:r>
        <w:t>for example, by</w:t>
      </w:r>
      <w:r w:rsidRPr="00F37356">
        <w:t xml:space="preserve"> </w:t>
      </w:r>
      <w:r>
        <w:t xml:space="preserve">the use of </w:t>
      </w:r>
      <w:r w:rsidRPr="00F37356">
        <w:t xml:space="preserve">the </w:t>
      </w:r>
      <w:r>
        <w:t>Revision Management IT Solution, including e-voting procedure;</w:t>
      </w:r>
    </w:p>
    <w:p w14:paraId="03661555" w14:textId="77777777" w:rsidR="0036583B" w:rsidRDefault="0036583B" w:rsidP="008407D7">
      <w:pPr>
        <w:pStyle w:val="Bullet1"/>
        <w:numPr>
          <w:ilvl w:val="0"/>
          <w:numId w:val="30"/>
        </w:numPr>
        <w:tabs>
          <w:tab w:val="clear" w:pos="340"/>
        </w:tabs>
        <w:ind w:left="1134" w:hanging="567"/>
      </w:pPr>
      <w:r>
        <w:t>Enhancing</w:t>
      </w:r>
      <w:r w:rsidRPr="00F37356">
        <w:t xml:space="preserve"> the Vienna Classification under the auspices of the Vienna Union Committee of Experts</w:t>
      </w:r>
      <w:r>
        <w:t>, including IT support</w:t>
      </w:r>
      <w:r w:rsidRPr="003F1906">
        <w:t xml:space="preserve"> to modernise its publication platform</w:t>
      </w:r>
      <w:r>
        <w:t>;</w:t>
      </w:r>
    </w:p>
    <w:p w14:paraId="7E4D17F2" w14:textId="77777777" w:rsidR="0036583B" w:rsidRDefault="0036583B" w:rsidP="008407D7">
      <w:pPr>
        <w:pStyle w:val="Bullet1"/>
        <w:numPr>
          <w:ilvl w:val="0"/>
          <w:numId w:val="30"/>
        </w:numPr>
        <w:tabs>
          <w:tab w:val="clear" w:pos="340"/>
        </w:tabs>
        <w:ind w:left="1134" w:hanging="567"/>
      </w:pPr>
      <w:r>
        <w:t>Promoting and facilitating</w:t>
      </w:r>
      <w:r w:rsidRPr="00330B67">
        <w:t xml:space="preserve"> a wider use of the </w:t>
      </w:r>
      <w:r>
        <w:t xml:space="preserve">international classifications in the field of marks and designs by </w:t>
      </w:r>
      <w:r w:rsidRPr="00330B67">
        <w:t>providing demand-driven tr</w:t>
      </w:r>
      <w:r>
        <w:t xml:space="preserve">aining (mainly through </w:t>
      </w:r>
      <w:r w:rsidRPr="00330B67">
        <w:t>webinars and video conference</w:t>
      </w:r>
      <w:r>
        <w:t>s)</w:t>
      </w:r>
      <w:r w:rsidRPr="00F37356">
        <w:t xml:space="preserve">.  </w:t>
      </w:r>
    </w:p>
    <w:p w14:paraId="6E9C9659" w14:textId="77777777" w:rsidR="0036583B" w:rsidRPr="00CE7001" w:rsidRDefault="0036583B" w:rsidP="00CE7001">
      <w:pPr>
        <w:rPr>
          <w:color w:val="005172" w:themeColor="text2"/>
          <w:sz w:val="20"/>
          <w:lang w:val="en-US"/>
        </w:rPr>
      </w:pPr>
      <w:r w:rsidRPr="00CE7001">
        <w:rPr>
          <w:color w:val="005172" w:themeColor="text2"/>
          <w:sz w:val="20"/>
          <w:lang w:val="en-US"/>
        </w:rPr>
        <w:t xml:space="preserve">WIPO Standards </w:t>
      </w:r>
    </w:p>
    <w:p w14:paraId="0840C2DB" w14:textId="77777777" w:rsidR="0036583B" w:rsidRPr="00F37356" w:rsidRDefault="0036583B" w:rsidP="008407D7">
      <w:pPr>
        <w:pStyle w:val="Bullet1"/>
        <w:numPr>
          <w:ilvl w:val="0"/>
          <w:numId w:val="30"/>
        </w:numPr>
        <w:tabs>
          <w:tab w:val="clear" w:pos="340"/>
        </w:tabs>
        <w:ind w:left="1134" w:hanging="567"/>
      </w:pPr>
      <w:r>
        <w:t>Providing</w:t>
      </w:r>
      <w:r w:rsidRPr="00F37356">
        <w:t xml:space="preserve"> </w:t>
      </w:r>
      <w:r>
        <w:t xml:space="preserve">fora to consider and adopt new or revised WIPO standards, policies, recommendations and statements of principle relating to intellectual property data, global information system related matters, information services on the global system, data dissemination and documentation </w:t>
      </w:r>
      <w:r w:rsidRPr="00F37356">
        <w:t>under the auspices of the Committee on WIPO Standards (CWS)</w:t>
      </w:r>
      <w:r>
        <w:t xml:space="preserve"> being the central forum for IT and data related discussions, including WIPO members and Observers.  T</w:t>
      </w:r>
      <w:r w:rsidRPr="007773D0">
        <w:t xml:space="preserve">he work program will </w:t>
      </w:r>
      <w:r>
        <w:t>include</w:t>
      </w:r>
      <w:r w:rsidRPr="007773D0">
        <w:t xml:space="preserve"> </w:t>
      </w:r>
      <w:r>
        <w:t xml:space="preserve">recommendations </w:t>
      </w:r>
      <w:r w:rsidRPr="007773D0">
        <w:t xml:space="preserve">on </w:t>
      </w:r>
      <w:r w:rsidRPr="00012BE7">
        <w:t>strategy, policy and collaboration related t</w:t>
      </w:r>
      <w:r>
        <w:t>o data and IT for IP businesses</w:t>
      </w:r>
      <w:r w:rsidRPr="00012BE7">
        <w:t xml:space="preserve"> and </w:t>
      </w:r>
      <w:r w:rsidRPr="007773D0">
        <w:t>standardization</w:t>
      </w:r>
      <w:r w:rsidRPr="00012BE7">
        <w:t xml:space="preserve"> </w:t>
      </w:r>
      <w:r>
        <w:t xml:space="preserve">on </w:t>
      </w:r>
      <w:r w:rsidRPr="00012BE7">
        <w:t>metadata format (such as XML and JSON)</w:t>
      </w:r>
      <w:r>
        <w:t>.</w:t>
      </w:r>
      <w:r w:rsidRPr="00012BE7">
        <w:t xml:space="preserve"> </w:t>
      </w:r>
      <w:r>
        <w:t xml:space="preserve"> F</w:t>
      </w:r>
      <w:r w:rsidRPr="00012BE7">
        <w:t>or IP related data and documentation</w:t>
      </w:r>
      <w:r>
        <w:t>,</w:t>
      </w:r>
      <w:r w:rsidRPr="00012BE7">
        <w:t xml:space="preserve"> </w:t>
      </w:r>
      <w:r w:rsidRPr="007773D0">
        <w:t>digital transformation</w:t>
      </w:r>
      <w:r>
        <w:t xml:space="preserve"> technologies</w:t>
      </w:r>
      <w:r w:rsidRPr="001F775C">
        <w:t xml:space="preserve"> </w:t>
      </w:r>
      <w:r>
        <w:t>will be leveraged, such as</w:t>
      </w:r>
      <w:r w:rsidRPr="007773D0">
        <w:t xml:space="preserve"> </w:t>
      </w:r>
      <w:r>
        <w:t>b</w:t>
      </w:r>
      <w:r w:rsidRPr="003D429A">
        <w:t xml:space="preserve">lockchain, 3D </w:t>
      </w:r>
      <w:r>
        <w:t xml:space="preserve">digital objects and </w:t>
      </w:r>
      <w:r w:rsidRPr="003D429A">
        <w:t>API</w:t>
      </w:r>
      <w:r>
        <w:t xml:space="preserve"> web services; </w:t>
      </w:r>
    </w:p>
    <w:p w14:paraId="377FFC0A" w14:textId="77777777" w:rsidR="0036583B" w:rsidRDefault="0036583B" w:rsidP="008407D7">
      <w:pPr>
        <w:pStyle w:val="Bullet1"/>
        <w:numPr>
          <w:ilvl w:val="0"/>
          <w:numId w:val="30"/>
        </w:numPr>
        <w:tabs>
          <w:tab w:val="clear" w:pos="340"/>
        </w:tabs>
        <w:ind w:left="1134" w:hanging="567"/>
      </w:pPr>
      <w:r>
        <w:t>Supporting the wider and more effective use of Standards by Offices and other stakeholders in</w:t>
      </w:r>
      <w:r>
        <w:br/>
        <w:t>IP ecosystems through digital tools and platforms, such as the WIPO Sequence suite software, patent authority file portal, unified API catalogue and the XML4IP (ST.96) centralized repository;</w:t>
      </w:r>
    </w:p>
    <w:p w14:paraId="43F4D31D" w14:textId="77777777" w:rsidR="0036583B" w:rsidRPr="00F37356" w:rsidRDefault="0036583B" w:rsidP="008407D7">
      <w:pPr>
        <w:pStyle w:val="Bullet1"/>
        <w:numPr>
          <w:ilvl w:val="0"/>
          <w:numId w:val="30"/>
        </w:numPr>
        <w:tabs>
          <w:tab w:val="clear" w:pos="340"/>
        </w:tabs>
        <w:ind w:left="1134" w:hanging="567"/>
      </w:pPr>
      <w:r w:rsidRPr="00F37356">
        <w:t>Coordinat</w:t>
      </w:r>
      <w:r>
        <w:t>ing</w:t>
      </w:r>
      <w:r w:rsidRPr="00F37356">
        <w:t xml:space="preserve"> with IP Offices </w:t>
      </w:r>
      <w:r>
        <w:t>to gather and publish information on their practices related to WIPO Standards through surveys in the WIPO Handbook;</w:t>
      </w:r>
    </w:p>
    <w:p w14:paraId="2253E451" w14:textId="77777777" w:rsidR="0036583B" w:rsidRDefault="0036583B" w:rsidP="008407D7">
      <w:pPr>
        <w:pStyle w:val="Bullet1"/>
        <w:numPr>
          <w:ilvl w:val="0"/>
          <w:numId w:val="30"/>
        </w:numPr>
        <w:tabs>
          <w:tab w:val="clear" w:pos="340"/>
        </w:tabs>
        <w:ind w:left="1134" w:hanging="567"/>
      </w:pPr>
      <w:r>
        <w:t>Extending</w:t>
      </w:r>
      <w:r w:rsidRPr="00330B67">
        <w:t xml:space="preserve"> collaboration and partnership</w:t>
      </w:r>
      <w:r>
        <w:t>s</w:t>
      </w:r>
      <w:r w:rsidRPr="00330B67">
        <w:t xml:space="preserve"> with </w:t>
      </w:r>
      <w:r>
        <w:t xml:space="preserve">wider </w:t>
      </w:r>
      <w:r w:rsidRPr="00330B67">
        <w:t>stakeholders</w:t>
      </w:r>
      <w:r>
        <w:t xml:space="preserve">, including </w:t>
      </w:r>
      <w:r w:rsidRPr="00330B67">
        <w:t xml:space="preserve">users beyond Offices, </w:t>
      </w:r>
      <w:r>
        <w:t xml:space="preserve">such as </w:t>
      </w:r>
      <w:r w:rsidRPr="00330B67">
        <w:t>IP information user groups and I</w:t>
      </w:r>
      <w:r>
        <w:t>T</w:t>
      </w:r>
      <w:r w:rsidRPr="00330B67">
        <w:t xml:space="preserve"> system developers</w:t>
      </w:r>
      <w:r>
        <w:t xml:space="preserve">; </w:t>
      </w:r>
    </w:p>
    <w:p w14:paraId="076AB6AB" w14:textId="77777777" w:rsidR="0036583B" w:rsidRPr="00470297" w:rsidRDefault="0036583B" w:rsidP="008407D7">
      <w:pPr>
        <w:pStyle w:val="Bullet1"/>
        <w:numPr>
          <w:ilvl w:val="0"/>
          <w:numId w:val="30"/>
        </w:numPr>
        <w:tabs>
          <w:tab w:val="clear" w:pos="340"/>
        </w:tabs>
        <w:ind w:left="1134" w:hanging="567"/>
      </w:pPr>
      <w:r w:rsidRPr="00470297">
        <w:t>Addressing the long outstanding issue on name standardization and global identifier in the IP community using frontier technologies such as blockchain technologies.</w:t>
      </w:r>
    </w:p>
    <w:p w14:paraId="23EE7D4A" w14:textId="77777777" w:rsidR="0036583B" w:rsidRPr="00A35DAE" w:rsidRDefault="0036583B" w:rsidP="0036583B">
      <w:pPr>
        <w:spacing w:before="320" w:after="240"/>
        <w:rPr>
          <w:color w:val="005172" w:themeColor="text2"/>
          <w:sz w:val="22"/>
          <w:lang w:val="en-US"/>
        </w:rPr>
      </w:pPr>
      <w:r w:rsidRPr="00A35DAE">
        <w:rPr>
          <w:color w:val="005172" w:themeColor="text2"/>
          <w:sz w:val="22"/>
          <w:lang w:val="en-US"/>
        </w:rPr>
        <w:t>Global Databases</w:t>
      </w:r>
      <w:r w:rsidRPr="00A35DAE">
        <w:rPr>
          <w:color w:val="005172" w:themeColor="text2"/>
          <w:sz w:val="16"/>
          <w:szCs w:val="18"/>
          <w:lang w:val="en-US"/>
        </w:rPr>
        <w:t xml:space="preserve"> </w:t>
      </w:r>
    </w:p>
    <w:p w14:paraId="0F493815" w14:textId="77777777" w:rsidR="0036583B" w:rsidRPr="00222231" w:rsidRDefault="0036583B" w:rsidP="0036583B">
      <w:pPr>
        <w:pStyle w:val="Bullet1"/>
        <w:numPr>
          <w:ilvl w:val="0"/>
          <w:numId w:val="0"/>
        </w:numPr>
        <w:rPr>
          <w:color w:val="000000" w:themeColor="text1"/>
        </w:rPr>
      </w:pPr>
      <w:r w:rsidRPr="007D7128">
        <w:t xml:space="preserve">The work related to Global Databases </w:t>
      </w:r>
      <w:r>
        <w:t xml:space="preserve">relates </w:t>
      </w:r>
      <w:r w:rsidRPr="00470297">
        <w:rPr>
          <w:lang w:val="en-US"/>
        </w:rPr>
        <w:t>to Expected Result 3.1 of the MTSP and includes th</w:t>
      </w:r>
      <w:r>
        <w:t xml:space="preserve">e </w:t>
      </w:r>
      <w:r w:rsidRPr="007D7128">
        <w:t xml:space="preserve">management, implementation and operation of </w:t>
      </w:r>
      <w:r>
        <w:t xml:space="preserve">WIPO's public global databases, </w:t>
      </w:r>
      <w:r w:rsidRPr="007D7128">
        <w:t>namely PATENTSCOPE, the Global Brand Database</w:t>
      </w:r>
      <w:r>
        <w:t xml:space="preserve"> (GBD)</w:t>
      </w:r>
      <w:r w:rsidRPr="007D7128">
        <w:t xml:space="preserve"> and the Global Design Database</w:t>
      </w:r>
      <w:r>
        <w:t xml:space="preserve"> (GDD)</w:t>
      </w:r>
      <w:r w:rsidRPr="007D7128">
        <w:t>.</w:t>
      </w:r>
      <w:r>
        <w:t xml:space="preserve"> </w:t>
      </w:r>
      <w:r w:rsidRPr="007D7128">
        <w:t xml:space="preserve"> In addition, responsibilities also include the development of </w:t>
      </w:r>
      <w:r>
        <w:rPr>
          <w:rFonts w:eastAsia="Times New Roman" w:cs="Calibri"/>
        </w:rPr>
        <w:t xml:space="preserve">Machine Learning </w:t>
      </w:r>
      <w:r w:rsidRPr="007D7128">
        <w:t xml:space="preserve">tools to enhance </w:t>
      </w:r>
      <w:r>
        <w:rPr>
          <w:rFonts w:eastAsia="Times New Roman" w:cs="Calibri"/>
        </w:rPr>
        <w:t xml:space="preserve">processing and </w:t>
      </w:r>
      <w:r w:rsidRPr="007D7128">
        <w:t>worldwide access to IP data</w:t>
      </w:r>
      <w:r>
        <w:rPr>
          <w:rFonts w:eastAsia="Times New Roman" w:cs="Calibri"/>
        </w:rPr>
        <w:t xml:space="preserve">.  </w:t>
      </w:r>
      <w:r w:rsidRPr="007D7128">
        <w:t xml:space="preserve">The program of work for the next </w:t>
      </w:r>
      <w:r>
        <w:rPr>
          <w:rFonts w:eastAsia="Times New Roman" w:cs="Calibri"/>
        </w:rPr>
        <w:t>biennium</w:t>
      </w:r>
      <w:r w:rsidRPr="007D7128">
        <w:t xml:space="preserve"> will encompass</w:t>
      </w:r>
      <w:r>
        <w:rPr>
          <w:rFonts w:cs="Arial"/>
          <w:szCs w:val="18"/>
        </w:rPr>
        <w:t>:</w:t>
      </w:r>
    </w:p>
    <w:p w14:paraId="06F939F3" w14:textId="77777777" w:rsidR="0036583B" w:rsidRPr="00424915" w:rsidRDefault="0036583B" w:rsidP="008407D7">
      <w:pPr>
        <w:pStyle w:val="Bullet1"/>
        <w:numPr>
          <w:ilvl w:val="0"/>
          <w:numId w:val="30"/>
        </w:numPr>
        <w:tabs>
          <w:tab w:val="clear" w:pos="340"/>
        </w:tabs>
        <w:ind w:left="1134" w:hanging="567"/>
      </w:pPr>
      <w:r>
        <w:t xml:space="preserve">Continuing to </w:t>
      </w:r>
      <w:r w:rsidRPr="00424915">
        <w:t>exp</w:t>
      </w:r>
      <w:r>
        <w:t>and the</w:t>
      </w:r>
      <w:r w:rsidRPr="00424915">
        <w:t xml:space="preserve"> geographical coverage of the WIPO Global Databases by increasing the national and regional data collections, adding new sources of open access non-patent literature</w:t>
      </w:r>
      <w:r>
        <w:t>,</w:t>
      </w:r>
      <w:r w:rsidRPr="00424915">
        <w:t xml:space="preserve"> as well as improving the quality of data and timeliness of updating;</w:t>
      </w:r>
    </w:p>
    <w:p w14:paraId="2230DB39" w14:textId="77777777" w:rsidR="0036583B" w:rsidRPr="00424915" w:rsidRDefault="0036583B" w:rsidP="008407D7">
      <w:pPr>
        <w:pStyle w:val="Bullet1"/>
        <w:numPr>
          <w:ilvl w:val="0"/>
          <w:numId w:val="30"/>
        </w:numPr>
        <w:tabs>
          <w:tab w:val="clear" w:pos="340"/>
        </w:tabs>
        <w:ind w:left="1134" w:hanging="567"/>
      </w:pPr>
      <w:r w:rsidRPr="00424915">
        <w:t>Develop</w:t>
      </w:r>
      <w:r>
        <w:t>ing</w:t>
      </w:r>
      <w:r w:rsidRPr="00424915">
        <w:t xml:space="preserve"> and further refin</w:t>
      </w:r>
      <w:r>
        <w:t>ing</w:t>
      </w:r>
      <w:r w:rsidRPr="00424915">
        <w:t xml:space="preserve"> the WIPO Global Databas</w:t>
      </w:r>
      <w:r>
        <w:t>e search tools, including multi</w:t>
      </w:r>
      <w:r w:rsidRPr="00424915">
        <w:t>lingual search systems, image similarity search and retrieval systems for trademarks and industrial designs, as well as for complex work units in patent texts using chemical compounds and Markush structures search</w:t>
      </w:r>
      <w:r>
        <w:t xml:space="preserve">.  New </w:t>
      </w:r>
      <w:r w:rsidRPr="00424915">
        <w:t>search functions</w:t>
      </w:r>
      <w:r>
        <w:t xml:space="preserve"> will also be studied, namely</w:t>
      </w:r>
      <w:r w:rsidRPr="00424915">
        <w:t xml:space="preserve"> gene and sequences search</w:t>
      </w:r>
      <w:r>
        <w:t>,</w:t>
      </w:r>
      <w:r w:rsidRPr="00424915">
        <w:t xml:space="preserve"> or citation search functions</w:t>
      </w:r>
      <w:r>
        <w:t>;</w:t>
      </w:r>
    </w:p>
    <w:p w14:paraId="4756D92C" w14:textId="77777777" w:rsidR="0036583B" w:rsidRPr="00424915" w:rsidRDefault="0036583B" w:rsidP="008407D7">
      <w:pPr>
        <w:pStyle w:val="Bullet1"/>
        <w:numPr>
          <w:ilvl w:val="0"/>
          <w:numId w:val="30"/>
        </w:numPr>
        <w:tabs>
          <w:tab w:val="clear" w:pos="340"/>
        </w:tabs>
        <w:ind w:left="1134" w:hanging="567"/>
      </w:pPr>
      <w:r w:rsidRPr="00424915">
        <w:t>Continu</w:t>
      </w:r>
      <w:r>
        <w:t>ing to explore</w:t>
      </w:r>
      <w:r w:rsidRPr="00424915">
        <w:t xml:space="preserve"> an enhanced and cost-efficient architecture and model for geolocations of data servers for </w:t>
      </w:r>
      <w:r>
        <w:t>faster</w:t>
      </w:r>
      <w:r w:rsidRPr="00424915">
        <w:t xml:space="preserve"> access to Global Databases;</w:t>
      </w:r>
    </w:p>
    <w:p w14:paraId="69D6410D" w14:textId="77777777" w:rsidR="0036583B" w:rsidRPr="00424915" w:rsidRDefault="0036583B" w:rsidP="008407D7">
      <w:pPr>
        <w:pStyle w:val="Bullet1"/>
        <w:numPr>
          <w:ilvl w:val="0"/>
          <w:numId w:val="30"/>
        </w:numPr>
        <w:tabs>
          <w:tab w:val="clear" w:pos="340"/>
        </w:tabs>
        <w:ind w:left="1134" w:hanging="567"/>
      </w:pPr>
      <w:r w:rsidRPr="00424915">
        <w:t>Steward</w:t>
      </w:r>
      <w:r>
        <w:t>ing</w:t>
      </w:r>
      <w:r w:rsidRPr="00424915">
        <w:t xml:space="preserve"> the digital transformation of the Organization’s work and delivery of services, including through the consolidation of the Organization’s expertise on advanced technologies, such as AI, in the Advanced Technologies Applications Center (ATAC); </w:t>
      </w:r>
      <w:r>
        <w:t xml:space="preserve"> </w:t>
      </w:r>
    </w:p>
    <w:p w14:paraId="5B8A8848" w14:textId="77777777" w:rsidR="0036583B" w:rsidRPr="00424915" w:rsidRDefault="0036583B" w:rsidP="008407D7">
      <w:pPr>
        <w:pStyle w:val="Bullet1"/>
        <w:numPr>
          <w:ilvl w:val="0"/>
          <w:numId w:val="30"/>
        </w:numPr>
        <w:tabs>
          <w:tab w:val="clear" w:pos="340"/>
        </w:tabs>
        <w:ind w:left="1134" w:hanging="567"/>
      </w:pPr>
      <w:r w:rsidRPr="00424915">
        <w:t xml:space="preserve">Proactively </w:t>
      </w:r>
      <w:r>
        <w:t xml:space="preserve">building on opportunities generated by </w:t>
      </w:r>
      <w:r w:rsidRPr="00424915">
        <w:t xml:space="preserve">Machine Learning technology progress </w:t>
      </w:r>
      <w:r>
        <w:t>and the</w:t>
      </w:r>
      <w:r w:rsidRPr="00424915">
        <w:t xml:space="preserve"> increasing availability of IP data sets</w:t>
      </w:r>
      <w:r>
        <w:t xml:space="preserve"> </w:t>
      </w:r>
      <w:r w:rsidRPr="00424915">
        <w:t xml:space="preserve">to improve the operations of </w:t>
      </w:r>
      <w:r>
        <w:t>G</w:t>
      </w:r>
      <w:r w:rsidRPr="00424915">
        <w:t>lobal IP systems</w:t>
      </w:r>
      <w:r>
        <w:t>, namely via applications such as</w:t>
      </w:r>
      <w:r w:rsidRPr="00424915">
        <w:t>: WIPO Translate, WIPO Speech</w:t>
      </w:r>
      <w:r>
        <w:t xml:space="preserve"> t</w:t>
      </w:r>
      <w:r w:rsidRPr="00424915">
        <w:t>o</w:t>
      </w:r>
      <w:r>
        <w:t xml:space="preserve"> </w:t>
      </w:r>
      <w:r w:rsidRPr="00424915">
        <w:t>Text, WIPO image similarity search fo</w:t>
      </w:r>
      <w:r>
        <w:t>r Trademarks and Industrial Designs, and WIPO classification tools.</w:t>
      </w:r>
    </w:p>
    <w:p w14:paraId="6C9B15F5" w14:textId="77777777" w:rsidR="0036583B" w:rsidRPr="00A35DAE" w:rsidRDefault="0036583B" w:rsidP="0036583B">
      <w:pPr>
        <w:spacing w:before="320" w:after="240"/>
        <w:rPr>
          <w:color w:val="005172" w:themeColor="text2"/>
          <w:sz w:val="22"/>
          <w:lang w:val="en-US"/>
        </w:rPr>
      </w:pPr>
      <w:r w:rsidRPr="00A35DAE">
        <w:rPr>
          <w:color w:val="005172" w:themeColor="text2"/>
          <w:sz w:val="22"/>
          <w:lang w:val="en-US"/>
        </w:rPr>
        <w:t>IP Offices Business Solutions</w:t>
      </w:r>
      <w:r w:rsidRPr="00A35DAE">
        <w:rPr>
          <w:color w:val="005172" w:themeColor="text2"/>
          <w:sz w:val="16"/>
          <w:szCs w:val="18"/>
          <w:lang w:val="en-US"/>
        </w:rPr>
        <w:t xml:space="preserve"> </w:t>
      </w:r>
    </w:p>
    <w:p w14:paraId="14A6561C" w14:textId="77777777" w:rsidR="0036583B" w:rsidRDefault="0036583B" w:rsidP="0036583B">
      <w:pPr>
        <w:spacing w:line="240" w:lineRule="auto"/>
        <w:rPr>
          <w:color w:val="000000" w:themeColor="text1"/>
        </w:rPr>
      </w:pPr>
      <w:r w:rsidRPr="006B726C">
        <w:rPr>
          <w:rFonts w:cs="Arial"/>
          <w:color w:val="000000" w:themeColor="text1"/>
          <w:shd w:val="clear" w:color="auto" w:fill="FAFAFA"/>
        </w:rPr>
        <w:t xml:space="preserve">WIPO’s program of assistance to IP </w:t>
      </w:r>
      <w:r>
        <w:rPr>
          <w:rFonts w:cs="Arial"/>
          <w:color w:val="000000" w:themeColor="text1"/>
          <w:shd w:val="clear" w:color="auto" w:fill="FAFAFA"/>
        </w:rPr>
        <w:t>O</w:t>
      </w:r>
      <w:r w:rsidRPr="006B726C">
        <w:rPr>
          <w:rFonts w:cs="Arial"/>
          <w:color w:val="000000" w:themeColor="text1"/>
          <w:shd w:val="clear" w:color="auto" w:fill="FAFAFA"/>
        </w:rPr>
        <w:t>ffices</w:t>
      </w:r>
      <w:r>
        <w:rPr>
          <w:rFonts w:cs="Arial"/>
          <w:color w:val="000000" w:themeColor="text1"/>
          <w:shd w:val="clear" w:color="auto" w:fill="FAFAFA"/>
        </w:rPr>
        <w:t>, called the IP Offices Business Solutions,</w:t>
      </w:r>
      <w:r w:rsidRPr="006B726C">
        <w:rPr>
          <w:rFonts w:cs="Arial"/>
          <w:color w:val="000000" w:themeColor="text1"/>
          <w:shd w:val="clear" w:color="auto" w:fill="FAFAFA"/>
        </w:rPr>
        <w:t xml:space="preserve"> provides business systems for national and regional institutions </w:t>
      </w:r>
      <w:r>
        <w:rPr>
          <w:rFonts w:cs="Arial"/>
          <w:color w:val="000000" w:themeColor="text1"/>
          <w:shd w:val="clear" w:color="auto" w:fill="FAFAFA"/>
        </w:rPr>
        <w:t xml:space="preserve">primarily </w:t>
      </w:r>
      <w:r w:rsidRPr="006B726C">
        <w:rPr>
          <w:rFonts w:cs="Arial"/>
          <w:color w:val="000000" w:themeColor="text1"/>
          <w:shd w:val="clear" w:color="auto" w:fill="FAFAFA"/>
        </w:rPr>
        <w:t xml:space="preserve">in developing </w:t>
      </w:r>
      <w:r>
        <w:rPr>
          <w:rFonts w:cs="Arial"/>
          <w:color w:val="000000" w:themeColor="text1"/>
          <w:shd w:val="clear" w:color="auto" w:fill="FAFAFA"/>
        </w:rPr>
        <w:t>countries and LDCs</w:t>
      </w:r>
      <w:r w:rsidRPr="006B726C">
        <w:rPr>
          <w:rFonts w:cs="Arial"/>
          <w:color w:val="000000" w:themeColor="text1"/>
          <w:shd w:val="clear" w:color="auto" w:fill="FAFAFA"/>
        </w:rPr>
        <w:t>, enabling them to participate effectively in the global IP system</w:t>
      </w:r>
      <w:r>
        <w:rPr>
          <w:rFonts w:cs="Arial"/>
          <w:color w:val="000000" w:themeColor="text1"/>
          <w:shd w:val="clear" w:color="auto" w:fill="FAFAFA"/>
        </w:rPr>
        <w:t xml:space="preserve"> in </w:t>
      </w:r>
      <w:r w:rsidRPr="00470297">
        <w:rPr>
          <w:lang w:val="en-US"/>
        </w:rPr>
        <w:t>line with Expected Result 4.5.  The program</w:t>
      </w:r>
      <w:r>
        <w:rPr>
          <w:rFonts w:cs="Arial"/>
          <w:color w:val="000000" w:themeColor="text1"/>
          <w:shd w:val="clear" w:color="auto" w:fill="FAFAFA"/>
        </w:rPr>
        <w:t xml:space="preserve"> of work </w:t>
      </w:r>
      <w:r w:rsidRPr="006B726C">
        <w:rPr>
          <w:rFonts w:cs="Arial"/>
          <w:color w:val="000000" w:themeColor="text1"/>
          <w:szCs w:val="18"/>
        </w:rPr>
        <w:t xml:space="preserve">in the </w:t>
      </w:r>
      <w:r w:rsidRPr="006B726C">
        <w:rPr>
          <w:color w:val="000000" w:themeColor="text1"/>
        </w:rPr>
        <w:t>next biennium will</w:t>
      </w:r>
      <w:r>
        <w:rPr>
          <w:color w:val="000000" w:themeColor="text1"/>
        </w:rPr>
        <w:t>,</w:t>
      </w:r>
      <w:r w:rsidRPr="006B726C">
        <w:rPr>
          <w:color w:val="000000" w:themeColor="text1"/>
        </w:rPr>
        <w:t xml:space="preserve"> in particular</w:t>
      </w:r>
      <w:r>
        <w:rPr>
          <w:color w:val="000000" w:themeColor="text1"/>
        </w:rPr>
        <w:t>,</w:t>
      </w:r>
      <w:r w:rsidRPr="006B726C">
        <w:rPr>
          <w:color w:val="000000" w:themeColor="text1"/>
        </w:rPr>
        <w:t xml:space="preserve"> focus on:</w:t>
      </w:r>
    </w:p>
    <w:p w14:paraId="4C423E9F" w14:textId="77777777" w:rsidR="0036583B" w:rsidRDefault="0036583B" w:rsidP="008407D7">
      <w:pPr>
        <w:pStyle w:val="ListParagraph"/>
        <w:numPr>
          <w:ilvl w:val="0"/>
          <w:numId w:val="31"/>
        </w:numPr>
        <w:spacing w:after="120"/>
        <w:ind w:left="1134" w:hanging="567"/>
        <w:rPr>
          <w:rFonts w:ascii="Arial" w:eastAsiaTheme="minorHAnsi" w:hAnsi="Arial" w:cstheme="minorBidi"/>
          <w:sz w:val="18"/>
          <w:lang w:eastAsia="en-US"/>
        </w:rPr>
      </w:pPr>
      <w:r>
        <w:rPr>
          <w:rFonts w:ascii="Arial" w:eastAsiaTheme="minorHAnsi" w:hAnsi="Arial" w:cstheme="minorBidi"/>
          <w:sz w:val="18"/>
          <w:lang w:eastAsia="en-US"/>
        </w:rPr>
        <w:t>Promoting</w:t>
      </w:r>
      <w:r w:rsidRPr="00247383">
        <w:rPr>
          <w:rFonts w:ascii="Arial" w:eastAsiaTheme="minorHAnsi" w:hAnsi="Arial" w:cstheme="minorBidi"/>
          <w:sz w:val="18"/>
          <w:lang w:eastAsia="en-US"/>
        </w:rPr>
        <w:t xml:space="preserve"> </w:t>
      </w:r>
      <w:r>
        <w:rPr>
          <w:rFonts w:ascii="Arial" w:eastAsiaTheme="minorHAnsi" w:hAnsi="Arial" w:cstheme="minorBidi"/>
          <w:sz w:val="18"/>
          <w:lang w:eastAsia="en-US"/>
        </w:rPr>
        <w:t xml:space="preserve">the </w:t>
      </w:r>
      <w:r w:rsidRPr="00247383">
        <w:rPr>
          <w:rFonts w:ascii="Arial" w:eastAsiaTheme="minorHAnsi" w:hAnsi="Arial" w:cstheme="minorBidi"/>
          <w:sz w:val="18"/>
          <w:lang w:eastAsia="en-US"/>
        </w:rPr>
        <w:t xml:space="preserve">digital transformation of IP </w:t>
      </w:r>
      <w:r>
        <w:rPr>
          <w:rFonts w:ascii="Arial" w:eastAsiaTheme="minorHAnsi" w:hAnsi="Arial" w:cstheme="minorBidi"/>
          <w:sz w:val="18"/>
          <w:lang w:eastAsia="en-US"/>
        </w:rPr>
        <w:t>O</w:t>
      </w:r>
      <w:r w:rsidRPr="00247383">
        <w:rPr>
          <w:rFonts w:ascii="Arial" w:eastAsiaTheme="minorHAnsi" w:hAnsi="Arial" w:cstheme="minorBidi"/>
          <w:sz w:val="18"/>
          <w:lang w:eastAsia="en-US"/>
        </w:rPr>
        <w:t xml:space="preserve">ffices and </w:t>
      </w:r>
      <w:r>
        <w:rPr>
          <w:rFonts w:ascii="Arial" w:eastAsiaTheme="minorHAnsi" w:hAnsi="Arial" w:cstheme="minorBidi"/>
          <w:sz w:val="18"/>
          <w:lang w:eastAsia="en-US"/>
        </w:rPr>
        <w:t xml:space="preserve">supporting their ability to provide their services </w:t>
      </w:r>
      <w:r w:rsidRPr="00247383">
        <w:rPr>
          <w:rFonts w:ascii="Arial" w:eastAsiaTheme="minorHAnsi" w:hAnsi="Arial" w:cstheme="minorBidi"/>
          <w:sz w:val="18"/>
          <w:lang w:eastAsia="en-US"/>
        </w:rPr>
        <w:t xml:space="preserve">online </w:t>
      </w:r>
      <w:r>
        <w:rPr>
          <w:rFonts w:ascii="Arial" w:eastAsiaTheme="minorHAnsi" w:hAnsi="Arial" w:cstheme="minorBidi"/>
          <w:sz w:val="18"/>
          <w:lang w:eastAsia="en-US"/>
        </w:rPr>
        <w:t xml:space="preserve">by </w:t>
      </w:r>
      <w:r w:rsidRPr="00247383">
        <w:rPr>
          <w:rFonts w:ascii="Arial" w:eastAsiaTheme="minorHAnsi" w:hAnsi="Arial" w:cstheme="minorBidi"/>
          <w:sz w:val="18"/>
          <w:lang w:eastAsia="en-US"/>
        </w:rPr>
        <w:t>using the WIPO IP Office Suite of applications (</w:t>
      </w:r>
      <w:r>
        <w:rPr>
          <w:rFonts w:ascii="Arial" w:eastAsiaTheme="minorHAnsi" w:hAnsi="Arial" w:cstheme="minorBidi"/>
          <w:sz w:val="18"/>
          <w:lang w:eastAsia="en-US"/>
        </w:rPr>
        <w:t xml:space="preserve">WIPO </w:t>
      </w:r>
      <w:r w:rsidRPr="00AF38E3">
        <w:rPr>
          <w:rFonts w:ascii="Arial" w:eastAsiaTheme="minorHAnsi" w:hAnsi="Arial" w:cstheme="minorBidi"/>
          <w:sz w:val="18"/>
          <w:lang w:eastAsia="en-US"/>
        </w:rPr>
        <w:t>Industrial Property Administration System</w:t>
      </w:r>
      <w:r>
        <w:rPr>
          <w:rFonts w:ascii="Arial" w:eastAsiaTheme="minorHAnsi" w:hAnsi="Arial" w:cstheme="minorBidi"/>
          <w:sz w:val="18"/>
          <w:lang w:eastAsia="en-US"/>
        </w:rPr>
        <w:t xml:space="preserve"> (</w:t>
      </w:r>
      <w:r w:rsidRPr="00247383">
        <w:rPr>
          <w:rFonts w:ascii="Arial" w:eastAsiaTheme="minorHAnsi" w:hAnsi="Arial" w:cstheme="minorBidi"/>
          <w:sz w:val="18"/>
          <w:lang w:eastAsia="en-US"/>
        </w:rPr>
        <w:t>IPAS</w:t>
      </w:r>
      <w:r>
        <w:rPr>
          <w:rFonts w:ascii="Arial" w:eastAsiaTheme="minorHAnsi" w:hAnsi="Arial" w:cstheme="minorBidi"/>
          <w:sz w:val="18"/>
          <w:lang w:eastAsia="en-US"/>
        </w:rPr>
        <w:t>)</w:t>
      </w:r>
      <w:r w:rsidRPr="00247383">
        <w:rPr>
          <w:rFonts w:ascii="Arial" w:eastAsiaTheme="minorHAnsi" w:hAnsi="Arial" w:cstheme="minorBidi"/>
          <w:sz w:val="18"/>
          <w:lang w:eastAsia="en-US"/>
        </w:rPr>
        <w:t>, WIPO File, WIPO Publish)</w:t>
      </w:r>
      <w:r>
        <w:rPr>
          <w:rFonts w:ascii="Arial" w:eastAsiaTheme="minorHAnsi" w:hAnsi="Arial" w:cstheme="minorBidi"/>
          <w:sz w:val="18"/>
          <w:lang w:eastAsia="en-US"/>
        </w:rPr>
        <w:t>.  A key focus of the 2024/25 biennium will be to upgrade the service level of IP Offices that are already using the WIPO IP Office Suite, especially helping them to implement online and paperless services.  This is reflected in the target for the “Service Level” key performance indicator.</w:t>
      </w:r>
    </w:p>
    <w:p w14:paraId="24693A6C" w14:textId="77777777" w:rsidR="0036583B" w:rsidRPr="00247383" w:rsidRDefault="0036583B" w:rsidP="0036583B">
      <w:pPr>
        <w:pStyle w:val="ListParagraph"/>
        <w:spacing w:after="120"/>
        <w:ind w:left="1134"/>
        <w:rPr>
          <w:rFonts w:ascii="Arial" w:eastAsiaTheme="minorHAnsi" w:hAnsi="Arial" w:cstheme="minorBidi"/>
          <w:sz w:val="18"/>
          <w:lang w:eastAsia="en-US"/>
        </w:rPr>
      </w:pPr>
    </w:p>
    <w:p w14:paraId="73F300D8" w14:textId="77777777" w:rsidR="0036583B" w:rsidRPr="00B11B57" w:rsidRDefault="0036583B" w:rsidP="008407D7">
      <w:pPr>
        <w:pStyle w:val="ListParagraph"/>
        <w:numPr>
          <w:ilvl w:val="0"/>
          <w:numId w:val="31"/>
        </w:numPr>
        <w:spacing w:after="120"/>
        <w:ind w:left="1134" w:hanging="567"/>
        <w:rPr>
          <w:rFonts w:ascii="Arial" w:eastAsiaTheme="minorHAnsi" w:hAnsi="Arial" w:cstheme="minorBidi"/>
          <w:sz w:val="18"/>
          <w:lang w:eastAsia="en-US"/>
        </w:rPr>
      </w:pPr>
      <w:r w:rsidRPr="00B11B57">
        <w:rPr>
          <w:rFonts w:ascii="Arial" w:hAnsi="Arial" w:cstheme="minorBidi"/>
          <w:sz w:val="18"/>
          <w:lang w:eastAsia="en-US"/>
        </w:rPr>
        <w:t>Meeting the needs of IP Offices at different levels of maturity in developing</w:t>
      </w:r>
      <w:r>
        <w:rPr>
          <w:rFonts w:ascii="Arial" w:hAnsi="Arial" w:cstheme="minorBidi"/>
          <w:sz w:val="18"/>
          <w:lang w:eastAsia="en-US"/>
        </w:rPr>
        <w:t xml:space="preserve"> countries</w:t>
      </w:r>
      <w:r w:rsidRPr="00B11B57">
        <w:rPr>
          <w:rFonts w:ascii="Arial" w:hAnsi="Arial" w:cstheme="minorBidi"/>
          <w:sz w:val="18"/>
          <w:lang w:eastAsia="en-US"/>
        </w:rPr>
        <w:t xml:space="preserve">, </w:t>
      </w:r>
      <w:r>
        <w:rPr>
          <w:rFonts w:ascii="Arial" w:hAnsi="Arial" w:cstheme="minorBidi"/>
          <w:sz w:val="18"/>
          <w:lang w:eastAsia="en-US"/>
        </w:rPr>
        <w:t xml:space="preserve">countries with economies in </w:t>
      </w:r>
      <w:r w:rsidRPr="00B11B57">
        <w:rPr>
          <w:rFonts w:ascii="Arial" w:hAnsi="Arial" w:cstheme="minorBidi"/>
          <w:sz w:val="18"/>
          <w:lang w:eastAsia="en-US"/>
        </w:rPr>
        <w:t>transition and least developed countries, to enable fully digital registries, improve the timeliness, completeness and quality of published IP data, provide fully online services, and automate linkages between national IP systems and the global and regional IP Systems (PCT, Madrid and the Hague as well as ARIPO, EPO, EUIPO, OAPI</w:t>
      </w:r>
      <w:r>
        <w:rPr>
          <w:rFonts w:ascii="Arial" w:hAnsi="Arial" w:cstheme="minorBidi"/>
          <w:sz w:val="18"/>
          <w:lang w:eastAsia="en-US"/>
        </w:rPr>
        <w:t>,</w:t>
      </w:r>
      <w:r w:rsidRPr="00B11B57">
        <w:rPr>
          <w:rFonts w:ascii="Arial" w:hAnsi="Arial" w:cstheme="minorBidi"/>
          <w:sz w:val="18"/>
          <w:lang w:eastAsia="en-US"/>
        </w:rPr>
        <w:t xml:space="preserve"> respectively).  </w:t>
      </w:r>
    </w:p>
    <w:p w14:paraId="4C7466D6" w14:textId="77777777" w:rsidR="0036583B" w:rsidRDefault="0036583B" w:rsidP="0036583B">
      <w:pPr>
        <w:pStyle w:val="ListParagraph"/>
        <w:spacing w:after="120"/>
        <w:ind w:left="1134"/>
        <w:rPr>
          <w:rFonts w:ascii="Arial" w:eastAsiaTheme="minorHAnsi" w:hAnsi="Arial" w:cstheme="minorBidi"/>
          <w:sz w:val="18"/>
          <w:lang w:eastAsia="en-US"/>
        </w:rPr>
      </w:pPr>
    </w:p>
    <w:p w14:paraId="289A1010" w14:textId="72EDE4EE" w:rsidR="0036583B" w:rsidRDefault="0036583B" w:rsidP="008407D7">
      <w:pPr>
        <w:pStyle w:val="ListParagraph"/>
        <w:numPr>
          <w:ilvl w:val="0"/>
          <w:numId w:val="31"/>
        </w:numPr>
        <w:spacing w:after="120"/>
        <w:ind w:left="1134" w:hanging="567"/>
        <w:rPr>
          <w:rFonts w:ascii="Arial" w:eastAsiaTheme="minorHAnsi" w:hAnsi="Arial" w:cstheme="minorBidi"/>
          <w:sz w:val="18"/>
          <w:lang w:eastAsia="en-US"/>
        </w:rPr>
      </w:pPr>
      <w:r>
        <w:rPr>
          <w:rFonts w:ascii="Arial" w:eastAsiaTheme="minorHAnsi" w:hAnsi="Arial" w:cstheme="minorBidi"/>
          <w:sz w:val="18"/>
          <w:lang w:eastAsia="en-US"/>
        </w:rPr>
        <w:t>Develop new functionality within the W</w:t>
      </w:r>
      <w:r w:rsidR="006F763F">
        <w:rPr>
          <w:rFonts w:ascii="Arial" w:eastAsiaTheme="minorHAnsi" w:hAnsi="Arial" w:cstheme="minorBidi"/>
          <w:sz w:val="18"/>
          <w:lang w:eastAsia="en-US"/>
        </w:rPr>
        <w:t>IPO Office Suite to support IP O</w:t>
      </w:r>
      <w:r>
        <w:rPr>
          <w:rFonts w:ascii="Arial" w:eastAsiaTheme="minorHAnsi" w:hAnsi="Arial" w:cstheme="minorBidi"/>
          <w:sz w:val="18"/>
          <w:lang w:eastAsia="en-US"/>
        </w:rPr>
        <w:t>ffices with other forms of IP registration, including voluntary registration of copyright, traditional cultural expressions, etc.  Investigate the feasibility of extending the functionality to support customs recordation of IP rights;</w:t>
      </w:r>
    </w:p>
    <w:p w14:paraId="3966F401" w14:textId="77777777" w:rsidR="0036583B" w:rsidRPr="001E19FC" w:rsidRDefault="0036583B" w:rsidP="0036583B">
      <w:pPr>
        <w:pStyle w:val="ListParagraph"/>
        <w:ind w:left="1134" w:hanging="567"/>
        <w:rPr>
          <w:rFonts w:ascii="Arial" w:eastAsiaTheme="minorHAnsi" w:hAnsi="Arial" w:cstheme="minorBidi"/>
          <w:sz w:val="18"/>
          <w:lang w:eastAsia="en-US"/>
        </w:rPr>
      </w:pPr>
    </w:p>
    <w:p w14:paraId="3DAB9B10" w14:textId="77777777" w:rsidR="0036583B" w:rsidRPr="00247383" w:rsidRDefault="0036583B" w:rsidP="008407D7">
      <w:pPr>
        <w:pStyle w:val="ListParagraph"/>
        <w:numPr>
          <w:ilvl w:val="0"/>
          <w:numId w:val="31"/>
        </w:numPr>
        <w:spacing w:after="120"/>
        <w:ind w:left="1134" w:hanging="567"/>
        <w:rPr>
          <w:rFonts w:ascii="Arial" w:eastAsiaTheme="minorHAnsi" w:hAnsi="Arial" w:cstheme="minorBidi"/>
          <w:sz w:val="18"/>
          <w:lang w:eastAsia="en-US"/>
        </w:rPr>
      </w:pPr>
      <w:r w:rsidRPr="00247383">
        <w:rPr>
          <w:rFonts w:ascii="Arial" w:eastAsiaTheme="minorHAnsi" w:hAnsi="Arial" w:cstheme="minorBidi"/>
          <w:sz w:val="18"/>
          <w:lang w:eastAsia="en-US"/>
        </w:rPr>
        <w:t>Promot</w:t>
      </w:r>
      <w:r>
        <w:rPr>
          <w:rFonts w:ascii="Arial" w:eastAsiaTheme="minorHAnsi" w:hAnsi="Arial" w:cstheme="minorBidi"/>
          <w:sz w:val="18"/>
          <w:lang w:eastAsia="en-US"/>
        </w:rPr>
        <w:t>ing</w:t>
      </w:r>
      <w:r w:rsidRPr="00247383">
        <w:rPr>
          <w:rFonts w:ascii="Arial" w:eastAsiaTheme="minorHAnsi" w:hAnsi="Arial" w:cstheme="minorBidi"/>
          <w:sz w:val="18"/>
          <w:lang w:eastAsia="en-US"/>
        </w:rPr>
        <w:t xml:space="preserve"> the effective use of the WIPO DAS </w:t>
      </w:r>
      <w:r>
        <w:rPr>
          <w:rFonts w:ascii="Arial" w:eastAsiaTheme="minorHAnsi" w:hAnsi="Arial" w:cstheme="minorBidi"/>
          <w:sz w:val="18"/>
          <w:lang w:eastAsia="en-US"/>
        </w:rPr>
        <w:t xml:space="preserve">(Digital Access Service) </w:t>
      </w:r>
      <w:r w:rsidRPr="00247383">
        <w:rPr>
          <w:rFonts w:ascii="Arial" w:eastAsiaTheme="minorHAnsi" w:hAnsi="Arial" w:cstheme="minorBidi"/>
          <w:sz w:val="18"/>
          <w:lang w:eastAsia="en-US"/>
        </w:rPr>
        <w:t>system for the exchange of digitally certifie</w:t>
      </w:r>
      <w:r>
        <w:rPr>
          <w:rFonts w:ascii="Arial" w:eastAsiaTheme="minorHAnsi" w:hAnsi="Arial" w:cstheme="minorBidi"/>
          <w:sz w:val="18"/>
          <w:lang w:eastAsia="en-US"/>
        </w:rPr>
        <w:t>d priority documents for patent</w:t>
      </w:r>
      <w:r w:rsidRPr="00247383">
        <w:rPr>
          <w:rFonts w:ascii="Arial" w:eastAsiaTheme="minorHAnsi" w:hAnsi="Arial" w:cstheme="minorBidi"/>
          <w:sz w:val="18"/>
          <w:lang w:eastAsia="en-US"/>
        </w:rPr>
        <w:t>, industrial design and trademark applications</w:t>
      </w:r>
      <w:r>
        <w:rPr>
          <w:rFonts w:ascii="Arial" w:eastAsiaTheme="minorHAnsi" w:hAnsi="Arial" w:cstheme="minorBidi"/>
          <w:sz w:val="18"/>
          <w:lang w:eastAsia="en-US"/>
        </w:rPr>
        <w:t xml:space="preserve"> via: (i)</w:t>
      </w:r>
      <w:r w:rsidRPr="00247383">
        <w:rPr>
          <w:rFonts w:ascii="Arial" w:eastAsiaTheme="minorHAnsi" w:hAnsi="Arial" w:cstheme="minorBidi"/>
          <w:sz w:val="18"/>
          <w:lang w:eastAsia="en-US"/>
        </w:rPr>
        <w:t xml:space="preserve"> enhanc</w:t>
      </w:r>
      <w:r>
        <w:rPr>
          <w:rFonts w:ascii="Arial" w:eastAsiaTheme="minorHAnsi" w:hAnsi="Arial" w:cstheme="minorBidi"/>
          <w:sz w:val="18"/>
          <w:lang w:eastAsia="en-US"/>
        </w:rPr>
        <w:t>ing</w:t>
      </w:r>
      <w:r w:rsidRPr="00247383">
        <w:rPr>
          <w:rFonts w:ascii="Arial" w:eastAsiaTheme="minorHAnsi" w:hAnsi="Arial" w:cstheme="minorBidi"/>
          <w:sz w:val="18"/>
          <w:lang w:eastAsia="en-US"/>
        </w:rPr>
        <w:t xml:space="preserve"> support</w:t>
      </w:r>
      <w:r>
        <w:rPr>
          <w:rFonts w:ascii="Arial" w:eastAsiaTheme="minorHAnsi" w:hAnsi="Arial" w:cstheme="minorBidi"/>
          <w:sz w:val="18"/>
          <w:lang w:eastAsia="en-US"/>
        </w:rPr>
        <w:t xml:space="preserve"> to users and participating IP O</w:t>
      </w:r>
      <w:r w:rsidRPr="00247383">
        <w:rPr>
          <w:rFonts w:ascii="Arial" w:eastAsiaTheme="minorHAnsi" w:hAnsi="Arial" w:cstheme="minorBidi"/>
          <w:sz w:val="18"/>
          <w:lang w:eastAsia="en-US"/>
        </w:rPr>
        <w:t>ffices</w:t>
      </w:r>
      <w:r>
        <w:rPr>
          <w:rFonts w:ascii="Arial" w:eastAsiaTheme="minorHAnsi" w:hAnsi="Arial" w:cstheme="minorBidi"/>
          <w:sz w:val="18"/>
          <w:lang w:eastAsia="en-US"/>
        </w:rPr>
        <w:t>; and (ii)</w:t>
      </w:r>
      <w:r w:rsidRPr="00247383">
        <w:rPr>
          <w:rFonts w:ascii="Arial" w:eastAsiaTheme="minorHAnsi" w:hAnsi="Arial" w:cstheme="minorBidi"/>
          <w:sz w:val="18"/>
          <w:lang w:eastAsia="en-US"/>
        </w:rPr>
        <w:t xml:space="preserve"> moderniz</w:t>
      </w:r>
      <w:r>
        <w:rPr>
          <w:rFonts w:ascii="Arial" w:eastAsiaTheme="minorHAnsi" w:hAnsi="Arial" w:cstheme="minorBidi"/>
          <w:sz w:val="18"/>
          <w:lang w:eastAsia="en-US"/>
        </w:rPr>
        <w:t>ing</w:t>
      </w:r>
      <w:r w:rsidRPr="00247383">
        <w:rPr>
          <w:rFonts w:ascii="Arial" w:eastAsiaTheme="minorHAnsi" w:hAnsi="Arial" w:cstheme="minorBidi"/>
          <w:sz w:val="18"/>
          <w:lang w:eastAsia="en-US"/>
        </w:rPr>
        <w:t xml:space="preserve"> the underlying technology platform to further improve the securit</w:t>
      </w:r>
      <w:r>
        <w:rPr>
          <w:rFonts w:ascii="Arial" w:eastAsiaTheme="minorHAnsi" w:hAnsi="Arial" w:cstheme="minorBidi"/>
          <w:sz w:val="18"/>
          <w:lang w:eastAsia="en-US"/>
        </w:rPr>
        <w:t>y and reliability of the system;</w:t>
      </w:r>
    </w:p>
    <w:p w14:paraId="7B688056" w14:textId="77777777" w:rsidR="0036583B" w:rsidRPr="00247383" w:rsidRDefault="0036583B" w:rsidP="0036583B">
      <w:pPr>
        <w:pStyle w:val="ListParagraph"/>
        <w:spacing w:after="120"/>
        <w:ind w:left="1134" w:hanging="567"/>
        <w:rPr>
          <w:rFonts w:ascii="Arial" w:eastAsiaTheme="minorHAnsi" w:hAnsi="Arial" w:cstheme="minorBidi"/>
          <w:sz w:val="18"/>
          <w:lang w:eastAsia="en-US"/>
        </w:rPr>
      </w:pPr>
    </w:p>
    <w:p w14:paraId="7310670A" w14:textId="59F6E33F" w:rsidR="0036583B" w:rsidRPr="00247383" w:rsidRDefault="0036583B" w:rsidP="008407D7">
      <w:pPr>
        <w:pStyle w:val="ListParagraph"/>
        <w:numPr>
          <w:ilvl w:val="0"/>
          <w:numId w:val="31"/>
        </w:numPr>
        <w:spacing w:after="120"/>
        <w:ind w:left="1134" w:hanging="567"/>
        <w:contextualSpacing w:val="0"/>
        <w:rPr>
          <w:rFonts w:ascii="Arial" w:eastAsiaTheme="minorHAnsi" w:hAnsi="Arial" w:cstheme="minorBidi"/>
          <w:sz w:val="18"/>
          <w:lang w:eastAsia="en-US"/>
        </w:rPr>
      </w:pPr>
      <w:r>
        <w:rPr>
          <w:rFonts w:ascii="Arial" w:eastAsiaTheme="minorHAnsi" w:hAnsi="Arial" w:cstheme="minorBidi"/>
          <w:sz w:val="18"/>
          <w:lang w:eastAsia="en-US"/>
        </w:rPr>
        <w:t>Promoting and enhancing</w:t>
      </w:r>
      <w:r w:rsidRPr="00247383">
        <w:rPr>
          <w:rFonts w:ascii="Arial" w:eastAsiaTheme="minorHAnsi" w:hAnsi="Arial" w:cstheme="minorBidi"/>
          <w:sz w:val="18"/>
          <w:lang w:eastAsia="en-US"/>
        </w:rPr>
        <w:t xml:space="preserve"> WIPO CASE </w:t>
      </w:r>
      <w:r>
        <w:rPr>
          <w:rFonts w:ascii="Arial" w:eastAsiaTheme="minorHAnsi" w:hAnsi="Arial" w:cstheme="minorBidi"/>
          <w:sz w:val="18"/>
          <w:lang w:eastAsia="en-US"/>
        </w:rPr>
        <w:t xml:space="preserve">(Centralized Access to Search and </w:t>
      </w:r>
      <w:r w:rsidR="0026419C">
        <w:rPr>
          <w:rFonts w:ascii="Arial" w:eastAsiaTheme="minorHAnsi" w:hAnsi="Arial" w:cstheme="minorBidi"/>
          <w:sz w:val="18"/>
          <w:lang w:eastAsia="en-US"/>
        </w:rPr>
        <w:t>Examination</w:t>
      </w:r>
      <w:r>
        <w:rPr>
          <w:rFonts w:ascii="Arial" w:eastAsiaTheme="minorHAnsi" w:hAnsi="Arial" w:cstheme="minorBidi"/>
          <w:sz w:val="18"/>
          <w:lang w:eastAsia="en-US"/>
        </w:rPr>
        <w:t xml:space="preserve">) </w:t>
      </w:r>
      <w:r w:rsidRPr="00247383">
        <w:rPr>
          <w:rFonts w:ascii="Arial" w:eastAsiaTheme="minorHAnsi" w:hAnsi="Arial" w:cstheme="minorBidi"/>
          <w:sz w:val="18"/>
          <w:lang w:eastAsia="en-US"/>
        </w:rPr>
        <w:t xml:space="preserve">based on feedback from users, </w:t>
      </w:r>
      <w:r>
        <w:rPr>
          <w:rFonts w:ascii="Arial" w:eastAsiaTheme="minorHAnsi" w:hAnsi="Arial" w:cstheme="minorBidi"/>
          <w:sz w:val="18"/>
          <w:lang w:eastAsia="en-US"/>
        </w:rPr>
        <w:t xml:space="preserve">and ensuring </w:t>
      </w:r>
      <w:r w:rsidRPr="00247383">
        <w:rPr>
          <w:rFonts w:ascii="Arial" w:eastAsiaTheme="minorHAnsi" w:hAnsi="Arial" w:cstheme="minorBidi"/>
          <w:sz w:val="18"/>
          <w:lang w:eastAsia="en-US"/>
        </w:rPr>
        <w:t>effective utilization of the system by encouraging more Offices to join as well as providing training and documentation.</w:t>
      </w:r>
    </w:p>
    <w:p w14:paraId="574DD7F4" w14:textId="77777777" w:rsidR="0036583B" w:rsidRPr="00A35DAE" w:rsidRDefault="0036583B" w:rsidP="0036583B">
      <w:pPr>
        <w:spacing w:before="320" w:after="240"/>
        <w:rPr>
          <w:color w:val="005172" w:themeColor="text2"/>
          <w:sz w:val="22"/>
          <w:lang w:val="en-US"/>
        </w:rPr>
      </w:pPr>
      <w:r w:rsidRPr="00A35DAE">
        <w:rPr>
          <w:color w:val="005172" w:themeColor="text2"/>
          <w:sz w:val="22"/>
          <w:lang w:val="en-US"/>
        </w:rPr>
        <w:t>IP and Frontier Technologies</w:t>
      </w:r>
      <w:r w:rsidRPr="00A35DAE">
        <w:rPr>
          <w:color w:val="005172" w:themeColor="text2"/>
          <w:sz w:val="16"/>
          <w:szCs w:val="18"/>
          <w:lang w:val="en-US"/>
        </w:rPr>
        <w:t xml:space="preserve"> </w:t>
      </w:r>
    </w:p>
    <w:p w14:paraId="60628614" w14:textId="77777777" w:rsidR="0036583B" w:rsidRDefault="0036583B" w:rsidP="0036583B">
      <w:pPr>
        <w:rPr>
          <w:rFonts w:eastAsia="Times New Roman" w:cs="Arial"/>
          <w:color w:val="000000" w:themeColor="text1"/>
          <w:szCs w:val="18"/>
          <w:lang w:val="en-US"/>
        </w:rPr>
      </w:pPr>
      <w:r w:rsidRPr="00470297">
        <w:rPr>
          <w:rFonts w:eastAsia="Times New Roman" w:cs="Arial"/>
          <w:color w:val="000000" w:themeColor="text1"/>
          <w:szCs w:val="18"/>
          <w:lang w:val="en-US"/>
        </w:rPr>
        <w:t xml:space="preserve">The work program related to IP and Frontier Technologies, </w:t>
      </w:r>
      <w:r w:rsidRPr="00470297">
        <w:rPr>
          <w:lang w:val="en-US"/>
        </w:rPr>
        <w:t>under Expected Result 2.2 of the MTSP, focuses</w:t>
      </w:r>
      <w:r w:rsidRPr="00470297">
        <w:rPr>
          <w:rFonts w:eastAsia="Times New Roman" w:cs="Arial"/>
          <w:color w:val="000000" w:themeColor="text1"/>
          <w:szCs w:val="18"/>
          <w:lang w:val="en-US"/>
        </w:rPr>
        <w:t xml:space="preserve"> on the impact on global and local IP ecosystems of such technologies, including AI, big data, the metaverse, blockchain, gene engineering, etc.  Efforts in the next biennium will aim at continuing the WIPO Conversation, to help stakeholders with exploring and understanding the options available to them when addressing the IP questions in this fast moving field and, in parallel, drawing on the richness of the discussions and take-aways from the session to translate them into practical outcomes and impact driven projects. </w:t>
      </w:r>
    </w:p>
    <w:p w14:paraId="3EBE9052" w14:textId="77777777" w:rsidR="0036583B" w:rsidRPr="003E1664" w:rsidRDefault="0036583B" w:rsidP="0036583B">
      <w:pPr>
        <w:rPr>
          <w:rFonts w:eastAsia="Times New Roman" w:cs="Arial"/>
          <w:color w:val="000000" w:themeColor="text1"/>
          <w:szCs w:val="18"/>
          <w:lang w:val="en-US"/>
        </w:rPr>
      </w:pPr>
      <w:r>
        <w:rPr>
          <w:rFonts w:eastAsia="Times New Roman" w:cs="Arial"/>
          <w:color w:val="000000" w:themeColor="text1"/>
          <w:szCs w:val="18"/>
          <w:lang w:val="en-US"/>
        </w:rPr>
        <w:t>Initiatives will include:</w:t>
      </w:r>
    </w:p>
    <w:p w14:paraId="2FB37893" w14:textId="77777777" w:rsidR="0036583B" w:rsidRPr="00AC1FC8" w:rsidRDefault="0036583B" w:rsidP="008407D7">
      <w:pPr>
        <w:pStyle w:val="ListParagraph"/>
        <w:numPr>
          <w:ilvl w:val="0"/>
          <w:numId w:val="32"/>
        </w:numPr>
        <w:spacing w:after="180"/>
        <w:ind w:left="1134" w:hanging="567"/>
        <w:rPr>
          <w:rFonts w:ascii="Arial" w:eastAsiaTheme="minorHAnsi" w:hAnsi="Arial"/>
          <w:color w:val="000000" w:themeColor="text1"/>
          <w:sz w:val="18"/>
          <w:szCs w:val="18"/>
        </w:rPr>
      </w:pPr>
      <w:r w:rsidRPr="003E1664">
        <w:rPr>
          <w:rFonts w:ascii="Arial" w:hAnsi="Arial"/>
          <w:color w:val="000000" w:themeColor="text1"/>
          <w:sz w:val="18"/>
          <w:szCs w:val="18"/>
        </w:rPr>
        <w:t xml:space="preserve">Engaging with and facilitating </w:t>
      </w:r>
      <w:r w:rsidRPr="003E1664">
        <w:rPr>
          <w:rFonts w:ascii="Arial" w:eastAsiaTheme="minorHAnsi" w:hAnsi="Arial"/>
          <w:color w:val="000000" w:themeColor="text1"/>
          <w:sz w:val="18"/>
          <w:szCs w:val="18"/>
        </w:rPr>
        <w:t>discussion and knowledge building among Member States and other stakeholders on the impact on IP of frontier technologies, including AI, to support well informed policy choices</w:t>
      </w:r>
      <w:r>
        <w:rPr>
          <w:rFonts w:ascii="Arial" w:hAnsi="Arial"/>
          <w:color w:val="000000" w:themeColor="text1"/>
          <w:sz w:val="18"/>
          <w:szCs w:val="18"/>
        </w:rPr>
        <w:t>;</w:t>
      </w:r>
      <w:r w:rsidRPr="003E1664">
        <w:rPr>
          <w:rFonts w:ascii="Arial" w:hAnsi="Arial"/>
          <w:color w:val="000000" w:themeColor="text1"/>
          <w:sz w:val="18"/>
          <w:szCs w:val="18"/>
        </w:rPr>
        <w:t xml:space="preserve"> </w:t>
      </w:r>
    </w:p>
    <w:p w14:paraId="132570A1" w14:textId="77777777" w:rsidR="0036583B" w:rsidRPr="00AC1FC8" w:rsidRDefault="0036583B" w:rsidP="0036583B">
      <w:pPr>
        <w:pStyle w:val="ListParagraph"/>
        <w:spacing w:after="180"/>
        <w:ind w:left="1134" w:hanging="567"/>
        <w:rPr>
          <w:rFonts w:ascii="Arial" w:eastAsiaTheme="minorHAnsi" w:hAnsi="Arial"/>
          <w:color w:val="000000" w:themeColor="text1"/>
          <w:sz w:val="18"/>
          <w:szCs w:val="18"/>
        </w:rPr>
      </w:pPr>
    </w:p>
    <w:p w14:paraId="1E5E8012" w14:textId="77777777" w:rsidR="0036583B" w:rsidRPr="00D93ABE" w:rsidRDefault="0036583B" w:rsidP="008407D7">
      <w:pPr>
        <w:pStyle w:val="ListParagraph"/>
        <w:numPr>
          <w:ilvl w:val="0"/>
          <w:numId w:val="32"/>
        </w:numPr>
        <w:ind w:left="1134" w:hanging="567"/>
        <w:rPr>
          <w:rFonts w:ascii="Arial" w:eastAsiaTheme="minorHAnsi" w:hAnsi="Arial"/>
          <w:color w:val="000000" w:themeColor="text1"/>
          <w:sz w:val="18"/>
        </w:rPr>
      </w:pPr>
      <w:r w:rsidRPr="00D93ABE">
        <w:rPr>
          <w:rFonts w:ascii="Arial" w:eastAsiaTheme="minorHAnsi" w:hAnsi="Arial"/>
          <w:color w:val="000000" w:themeColor="text1"/>
          <w:sz w:val="18"/>
        </w:rPr>
        <w:t>Providing a forum to proactively address IP issues related to digitalization</w:t>
      </w:r>
      <w:r>
        <w:rPr>
          <w:rFonts w:ascii="Arial" w:eastAsiaTheme="minorHAnsi" w:hAnsi="Arial"/>
          <w:color w:val="000000" w:themeColor="text1"/>
          <w:sz w:val="18"/>
          <w:szCs w:val="18"/>
        </w:rPr>
        <w:t>, the digital economy</w:t>
      </w:r>
      <w:r w:rsidRPr="00D93ABE">
        <w:rPr>
          <w:rFonts w:ascii="Arial" w:eastAsiaTheme="minorHAnsi" w:hAnsi="Arial"/>
          <w:color w:val="000000" w:themeColor="text1"/>
          <w:sz w:val="18"/>
        </w:rPr>
        <w:t xml:space="preserve"> and frontier technologies, engaging a wide set of stakeholders by focusing on both practical tools and conceptual discussions;</w:t>
      </w:r>
    </w:p>
    <w:p w14:paraId="2A63F321" w14:textId="77777777" w:rsidR="0036583B" w:rsidRPr="003E1664" w:rsidRDefault="0036583B" w:rsidP="0036583B">
      <w:pPr>
        <w:pStyle w:val="ListParagraph"/>
        <w:spacing w:after="180"/>
        <w:ind w:left="1134" w:hanging="567"/>
        <w:rPr>
          <w:rFonts w:ascii="Arial" w:eastAsiaTheme="minorHAnsi" w:hAnsi="Arial"/>
          <w:sz w:val="18"/>
          <w:szCs w:val="18"/>
          <w:lang w:eastAsia="en-US"/>
        </w:rPr>
      </w:pPr>
    </w:p>
    <w:p w14:paraId="5773027E" w14:textId="77777777" w:rsidR="0036583B" w:rsidRPr="00AC1FC8" w:rsidRDefault="0036583B" w:rsidP="008407D7">
      <w:pPr>
        <w:pStyle w:val="ListParagraph"/>
        <w:numPr>
          <w:ilvl w:val="0"/>
          <w:numId w:val="31"/>
        </w:numPr>
        <w:spacing w:after="180"/>
        <w:ind w:left="1134" w:hanging="567"/>
        <w:rPr>
          <w:rFonts w:ascii="Arial" w:eastAsiaTheme="minorHAnsi" w:hAnsi="Arial"/>
          <w:sz w:val="18"/>
          <w:szCs w:val="18"/>
          <w:lang w:eastAsia="en-US"/>
        </w:rPr>
      </w:pPr>
      <w:r w:rsidRPr="003E1664">
        <w:rPr>
          <w:rFonts w:ascii="Arial" w:eastAsiaTheme="minorHAnsi" w:hAnsi="Arial"/>
          <w:sz w:val="18"/>
          <w:szCs w:val="18"/>
          <w:lang w:eastAsia="en-US"/>
        </w:rPr>
        <w:t>Develop</w:t>
      </w:r>
      <w:r>
        <w:rPr>
          <w:rFonts w:ascii="Arial" w:eastAsiaTheme="minorHAnsi" w:hAnsi="Arial"/>
          <w:sz w:val="18"/>
          <w:szCs w:val="18"/>
          <w:lang w:eastAsia="en-US"/>
        </w:rPr>
        <w:t>ing</w:t>
      </w:r>
      <w:r w:rsidRPr="003E1664">
        <w:rPr>
          <w:rFonts w:ascii="Arial" w:eastAsiaTheme="minorHAnsi" w:hAnsi="Arial"/>
          <w:sz w:val="18"/>
          <w:szCs w:val="18"/>
          <w:lang w:eastAsia="en-US"/>
        </w:rPr>
        <w:t xml:space="preserve"> relevant practical resources</w:t>
      </w:r>
      <w:r>
        <w:rPr>
          <w:rFonts w:ascii="Arial" w:eastAsiaTheme="minorHAnsi" w:hAnsi="Arial"/>
          <w:sz w:val="18"/>
          <w:szCs w:val="18"/>
          <w:lang w:eastAsia="en-US"/>
        </w:rPr>
        <w:t>,</w:t>
      </w:r>
      <w:r w:rsidRPr="003E1664">
        <w:rPr>
          <w:rFonts w:ascii="Arial" w:eastAsiaTheme="minorHAnsi" w:hAnsi="Arial"/>
          <w:sz w:val="18"/>
          <w:szCs w:val="18"/>
          <w:lang w:eastAsia="en-US"/>
        </w:rPr>
        <w:t xml:space="preserve"> including programs, guidance, tools and other means to assist a wide range of stakeholders harness the opportunities of frontier technologies</w:t>
      </w:r>
      <w:r>
        <w:rPr>
          <w:rFonts w:ascii="Arial" w:eastAsiaTheme="minorHAnsi" w:hAnsi="Arial"/>
          <w:sz w:val="18"/>
          <w:szCs w:val="18"/>
          <w:lang w:eastAsia="en-US"/>
        </w:rPr>
        <w:t>, including IP management clinics, grass roots projects and various publications, such as fact sheets and guides</w:t>
      </w:r>
      <w:r w:rsidRPr="003E1664">
        <w:rPr>
          <w:rFonts w:ascii="Arial" w:eastAsiaTheme="minorHAnsi" w:hAnsi="Arial"/>
          <w:sz w:val="18"/>
          <w:szCs w:val="18"/>
          <w:lang w:eastAsia="en-US"/>
        </w:rPr>
        <w:t>;</w:t>
      </w:r>
      <w:r>
        <w:rPr>
          <w:rFonts w:ascii="Arial" w:eastAsiaTheme="minorHAnsi" w:hAnsi="Arial"/>
          <w:sz w:val="18"/>
          <w:szCs w:val="18"/>
          <w:lang w:eastAsia="en-US"/>
        </w:rPr>
        <w:t xml:space="preserve"> </w:t>
      </w:r>
      <w:r w:rsidRPr="003E1664">
        <w:rPr>
          <w:rFonts w:ascii="Arial" w:eastAsiaTheme="minorHAnsi" w:hAnsi="Arial"/>
          <w:sz w:val="18"/>
          <w:szCs w:val="18"/>
          <w:lang w:eastAsia="en-US"/>
        </w:rPr>
        <w:t xml:space="preserve"> </w:t>
      </w:r>
    </w:p>
    <w:p w14:paraId="72337CE1" w14:textId="77777777" w:rsidR="0036583B" w:rsidRPr="00AC1FC8" w:rsidRDefault="0036583B" w:rsidP="0036583B">
      <w:pPr>
        <w:pStyle w:val="ListParagraph"/>
        <w:ind w:left="1134" w:hanging="567"/>
        <w:rPr>
          <w:rFonts w:ascii="Arial" w:eastAsiaTheme="minorHAnsi" w:hAnsi="Arial"/>
          <w:sz w:val="18"/>
          <w:szCs w:val="18"/>
          <w:lang w:eastAsia="en-US"/>
        </w:rPr>
      </w:pPr>
    </w:p>
    <w:p w14:paraId="3C4AAD2A" w14:textId="77777777" w:rsidR="0036583B" w:rsidRPr="00F211E4" w:rsidRDefault="0036583B" w:rsidP="008407D7">
      <w:pPr>
        <w:pStyle w:val="ListParagraph"/>
        <w:numPr>
          <w:ilvl w:val="0"/>
          <w:numId w:val="31"/>
        </w:numPr>
        <w:spacing w:after="180"/>
        <w:ind w:left="1134" w:hanging="567"/>
        <w:rPr>
          <w:rFonts w:ascii="Arial" w:eastAsiaTheme="minorHAnsi" w:hAnsi="Arial"/>
          <w:sz w:val="18"/>
          <w:szCs w:val="18"/>
          <w:lang w:eastAsia="en-US"/>
        </w:rPr>
      </w:pPr>
      <w:r w:rsidRPr="00F211E4">
        <w:rPr>
          <w:rFonts w:ascii="Arial" w:eastAsiaTheme="minorHAnsi" w:hAnsi="Arial"/>
          <w:sz w:val="18"/>
          <w:szCs w:val="18"/>
          <w:lang w:eastAsia="en-US"/>
        </w:rPr>
        <w:t>Assisting in the knowledge transfer and technology adaptation of platforms and tools for IP administration that are utilizing frontier technologies.</w:t>
      </w:r>
    </w:p>
    <w:p w14:paraId="17E1ED9E" w14:textId="77777777" w:rsidR="0036583B" w:rsidRPr="00A35DAE" w:rsidRDefault="0036583B" w:rsidP="0036583B">
      <w:pPr>
        <w:spacing w:before="320" w:after="240"/>
        <w:rPr>
          <w:color w:val="005172" w:themeColor="text2"/>
          <w:sz w:val="22"/>
          <w:lang w:val="en-US"/>
        </w:rPr>
      </w:pPr>
      <w:r w:rsidRPr="00A35DAE">
        <w:rPr>
          <w:color w:val="005172" w:themeColor="text2"/>
          <w:sz w:val="22"/>
          <w:lang w:val="en-US"/>
        </w:rPr>
        <w:t>Customer Experience</w:t>
      </w:r>
      <w:r w:rsidRPr="00A35DAE">
        <w:rPr>
          <w:color w:val="005172" w:themeColor="text2"/>
          <w:sz w:val="16"/>
          <w:szCs w:val="18"/>
          <w:lang w:val="en-US"/>
        </w:rPr>
        <w:t xml:space="preserve"> </w:t>
      </w:r>
    </w:p>
    <w:p w14:paraId="51657334" w14:textId="77777777" w:rsidR="0036583B" w:rsidRPr="003E1664" w:rsidRDefault="0036583B" w:rsidP="0036583B">
      <w:pPr>
        <w:rPr>
          <w:lang w:val="en-US"/>
        </w:rPr>
      </w:pPr>
      <w:r w:rsidRPr="00470297">
        <w:rPr>
          <w:lang w:val="en-US"/>
        </w:rPr>
        <w:t xml:space="preserve">The Customer Experience Section will continue its work under Expected Result 3.2 to act as the focal point for harmonizing and transforming our customer service experiences, to ensure that WIPO’s Global IP Services continue to be well-positioned and relevant to the worldwide IP communities. </w:t>
      </w:r>
      <w:r>
        <w:rPr>
          <w:lang w:val="en-US"/>
        </w:rPr>
        <w:t xml:space="preserve"> </w:t>
      </w:r>
      <w:r w:rsidRPr="00470297">
        <w:rPr>
          <w:lang w:val="en-US"/>
        </w:rPr>
        <w:t xml:space="preserve">The customer-centric approach will be at the center of the harmonization and transformation efforts, which will enable us to build and maintain long-term relationships with our customers and business partners. </w:t>
      </w:r>
      <w:r>
        <w:rPr>
          <w:lang w:val="en-US"/>
        </w:rPr>
        <w:t xml:space="preserve"> </w:t>
      </w:r>
      <w:r w:rsidRPr="00470297">
        <w:rPr>
          <w:lang w:val="en-US"/>
        </w:rPr>
        <w:t>The program of work in the next biennium will, in particular, focus on:</w:t>
      </w:r>
    </w:p>
    <w:p w14:paraId="3C01838F" w14:textId="546710BB" w:rsidR="0036583B" w:rsidRPr="00AE5B53" w:rsidRDefault="0036583B" w:rsidP="008407D7">
      <w:pPr>
        <w:pStyle w:val="ListParagraph"/>
        <w:numPr>
          <w:ilvl w:val="0"/>
          <w:numId w:val="31"/>
        </w:numPr>
        <w:spacing w:after="180"/>
        <w:ind w:left="1134" w:hanging="567"/>
        <w:rPr>
          <w:rFonts w:ascii="Arial" w:eastAsiaTheme="minorHAnsi" w:hAnsi="Arial" w:cstheme="minorBidi"/>
          <w:sz w:val="18"/>
          <w:lang w:eastAsia="en-US"/>
        </w:rPr>
      </w:pPr>
      <w:r w:rsidRPr="00AE5B53">
        <w:rPr>
          <w:rFonts w:ascii="Arial" w:eastAsiaTheme="minorHAnsi" w:hAnsi="Arial" w:cstheme="minorBidi"/>
          <w:sz w:val="18"/>
          <w:lang w:eastAsia="en-US"/>
        </w:rPr>
        <w:t xml:space="preserve">The </w:t>
      </w:r>
      <w:r w:rsidRPr="00F211E4">
        <w:rPr>
          <w:rFonts w:ascii="Arial" w:eastAsiaTheme="minorHAnsi" w:hAnsi="Arial" w:cstheme="minorBidi"/>
          <w:sz w:val="18"/>
          <w:lang w:eastAsia="en-US"/>
        </w:rPr>
        <w:t>execution of</w:t>
      </w:r>
      <w:r w:rsidRPr="00AE5B53">
        <w:rPr>
          <w:rFonts w:ascii="Arial" w:eastAsiaTheme="minorHAnsi" w:hAnsi="Arial" w:cstheme="minorBidi"/>
          <w:sz w:val="18"/>
          <w:lang w:eastAsia="en-US"/>
        </w:rPr>
        <w:t xml:space="preserve"> an Organization-wide customer experience strategy and a road map</w:t>
      </w:r>
      <w:r>
        <w:rPr>
          <w:rFonts w:ascii="Arial" w:eastAsiaTheme="minorHAnsi" w:hAnsi="Arial" w:cstheme="minorBidi"/>
          <w:sz w:val="18"/>
          <w:lang w:eastAsia="en-US"/>
        </w:rPr>
        <w:t>,</w:t>
      </w:r>
      <w:r w:rsidRPr="00F211E4">
        <w:rPr>
          <w:rFonts w:ascii="Arial" w:eastAsiaTheme="minorHAnsi" w:hAnsi="Arial" w:cstheme="minorBidi"/>
          <w:sz w:val="18"/>
          <w:lang w:eastAsia="en-US"/>
        </w:rPr>
        <w:t xml:space="preserve"> </w:t>
      </w:r>
      <w:r>
        <w:rPr>
          <w:rFonts w:ascii="Arial" w:eastAsiaTheme="minorHAnsi" w:hAnsi="Arial" w:cstheme="minorBidi"/>
          <w:sz w:val="18"/>
          <w:lang w:eastAsia="en-US"/>
        </w:rPr>
        <w:t>as defined in 2022</w:t>
      </w:r>
      <w:r w:rsidR="0019742F">
        <w:rPr>
          <w:rFonts w:ascii="Arial" w:eastAsiaTheme="minorHAnsi" w:hAnsi="Arial" w:cstheme="minorBidi"/>
          <w:sz w:val="18"/>
          <w:lang w:eastAsia="en-US"/>
        </w:rPr>
        <w:t>/23</w:t>
      </w:r>
      <w:r>
        <w:rPr>
          <w:rFonts w:ascii="Arial" w:eastAsiaTheme="minorHAnsi" w:hAnsi="Arial" w:cstheme="minorBidi"/>
          <w:sz w:val="18"/>
          <w:lang w:eastAsia="en-US"/>
        </w:rPr>
        <w:t>,</w:t>
      </w:r>
      <w:r w:rsidRPr="00F211E4">
        <w:rPr>
          <w:rFonts w:ascii="Arial" w:eastAsiaTheme="minorHAnsi" w:hAnsi="Arial" w:cstheme="minorBidi"/>
          <w:sz w:val="18"/>
          <w:lang w:eastAsia="en-US"/>
        </w:rPr>
        <w:t xml:space="preserve"> </w:t>
      </w:r>
      <w:r w:rsidRPr="00A62080">
        <w:rPr>
          <w:rFonts w:ascii="Arial" w:eastAsiaTheme="minorHAnsi" w:hAnsi="Arial" w:cstheme="minorBidi"/>
          <w:sz w:val="18"/>
          <w:lang w:eastAsia="en-US"/>
        </w:rPr>
        <w:t xml:space="preserve"> </w:t>
      </w:r>
      <w:r>
        <w:rPr>
          <w:rFonts w:ascii="Arial" w:eastAsiaTheme="minorHAnsi" w:hAnsi="Arial" w:cstheme="minorBidi"/>
          <w:sz w:val="18"/>
          <w:lang w:eastAsia="en-US"/>
        </w:rPr>
        <w:t>focusing on the implementation</w:t>
      </w:r>
      <w:r w:rsidRPr="00F211E4">
        <w:rPr>
          <w:rFonts w:ascii="Arial" w:eastAsiaTheme="minorHAnsi" w:hAnsi="Arial" w:cstheme="minorBidi"/>
          <w:sz w:val="18"/>
          <w:lang w:eastAsia="en-US"/>
        </w:rPr>
        <w:t xml:space="preserve"> </w:t>
      </w:r>
      <w:r>
        <w:rPr>
          <w:rFonts w:ascii="Arial" w:eastAsiaTheme="minorHAnsi" w:hAnsi="Arial" w:cstheme="minorBidi"/>
          <w:sz w:val="18"/>
          <w:lang w:eastAsia="en-US"/>
        </w:rPr>
        <w:t xml:space="preserve">of the prioritized </w:t>
      </w:r>
      <w:r w:rsidRPr="00F211E4">
        <w:rPr>
          <w:rFonts w:ascii="Arial" w:eastAsiaTheme="minorHAnsi" w:hAnsi="Arial" w:cstheme="minorBidi"/>
          <w:sz w:val="18"/>
          <w:lang w:eastAsia="en-US"/>
        </w:rPr>
        <w:t xml:space="preserve">initiatives </w:t>
      </w:r>
      <w:r>
        <w:rPr>
          <w:rFonts w:ascii="Arial" w:eastAsiaTheme="minorHAnsi" w:hAnsi="Arial" w:cstheme="minorBidi"/>
          <w:sz w:val="18"/>
          <w:lang w:eastAsia="en-US"/>
        </w:rPr>
        <w:t>with a view to</w:t>
      </w:r>
      <w:r w:rsidRPr="00F211E4">
        <w:rPr>
          <w:rFonts w:ascii="Arial" w:eastAsiaTheme="minorHAnsi" w:hAnsi="Arial" w:cstheme="minorBidi"/>
          <w:sz w:val="18"/>
          <w:lang w:eastAsia="en-US"/>
        </w:rPr>
        <w:t xml:space="preserve"> improv</w:t>
      </w:r>
      <w:r>
        <w:rPr>
          <w:rFonts w:ascii="Arial" w:eastAsiaTheme="minorHAnsi" w:hAnsi="Arial" w:cstheme="minorBidi"/>
          <w:sz w:val="18"/>
          <w:lang w:eastAsia="en-US"/>
        </w:rPr>
        <w:t>ing</w:t>
      </w:r>
      <w:r w:rsidRPr="00F211E4">
        <w:rPr>
          <w:rFonts w:ascii="Arial" w:eastAsiaTheme="minorHAnsi" w:hAnsi="Arial" w:cstheme="minorBidi"/>
          <w:sz w:val="18"/>
          <w:lang w:eastAsia="en-US"/>
        </w:rPr>
        <w:t xml:space="preserve"> the customer experienc</w:t>
      </w:r>
      <w:r w:rsidR="0019742F">
        <w:rPr>
          <w:rFonts w:ascii="Arial" w:eastAsiaTheme="minorHAnsi" w:hAnsi="Arial" w:cstheme="minorBidi"/>
          <w:sz w:val="18"/>
          <w:lang w:eastAsia="en-US"/>
        </w:rPr>
        <w:t>e delivered by WIPO across the O</w:t>
      </w:r>
      <w:r w:rsidRPr="00F211E4">
        <w:rPr>
          <w:rFonts w:ascii="Arial" w:eastAsiaTheme="minorHAnsi" w:hAnsi="Arial" w:cstheme="minorBidi"/>
          <w:sz w:val="18"/>
          <w:lang w:eastAsia="en-US"/>
        </w:rPr>
        <w:t>rganization;</w:t>
      </w:r>
      <w:r w:rsidRPr="00AE5B53">
        <w:rPr>
          <w:rFonts w:ascii="Arial" w:eastAsiaTheme="minorHAnsi" w:hAnsi="Arial" w:cstheme="minorBidi"/>
          <w:sz w:val="18"/>
          <w:lang w:eastAsia="en-US"/>
        </w:rPr>
        <w:t xml:space="preserve"> </w:t>
      </w:r>
    </w:p>
    <w:p w14:paraId="2120CD7B" w14:textId="77777777" w:rsidR="0036583B" w:rsidRPr="00AE5B53" w:rsidRDefault="0036583B" w:rsidP="0036583B">
      <w:pPr>
        <w:pStyle w:val="ListParagraph"/>
        <w:spacing w:after="180"/>
        <w:ind w:left="1134" w:hanging="567"/>
        <w:rPr>
          <w:rFonts w:ascii="Arial" w:eastAsiaTheme="minorHAnsi" w:hAnsi="Arial" w:cstheme="minorBidi"/>
          <w:sz w:val="18"/>
          <w:lang w:eastAsia="en-US"/>
        </w:rPr>
      </w:pPr>
    </w:p>
    <w:p w14:paraId="0277BAEF" w14:textId="77777777" w:rsidR="0036583B" w:rsidRPr="00C325B8" w:rsidRDefault="0036583B" w:rsidP="008407D7">
      <w:pPr>
        <w:pStyle w:val="ListParagraph"/>
        <w:numPr>
          <w:ilvl w:val="0"/>
          <w:numId w:val="31"/>
        </w:numPr>
        <w:spacing w:after="180"/>
        <w:ind w:left="1134" w:hanging="567"/>
        <w:contextualSpacing w:val="0"/>
        <w:rPr>
          <w:rFonts w:ascii="Arial" w:eastAsiaTheme="minorHAnsi" w:hAnsi="Arial" w:cstheme="minorBidi"/>
          <w:sz w:val="18"/>
          <w:lang w:eastAsia="en-US"/>
        </w:rPr>
      </w:pPr>
      <w:r w:rsidRPr="00C325B8">
        <w:rPr>
          <w:rFonts w:ascii="Arial" w:eastAsiaTheme="minorHAnsi" w:hAnsi="Arial" w:cstheme="minorBidi"/>
          <w:sz w:val="18"/>
          <w:lang w:eastAsia="en-US"/>
        </w:rPr>
        <w:t xml:space="preserve">Improving the experience of WIPO customers by, </w:t>
      </w:r>
      <w:r w:rsidRPr="00C325B8">
        <w:rPr>
          <w:rFonts w:ascii="Arial" w:eastAsiaTheme="minorHAnsi" w:hAnsi="Arial" w:cstheme="minorBidi"/>
          <w:i/>
          <w:sz w:val="18"/>
          <w:lang w:eastAsia="en-US"/>
        </w:rPr>
        <w:t>inter alia</w:t>
      </w:r>
      <w:r>
        <w:rPr>
          <w:rFonts w:ascii="Arial" w:eastAsiaTheme="minorHAnsi" w:hAnsi="Arial" w:cstheme="minorBidi"/>
          <w:sz w:val="18"/>
          <w:lang w:eastAsia="en-US"/>
        </w:rPr>
        <w:t>,</w:t>
      </w:r>
      <w:r w:rsidRPr="00C325B8">
        <w:rPr>
          <w:rFonts w:ascii="Arial" w:eastAsiaTheme="minorHAnsi" w:hAnsi="Arial" w:cstheme="minorBidi"/>
          <w:sz w:val="18"/>
          <w:lang w:eastAsia="en-US"/>
        </w:rPr>
        <w:t xml:space="preserve"> leveraging new technologies and automation to improve customer experience, gathering the </w:t>
      </w:r>
      <w:r>
        <w:rPr>
          <w:rFonts w:ascii="Arial" w:eastAsiaTheme="minorHAnsi" w:hAnsi="Arial" w:cstheme="minorBidi"/>
          <w:sz w:val="18"/>
          <w:lang w:eastAsia="en-US"/>
        </w:rPr>
        <w:t>“</w:t>
      </w:r>
      <w:r w:rsidRPr="00C325B8">
        <w:rPr>
          <w:rFonts w:ascii="Arial" w:eastAsiaTheme="minorHAnsi" w:hAnsi="Arial" w:cstheme="minorBidi"/>
          <w:sz w:val="18"/>
          <w:lang w:eastAsia="en-US"/>
        </w:rPr>
        <w:t>voice of the customer</w:t>
      </w:r>
      <w:r>
        <w:rPr>
          <w:rFonts w:ascii="Arial" w:eastAsiaTheme="minorHAnsi" w:hAnsi="Arial" w:cstheme="minorBidi"/>
          <w:sz w:val="18"/>
          <w:lang w:eastAsia="en-US"/>
        </w:rPr>
        <w:t>”</w:t>
      </w:r>
      <w:r w:rsidRPr="00C325B8">
        <w:rPr>
          <w:rFonts w:ascii="Arial" w:eastAsiaTheme="minorHAnsi" w:hAnsi="Arial" w:cstheme="minorBidi"/>
          <w:sz w:val="18"/>
          <w:lang w:eastAsia="en-US"/>
        </w:rPr>
        <w:t xml:space="preserve"> through key customer touchpoints and creating actionable insights for improving customer experience and loyalty to WIPO </w:t>
      </w:r>
      <w:r>
        <w:rPr>
          <w:rFonts w:ascii="Arial" w:eastAsiaTheme="minorHAnsi" w:hAnsi="Arial" w:cstheme="minorBidi"/>
          <w:sz w:val="18"/>
          <w:lang w:eastAsia="en-US"/>
        </w:rPr>
        <w:t>as well as</w:t>
      </w:r>
      <w:r w:rsidRPr="00C325B8">
        <w:rPr>
          <w:rFonts w:ascii="Arial" w:eastAsiaTheme="minorHAnsi" w:hAnsi="Arial" w:cstheme="minorBidi"/>
          <w:sz w:val="18"/>
          <w:lang w:eastAsia="en-US"/>
        </w:rPr>
        <w:t xml:space="preserve"> optimizing WIPO’s marketing outreach through analytics and improved targeting.</w:t>
      </w:r>
    </w:p>
    <w:p w14:paraId="464B0EBB" w14:textId="77777777" w:rsidR="0036583B" w:rsidRPr="006F1BC2" w:rsidRDefault="0036583B" w:rsidP="0036583B">
      <w:pPr>
        <w:spacing w:after="0"/>
        <w:rPr>
          <w:color w:val="005172" w:themeColor="text2"/>
          <w:sz w:val="22"/>
          <w:szCs w:val="32"/>
        </w:rPr>
      </w:pPr>
    </w:p>
    <w:p w14:paraId="488106B5" w14:textId="77777777" w:rsidR="0036583B" w:rsidRPr="006F1BC2" w:rsidRDefault="0036583B"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0" w:type="auto"/>
        <w:tblInd w:w="10" w:type="dxa"/>
        <w:tblCellMar>
          <w:left w:w="0" w:type="dxa"/>
          <w:right w:w="0" w:type="dxa"/>
        </w:tblCellMar>
        <w:tblLook w:val="04A0" w:firstRow="1" w:lastRow="0" w:firstColumn="1" w:lastColumn="0" w:noHBand="0" w:noVBand="1"/>
      </w:tblPr>
      <w:tblGrid>
        <w:gridCol w:w="2337"/>
        <w:gridCol w:w="2338"/>
        <w:gridCol w:w="3415"/>
        <w:gridCol w:w="1530"/>
      </w:tblGrid>
      <w:tr w:rsidR="0036583B" w:rsidRPr="003A4128" w14:paraId="60FA3C72" w14:textId="77777777" w:rsidTr="00EB4125">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18EB3861" w14:textId="77777777" w:rsidR="0036583B" w:rsidRPr="003A4128" w:rsidRDefault="0036583B" w:rsidP="0036583B">
            <w:pPr>
              <w:autoSpaceDE w:val="0"/>
              <w:autoSpaceDN w:val="0"/>
              <w:spacing w:after="0" w:line="240" w:lineRule="auto"/>
              <w:outlineLvl w:val="2"/>
              <w:rPr>
                <w:rFonts w:ascii="Arial Narrow" w:eastAsia="Times New Roman" w:hAnsi="Arial Narrow" w:cs="Arial"/>
                <w:b/>
                <w:bCs/>
                <w:sz w:val="16"/>
                <w:szCs w:val="14"/>
                <w:lang w:val="en-US"/>
              </w:rPr>
            </w:pPr>
            <w:r w:rsidRPr="003A4128">
              <w:rPr>
                <w:rFonts w:ascii="Arial Narrow" w:eastAsia="Times New Roman" w:hAnsi="Arial Narrow" w:cs="Arial"/>
                <w:b/>
                <w:bCs/>
                <w:sz w:val="16"/>
                <w:szCs w:val="14"/>
                <w:lang w:val="en-US"/>
              </w:rPr>
              <w:t xml:space="preserve">Expected Result </w:t>
            </w:r>
          </w:p>
        </w:tc>
        <w:tc>
          <w:tcPr>
            <w:tcW w:w="2338" w:type="dxa"/>
            <w:tcBorders>
              <w:left w:val="nil"/>
              <w:right w:val="nil"/>
            </w:tcBorders>
            <w:shd w:val="clear" w:color="auto" w:fill="C6CFD7" w:themeFill="accent3" w:themeFillTint="66"/>
            <w:tcMar>
              <w:top w:w="0" w:type="dxa"/>
              <w:left w:w="108" w:type="dxa"/>
              <w:bottom w:w="0" w:type="dxa"/>
              <w:right w:w="108" w:type="dxa"/>
            </w:tcMar>
            <w:hideMark/>
          </w:tcPr>
          <w:p w14:paraId="12DEA6ED" w14:textId="77777777" w:rsidR="0036583B" w:rsidRPr="003A4128" w:rsidRDefault="0036583B" w:rsidP="0036583B">
            <w:pPr>
              <w:autoSpaceDE w:val="0"/>
              <w:autoSpaceDN w:val="0"/>
              <w:spacing w:after="0" w:line="240" w:lineRule="auto"/>
              <w:outlineLvl w:val="2"/>
              <w:rPr>
                <w:rFonts w:ascii="Arial Narrow" w:eastAsia="Times New Roman" w:hAnsi="Arial Narrow" w:cs="Arial"/>
                <w:b/>
                <w:bCs/>
                <w:sz w:val="16"/>
                <w:szCs w:val="14"/>
                <w:lang w:val="en-US"/>
              </w:rPr>
            </w:pPr>
            <w:r w:rsidRPr="003A4128">
              <w:rPr>
                <w:rFonts w:ascii="Arial Narrow" w:eastAsia="Times New Roman" w:hAnsi="Arial Narrow" w:cs="Arial"/>
                <w:b/>
                <w:bCs/>
                <w:sz w:val="16"/>
                <w:szCs w:val="14"/>
                <w:lang w:val="en-US"/>
              </w:rPr>
              <w:t>Risk</w:t>
            </w:r>
          </w:p>
        </w:tc>
        <w:tc>
          <w:tcPr>
            <w:tcW w:w="3415" w:type="dxa"/>
            <w:tcBorders>
              <w:left w:val="nil"/>
              <w:right w:val="nil"/>
            </w:tcBorders>
            <w:shd w:val="clear" w:color="auto" w:fill="C6CFD7" w:themeFill="accent3" w:themeFillTint="66"/>
            <w:tcMar>
              <w:top w:w="0" w:type="dxa"/>
              <w:left w:w="108" w:type="dxa"/>
              <w:bottom w:w="0" w:type="dxa"/>
              <w:right w:w="108" w:type="dxa"/>
            </w:tcMar>
            <w:hideMark/>
          </w:tcPr>
          <w:p w14:paraId="02B682BB" w14:textId="77777777" w:rsidR="0036583B" w:rsidRPr="003A4128" w:rsidRDefault="0036583B" w:rsidP="0036583B">
            <w:pPr>
              <w:autoSpaceDE w:val="0"/>
              <w:autoSpaceDN w:val="0"/>
              <w:spacing w:after="0" w:line="240" w:lineRule="auto"/>
              <w:outlineLvl w:val="2"/>
              <w:rPr>
                <w:rFonts w:ascii="Arial Narrow" w:eastAsia="Times New Roman" w:hAnsi="Arial Narrow" w:cs="Arial"/>
                <w:b/>
                <w:bCs/>
                <w:sz w:val="16"/>
                <w:szCs w:val="14"/>
                <w:lang w:val="en-US"/>
              </w:rPr>
            </w:pPr>
            <w:r w:rsidRPr="003A4128">
              <w:rPr>
                <w:rFonts w:ascii="Arial Narrow" w:eastAsia="Times New Roman" w:hAnsi="Arial Narrow" w:cs="Arial"/>
                <w:b/>
                <w:bCs/>
                <w:sz w:val="16"/>
                <w:szCs w:val="14"/>
                <w:lang w:val="en-US"/>
              </w:rPr>
              <w:t>Risk Response</w:t>
            </w:r>
          </w:p>
        </w:tc>
        <w:tc>
          <w:tcPr>
            <w:tcW w:w="1530" w:type="dxa"/>
            <w:tcBorders>
              <w:left w:val="nil"/>
            </w:tcBorders>
            <w:shd w:val="clear" w:color="auto" w:fill="C6CFD7" w:themeFill="accent3" w:themeFillTint="66"/>
            <w:tcMar>
              <w:top w:w="0" w:type="dxa"/>
              <w:left w:w="108" w:type="dxa"/>
              <w:bottom w:w="0" w:type="dxa"/>
              <w:right w:w="108" w:type="dxa"/>
            </w:tcMar>
            <w:hideMark/>
          </w:tcPr>
          <w:p w14:paraId="2EC1EEFD" w14:textId="77777777" w:rsidR="0036583B" w:rsidRPr="003A4128" w:rsidRDefault="0036583B" w:rsidP="0036583B">
            <w:pPr>
              <w:autoSpaceDE w:val="0"/>
              <w:autoSpaceDN w:val="0"/>
              <w:spacing w:after="0" w:line="240" w:lineRule="auto"/>
              <w:outlineLvl w:val="2"/>
              <w:rPr>
                <w:rFonts w:ascii="Arial Narrow" w:eastAsia="Times New Roman" w:hAnsi="Arial Narrow" w:cs="Arial"/>
                <w:b/>
                <w:bCs/>
                <w:sz w:val="16"/>
                <w:szCs w:val="14"/>
                <w:lang w:val="en-US"/>
              </w:rPr>
            </w:pPr>
            <w:r w:rsidRPr="003A4128">
              <w:rPr>
                <w:rFonts w:ascii="Arial Narrow" w:eastAsia="Times New Roman" w:hAnsi="Arial Narrow" w:cs="Arial"/>
                <w:b/>
                <w:bCs/>
                <w:color w:val="000000"/>
                <w:sz w:val="16"/>
                <w:szCs w:val="14"/>
                <w:lang w:val="en-US"/>
              </w:rPr>
              <w:t xml:space="preserve">Target Residual Risk </w:t>
            </w:r>
          </w:p>
        </w:tc>
      </w:tr>
      <w:tr w:rsidR="0036583B" w:rsidRPr="00FA5AAC" w14:paraId="09301AAC" w14:textId="77777777" w:rsidTr="00EB4125">
        <w:trPr>
          <w:trHeight w:val="340"/>
        </w:trPr>
        <w:tc>
          <w:tcPr>
            <w:tcW w:w="962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36583B" w:rsidRPr="00FA5AAC" w14:paraId="069AA016" w14:textId="77777777" w:rsidTr="0036583B">
              <w:trPr>
                <w:trHeight w:val="134"/>
              </w:trPr>
              <w:tc>
                <w:tcPr>
                  <w:tcW w:w="1129" w:type="dxa"/>
                  <w:tcMar>
                    <w:top w:w="0" w:type="dxa"/>
                    <w:left w:w="108" w:type="dxa"/>
                    <w:bottom w:w="0" w:type="dxa"/>
                    <w:right w:w="108" w:type="dxa"/>
                  </w:tcMar>
                  <w:hideMark/>
                </w:tcPr>
                <w:p w14:paraId="7AEDDEC4" w14:textId="4FD5A6D9" w:rsidR="0036583B" w:rsidRPr="007C5188" w:rsidRDefault="007C5188" w:rsidP="0036583B">
                  <w:pPr>
                    <w:widowControl w:val="0"/>
                    <w:autoSpaceDE w:val="0"/>
                    <w:autoSpaceDN w:val="0"/>
                    <w:spacing w:after="0" w:line="240" w:lineRule="auto"/>
                    <w:ind w:hanging="360"/>
                    <w:jc w:val="right"/>
                    <w:rPr>
                      <w:rFonts w:ascii="Arial Narrow" w:eastAsia="Calibri"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3 </w:t>
                  </w:r>
                  <w:r w:rsidR="0036583B" w:rsidRPr="007C5188">
                    <w:rPr>
                      <w:rFonts w:ascii="Arial Narrow" w:eastAsia="Arial Narrow" w:hAnsi="Arial Narrow" w:cs="Arial Narrow"/>
                      <w:i/>
                      <w:iCs/>
                      <w:color w:val="005172" w:themeColor="text2"/>
                      <w:sz w:val="16"/>
                      <w:szCs w:val="16"/>
                      <w:lang w:val="en-US" w:bidi="en-US"/>
                    </w:rPr>
                    <w:t xml:space="preserve">  </w:t>
                  </w:r>
                </w:p>
              </w:tc>
              <w:tc>
                <w:tcPr>
                  <w:tcW w:w="7571" w:type="dxa"/>
                  <w:tcMar>
                    <w:top w:w="0" w:type="dxa"/>
                    <w:left w:w="108" w:type="dxa"/>
                    <w:bottom w:w="0" w:type="dxa"/>
                    <w:right w:w="108" w:type="dxa"/>
                  </w:tcMar>
                  <w:hideMark/>
                </w:tcPr>
                <w:p w14:paraId="128800FD" w14:textId="77777777" w:rsidR="0036583B" w:rsidRPr="007C5188" w:rsidRDefault="0036583B" w:rsidP="0036583B">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7C5188">
                    <w:rPr>
                      <w:rFonts w:ascii="Arial Narrow" w:eastAsia="Arial Narrow" w:hAnsi="Arial Narrow" w:cs="Arial Narrow"/>
                      <w:i/>
                      <w:iCs/>
                      <w:color w:val="005172" w:themeColor="text2"/>
                      <w:sz w:val="16"/>
                      <w:szCs w:val="16"/>
                      <w:lang w:val="en-US" w:bidi="en-US"/>
                    </w:rPr>
                    <w:t>Provide high quality intellectual property services, knowledge and data that deliver value to users around the world</w:t>
                  </w:r>
                </w:p>
              </w:tc>
            </w:tr>
          </w:tbl>
          <w:p w14:paraId="74FC2BFA" w14:textId="77777777" w:rsidR="0036583B" w:rsidRPr="00FA5AAC" w:rsidRDefault="0036583B" w:rsidP="0036583B">
            <w:pPr>
              <w:widowControl w:val="0"/>
              <w:autoSpaceDE w:val="0"/>
              <w:autoSpaceDN w:val="0"/>
              <w:spacing w:after="0" w:line="240" w:lineRule="auto"/>
              <w:rPr>
                <w:rFonts w:ascii="Times New Roman" w:eastAsia="Times New Roman" w:hAnsi="Times New Roman" w:cs="Times New Roman"/>
                <w:sz w:val="20"/>
                <w:szCs w:val="20"/>
                <w:lang w:val="en-US" w:bidi="en-US"/>
              </w:rPr>
            </w:pPr>
          </w:p>
        </w:tc>
      </w:tr>
      <w:tr w:rsidR="0036583B" w:rsidRPr="00FA5AAC" w14:paraId="73F4DB63" w14:textId="77777777" w:rsidTr="00EB4125">
        <w:trPr>
          <w:trHeight w:val="1798"/>
        </w:trPr>
        <w:tc>
          <w:tcPr>
            <w:tcW w:w="2337" w:type="dxa"/>
            <w:shd w:val="clear" w:color="auto" w:fill="FFFFFF"/>
            <w:tcMar>
              <w:top w:w="0" w:type="dxa"/>
              <w:left w:w="108" w:type="dxa"/>
              <w:bottom w:w="0" w:type="dxa"/>
              <w:right w:w="108" w:type="dxa"/>
            </w:tcMar>
            <w:hideMark/>
          </w:tcPr>
          <w:p w14:paraId="157BEDE9" w14:textId="5BC56E52" w:rsidR="0036583B" w:rsidRPr="00FA5AAC"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7160D4">
              <w:rPr>
                <w:rFonts w:ascii="Arial Narrow" w:eastAsia="Times New Roman" w:hAnsi="Arial Narrow" w:cs="Arial"/>
                <w:color w:val="1F4E79"/>
                <w:sz w:val="16"/>
                <w:szCs w:val="16"/>
                <w:lang w:val="en-US"/>
              </w:rPr>
              <w:t>3.3</w:t>
            </w:r>
            <w:r w:rsidRPr="00FA5AAC">
              <w:rPr>
                <w:rFonts w:eastAsia="Times New Roman" w:cs="Arial"/>
                <w:color w:val="1F4E79"/>
                <w:sz w:val="16"/>
                <w:szCs w:val="16"/>
                <w:lang w:val="en-US"/>
              </w:rPr>
              <w:t xml:space="preserve"> </w:t>
            </w:r>
            <w:r w:rsidR="006D0039">
              <w:rPr>
                <w:rFonts w:eastAsia="Times New Roman" w:cs="Arial"/>
                <w:color w:val="1F4E79"/>
                <w:sz w:val="16"/>
                <w:szCs w:val="16"/>
                <w:lang w:val="en-US"/>
              </w:rPr>
              <w:t xml:space="preserve"> </w:t>
            </w:r>
            <w:r w:rsidRPr="00FA5AAC">
              <w:rPr>
                <w:rFonts w:ascii="Arial Narrow" w:eastAsia="Times New Roman" w:hAnsi="Arial Narrow" w:cs="Arial"/>
                <w:sz w:val="16"/>
                <w:szCs w:val="16"/>
                <w:lang w:val="en-US"/>
              </w:rPr>
              <w:t>Knowledge transfer and technology adaptation is facilitated through WIPO’s IP-based platforms and tools to address global challenges</w:t>
            </w:r>
          </w:p>
          <w:p w14:paraId="4E62CAAD" w14:textId="77777777" w:rsidR="0036583B" w:rsidRPr="00FA5AAC" w:rsidRDefault="0036583B" w:rsidP="0036583B">
            <w:pPr>
              <w:autoSpaceDE w:val="0"/>
              <w:autoSpaceDN w:val="0"/>
              <w:spacing w:after="0" w:line="240" w:lineRule="auto"/>
              <w:outlineLvl w:val="2"/>
              <w:rPr>
                <w:rFonts w:eastAsia="Times New Roman" w:cs="Arial"/>
                <w:sz w:val="16"/>
                <w:szCs w:val="16"/>
                <w:lang w:val="en-US"/>
              </w:rPr>
            </w:pPr>
            <w:r w:rsidRPr="00FA5AAC">
              <w:rPr>
                <w:rFonts w:ascii="Arial Narrow" w:eastAsia="Times New Roman" w:hAnsi="Arial Narrow" w:cs="Arial"/>
                <w:b/>
                <w:bCs/>
                <w:i/>
                <w:iCs/>
                <w:sz w:val="16"/>
                <w:szCs w:val="16"/>
                <w:lang w:val="en-US"/>
              </w:rPr>
              <w:t>High risk appetite</w:t>
            </w:r>
          </w:p>
        </w:tc>
        <w:tc>
          <w:tcPr>
            <w:tcW w:w="2338" w:type="dxa"/>
            <w:shd w:val="clear" w:color="auto" w:fill="FFFFFF"/>
            <w:tcMar>
              <w:top w:w="0" w:type="dxa"/>
              <w:left w:w="108" w:type="dxa"/>
              <w:bottom w:w="0" w:type="dxa"/>
              <w:right w:w="108" w:type="dxa"/>
            </w:tcMar>
            <w:hideMark/>
          </w:tcPr>
          <w:p w14:paraId="3F06302E" w14:textId="77777777" w:rsidR="0036583B" w:rsidRPr="00FA5AAC"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FA5AAC">
              <w:rPr>
                <w:rFonts w:ascii="Arial Narrow" w:eastAsia="Times New Roman" w:hAnsi="Arial Narrow" w:cs="Arial"/>
                <w:sz w:val="16"/>
                <w:szCs w:val="16"/>
                <w:lang w:val="en-US"/>
              </w:rPr>
              <w:t>Being an early adopter of frontier technologies carries inherent opportunities and risks in terms of identifying the most valuable use cases, integrating with existing governance mechanisms as well as accurately capturing the human readiness to adopt the technological change.</w:t>
            </w:r>
          </w:p>
        </w:tc>
        <w:tc>
          <w:tcPr>
            <w:tcW w:w="3415" w:type="dxa"/>
            <w:shd w:val="clear" w:color="auto" w:fill="FFFFFF"/>
            <w:tcMar>
              <w:top w:w="0" w:type="dxa"/>
              <w:left w:w="108" w:type="dxa"/>
              <w:bottom w:w="0" w:type="dxa"/>
              <w:right w:w="108" w:type="dxa"/>
            </w:tcMar>
            <w:hideMark/>
          </w:tcPr>
          <w:p w14:paraId="6B732CAD" w14:textId="77777777" w:rsidR="0036583B" w:rsidRPr="00FA5AAC"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FA5AAC">
              <w:rPr>
                <w:rFonts w:ascii="Arial Narrow" w:eastAsia="Times New Roman" w:hAnsi="Arial Narrow" w:cs="Arial"/>
                <w:sz w:val="16"/>
                <w:szCs w:val="16"/>
                <w:lang w:val="en-US"/>
              </w:rPr>
              <w:t>WIPO supports feasibility studies to analyze the most cost-effective approach to enhance functions and processes for the Organization, including its Member States. In 2024/25, a continuing focus on the development of the machine translation systems and image similarity search systems is planned, while continuing to seek further innovative solutions.</w:t>
            </w:r>
          </w:p>
        </w:tc>
        <w:tc>
          <w:tcPr>
            <w:tcW w:w="1530" w:type="dxa"/>
            <w:shd w:val="clear" w:color="auto" w:fill="FFFFFF"/>
            <w:tcMar>
              <w:top w:w="0" w:type="dxa"/>
              <w:left w:w="108" w:type="dxa"/>
              <w:bottom w:w="0" w:type="dxa"/>
              <w:right w:w="108" w:type="dxa"/>
            </w:tcMar>
            <w:hideMark/>
          </w:tcPr>
          <w:p w14:paraId="314E7FAA" w14:textId="4137CF5D" w:rsidR="00EB4125"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FA5AAC">
              <w:rPr>
                <w:rFonts w:ascii="Arial Narrow" w:eastAsia="Times New Roman" w:hAnsi="Arial Narrow" w:cs="Arial"/>
                <w:sz w:val="16"/>
                <w:szCs w:val="16"/>
                <w:lang w:val="en-US"/>
              </w:rPr>
              <w:t xml:space="preserve">Medium </w:t>
            </w:r>
            <w:r w:rsidR="00EB4125">
              <w:rPr>
                <w:rFonts w:ascii="Arial Narrow" w:eastAsia="Times New Roman" w:hAnsi="Arial Narrow" w:cs="Arial"/>
                <w:sz w:val="16"/>
                <w:szCs w:val="16"/>
                <w:lang w:val="en-US"/>
              </w:rPr>
              <w:t xml:space="preserve">– </w:t>
            </w:r>
          </w:p>
          <w:p w14:paraId="3C85CC21" w14:textId="54CC0826" w:rsidR="0036583B" w:rsidRPr="00FA5AAC" w:rsidRDefault="00EB4125" w:rsidP="00EB4125">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b</w:t>
            </w:r>
            <w:r w:rsidR="0036583B" w:rsidRPr="00FA5AAC">
              <w:rPr>
                <w:rFonts w:ascii="Arial Narrow" w:eastAsia="Times New Roman" w:hAnsi="Arial Narrow" w:cs="Arial"/>
                <w:sz w:val="16"/>
                <w:szCs w:val="16"/>
                <w:lang w:val="en-US"/>
              </w:rPr>
              <w:t>elow risk appetite</w:t>
            </w:r>
          </w:p>
        </w:tc>
      </w:tr>
      <w:tr w:rsidR="0036583B" w:rsidRPr="00FA5AAC" w14:paraId="051EE1CE" w14:textId="77777777" w:rsidTr="00EB4125">
        <w:tc>
          <w:tcPr>
            <w:tcW w:w="962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36583B" w:rsidRPr="00FA5AAC" w14:paraId="4F536115" w14:textId="77777777" w:rsidTr="0036583B">
              <w:trPr>
                <w:trHeight w:val="134"/>
              </w:trPr>
              <w:tc>
                <w:tcPr>
                  <w:tcW w:w="1129" w:type="dxa"/>
                  <w:tcMar>
                    <w:top w:w="0" w:type="dxa"/>
                    <w:left w:w="108" w:type="dxa"/>
                    <w:bottom w:w="0" w:type="dxa"/>
                    <w:right w:w="108" w:type="dxa"/>
                  </w:tcMar>
                  <w:hideMark/>
                </w:tcPr>
                <w:p w14:paraId="13915729" w14:textId="6B540846" w:rsidR="0036583B" w:rsidRPr="007C5188" w:rsidRDefault="007C5188" w:rsidP="0036583B">
                  <w:pPr>
                    <w:widowControl w:val="0"/>
                    <w:autoSpaceDE w:val="0"/>
                    <w:autoSpaceDN w:val="0"/>
                    <w:spacing w:after="0" w:line="240" w:lineRule="auto"/>
                    <w:ind w:hanging="360"/>
                    <w:jc w:val="right"/>
                    <w:rPr>
                      <w:rFonts w:ascii="Arial Narrow" w:eastAsia="Calibri"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4 </w:t>
                  </w:r>
                  <w:r w:rsidR="0036583B" w:rsidRPr="007C5188">
                    <w:rPr>
                      <w:rFonts w:ascii="Arial Narrow" w:eastAsia="Arial Narrow" w:hAnsi="Arial Narrow" w:cs="Arial Narrow"/>
                      <w:i/>
                      <w:iCs/>
                      <w:color w:val="005172" w:themeColor="text2"/>
                      <w:sz w:val="16"/>
                      <w:szCs w:val="16"/>
                      <w:lang w:val="en-US" w:bidi="en-US"/>
                    </w:rPr>
                    <w:t xml:space="preserve">  </w:t>
                  </w:r>
                </w:p>
              </w:tc>
              <w:tc>
                <w:tcPr>
                  <w:tcW w:w="7571" w:type="dxa"/>
                  <w:tcMar>
                    <w:top w:w="0" w:type="dxa"/>
                    <w:left w:w="108" w:type="dxa"/>
                    <w:bottom w:w="0" w:type="dxa"/>
                    <w:right w:w="108" w:type="dxa"/>
                  </w:tcMar>
                  <w:hideMark/>
                </w:tcPr>
                <w:p w14:paraId="49C96C7A" w14:textId="77777777" w:rsidR="0036583B" w:rsidRPr="007C5188" w:rsidRDefault="0036583B" w:rsidP="0036583B">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7C5188">
                    <w:rPr>
                      <w:rFonts w:ascii="Arial Narrow" w:eastAsia="Arial Narrow" w:hAnsi="Arial Narrow" w:cs="Arial Narrow"/>
                      <w:i/>
                      <w:iCs/>
                      <w:color w:val="005172" w:themeColor="text2"/>
                      <w:sz w:val="16"/>
                      <w:szCs w:val="16"/>
                      <w:lang w:val="en-US" w:bidi="en-US"/>
                    </w:rPr>
                    <w:t>Support governments, enterprises, communities and individuals to use intellectual property as a tool for growth and sustainable development</w:t>
                  </w:r>
                </w:p>
              </w:tc>
            </w:tr>
          </w:tbl>
          <w:p w14:paraId="4CC03786" w14:textId="77777777" w:rsidR="0036583B" w:rsidRPr="00FA5AAC" w:rsidRDefault="0036583B" w:rsidP="0036583B">
            <w:pPr>
              <w:widowControl w:val="0"/>
              <w:autoSpaceDE w:val="0"/>
              <w:autoSpaceDN w:val="0"/>
              <w:spacing w:after="0" w:line="240" w:lineRule="auto"/>
              <w:rPr>
                <w:rFonts w:ascii="Times New Roman" w:eastAsia="Times New Roman" w:hAnsi="Times New Roman" w:cs="Times New Roman"/>
                <w:sz w:val="20"/>
                <w:szCs w:val="20"/>
                <w:lang w:val="en-US" w:bidi="en-US"/>
              </w:rPr>
            </w:pPr>
          </w:p>
        </w:tc>
      </w:tr>
      <w:tr w:rsidR="0036583B" w:rsidRPr="00FA5AAC" w14:paraId="2BBDAD1C" w14:textId="77777777" w:rsidTr="00EB4125">
        <w:trPr>
          <w:trHeight w:val="1656"/>
        </w:trPr>
        <w:tc>
          <w:tcPr>
            <w:tcW w:w="2337" w:type="dxa"/>
            <w:tcBorders>
              <w:bottom w:val="single" w:sz="8" w:space="0" w:color="CBD4DB" w:themeColor="accent4" w:themeTint="99"/>
            </w:tcBorders>
            <w:shd w:val="clear" w:color="auto" w:fill="FFFFFF"/>
            <w:tcMar>
              <w:top w:w="0" w:type="dxa"/>
              <w:left w:w="108" w:type="dxa"/>
              <w:bottom w:w="0" w:type="dxa"/>
              <w:right w:w="108" w:type="dxa"/>
            </w:tcMar>
            <w:hideMark/>
          </w:tcPr>
          <w:p w14:paraId="0CC95250" w14:textId="30C9E7EA" w:rsidR="0036583B" w:rsidRPr="00FA5AAC"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7160D4">
              <w:rPr>
                <w:rFonts w:ascii="Arial Narrow" w:eastAsia="Times New Roman" w:hAnsi="Arial Narrow" w:cs="Arial"/>
                <w:color w:val="005171"/>
                <w:sz w:val="16"/>
                <w:szCs w:val="16"/>
                <w:lang w:val="en-US"/>
              </w:rPr>
              <w:t>4</w:t>
            </w:r>
            <w:r w:rsidRPr="007160D4">
              <w:rPr>
                <w:rFonts w:ascii="Arial Narrow" w:eastAsia="Times New Roman" w:hAnsi="Arial Narrow" w:cs="Arial"/>
                <w:color w:val="1F4E79"/>
                <w:sz w:val="16"/>
                <w:szCs w:val="16"/>
                <w:lang w:val="en-US"/>
              </w:rPr>
              <w:t>.5</w:t>
            </w:r>
            <w:r w:rsidRPr="00FA5AAC">
              <w:rPr>
                <w:rFonts w:eastAsia="Times New Roman" w:cs="Arial"/>
                <w:color w:val="005171"/>
                <w:sz w:val="16"/>
                <w:szCs w:val="16"/>
                <w:lang w:val="en-US"/>
              </w:rPr>
              <w:t xml:space="preserve"> </w:t>
            </w:r>
            <w:r w:rsidR="006D0039">
              <w:rPr>
                <w:rFonts w:eastAsia="Times New Roman" w:cs="Arial"/>
                <w:color w:val="005171"/>
                <w:sz w:val="16"/>
                <w:szCs w:val="16"/>
                <w:lang w:val="en-US"/>
              </w:rPr>
              <w:t xml:space="preserve"> </w:t>
            </w:r>
            <w:r w:rsidR="005A50BE" w:rsidRPr="005A50BE">
              <w:rPr>
                <w:rFonts w:ascii="Arial Narrow" w:eastAsia="Times New Roman" w:hAnsi="Arial Narrow" w:cs="Arial"/>
                <w:sz w:val="16"/>
                <w:szCs w:val="16"/>
                <w:lang w:val="en-US"/>
              </w:rPr>
              <w:t>Enhanced IP infrastructure for IP Offices</w:t>
            </w:r>
          </w:p>
          <w:p w14:paraId="22677C90" w14:textId="77777777" w:rsidR="0036583B" w:rsidRPr="00FA5AAC" w:rsidRDefault="0036583B" w:rsidP="0036583B">
            <w:pPr>
              <w:autoSpaceDE w:val="0"/>
              <w:autoSpaceDN w:val="0"/>
              <w:spacing w:after="0" w:line="240" w:lineRule="auto"/>
              <w:outlineLvl w:val="2"/>
              <w:rPr>
                <w:rFonts w:eastAsia="Times New Roman" w:cs="Arial"/>
                <w:sz w:val="16"/>
                <w:szCs w:val="16"/>
                <w:lang w:val="en-US"/>
              </w:rPr>
            </w:pPr>
            <w:r w:rsidRPr="00FA5AAC">
              <w:rPr>
                <w:rFonts w:ascii="Arial Narrow" w:eastAsia="Times New Roman" w:hAnsi="Arial Narrow" w:cs="Arial"/>
                <w:b/>
                <w:bCs/>
                <w:i/>
                <w:iCs/>
                <w:sz w:val="16"/>
                <w:szCs w:val="16"/>
                <w:lang w:val="en-US"/>
              </w:rPr>
              <w:t>Medium risk appetite</w:t>
            </w:r>
          </w:p>
        </w:tc>
        <w:tc>
          <w:tcPr>
            <w:tcW w:w="2338" w:type="dxa"/>
            <w:tcBorders>
              <w:bottom w:val="single" w:sz="8" w:space="0" w:color="CBD4DB" w:themeColor="accent4" w:themeTint="99"/>
            </w:tcBorders>
            <w:shd w:val="clear" w:color="auto" w:fill="FFFFFF"/>
            <w:tcMar>
              <w:top w:w="0" w:type="dxa"/>
              <w:left w:w="108" w:type="dxa"/>
              <w:bottom w:w="0" w:type="dxa"/>
              <w:right w:w="108" w:type="dxa"/>
            </w:tcMar>
            <w:hideMark/>
          </w:tcPr>
          <w:p w14:paraId="77226E4F" w14:textId="77777777" w:rsidR="0036583B" w:rsidRPr="00FA5AAC"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sidRPr="00FA5AAC">
              <w:rPr>
                <w:rFonts w:ascii="Arial Narrow" w:eastAsia="Times New Roman" w:hAnsi="Arial Narrow" w:cs="Arial"/>
                <w:sz w:val="16"/>
                <w:szCs w:val="16"/>
                <w:lang w:val="en-US"/>
              </w:rPr>
              <w:t>After WIPO software systems are implemented for IP Offices’ core business, there is a risk that they are insufficiently integrated into existing operations or lack self-supporting mechanisms, threatening their sustainability in the medium term.</w:t>
            </w:r>
          </w:p>
        </w:tc>
        <w:tc>
          <w:tcPr>
            <w:tcW w:w="3415" w:type="dxa"/>
            <w:tcBorders>
              <w:bottom w:val="single" w:sz="8" w:space="0" w:color="CBD4DB" w:themeColor="accent4" w:themeTint="99"/>
            </w:tcBorders>
            <w:shd w:val="clear" w:color="auto" w:fill="FFFFFF"/>
            <w:tcMar>
              <w:top w:w="0" w:type="dxa"/>
              <w:left w:w="108" w:type="dxa"/>
              <w:bottom w:w="0" w:type="dxa"/>
              <w:right w:w="108" w:type="dxa"/>
            </w:tcMar>
            <w:hideMark/>
          </w:tcPr>
          <w:p w14:paraId="7EEED045" w14:textId="5676E5C7" w:rsidR="0036583B" w:rsidRPr="00FA5AAC" w:rsidRDefault="00FC621E" w:rsidP="0036583B">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Local IP O</w:t>
            </w:r>
            <w:r w:rsidR="0036583B" w:rsidRPr="00FA5AAC">
              <w:rPr>
                <w:rFonts w:ascii="Arial Narrow" w:eastAsia="Times New Roman" w:hAnsi="Arial Narrow" w:cs="Arial"/>
                <w:sz w:val="16"/>
                <w:szCs w:val="16"/>
                <w:lang w:val="en-US"/>
              </w:rPr>
              <w:t>ffice commitment with the establishment of formal procedures for software support and maintenance, together with WIPO’s training and knowledge transfer activities provide the mechanisms for self-supporting operation.</w:t>
            </w:r>
          </w:p>
        </w:tc>
        <w:tc>
          <w:tcPr>
            <w:tcW w:w="1530" w:type="dxa"/>
            <w:tcBorders>
              <w:bottom w:val="single" w:sz="8" w:space="0" w:color="CBD4DB" w:themeColor="accent4" w:themeTint="99"/>
            </w:tcBorders>
            <w:shd w:val="clear" w:color="auto" w:fill="FFFFFF"/>
            <w:tcMar>
              <w:top w:w="0" w:type="dxa"/>
              <w:left w:w="108" w:type="dxa"/>
              <w:bottom w:w="0" w:type="dxa"/>
              <w:right w:w="108" w:type="dxa"/>
            </w:tcMar>
            <w:hideMark/>
          </w:tcPr>
          <w:p w14:paraId="2AB8E5C6" w14:textId="3B42953C" w:rsidR="0036583B" w:rsidRDefault="0036583B" w:rsidP="0036583B">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Medium</w:t>
            </w:r>
            <w:r w:rsidR="00EB4125">
              <w:rPr>
                <w:rFonts w:ascii="Arial Narrow" w:eastAsia="Times New Roman" w:hAnsi="Arial Narrow" w:cs="Arial"/>
                <w:sz w:val="16"/>
                <w:szCs w:val="16"/>
                <w:lang w:val="en-US"/>
              </w:rPr>
              <w:t xml:space="preserve"> – </w:t>
            </w:r>
          </w:p>
          <w:p w14:paraId="12539667" w14:textId="5A31280C" w:rsidR="0036583B" w:rsidRPr="00FA5AAC" w:rsidRDefault="00EB4125" w:rsidP="00EF3B0C">
            <w:pPr>
              <w:autoSpaceDE w:val="0"/>
              <w:autoSpaceDN w:val="0"/>
              <w:spacing w:after="0" w:line="240"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0036583B" w:rsidRPr="00FA5AAC">
              <w:rPr>
                <w:rFonts w:ascii="Arial Narrow" w:eastAsia="Times New Roman" w:hAnsi="Arial Narrow" w:cs="Arial"/>
                <w:sz w:val="16"/>
                <w:szCs w:val="16"/>
                <w:lang w:val="en-US"/>
              </w:rPr>
              <w:t>n line with risk appetite</w:t>
            </w:r>
          </w:p>
        </w:tc>
      </w:tr>
    </w:tbl>
    <w:p w14:paraId="26A6CDC9" w14:textId="77777777" w:rsidR="0036583B" w:rsidRDefault="0036583B" w:rsidP="0036583B"/>
    <w:p w14:paraId="68315DDA" w14:textId="77777777" w:rsidR="0036583B" w:rsidRDefault="0036583B" w:rsidP="0036583B">
      <w:pPr>
        <w:spacing w:after="200" w:line="276" w:lineRule="auto"/>
        <w:rPr>
          <w:rFonts w:eastAsia="Times New Roman" w:cs="Arial"/>
          <w:color w:val="005172" w:themeColor="text2"/>
          <w:sz w:val="32"/>
          <w:szCs w:val="32"/>
          <w:lang w:val="en-US"/>
        </w:rPr>
      </w:pPr>
      <w:r>
        <w:rPr>
          <w:rFonts w:eastAsia="Times New Roman" w:cs="Arial"/>
          <w:szCs w:val="32"/>
          <w:lang w:val="en-US"/>
        </w:rPr>
        <w:br w:type="page"/>
      </w:r>
    </w:p>
    <w:p w14:paraId="48EA5920" w14:textId="77777777" w:rsidR="0036583B" w:rsidRPr="007F1A58" w:rsidRDefault="0036583B" w:rsidP="0036583B">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414"/>
        <w:gridCol w:w="2415"/>
        <w:gridCol w:w="2415"/>
        <w:gridCol w:w="2386"/>
      </w:tblGrid>
      <w:tr w:rsidR="0036583B" w:rsidRPr="00D350B5" w14:paraId="1DD17D91" w14:textId="77777777" w:rsidTr="0036583B">
        <w:trPr>
          <w:cantSplit/>
          <w:trHeight w:val="278"/>
          <w:tblHeader/>
        </w:trPr>
        <w:tc>
          <w:tcPr>
            <w:tcW w:w="2414" w:type="dxa"/>
            <w:shd w:val="clear" w:color="auto" w:fill="C6CFD7" w:themeFill="accent3" w:themeFillTint="66"/>
          </w:tcPr>
          <w:p w14:paraId="6169EDCD" w14:textId="77777777" w:rsidR="0036583B" w:rsidRPr="00D350B5" w:rsidRDefault="0036583B" w:rsidP="0036583B">
            <w:pPr>
              <w:pStyle w:val="TableHeading"/>
              <w:rPr>
                <w:lang w:val="en-US"/>
              </w:rPr>
            </w:pPr>
            <w:r w:rsidRPr="00D350B5">
              <w:rPr>
                <w:lang w:val="en-US"/>
              </w:rPr>
              <w:t>Expected Result</w:t>
            </w:r>
          </w:p>
        </w:tc>
        <w:tc>
          <w:tcPr>
            <w:tcW w:w="2415" w:type="dxa"/>
            <w:shd w:val="clear" w:color="auto" w:fill="C6CFD7" w:themeFill="accent3" w:themeFillTint="66"/>
          </w:tcPr>
          <w:p w14:paraId="37D4AEC2" w14:textId="77777777" w:rsidR="0036583B" w:rsidRPr="00D350B5" w:rsidRDefault="0036583B" w:rsidP="0036583B">
            <w:pPr>
              <w:pStyle w:val="TableHeading"/>
              <w:rPr>
                <w:lang w:val="en-US"/>
              </w:rPr>
            </w:pPr>
            <w:r w:rsidRPr="00D350B5">
              <w:rPr>
                <w:lang w:val="en-US"/>
              </w:rPr>
              <w:t>Performance Indicators</w:t>
            </w:r>
          </w:p>
        </w:tc>
        <w:tc>
          <w:tcPr>
            <w:tcW w:w="2415" w:type="dxa"/>
            <w:shd w:val="clear" w:color="auto" w:fill="C6CFD7" w:themeFill="accent3" w:themeFillTint="66"/>
          </w:tcPr>
          <w:p w14:paraId="754127C8" w14:textId="77777777" w:rsidR="0036583B" w:rsidRPr="00D350B5" w:rsidRDefault="0036583B" w:rsidP="0036583B">
            <w:pPr>
              <w:pStyle w:val="TableHeading"/>
              <w:rPr>
                <w:lang w:val="en-US"/>
              </w:rPr>
            </w:pPr>
            <w:r w:rsidRPr="00D350B5">
              <w:rPr>
                <w:lang w:val="en-US"/>
              </w:rPr>
              <w:t>Baselines</w:t>
            </w:r>
          </w:p>
        </w:tc>
        <w:tc>
          <w:tcPr>
            <w:tcW w:w="2386" w:type="dxa"/>
            <w:shd w:val="clear" w:color="auto" w:fill="C6CFD7" w:themeFill="accent3" w:themeFillTint="66"/>
          </w:tcPr>
          <w:p w14:paraId="5FA025A8" w14:textId="77777777" w:rsidR="0036583B" w:rsidRPr="00D350B5" w:rsidRDefault="0036583B" w:rsidP="0036583B">
            <w:pPr>
              <w:pStyle w:val="TableHeading"/>
              <w:rPr>
                <w:lang w:val="en-US"/>
              </w:rPr>
            </w:pPr>
            <w:r w:rsidRPr="00D350B5">
              <w:rPr>
                <w:lang w:val="en-US"/>
              </w:rPr>
              <w:t>Targets</w:t>
            </w:r>
          </w:p>
        </w:tc>
      </w:tr>
      <w:tr w:rsidR="0036583B" w:rsidRPr="007B17FF" w14:paraId="4C5F9A5E" w14:textId="77777777" w:rsidTr="0036583B">
        <w:trPr>
          <w:cantSplit/>
          <w:trHeight w:val="278"/>
        </w:trPr>
        <w:tc>
          <w:tcPr>
            <w:tcW w:w="2414" w:type="dxa"/>
            <w:shd w:val="clear" w:color="auto" w:fill="EDF0F3" w:themeFill="accent4" w:themeFillTint="33"/>
          </w:tcPr>
          <w:p w14:paraId="08CAEDDC"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2</w:t>
            </w:r>
          </w:p>
        </w:tc>
        <w:tc>
          <w:tcPr>
            <w:tcW w:w="7216" w:type="dxa"/>
            <w:gridSpan w:val="3"/>
            <w:shd w:val="clear" w:color="auto" w:fill="EDF0F3" w:themeFill="accent4" w:themeFillTint="33"/>
          </w:tcPr>
          <w:p w14:paraId="6C13BDA7"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Bring people together and partner with stakeholders to shape the future of the global intellectual property ecosystem</w:t>
            </w:r>
          </w:p>
        </w:tc>
      </w:tr>
      <w:tr w:rsidR="0036583B" w:rsidRPr="00620068" w14:paraId="76A7F8B1" w14:textId="77777777" w:rsidTr="0036583B">
        <w:trPr>
          <w:cantSplit/>
          <w:trHeight w:val="206"/>
        </w:trPr>
        <w:tc>
          <w:tcPr>
            <w:tcW w:w="2414" w:type="dxa"/>
            <w:vMerge w:val="restart"/>
            <w:shd w:val="clear" w:color="auto" w:fill="auto"/>
          </w:tcPr>
          <w:p w14:paraId="0AB1D4CE" w14:textId="77777777" w:rsidR="0036583B" w:rsidRPr="00620068" w:rsidRDefault="0036583B" w:rsidP="0036583B">
            <w:pPr>
              <w:pStyle w:val="TableTextBold"/>
              <w:rPr>
                <w:rStyle w:val="charColoured"/>
                <w:lang w:val="en-US"/>
              </w:rPr>
            </w:pPr>
            <w:r w:rsidRPr="00620068">
              <w:rPr>
                <w:rStyle w:val="charColoured"/>
                <w:lang w:val="en-US"/>
              </w:rPr>
              <w:t>2.1</w:t>
            </w:r>
            <w:r w:rsidRPr="00620068">
              <w:rPr>
                <w:color w:val="005694"/>
                <w:lang w:val="en-US"/>
              </w:rPr>
              <w:t xml:space="preserve">  </w:t>
            </w:r>
            <w:r w:rsidRPr="00620068">
              <w:rPr>
                <w:lang w:val="en-US"/>
              </w:rPr>
              <w:t>Development of balanced and effective international normative frameworks for IP</w:t>
            </w:r>
          </w:p>
        </w:tc>
        <w:tc>
          <w:tcPr>
            <w:tcW w:w="2415" w:type="dxa"/>
            <w:shd w:val="clear" w:color="auto" w:fill="auto"/>
          </w:tcPr>
          <w:p w14:paraId="633D8F57" w14:textId="77777777" w:rsidR="0036583B" w:rsidRPr="00620068" w:rsidRDefault="0036583B" w:rsidP="0036583B">
            <w:pPr>
              <w:pStyle w:val="TableText"/>
              <w:rPr>
                <w:lang w:val="en-US"/>
              </w:rPr>
            </w:pPr>
            <w:r w:rsidRPr="00620068">
              <w:rPr>
                <w:lang w:val="en-US"/>
              </w:rPr>
              <w:t>No. of new/revised WIPO Standards</w:t>
            </w:r>
          </w:p>
        </w:tc>
        <w:tc>
          <w:tcPr>
            <w:tcW w:w="2415" w:type="dxa"/>
            <w:shd w:val="clear" w:color="auto" w:fill="auto"/>
          </w:tcPr>
          <w:p w14:paraId="4BB0F8C3" w14:textId="77777777" w:rsidR="0036583B" w:rsidRPr="008D2D09" w:rsidRDefault="0036583B" w:rsidP="0036583B">
            <w:pPr>
              <w:pStyle w:val="TableText"/>
              <w:rPr>
                <w:lang w:val="en-US"/>
              </w:rPr>
            </w:pPr>
            <w:r w:rsidRPr="008D2D09">
              <w:rPr>
                <w:lang w:val="en-US"/>
              </w:rPr>
              <w:t xml:space="preserve">1 new Standard and </w:t>
            </w:r>
          </w:p>
          <w:p w14:paraId="5F4429DA" w14:textId="77777777" w:rsidR="0036583B" w:rsidRPr="00620068" w:rsidRDefault="0036583B" w:rsidP="0036583B">
            <w:pPr>
              <w:pStyle w:val="TableText"/>
              <w:rPr>
                <w:lang w:val="en-US"/>
              </w:rPr>
            </w:pPr>
            <w:r w:rsidRPr="008D2D09">
              <w:rPr>
                <w:lang w:val="en-US"/>
              </w:rPr>
              <w:t>5 revised Standards</w:t>
            </w:r>
            <w:r>
              <w:rPr>
                <w:lang w:val="en-US"/>
              </w:rPr>
              <w:t xml:space="preserve"> (2022)</w:t>
            </w:r>
          </w:p>
        </w:tc>
        <w:tc>
          <w:tcPr>
            <w:tcW w:w="2386" w:type="dxa"/>
            <w:shd w:val="clear" w:color="auto" w:fill="auto"/>
          </w:tcPr>
          <w:p w14:paraId="5506884E" w14:textId="77777777" w:rsidR="0036583B" w:rsidRPr="00620068" w:rsidRDefault="0036583B" w:rsidP="0036583B">
            <w:pPr>
              <w:pStyle w:val="TableText"/>
              <w:rPr>
                <w:lang w:val="en-US"/>
              </w:rPr>
            </w:pPr>
            <w:r>
              <w:rPr>
                <w:lang w:val="en-US"/>
              </w:rPr>
              <w:t>2 revised or new Standards (per year)</w:t>
            </w:r>
          </w:p>
        </w:tc>
      </w:tr>
      <w:tr w:rsidR="0036583B" w:rsidRPr="00620068" w14:paraId="325341BB" w14:textId="77777777" w:rsidTr="0036583B">
        <w:trPr>
          <w:cantSplit/>
          <w:trHeight w:val="312"/>
        </w:trPr>
        <w:tc>
          <w:tcPr>
            <w:tcW w:w="2414" w:type="dxa"/>
            <w:vMerge/>
            <w:shd w:val="clear" w:color="auto" w:fill="auto"/>
          </w:tcPr>
          <w:p w14:paraId="24FC8EC5" w14:textId="77777777" w:rsidR="0036583B" w:rsidRPr="00620068" w:rsidRDefault="0036583B" w:rsidP="0036583B">
            <w:pPr>
              <w:pStyle w:val="TableTextBold"/>
              <w:rPr>
                <w:rStyle w:val="charColoured"/>
                <w:lang w:val="en-US"/>
              </w:rPr>
            </w:pPr>
          </w:p>
        </w:tc>
        <w:tc>
          <w:tcPr>
            <w:tcW w:w="2415" w:type="dxa"/>
            <w:shd w:val="clear" w:color="auto" w:fill="auto"/>
          </w:tcPr>
          <w:p w14:paraId="07FDE7C6" w14:textId="77777777" w:rsidR="0036583B" w:rsidRPr="000F606E" w:rsidRDefault="0036583B" w:rsidP="0036583B">
            <w:pPr>
              <w:pStyle w:val="TableText"/>
              <w:rPr>
                <w:lang w:val="en-US"/>
              </w:rPr>
            </w:pPr>
            <w:r w:rsidRPr="000F606E">
              <w:rPr>
                <w:lang w:val="en-US"/>
              </w:rPr>
              <w:t>No. of revision</w:t>
            </w:r>
            <w:r>
              <w:rPr>
                <w:lang w:val="en-US"/>
              </w:rPr>
              <w:t>s</w:t>
            </w:r>
            <w:r w:rsidRPr="000F606E">
              <w:rPr>
                <w:lang w:val="en-US"/>
              </w:rPr>
              <w:t>/modifications to the International Classifications</w:t>
            </w:r>
          </w:p>
        </w:tc>
        <w:tc>
          <w:tcPr>
            <w:tcW w:w="2415" w:type="dxa"/>
            <w:shd w:val="clear" w:color="auto" w:fill="auto"/>
          </w:tcPr>
          <w:p w14:paraId="32B13FFE" w14:textId="77777777" w:rsidR="0036583B" w:rsidRPr="00620068" w:rsidRDefault="0036583B" w:rsidP="0036583B">
            <w:pPr>
              <w:pStyle w:val="TableText"/>
              <w:rPr>
                <w:lang w:val="en-US"/>
              </w:rPr>
            </w:pPr>
            <w:r w:rsidRPr="00F575BE">
              <w:rPr>
                <w:szCs w:val="16"/>
              </w:rPr>
              <w:t xml:space="preserve">Nice Classification: </w:t>
            </w:r>
            <w:r>
              <w:rPr>
                <w:szCs w:val="16"/>
              </w:rPr>
              <w:t>746</w:t>
            </w:r>
            <w:r w:rsidRPr="00F575BE">
              <w:rPr>
                <w:szCs w:val="16"/>
              </w:rPr>
              <w:t xml:space="preserve"> modifications (202</w:t>
            </w:r>
            <w:r>
              <w:rPr>
                <w:szCs w:val="16"/>
              </w:rPr>
              <w:t>0/2</w:t>
            </w:r>
            <w:r w:rsidRPr="00F575BE">
              <w:rPr>
                <w:szCs w:val="16"/>
              </w:rPr>
              <w:t>1)</w:t>
            </w:r>
          </w:p>
        </w:tc>
        <w:tc>
          <w:tcPr>
            <w:tcW w:w="2386" w:type="dxa"/>
            <w:shd w:val="clear" w:color="auto" w:fill="auto"/>
          </w:tcPr>
          <w:p w14:paraId="54F0BB6E" w14:textId="77777777" w:rsidR="0036583B" w:rsidRPr="00620068" w:rsidRDefault="0036583B" w:rsidP="0036583B">
            <w:pPr>
              <w:pStyle w:val="TableText"/>
              <w:rPr>
                <w:szCs w:val="16"/>
              </w:rPr>
            </w:pPr>
            <w:r>
              <w:rPr>
                <w:szCs w:val="16"/>
              </w:rPr>
              <w:t>Maintain baseline level</w:t>
            </w:r>
          </w:p>
        </w:tc>
      </w:tr>
      <w:tr w:rsidR="0036583B" w:rsidRPr="00620068" w14:paraId="52F15B7F" w14:textId="77777777" w:rsidTr="0036583B">
        <w:trPr>
          <w:cantSplit/>
          <w:trHeight w:val="312"/>
        </w:trPr>
        <w:tc>
          <w:tcPr>
            <w:tcW w:w="2414" w:type="dxa"/>
            <w:vMerge/>
            <w:shd w:val="clear" w:color="auto" w:fill="auto"/>
          </w:tcPr>
          <w:p w14:paraId="3F0D6372" w14:textId="77777777" w:rsidR="0036583B" w:rsidRPr="00620068" w:rsidRDefault="0036583B" w:rsidP="0036583B">
            <w:pPr>
              <w:pStyle w:val="TableTextBold"/>
              <w:rPr>
                <w:rStyle w:val="charColoured"/>
                <w:lang w:val="en-US"/>
              </w:rPr>
            </w:pPr>
          </w:p>
        </w:tc>
        <w:tc>
          <w:tcPr>
            <w:tcW w:w="2415" w:type="dxa"/>
            <w:shd w:val="clear" w:color="auto" w:fill="auto"/>
          </w:tcPr>
          <w:p w14:paraId="7FACF54F" w14:textId="77777777" w:rsidR="0036583B" w:rsidRPr="00620068" w:rsidRDefault="0036583B" w:rsidP="0036583B">
            <w:pPr>
              <w:pStyle w:val="TableText"/>
              <w:rPr>
                <w:lang w:val="en-US"/>
              </w:rPr>
            </w:pPr>
          </w:p>
        </w:tc>
        <w:tc>
          <w:tcPr>
            <w:tcW w:w="2415" w:type="dxa"/>
            <w:shd w:val="clear" w:color="auto" w:fill="auto"/>
          </w:tcPr>
          <w:p w14:paraId="294BE34B" w14:textId="77777777" w:rsidR="0036583B" w:rsidRPr="00620068" w:rsidRDefault="0036583B" w:rsidP="0036583B">
            <w:pPr>
              <w:pStyle w:val="TableText"/>
              <w:rPr>
                <w:lang w:val="en-US"/>
              </w:rPr>
            </w:pPr>
            <w:r w:rsidRPr="00F575BE">
              <w:rPr>
                <w:szCs w:val="16"/>
              </w:rPr>
              <w:t xml:space="preserve">IPC amendments: </w:t>
            </w:r>
            <w:r>
              <w:rPr>
                <w:szCs w:val="16"/>
              </w:rPr>
              <w:t xml:space="preserve">8,634 amendments </w:t>
            </w:r>
            <w:r w:rsidRPr="00F575BE">
              <w:rPr>
                <w:szCs w:val="16"/>
              </w:rPr>
              <w:t>(20</w:t>
            </w:r>
            <w:r>
              <w:rPr>
                <w:szCs w:val="16"/>
              </w:rPr>
              <w:t>20/</w:t>
            </w:r>
            <w:r w:rsidRPr="00F575BE">
              <w:rPr>
                <w:szCs w:val="16"/>
              </w:rPr>
              <w:t>21)</w:t>
            </w:r>
          </w:p>
        </w:tc>
        <w:tc>
          <w:tcPr>
            <w:tcW w:w="2386" w:type="dxa"/>
            <w:shd w:val="clear" w:color="auto" w:fill="auto"/>
          </w:tcPr>
          <w:p w14:paraId="5F5B7701" w14:textId="77777777" w:rsidR="0036583B" w:rsidRPr="00620068" w:rsidRDefault="0036583B" w:rsidP="0036583B">
            <w:pPr>
              <w:pStyle w:val="TableText"/>
              <w:rPr>
                <w:szCs w:val="16"/>
              </w:rPr>
            </w:pPr>
            <w:r>
              <w:rPr>
                <w:szCs w:val="16"/>
              </w:rPr>
              <w:t>Maintain baseline level</w:t>
            </w:r>
          </w:p>
        </w:tc>
      </w:tr>
      <w:tr w:rsidR="0036583B" w:rsidRPr="00D350B5" w14:paraId="75762CE1" w14:textId="77777777" w:rsidTr="0036583B">
        <w:trPr>
          <w:cantSplit/>
          <w:trHeight w:val="1134"/>
        </w:trPr>
        <w:tc>
          <w:tcPr>
            <w:tcW w:w="2414" w:type="dxa"/>
            <w:tcBorders>
              <w:top w:val="single" w:sz="4" w:space="0" w:color="C6CFD7" w:themeColor="accent3" w:themeTint="66"/>
            </w:tcBorders>
            <w:shd w:val="clear" w:color="auto" w:fill="auto"/>
          </w:tcPr>
          <w:p w14:paraId="104FF3D4" w14:textId="77777777" w:rsidR="0036583B" w:rsidRPr="00D350B5" w:rsidRDefault="0036583B" w:rsidP="0036583B">
            <w:pPr>
              <w:pStyle w:val="TableTextBold"/>
              <w:rPr>
                <w:lang w:val="en-US"/>
              </w:rPr>
            </w:pPr>
            <w:r>
              <w:rPr>
                <w:rStyle w:val="charColoured"/>
                <w:lang w:val="en-US"/>
              </w:rPr>
              <w:t>2</w:t>
            </w:r>
            <w:r w:rsidRPr="00D350B5">
              <w:rPr>
                <w:rStyle w:val="charColoured"/>
                <w:lang w:val="en-US"/>
              </w:rPr>
              <w:t>.</w:t>
            </w:r>
            <w:r>
              <w:rPr>
                <w:rStyle w:val="charColoured"/>
                <w:lang w:val="en-US"/>
              </w:rPr>
              <w:t>2</w:t>
            </w:r>
            <w:r w:rsidRPr="00D350B5">
              <w:rPr>
                <w:color w:val="005694"/>
                <w:lang w:val="en-US"/>
              </w:rPr>
              <w:t xml:space="preserve"> </w:t>
            </w:r>
            <w:r w:rsidRPr="000F606E">
              <w:rPr>
                <w:lang w:val="en-US"/>
              </w:rPr>
              <w:t>WIPO brings the international community together to proactively address emerging issues and policy challenges at the global level relating to IP, innovation and creativity</w:t>
            </w:r>
          </w:p>
        </w:tc>
        <w:tc>
          <w:tcPr>
            <w:tcW w:w="2415" w:type="dxa"/>
            <w:tcBorders>
              <w:top w:val="single" w:sz="4" w:space="0" w:color="C6CFD7" w:themeColor="accent3" w:themeTint="66"/>
            </w:tcBorders>
            <w:shd w:val="clear" w:color="auto" w:fill="auto"/>
          </w:tcPr>
          <w:p w14:paraId="6649B393" w14:textId="77777777" w:rsidR="0036583B" w:rsidRPr="000F606E" w:rsidRDefault="0036583B" w:rsidP="0036583B">
            <w:pPr>
              <w:pStyle w:val="TableText"/>
            </w:pPr>
            <w:r w:rsidRPr="000F606E">
              <w:rPr>
                <w:lang w:val="en-US"/>
              </w:rPr>
              <w:t>Engagement in the WIPO Conversations on IP and Frontier Technology</w:t>
            </w:r>
          </w:p>
        </w:tc>
        <w:tc>
          <w:tcPr>
            <w:tcW w:w="2415" w:type="dxa"/>
            <w:tcBorders>
              <w:top w:val="single" w:sz="4" w:space="0" w:color="C6CFD7" w:themeColor="accent3" w:themeTint="66"/>
            </w:tcBorders>
            <w:shd w:val="clear" w:color="auto" w:fill="auto"/>
          </w:tcPr>
          <w:p w14:paraId="347B0B02" w14:textId="77777777" w:rsidR="0036583B" w:rsidRPr="004A5FD0" w:rsidRDefault="0036583B" w:rsidP="0036583B">
            <w:pPr>
              <w:pStyle w:val="TableText"/>
              <w:spacing w:after="120"/>
              <w:ind w:left="115"/>
              <w:rPr>
                <w:lang w:val="en-US"/>
              </w:rPr>
            </w:pPr>
            <w:r w:rsidRPr="008D2D09">
              <w:rPr>
                <w:lang w:val="en-US"/>
              </w:rPr>
              <w:t>Conversation 5: Attendance by stakeholders from 93 Member States (including 62 Developing countries and LDCs)</w:t>
            </w:r>
          </w:p>
          <w:p w14:paraId="6F62282F" w14:textId="77777777" w:rsidR="0036583B" w:rsidRPr="00D350B5" w:rsidRDefault="0036583B" w:rsidP="0036583B">
            <w:pPr>
              <w:pStyle w:val="TableText"/>
              <w:rPr>
                <w:lang w:val="en-US"/>
              </w:rPr>
            </w:pPr>
            <w:r w:rsidRPr="008D2D09">
              <w:rPr>
                <w:lang w:val="en-US"/>
              </w:rPr>
              <w:t>Conversation 6: Attendance by stakeholders from 107 Member States (including 72 Developing countries and LDCs)</w:t>
            </w:r>
          </w:p>
        </w:tc>
        <w:tc>
          <w:tcPr>
            <w:tcW w:w="2386" w:type="dxa"/>
            <w:tcBorders>
              <w:top w:val="single" w:sz="4" w:space="0" w:color="C6CFD7" w:themeColor="accent3" w:themeTint="66"/>
            </w:tcBorders>
            <w:shd w:val="clear" w:color="auto" w:fill="auto"/>
          </w:tcPr>
          <w:p w14:paraId="66661666" w14:textId="6011A612" w:rsidR="0036583B" w:rsidRPr="00D350B5" w:rsidRDefault="0036583B" w:rsidP="00FC621E">
            <w:pPr>
              <w:pStyle w:val="TableText"/>
              <w:ind w:right="91"/>
              <w:rPr>
                <w:lang w:val="en-US"/>
              </w:rPr>
            </w:pPr>
            <w:r>
              <w:rPr>
                <w:lang w:val="en-US"/>
              </w:rPr>
              <w:t>Attendance f</w:t>
            </w:r>
            <w:r w:rsidRPr="008D2D09">
              <w:rPr>
                <w:lang w:val="en-US"/>
              </w:rPr>
              <w:t>rom </w:t>
            </w:r>
            <w:r>
              <w:rPr>
                <w:lang w:val="en-US"/>
              </w:rPr>
              <w:t xml:space="preserve">government representatives, enterprises, IP professionals and other stakeholders </w:t>
            </w:r>
            <w:r w:rsidR="00FC621E">
              <w:rPr>
                <w:lang w:val="en-US"/>
              </w:rPr>
              <w:t>from at least 90 M</w:t>
            </w:r>
            <w:r w:rsidRPr="008D2D09">
              <w:rPr>
                <w:lang w:val="en-US"/>
              </w:rPr>
              <w:t>ember </w:t>
            </w:r>
            <w:r w:rsidR="00FC621E">
              <w:rPr>
                <w:lang w:val="en-US"/>
              </w:rPr>
              <w:t>S</w:t>
            </w:r>
            <w:r w:rsidRPr="008D2D09">
              <w:rPr>
                <w:lang w:val="en-US"/>
              </w:rPr>
              <w:t>tates </w:t>
            </w:r>
          </w:p>
        </w:tc>
      </w:tr>
      <w:tr w:rsidR="0036583B" w:rsidRPr="007B17FF" w14:paraId="53A5A842" w14:textId="77777777" w:rsidTr="0036583B">
        <w:trPr>
          <w:cantSplit/>
          <w:trHeight w:val="278"/>
        </w:trPr>
        <w:tc>
          <w:tcPr>
            <w:tcW w:w="2414" w:type="dxa"/>
            <w:shd w:val="clear" w:color="auto" w:fill="EDF0F3" w:themeFill="accent4" w:themeFillTint="33"/>
          </w:tcPr>
          <w:p w14:paraId="51A4AE2C"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3</w:t>
            </w:r>
          </w:p>
        </w:tc>
        <w:tc>
          <w:tcPr>
            <w:tcW w:w="7216" w:type="dxa"/>
            <w:gridSpan w:val="3"/>
            <w:shd w:val="clear" w:color="auto" w:fill="EDF0F3" w:themeFill="accent4" w:themeFillTint="33"/>
          </w:tcPr>
          <w:p w14:paraId="35BAA055"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Provide high quality intellectual property services, knowledge and data that deliver value to users around the world</w:t>
            </w:r>
          </w:p>
        </w:tc>
      </w:tr>
      <w:tr w:rsidR="0036583B" w:rsidRPr="00D54D7F" w14:paraId="6F95CA1E" w14:textId="77777777" w:rsidTr="0036583B">
        <w:trPr>
          <w:cantSplit/>
          <w:trHeight w:val="380"/>
        </w:trPr>
        <w:tc>
          <w:tcPr>
            <w:tcW w:w="2414" w:type="dxa"/>
            <w:vMerge w:val="restart"/>
            <w:shd w:val="clear" w:color="auto" w:fill="auto"/>
          </w:tcPr>
          <w:p w14:paraId="1534BB7A" w14:textId="77777777" w:rsidR="0036583B" w:rsidRDefault="0036583B" w:rsidP="0036583B">
            <w:pPr>
              <w:pStyle w:val="TableTextBold"/>
              <w:rPr>
                <w:rStyle w:val="charColoured"/>
                <w:lang w:val="en-US"/>
              </w:rPr>
            </w:pPr>
            <w:r>
              <w:rPr>
                <w:rStyle w:val="charColoured"/>
                <w:lang w:val="en-US"/>
              </w:rPr>
              <w:t>3.1</w:t>
            </w:r>
            <w:r>
              <w:rPr>
                <w:lang w:val="en-US"/>
              </w:rPr>
              <w:t xml:space="preserve">  </w:t>
            </w:r>
            <w:r w:rsidRPr="000F606E">
              <w:rPr>
                <w:lang w:val="en-US"/>
              </w:rPr>
              <w:t>Wider and more effective use of WIPO’s global IP systems, services, knowledge and dat</w:t>
            </w:r>
            <w:r>
              <w:rPr>
                <w:lang w:val="en-US"/>
              </w:rPr>
              <w:t>a</w:t>
            </w:r>
          </w:p>
        </w:tc>
        <w:tc>
          <w:tcPr>
            <w:tcW w:w="2415" w:type="dxa"/>
            <w:shd w:val="clear" w:color="auto" w:fill="auto"/>
          </w:tcPr>
          <w:p w14:paraId="23090672" w14:textId="77777777" w:rsidR="0036583B" w:rsidRPr="000F606E" w:rsidRDefault="0036583B" w:rsidP="0036583B">
            <w:pPr>
              <w:pStyle w:val="TableText"/>
              <w:rPr>
                <w:lang w:val="en-US"/>
              </w:rPr>
            </w:pPr>
            <w:r w:rsidRPr="000F606E">
              <w:rPr>
                <w:lang w:val="en-US"/>
              </w:rPr>
              <w:t>No. of unique visitors to the Global Database Systems</w:t>
            </w:r>
          </w:p>
          <w:p w14:paraId="2C491610" w14:textId="77777777" w:rsidR="0036583B" w:rsidRPr="000F606E" w:rsidRDefault="0036583B" w:rsidP="0036583B">
            <w:pPr>
              <w:pStyle w:val="TableText"/>
              <w:rPr>
                <w:lang w:val="en-US"/>
              </w:rPr>
            </w:pPr>
            <w:r w:rsidRPr="000F606E">
              <w:rPr>
                <w:lang w:val="en-US"/>
              </w:rPr>
              <w:t>- PATENTSCOPE</w:t>
            </w:r>
          </w:p>
          <w:p w14:paraId="0AE024B4" w14:textId="77777777" w:rsidR="0036583B" w:rsidRPr="000F606E" w:rsidRDefault="0036583B" w:rsidP="0036583B">
            <w:pPr>
              <w:pStyle w:val="TableText"/>
              <w:rPr>
                <w:lang w:val="en-US"/>
              </w:rPr>
            </w:pPr>
            <w:r w:rsidRPr="000F606E">
              <w:rPr>
                <w:lang w:val="en-US"/>
              </w:rPr>
              <w:t>- Global Brand Database (GBD)</w:t>
            </w:r>
          </w:p>
          <w:p w14:paraId="53ECCC68" w14:textId="77777777" w:rsidR="0036583B" w:rsidRDefault="0036583B" w:rsidP="0036583B">
            <w:pPr>
              <w:pStyle w:val="TableText"/>
              <w:rPr>
                <w:lang w:val="en-US"/>
              </w:rPr>
            </w:pPr>
            <w:r w:rsidRPr="000F606E">
              <w:rPr>
                <w:lang w:val="en-US"/>
              </w:rPr>
              <w:t>- Global Design Database (GDD)</w:t>
            </w:r>
          </w:p>
        </w:tc>
        <w:tc>
          <w:tcPr>
            <w:tcW w:w="2415" w:type="dxa"/>
            <w:shd w:val="clear" w:color="auto" w:fill="auto"/>
          </w:tcPr>
          <w:p w14:paraId="3E6A8268" w14:textId="77777777" w:rsidR="0036583B" w:rsidRPr="00D54D7F" w:rsidRDefault="0036583B" w:rsidP="0036583B">
            <w:pPr>
              <w:pStyle w:val="TableText"/>
              <w:rPr>
                <w:lang w:val="fr-CH"/>
              </w:rPr>
            </w:pPr>
            <w:r w:rsidRPr="00D54D7F">
              <w:rPr>
                <w:lang w:val="fr-CH"/>
              </w:rPr>
              <w:t xml:space="preserve">PATENTSCOPE: </w:t>
            </w:r>
            <w:r>
              <w:rPr>
                <w:lang w:val="fr-CH"/>
              </w:rPr>
              <w:t>1,493,595 (Q4 2022)</w:t>
            </w:r>
          </w:p>
          <w:p w14:paraId="17199458" w14:textId="77777777" w:rsidR="0036583B" w:rsidRPr="00D54D7F" w:rsidRDefault="0036583B" w:rsidP="0036583B">
            <w:pPr>
              <w:pStyle w:val="TableText"/>
              <w:rPr>
                <w:lang w:val="fr-CH"/>
              </w:rPr>
            </w:pPr>
            <w:r w:rsidRPr="00D54D7F">
              <w:rPr>
                <w:lang w:val="fr-CH"/>
              </w:rPr>
              <w:t xml:space="preserve">GBD: </w:t>
            </w:r>
            <w:r>
              <w:rPr>
                <w:lang w:val="fr-CH"/>
              </w:rPr>
              <w:t>1,264,722 (Q4 2022)</w:t>
            </w:r>
          </w:p>
          <w:p w14:paraId="4B5CAF29" w14:textId="77777777" w:rsidR="0036583B" w:rsidRPr="00D54D7F" w:rsidRDefault="0036583B" w:rsidP="0036583B">
            <w:pPr>
              <w:pStyle w:val="TableText"/>
              <w:rPr>
                <w:lang w:val="fr-CH"/>
              </w:rPr>
            </w:pPr>
            <w:r>
              <w:rPr>
                <w:lang w:val="fr-CH"/>
              </w:rPr>
              <w:t>GDD : 138,815 (Q4 2022)</w:t>
            </w:r>
          </w:p>
        </w:tc>
        <w:tc>
          <w:tcPr>
            <w:tcW w:w="2386" w:type="dxa"/>
            <w:shd w:val="clear" w:color="auto" w:fill="auto"/>
          </w:tcPr>
          <w:p w14:paraId="3DB8A4C4" w14:textId="77777777" w:rsidR="0036583B" w:rsidRPr="00D54D7F" w:rsidRDefault="0036583B" w:rsidP="0036583B">
            <w:pPr>
              <w:pStyle w:val="TableText"/>
              <w:rPr>
                <w:szCs w:val="16"/>
                <w:lang w:val="fr-CH"/>
              </w:rPr>
            </w:pPr>
            <w:r>
              <w:rPr>
                <w:szCs w:val="16"/>
                <w:lang w:val="fr-CH"/>
              </w:rPr>
              <w:t>20% increase (biennium)</w:t>
            </w:r>
          </w:p>
        </w:tc>
      </w:tr>
      <w:tr w:rsidR="0036583B" w:rsidRPr="00D350B5" w14:paraId="639BEF9E" w14:textId="77777777" w:rsidTr="0036583B">
        <w:trPr>
          <w:cantSplit/>
          <w:trHeight w:val="447"/>
        </w:trPr>
        <w:tc>
          <w:tcPr>
            <w:tcW w:w="2414" w:type="dxa"/>
            <w:vMerge/>
            <w:shd w:val="clear" w:color="auto" w:fill="auto"/>
          </w:tcPr>
          <w:p w14:paraId="6077D5B6" w14:textId="77777777" w:rsidR="0036583B" w:rsidRPr="00D54D7F" w:rsidRDefault="0036583B" w:rsidP="0036583B">
            <w:pPr>
              <w:pStyle w:val="TableTextBold"/>
              <w:rPr>
                <w:rStyle w:val="charColoured"/>
                <w:lang w:val="fr-CH"/>
              </w:rPr>
            </w:pPr>
          </w:p>
        </w:tc>
        <w:tc>
          <w:tcPr>
            <w:tcW w:w="2415" w:type="dxa"/>
            <w:shd w:val="clear" w:color="auto" w:fill="auto"/>
          </w:tcPr>
          <w:p w14:paraId="704E87D9" w14:textId="77777777" w:rsidR="0036583B" w:rsidRPr="007B609C" w:rsidRDefault="0036583B" w:rsidP="0036583B">
            <w:pPr>
              <w:pStyle w:val="TableText"/>
              <w:rPr>
                <w:lang w:val="en-US"/>
              </w:rPr>
            </w:pPr>
            <w:r w:rsidRPr="000F606E">
              <w:rPr>
                <w:lang w:val="en-US"/>
              </w:rPr>
              <w:t>Level of user satisfaction with WIPO Global Databases</w:t>
            </w:r>
          </w:p>
        </w:tc>
        <w:tc>
          <w:tcPr>
            <w:tcW w:w="2415" w:type="dxa"/>
            <w:shd w:val="clear" w:color="auto" w:fill="auto"/>
          </w:tcPr>
          <w:p w14:paraId="0FBE7CC8" w14:textId="77777777" w:rsidR="0036583B" w:rsidRPr="00D54D7F" w:rsidRDefault="0036583B" w:rsidP="0036583B">
            <w:pPr>
              <w:pStyle w:val="TableText"/>
              <w:rPr>
                <w:lang w:val="en-US"/>
              </w:rPr>
            </w:pPr>
            <w:r w:rsidRPr="00D54D7F">
              <w:rPr>
                <w:lang w:val="en-US"/>
              </w:rPr>
              <w:t>PATENTSCOPE</w:t>
            </w:r>
            <w:r>
              <w:rPr>
                <w:lang w:val="en-US"/>
              </w:rPr>
              <w:t>:</w:t>
            </w:r>
            <w:r w:rsidRPr="00D54D7F">
              <w:rPr>
                <w:lang w:val="en-US"/>
              </w:rPr>
              <w:t xml:space="preserve"> 83%</w:t>
            </w:r>
          </w:p>
          <w:p w14:paraId="19C5BC55" w14:textId="77777777" w:rsidR="0036583B" w:rsidRPr="00D54D7F" w:rsidRDefault="0036583B" w:rsidP="0036583B">
            <w:pPr>
              <w:pStyle w:val="TableText"/>
              <w:rPr>
                <w:lang w:val="en-US"/>
              </w:rPr>
            </w:pPr>
            <w:r w:rsidRPr="00D54D7F">
              <w:rPr>
                <w:lang w:val="en-US"/>
              </w:rPr>
              <w:t>GBD: 70%</w:t>
            </w:r>
          </w:p>
          <w:p w14:paraId="51D6BAC8" w14:textId="77777777" w:rsidR="0036583B" w:rsidRDefault="0036583B" w:rsidP="0036583B">
            <w:pPr>
              <w:pStyle w:val="TableText"/>
              <w:rPr>
                <w:lang w:val="en-US"/>
              </w:rPr>
            </w:pPr>
            <w:r w:rsidRPr="00D54D7F">
              <w:rPr>
                <w:lang w:val="en-US"/>
              </w:rPr>
              <w:t>GDD: 74%</w:t>
            </w:r>
          </w:p>
        </w:tc>
        <w:tc>
          <w:tcPr>
            <w:tcW w:w="2386" w:type="dxa"/>
            <w:shd w:val="clear" w:color="auto" w:fill="auto"/>
          </w:tcPr>
          <w:p w14:paraId="35C86372" w14:textId="77777777" w:rsidR="0036583B" w:rsidRPr="0021395C" w:rsidRDefault="0036583B" w:rsidP="0036583B">
            <w:pPr>
              <w:pStyle w:val="TableText"/>
              <w:rPr>
                <w:szCs w:val="16"/>
              </w:rPr>
            </w:pPr>
            <w:r w:rsidRPr="00B65CEF">
              <w:rPr>
                <w:szCs w:val="16"/>
              </w:rPr>
              <w:t xml:space="preserve">≥ 85% </w:t>
            </w:r>
            <w:r w:rsidRPr="00B65CEF">
              <w:rPr>
                <w:szCs w:val="16"/>
                <w:lang w:val="en-US"/>
              </w:rPr>
              <w:t>satisfied or very satisfied</w:t>
            </w:r>
          </w:p>
        </w:tc>
      </w:tr>
      <w:tr w:rsidR="0036583B" w:rsidRPr="00D350B5" w14:paraId="1CA0C84F" w14:textId="77777777" w:rsidTr="0036583B">
        <w:trPr>
          <w:cantSplit/>
          <w:trHeight w:val="635"/>
        </w:trPr>
        <w:tc>
          <w:tcPr>
            <w:tcW w:w="2414" w:type="dxa"/>
            <w:tcBorders>
              <w:top w:val="single" w:sz="4" w:space="0" w:color="BFBFBF" w:themeColor="background1" w:themeShade="BF"/>
            </w:tcBorders>
            <w:shd w:val="clear" w:color="auto" w:fill="auto"/>
          </w:tcPr>
          <w:p w14:paraId="70446D1E" w14:textId="77777777" w:rsidR="0036583B" w:rsidRDefault="0036583B" w:rsidP="0036583B">
            <w:pPr>
              <w:pStyle w:val="TableTextBold"/>
              <w:rPr>
                <w:rStyle w:val="charColoured"/>
                <w:lang w:val="en-US"/>
              </w:rPr>
            </w:pPr>
            <w:r w:rsidRPr="00FB127D">
              <w:rPr>
                <w:rStyle w:val="charColoured"/>
                <w:lang w:val="en-US"/>
              </w:rPr>
              <w:t xml:space="preserve">3.2 </w:t>
            </w:r>
            <w:r>
              <w:rPr>
                <w:rStyle w:val="charColoured"/>
                <w:color w:val="auto"/>
                <w:lang w:val="en-US"/>
              </w:rPr>
              <w:t xml:space="preserve"> </w:t>
            </w:r>
            <w:r w:rsidRPr="00FB127D">
              <w:rPr>
                <w:rStyle w:val="charColoured"/>
                <w:color w:val="auto"/>
                <w:lang w:val="en-US"/>
              </w:rPr>
              <w:t>Improved productivity and service quality of WIPO’s global IP systems, services, knowledge and data</w:t>
            </w:r>
          </w:p>
        </w:tc>
        <w:tc>
          <w:tcPr>
            <w:tcW w:w="2415" w:type="dxa"/>
            <w:tcBorders>
              <w:top w:val="single" w:sz="4" w:space="0" w:color="BFBFBF" w:themeColor="background1" w:themeShade="BF"/>
            </w:tcBorders>
            <w:shd w:val="clear" w:color="auto" w:fill="auto"/>
          </w:tcPr>
          <w:p w14:paraId="0C1B073F" w14:textId="77777777" w:rsidR="0036583B" w:rsidRDefault="0036583B" w:rsidP="0036583B">
            <w:pPr>
              <w:pStyle w:val="TableText"/>
              <w:rPr>
                <w:lang w:val="en-US"/>
              </w:rPr>
            </w:pPr>
            <w:r w:rsidRPr="00FB127D">
              <w:rPr>
                <w:lang w:val="en-US"/>
              </w:rPr>
              <w:t>Customer Satisfaction Index (CSI)</w:t>
            </w:r>
          </w:p>
          <w:p w14:paraId="03F1AC5F" w14:textId="77777777" w:rsidR="0036583B" w:rsidRPr="000F606E" w:rsidRDefault="0036583B" w:rsidP="0036583B">
            <w:pPr>
              <w:pStyle w:val="TableText"/>
              <w:rPr>
                <w:lang w:val="en-US"/>
              </w:rPr>
            </w:pPr>
          </w:p>
        </w:tc>
        <w:tc>
          <w:tcPr>
            <w:tcW w:w="2415" w:type="dxa"/>
            <w:tcBorders>
              <w:top w:val="single" w:sz="4" w:space="0" w:color="BFBFBF" w:themeColor="background1" w:themeShade="BF"/>
            </w:tcBorders>
            <w:shd w:val="clear" w:color="auto" w:fill="auto"/>
          </w:tcPr>
          <w:p w14:paraId="696E59A1" w14:textId="70A48FF5" w:rsidR="0036583B" w:rsidRPr="000F606E" w:rsidRDefault="0036583B" w:rsidP="00FC621E">
            <w:pPr>
              <w:pStyle w:val="TableText"/>
              <w:rPr>
                <w:lang w:val="en-US"/>
              </w:rPr>
            </w:pPr>
            <w:r w:rsidRPr="00B65CEF">
              <w:rPr>
                <w:szCs w:val="16"/>
              </w:rPr>
              <w:t>84%</w:t>
            </w:r>
            <w:r>
              <w:rPr>
                <w:szCs w:val="16"/>
              </w:rPr>
              <w:t xml:space="preserve"> </w:t>
            </w:r>
            <w:r w:rsidR="00B47A61">
              <w:rPr>
                <w:szCs w:val="16"/>
              </w:rPr>
              <w:t>(2020/21 survey)</w:t>
            </w:r>
          </w:p>
        </w:tc>
        <w:tc>
          <w:tcPr>
            <w:tcW w:w="2386" w:type="dxa"/>
            <w:tcBorders>
              <w:top w:val="single" w:sz="4" w:space="0" w:color="BFBFBF" w:themeColor="background1" w:themeShade="BF"/>
            </w:tcBorders>
            <w:shd w:val="clear" w:color="auto" w:fill="auto"/>
          </w:tcPr>
          <w:p w14:paraId="49715A44" w14:textId="77777777" w:rsidR="0036583B" w:rsidRPr="000F606E" w:rsidRDefault="0036583B" w:rsidP="0036583B">
            <w:pPr>
              <w:pStyle w:val="TableText"/>
              <w:rPr>
                <w:szCs w:val="16"/>
              </w:rPr>
            </w:pPr>
            <w:r w:rsidRPr="00B65CEF">
              <w:rPr>
                <w:szCs w:val="16"/>
              </w:rPr>
              <w:t xml:space="preserve">≥ 85% </w:t>
            </w:r>
            <w:r w:rsidRPr="00B65CEF">
              <w:rPr>
                <w:szCs w:val="16"/>
                <w:lang w:val="en-US"/>
              </w:rPr>
              <w:t>satisfied or very satisfied</w:t>
            </w:r>
          </w:p>
        </w:tc>
      </w:tr>
      <w:tr w:rsidR="0036583B" w:rsidRPr="007B17FF" w14:paraId="68FBB226" w14:textId="77777777" w:rsidTr="0036583B">
        <w:trPr>
          <w:cantSplit/>
          <w:trHeight w:val="278"/>
        </w:trPr>
        <w:tc>
          <w:tcPr>
            <w:tcW w:w="2414" w:type="dxa"/>
            <w:shd w:val="clear" w:color="auto" w:fill="EDF0F3" w:themeFill="accent4" w:themeFillTint="33"/>
          </w:tcPr>
          <w:p w14:paraId="5F313DDD"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4</w:t>
            </w:r>
          </w:p>
        </w:tc>
        <w:tc>
          <w:tcPr>
            <w:tcW w:w="7216" w:type="dxa"/>
            <w:gridSpan w:val="3"/>
            <w:shd w:val="clear" w:color="auto" w:fill="EDF0F3" w:themeFill="accent4" w:themeFillTint="33"/>
          </w:tcPr>
          <w:p w14:paraId="7F1F25D7" w14:textId="77777777" w:rsidR="0036583B" w:rsidRPr="007B17FF" w:rsidRDefault="0036583B" w:rsidP="0036583B">
            <w:pPr>
              <w:pStyle w:val="TableHeading"/>
              <w:rPr>
                <w:b w:val="0"/>
                <w:i/>
                <w:color w:val="005172" w:themeColor="text2"/>
                <w:lang w:val="en-US"/>
              </w:rPr>
            </w:pPr>
            <w:r w:rsidRPr="007B17FF">
              <w:rPr>
                <w:b w:val="0"/>
                <w:i/>
                <w:color w:val="005172" w:themeColor="text2"/>
                <w:lang w:val="en-US"/>
              </w:rPr>
              <w:t>Support governments, enterprises, communities and individuals to use intellectual property as a tool for growth and sustainable development</w:t>
            </w:r>
          </w:p>
        </w:tc>
      </w:tr>
      <w:tr w:rsidR="0036583B" w:rsidRPr="00D350B5" w14:paraId="67236578" w14:textId="77777777" w:rsidTr="0036583B">
        <w:trPr>
          <w:cantSplit/>
          <w:trHeight w:val="391"/>
        </w:trPr>
        <w:tc>
          <w:tcPr>
            <w:tcW w:w="2414" w:type="dxa"/>
            <w:vMerge w:val="restart"/>
            <w:shd w:val="clear" w:color="auto" w:fill="auto"/>
          </w:tcPr>
          <w:p w14:paraId="1AEE3E30" w14:textId="77777777" w:rsidR="0036583B" w:rsidRPr="00D350B5" w:rsidRDefault="0036583B" w:rsidP="0036583B">
            <w:pPr>
              <w:pStyle w:val="TableTextBold"/>
              <w:rPr>
                <w:lang w:val="en-US"/>
              </w:rPr>
            </w:pPr>
            <w:r>
              <w:rPr>
                <w:rStyle w:val="charColoured"/>
                <w:lang w:val="en-US"/>
              </w:rPr>
              <w:t>4.5</w:t>
            </w:r>
            <w:r>
              <w:rPr>
                <w:lang w:val="en-US"/>
              </w:rPr>
              <w:t xml:space="preserve">  </w:t>
            </w:r>
            <w:r w:rsidRPr="001644A4">
              <w:rPr>
                <w:lang w:val="en-US"/>
              </w:rPr>
              <w:t xml:space="preserve">Enhanced IP infrastructure for IP Offices  </w:t>
            </w:r>
          </w:p>
        </w:tc>
        <w:tc>
          <w:tcPr>
            <w:tcW w:w="2415" w:type="dxa"/>
            <w:shd w:val="clear" w:color="auto" w:fill="auto"/>
          </w:tcPr>
          <w:p w14:paraId="40D47DDF" w14:textId="77777777" w:rsidR="0036583B" w:rsidRPr="00D350B5" w:rsidRDefault="0036583B" w:rsidP="0036583B">
            <w:pPr>
              <w:pStyle w:val="TableText"/>
              <w:rPr>
                <w:lang w:val="en-US"/>
              </w:rPr>
            </w:pPr>
            <w:r w:rsidRPr="001644A4">
              <w:rPr>
                <w:lang w:val="en-US"/>
              </w:rPr>
              <w:t>No. of documents exchanged through WIPO CASE and DAS</w:t>
            </w:r>
          </w:p>
        </w:tc>
        <w:tc>
          <w:tcPr>
            <w:tcW w:w="2415" w:type="dxa"/>
            <w:shd w:val="clear" w:color="auto" w:fill="auto"/>
          </w:tcPr>
          <w:p w14:paraId="32EDA3F6" w14:textId="77777777" w:rsidR="0036583B" w:rsidRPr="00D350B5" w:rsidRDefault="0036583B" w:rsidP="0036583B">
            <w:pPr>
              <w:pStyle w:val="TableText"/>
              <w:rPr>
                <w:lang w:val="en-US"/>
              </w:rPr>
            </w:pPr>
            <w:r>
              <w:rPr>
                <w:lang w:val="en-US"/>
              </w:rPr>
              <w:t>527,589</w:t>
            </w:r>
          </w:p>
        </w:tc>
        <w:tc>
          <w:tcPr>
            <w:tcW w:w="2386" w:type="dxa"/>
            <w:shd w:val="clear" w:color="auto" w:fill="auto"/>
          </w:tcPr>
          <w:p w14:paraId="61B7E6F0" w14:textId="77777777" w:rsidR="0036583B" w:rsidRPr="00D350B5" w:rsidRDefault="0036583B" w:rsidP="0036583B">
            <w:pPr>
              <w:pStyle w:val="TableText"/>
              <w:rPr>
                <w:lang w:val="en-US"/>
              </w:rPr>
            </w:pPr>
            <w:r>
              <w:rPr>
                <w:lang w:val="en-US"/>
              </w:rPr>
              <w:t>550,000 (annual)</w:t>
            </w:r>
          </w:p>
        </w:tc>
      </w:tr>
      <w:tr w:rsidR="0036583B" w:rsidRPr="00D350B5" w14:paraId="4A8B0582" w14:textId="77777777" w:rsidTr="0036583B">
        <w:trPr>
          <w:cantSplit/>
          <w:trHeight w:val="391"/>
        </w:trPr>
        <w:tc>
          <w:tcPr>
            <w:tcW w:w="2414" w:type="dxa"/>
            <w:vMerge/>
            <w:tcBorders>
              <w:bottom w:val="single" w:sz="4" w:space="0" w:color="BFBFBF" w:themeColor="background1" w:themeShade="BF"/>
            </w:tcBorders>
            <w:shd w:val="clear" w:color="auto" w:fill="auto"/>
          </w:tcPr>
          <w:p w14:paraId="53F89618" w14:textId="77777777" w:rsidR="0036583B" w:rsidRDefault="0036583B" w:rsidP="0036583B">
            <w:pPr>
              <w:pStyle w:val="TableTextBold"/>
              <w:rPr>
                <w:rStyle w:val="charColoured"/>
                <w:lang w:val="en-US"/>
              </w:rPr>
            </w:pPr>
          </w:p>
        </w:tc>
        <w:tc>
          <w:tcPr>
            <w:tcW w:w="2415" w:type="dxa"/>
            <w:tcBorders>
              <w:bottom w:val="single" w:sz="4" w:space="0" w:color="BFBFBF" w:themeColor="background1" w:themeShade="BF"/>
            </w:tcBorders>
            <w:shd w:val="clear" w:color="auto" w:fill="auto"/>
          </w:tcPr>
          <w:p w14:paraId="02A2E6F9" w14:textId="77777777" w:rsidR="0036583B" w:rsidRDefault="0036583B" w:rsidP="0036583B">
            <w:pPr>
              <w:pStyle w:val="TableText"/>
              <w:rPr>
                <w:lang w:val="en-US"/>
              </w:rPr>
            </w:pPr>
            <w:r w:rsidRPr="001644A4">
              <w:rPr>
                <w:lang w:val="en-US"/>
              </w:rPr>
              <w:t>Average Service Level of IP Offices assisted (ranging from 1 to 5) through the IPAS suite of applications</w:t>
            </w:r>
          </w:p>
          <w:p w14:paraId="3E83802D" w14:textId="77777777" w:rsidR="0036583B" w:rsidRPr="001644A4" w:rsidRDefault="0036583B" w:rsidP="0036583B">
            <w:pPr>
              <w:pStyle w:val="TableText"/>
              <w:rPr>
                <w:lang w:val="en-US"/>
              </w:rPr>
            </w:pPr>
          </w:p>
        </w:tc>
        <w:tc>
          <w:tcPr>
            <w:tcW w:w="2415" w:type="dxa"/>
            <w:tcBorders>
              <w:bottom w:val="single" w:sz="4" w:space="0" w:color="BFBFBF" w:themeColor="background1" w:themeShade="BF"/>
            </w:tcBorders>
            <w:shd w:val="clear" w:color="auto" w:fill="auto"/>
          </w:tcPr>
          <w:p w14:paraId="55D90E26" w14:textId="77777777" w:rsidR="0036583B" w:rsidRPr="00D350B5" w:rsidRDefault="0036583B" w:rsidP="0036583B">
            <w:pPr>
              <w:pStyle w:val="TableText"/>
              <w:rPr>
                <w:lang w:val="en-US"/>
              </w:rPr>
            </w:pPr>
            <w:r>
              <w:rPr>
                <w:lang w:val="en-US"/>
              </w:rPr>
              <w:t>3.6</w:t>
            </w:r>
          </w:p>
        </w:tc>
        <w:tc>
          <w:tcPr>
            <w:tcW w:w="2386" w:type="dxa"/>
            <w:tcBorders>
              <w:bottom w:val="single" w:sz="4" w:space="0" w:color="BFBFBF" w:themeColor="background1" w:themeShade="BF"/>
            </w:tcBorders>
            <w:shd w:val="clear" w:color="auto" w:fill="auto"/>
          </w:tcPr>
          <w:p w14:paraId="0300A372" w14:textId="77777777" w:rsidR="0036583B" w:rsidRPr="00D350B5" w:rsidRDefault="0036583B" w:rsidP="0036583B">
            <w:pPr>
              <w:pStyle w:val="TableText"/>
              <w:rPr>
                <w:lang w:val="en-US"/>
              </w:rPr>
            </w:pPr>
            <w:r>
              <w:rPr>
                <w:szCs w:val="16"/>
              </w:rPr>
              <w:t>≥ 3.5</w:t>
            </w:r>
          </w:p>
        </w:tc>
      </w:tr>
    </w:tbl>
    <w:p w14:paraId="28A4CFA8" w14:textId="77777777" w:rsidR="004D67F9" w:rsidRDefault="004D67F9" w:rsidP="005A1D34">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7160D4" w:rsidRPr="00034525" w14:paraId="7546D9EB" w14:textId="77777777" w:rsidTr="009130A2">
        <w:trPr>
          <w:trHeight w:val="72"/>
        </w:trPr>
        <w:tc>
          <w:tcPr>
            <w:tcW w:w="9540" w:type="dxa"/>
          </w:tcPr>
          <w:p w14:paraId="215FDA4F" w14:textId="77777777" w:rsidR="007160D4" w:rsidRPr="00034525" w:rsidRDefault="007160D4" w:rsidP="009130A2">
            <w:pPr>
              <w:spacing w:after="60" w:line="240" w:lineRule="auto"/>
              <w:jc w:val="center"/>
              <w:rPr>
                <w:rFonts w:cs="Arial"/>
                <w:b/>
                <w:bCs/>
                <w:color w:val="005172"/>
                <w:sz w:val="16"/>
                <w:szCs w:val="16"/>
              </w:rPr>
            </w:pPr>
            <w:r w:rsidRPr="003A4128">
              <w:rPr>
                <w:rFonts w:eastAsia="SimHei" w:cs="Arial"/>
                <w:b/>
                <w:bCs/>
                <w:color w:val="005172"/>
                <w:szCs w:val="18"/>
                <w:lang w:val="en-US" w:eastAsia="zh-CN"/>
              </w:rPr>
              <w:t>Infrastructure and Platforms</w:t>
            </w:r>
            <w:r>
              <w:rPr>
                <w:rFonts w:eastAsia="SimHei" w:cs="Arial"/>
                <w:b/>
                <w:bCs/>
                <w:color w:val="005172"/>
                <w:szCs w:val="18"/>
                <w:lang w:val="en-US" w:eastAsia="zh-CN"/>
              </w:rPr>
              <w:t xml:space="preserve">: </w:t>
            </w:r>
            <w:r w:rsidRPr="00034525">
              <w:rPr>
                <w:rFonts w:cs="Arial"/>
                <w:b/>
                <w:bCs/>
                <w:color w:val="005172"/>
                <w:szCs w:val="16"/>
              </w:rPr>
              <w:t>Resources by Result</w:t>
            </w:r>
          </w:p>
        </w:tc>
      </w:tr>
      <w:tr w:rsidR="007160D4" w:rsidRPr="00034525" w14:paraId="6D10BBDF" w14:textId="77777777" w:rsidTr="009130A2">
        <w:trPr>
          <w:trHeight w:val="80"/>
        </w:trPr>
        <w:tc>
          <w:tcPr>
            <w:tcW w:w="9540" w:type="dxa"/>
          </w:tcPr>
          <w:p w14:paraId="3A2308AE" w14:textId="77777777" w:rsidR="007160D4" w:rsidRPr="00034525" w:rsidRDefault="007160D4" w:rsidP="007160D4">
            <w:pPr>
              <w:spacing w:after="240" w:line="240" w:lineRule="auto"/>
              <w:jc w:val="center"/>
              <w:rPr>
                <w:rFonts w:cs="Arial"/>
                <w:i/>
                <w:sz w:val="16"/>
                <w:szCs w:val="18"/>
                <w:lang w:val="en-US"/>
              </w:rPr>
            </w:pPr>
            <w:r w:rsidRPr="00034525">
              <w:rPr>
                <w:rFonts w:cs="Arial"/>
                <w:i/>
                <w:sz w:val="16"/>
                <w:szCs w:val="18"/>
                <w:lang w:val="en-US"/>
              </w:rPr>
              <w:t>(in thousands of Swiss francs)</w:t>
            </w:r>
          </w:p>
        </w:tc>
      </w:tr>
    </w:tbl>
    <w:tbl>
      <w:tblPr>
        <w:tblW w:w="9537" w:type="dxa"/>
        <w:tblLook w:val="04A0" w:firstRow="1" w:lastRow="0" w:firstColumn="1" w:lastColumn="0" w:noHBand="0" w:noVBand="1"/>
      </w:tblPr>
      <w:tblGrid>
        <w:gridCol w:w="399"/>
        <w:gridCol w:w="6086"/>
        <w:gridCol w:w="1017"/>
        <w:gridCol w:w="1017"/>
        <w:gridCol w:w="1018"/>
      </w:tblGrid>
      <w:tr w:rsidR="007160D4" w:rsidRPr="002E3FD6" w14:paraId="0D5BC14E" w14:textId="77777777" w:rsidTr="009130A2">
        <w:trPr>
          <w:trHeight w:val="1217"/>
        </w:trPr>
        <w:tc>
          <w:tcPr>
            <w:tcW w:w="6485" w:type="dxa"/>
            <w:gridSpan w:val="2"/>
            <w:tcBorders>
              <w:top w:val="nil"/>
              <w:left w:val="nil"/>
              <w:bottom w:val="nil"/>
              <w:right w:val="nil"/>
            </w:tcBorders>
            <w:shd w:val="clear" w:color="000000" w:fill="C7CFD8"/>
            <w:noWrap/>
            <w:vAlign w:val="center"/>
            <w:hideMark/>
          </w:tcPr>
          <w:p w14:paraId="5E9E71F7" w14:textId="77777777" w:rsidR="007160D4" w:rsidRPr="002E3FD6" w:rsidRDefault="007160D4" w:rsidP="009130A2">
            <w:pPr>
              <w:spacing w:after="0" w:line="240" w:lineRule="auto"/>
              <w:ind w:firstLineChars="100" w:firstLine="160"/>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 xml:space="preserve">Expected Result </w:t>
            </w:r>
          </w:p>
        </w:tc>
        <w:tc>
          <w:tcPr>
            <w:tcW w:w="1017" w:type="dxa"/>
            <w:tcBorders>
              <w:top w:val="nil"/>
              <w:left w:val="nil"/>
              <w:bottom w:val="nil"/>
              <w:right w:val="nil"/>
            </w:tcBorders>
            <w:shd w:val="clear" w:color="000000" w:fill="C7CFD8"/>
            <w:vAlign w:val="center"/>
            <w:hideMark/>
          </w:tcPr>
          <w:p w14:paraId="7F870876" w14:textId="77777777" w:rsidR="007160D4" w:rsidRPr="002E3FD6" w:rsidRDefault="007160D4" w:rsidP="009130A2">
            <w:pPr>
              <w:spacing w:after="0" w:line="240" w:lineRule="auto"/>
              <w:ind w:firstLineChars="100" w:firstLine="160"/>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 xml:space="preserve"> 2024/25 </w:t>
            </w:r>
            <w:r w:rsidRPr="002E3FD6">
              <w:rPr>
                <w:rFonts w:ascii="Arial Narrow" w:eastAsia="Times New Roman" w:hAnsi="Arial Narrow" w:cs="Arial"/>
                <w:b/>
                <w:bCs/>
                <w:sz w:val="16"/>
                <w:szCs w:val="16"/>
                <w:lang w:val="en-US"/>
              </w:rPr>
              <w:br/>
              <w:t>Proposed</w:t>
            </w:r>
            <w:r w:rsidRPr="002E3FD6">
              <w:rPr>
                <w:rFonts w:ascii="Arial Narrow" w:eastAsia="Times New Roman" w:hAnsi="Arial Narrow" w:cs="Arial"/>
                <w:b/>
                <w:bCs/>
                <w:sz w:val="16"/>
                <w:szCs w:val="16"/>
                <w:lang w:val="en-US"/>
              </w:rPr>
              <w:br/>
              <w:t xml:space="preserve"> Budget </w:t>
            </w:r>
          </w:p>
        </w:tc>
        <w:tc>
          <w:tcPr>
            <w:tcW w:w="1017" w:type="dxa"/>
            <w:tcBorders>
              <w:top w:val="nil"/>
              <w:left w:val="nil"/>
              <w:bottom w:val="nil"/>
              <w:right w:val="nil"/>
            </w:tcBorders>
            <w:shd w:val="clear" w:color="000000" w:fill="C7CFD8"/>
            <w:vAlign w:val="center"/>
            <w:hideMark/>
          </w:tcPr>
          <w:p w14:paraId="7A5CA11B" w14:textId="77777777" w:rsidR="007160D4" w:rsidRPr="002E3FD6" w:rsidRDefault="007160D4" w:rsidP="009130A2">
            <w:pPr>
              <w:spacing w:after="0" w:line="240" w:lineRule="auto"/>
              <w:ind w:firstLineChars="100" w:firstLine="160"/>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 xml:space="preserve"> 2022/23 </w:t>
            </w:r>
            <w:r w:rsidRPr="002E3FD6">
              <w:rPr>
                <w:rFonts w:ascii="Arial Narrow" w:eastAsia="Times New Roman" w:hAnsi="Arial Narrow" w:cs="Arial"/>
                <w:b/>
                <w:bCs/>
                <w:sz w:val="16"/>
                <w:szCs w:val="16"/>
                <w:lang w:val="en-US"/>
              </w:rPr>
              <w:br/>
              <w:t xml:space="preserve">PoW&amp;B </w:t>
            </w:r>
          </w:p>
        </w:tc>
        <w:tc>
          <w:tcPr>
            <w:tcW w:w="1018" w:type="dxa"/>
            <w:tcBorders>
              <w:top w:val="nil"/>
              <w:left w:val="nil"/>
              <w:bottom w:val="nil"/>
              <w:right w:val="nil"/>
            </w:tcBorders>
            <w:shd w:val="clear" w:color="000000" w:fill="C7CFD8"/>
            <w:vAlign w:val="center"/>
            <w:hideMark/>
          </w:tcPr>
          <w:p w14:paraId="4E9D8DF5" w14:textId="77777777" w:rsidR="007160D4" w:rsidRPr="002E3FD6" w:rsidRDefault="007160D4" w:rsidP="009130A2">
            <w:pPr>
              <w:spacing w:after="0" w:line="240" w:lineRule="auto"/>
              <w:ind w:firstLineChars="100" w:firstLine="160"/>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 xml:space="preserve"> 2022/23 </w:t>
            </w:r>
            <w:r w:rsidRPr="002E3FD6">
              <w:rPr>
                <w:rFonts w:ascii="Arial Narrow" w:eastAsia="Times New Roman" w:hAnsi="Arial Narrow" w:cs="Arial"/>
                <w:b/>
                <w:bCs/>
                <w:sz w:val="16"/>
                <w:szCs w:val="16"/>
                <w:lang w:val="en-US"/>
              </w:rPr>
              <w:br/>
              <w:t xml:space="preserve">Budget after Transfers </w:t>
            </w:r>
          </w:p>
        </w:tc>
      </w:tr>
      <w:tr w:rsidR="007160D4" w:rsidRPr="002E3FD6" w14:paraId="3BC3ACBB" w14:textId="77777777" w:rsidTr="009130A2">
        <w:trPr>
          <w:trHeight w:val="20"/>
        </w:trPr>
        <w:tc>
          <w:tcPr>
            <w:tcW w:w="399" w:type="dxa"/>
            <w:tcBorders>
              <w:top w:val="nil"/>
              <w:left w:val="nil"/>
              <w:bottom w:val="nil"/>
              <w:right w:val="nil"/>
            </w:tcBorders>
            <w:shd w:val="clear" w:color="auto" w:fill="auto"/>
            <w:noWrap/>
            <w:vAlign w:val="center"/>
            <w:hideMark/>
          </w:tcPr>
          <w:p w14:paraId="141383E3" w14:textId="77777777" w:rsidR="007160D4" w:rsidRPr="002E3FD6" w:rsidRDefault="007160D4" w:rsidP="009130A2">
            <w:pPr>
              <w:spacing w:after="0" w:line="240" w:lineRule="auto"/>
              <w:ind w:firstLineChars="100" w:firstLine="160"/>
              <w:jc w:val="right"/>
              <w:rPr>
                <w:rFonts w:ascii="Arial Narrow" w:eastAsia="Times New Roman" w:hAnsi="Arial Narrow" w:cs="Arial"/>
                <w:b/>
                <w:bCs/>
                <w:sz w:val="16"/>
                <w:szCs w:val="16"/>
                <w:lang w:val="en-US"/>
              </w:rPr>
            </w:pPr>
          </w:p>
        </w:tc>
        <w:tc>
          <w:tcPr>
            <w:tcW w:w="6086" w:type="dxa"/>
            <w:tcBorders>
              <w:top w:val="nil"/>
              <w:left w:val="nil"/>
              <w:bottom w:val="nil"/>
              <w:right w:val="nil"/>
            </w:tcBorders>
            <w:shd w:val="clear" w:color="auto" w:fill="auto"/>
            <w:noWrap/>
            <w:vAlign w:val="center"/>
            <w:hideMark/>
          </w:tcPr>
          <w:p w14:paraId="4BB757EE" w14:textId="77777777" w:rsidR="007160D4" w:rsidRPr="002E3FD6" w:rsidRDefault="007160D4" w:rsidP="009130A2">
            <w:pPr>
              <w:spacing w:after="0" w:line="240" w:lineRule="auto"/>
              <w:ind w:firstLineChars="100" w:firstLine="200"/>
              <w:rPr>
                <w:rFonts w:ascii="Times New Roman" w:eastAsia="Times New Roman" w:hAnsi="Times New Roman" w:cs="Times New Roman"/>
                <w:sz w:val="20"/>
                <w:szCs w:val="20"/>
                <w:lang w:val="en-US"/>
              </w:rPr>
            </w:pPr>
          </w:p>
        </w:tc>
        <w:tc>
          <w:tcPr>
            <w:tcW w:w="1017" w:type="dxa"/>
            <w:tcBorders>
              <w:top w:val="nil"/>
              <w:left w:val="nil"/>
              <w:bottom w:val="nil"/>
              <w:right w:val="nil"/>
            </w:tcBorders>
            <w:shd w:val="clear" w:color="auto" w:fill="auto"/>
            <w:noWrap/>
            <w:vAlign w:val="center"/>
            <w:hideMark/>
          </w:tcPr>
          <w:p w14:paraId="53B535B4" w14:textId="77777777" w:rsidR="007160D4" w:rsidRPr="002E3FD6" w:rsidRDefault="007160D4" w:rsidP="009130A2">
            <w:pPr>
              <w:spacing w:after="0" w:line="240" w:lineRule="auto"/>
              <w:ind w:firstLineChars="100" w:firstLine="200"/>
              <w:rPr>
                <w:rFonts w:ascii="Times New Roman" w:eastAsia="Times New Roman" w:hAnsi="Times New Roman" w:cs="Times New Roman"/>
                <w:sz w:val="20"/>
                <w:szCs w:val="20"/>
                <w:lang w:val="en-US"/>
              </w:rPr>
            </w:pPr>
          </w:p>
        </w:tc>
        <w:tc>
          <w:tcPr>
            <w:tcW w:w="1017" w:type="dxa"/>
            <w:tcBorders>
              <w:top w:val="nil"/>
              <w:left w:val="nil"/>
              <w:bottom w:val="nil"/>
              <w:right w:val="nil"/>
            </w:tcBorders>
            <w:shd w:val="clear" w:color="auto" w:fill="auto"/>
            <w:vAlign w:val="center"/>
            <w:hideMark/>
          </w:tcPr>
          <w:p w14:paraId="69DA17F9" w14:textId="77777777" w:rsidR="007160D4" w:rsidRPr="002E3FD6" w:rsidRDefault="007160D4" w:rsidP="009130A2">
            <w:pPr>
              <w:spacing w:after="0" w:line="240" w:lineRule="auto"/>
              <w:ind w:firstLineChars="100" w:firstLine="200"/>
              <w:rPr>
                <w:rFonts w:ascii="Times New Roman" w:eastAsia="Times New Roman" w:hAnsi="Times New Roman" w:cs="Times New Roman"/>
                <w:sz w:val="20"/>
                <w:szCs w:val="20"/>
                <w:lang w:val="en-US"/>
              </w:rPr>
            </w:pPr>
          </w:p>
        </w:tc>
        <w:tc>
          <w:tcPr>
            <w:tcW w:w="1018" w:type="dxa"/>
            <w:tcBorders>
              <w:top w:val="nil"/>
              <w:left w:val="nil"/>
              <w:bottom w:val="nil"/>
              <w:right w:val="nil"/>
            </w:tcBorders>
            <w:shd w:val="clear" w:color="auto" w:fill="auto"/>
            <w:vAlign w:val="center"/>
            <w:hideMark/>
          </w:tcPr>
          <w:p w14:paraId="6ED6A6A3" w14:textId="77777777" w:rsidR="007160D4" w:rsidRPr="002E3FD6" w:rsidRDefault="007160D4" w:rsidP="009130A2">
            <w:pPr>
              <w:spacing w:after="0" w:line="240" w:lineRule="auto"/>
              <w:ind w:firstLineChars="100" w:firstLine="200"/>
              <w:jc w:val="right"/>
              <w:rPr>
                <w:rFonts w:ascii="Times New Roman" w:eastAsia="Times New Roman" w:hAnsi="Times New Roman" w:cs="Times New Roman"/>
                <w:sz w:val="20"/>
                <w:szCs w:val="20"/>
                <w:lang w:val="en-US"/>
              </w:rPr>
            </w:pPr>
          </w:p>
        </w:tc>
      </w:tr>
      <w:tr w:rsidR="007160D4" w:rsidRPr="002E3FD6" w14:paraId="39516A54" w14:textId="77777777" w:rsidTr="009130A2">
        <w:trPr>
          <w:trHeight w:val="288"/>
        </w:trPr>
        <w:tc>
          <w:tcPr>
            <w:tcW w:w="399" w:type="dxa"/>
            <w:tcBorders>
              <w:top w:val="nil"/>
              <w:left w:val="nil"/>
              <w:bottom w:val="nil"/>
              <w:right w:val="nil"/>
            </w:tcBorders>
            <w:shd w:val="clear" w:color="auto" w:fill="auto"/>
            <w:noWrap/>
            <w:hideMark/>
          </w:tcPr>
          <w:p w14:paraId="5CC662F7"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2.1</w:t>
            </w:r>
          </w:p>
        </w:tc>
        <w:tc>
          <w:tcPr>
            <w:tcW w:w="6086" w:type="dxa"/>
            <w:tcBorders>
              <w:top w:val="nil"/>
              <w:left w:val="nil"/>
              <w:bottom w:val="nil"/>
              <w:right w:val="nil"/>
            </w:tcBorders>
            <w:shd w:val="clear" w:color="auto" w:fill="auto"/>
            <w:hideMark/>
          </w:tcPr>
          <w:p w14:paraId="41CF8030" w14:textId="2B3E5D31" w:rsidR="007160D4" w:rsidRPr="002E3FD6" w:rsidRDefault="007160D4" w:rsidP="00052917">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Development of balanced and effective international normative frameworks for IP</w:t>
            </w:r>
          </w:p>
        </w:tc>
        <w:tc>
          <w:tcPr>
            <w:tcW w:w="1017" w:type="dxa"/>
            <w:tcBorders>
              <w:top w:val="nil"/>
              <w:left w:val="nil"/>
              <w:bottom w:val="nil"/>
              <w:right w:val="nil"/>
            </w:tcBorders>
            <w:shd w:val="clear" w:color="auto" w:fill="auto"/>
            <w:noWrap/>
            <w:hideMark/>
          </w:tcPr>
          <w:p w14:paraId="50757ED6"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7,855</w:t>
            </w:r>
          </w:p>
        </w:tc>
        <w:tc>
          <w:tcPr>
            <w:tcW w:w="1017" w:type="dxa"/>
            <w:tcBorders>
              <w:top w:val="nil"/>
              <w:left w:val="nil"/>
              <w:bottom w:val="nil"/>
              <w:right w:val="nil"/>
            </w:tcBorders>
            <w:shd w:val="clear" w:color="auto" w:fill="auto"/>
            <w:noWrap/>
            <w:hideMark/>
          </w:tcPr>
          <w:p w14:paraId="468FC9EF"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7,411</w:t>
            </w:r>
          </w:p>
        </w:tc>
        <w:tc>
          <w:tcPr>
            <w:tcW w:w="1018" w:type="dxa"/>
            <w:tcBorders>
              <w:top w:val="nil"/>
              <w:left w:val="nil"/>
              <w:bottom w:val="nil"/>
              <w:right w:val="nil"/>
            </w:tcBorders>
            <w:shd w:val="clear" w:color="auto" w:fill="auto"/>
            <w:noWrap/>
            <w:hideMark/>
          </w:tcPr>
          <w:p w14:paraId="1542A8C6"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7,487</w:t>
            </w:r>
          </w:p>
        </w:tc>
      </w:tr>
      <w:tr w:rsidR="007160D4" w:rsidRPr="002E3FD6" w14:paraId="30425151" w14:textId="77777777" w:rsidTr="009130A2">
        <w:trPr>
          <w:trHeight w:val="432"/>
        </w:trPr>
        <w:tc>
          <w:tcPr>
            <w:tcW w:w="399" w:type="dxa"/>
            <w:tcBorders>
              <w:top w:val="nil"/>
              <w:left w:val="nil"/>
              <w:bottom w:val="nil"/>
              <w:right w:val="nil"/>
            </w:tcBorders>
            <w:shd w:val="clear" w:color="auto" w:fill="auto"/>
            <w:noWrap/>
            <w:hideMark/>
          </w:tcPr>
          <w:p w14:paraId="0368ED6A"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2.2</w:t>
            </w:r>
          </w:p>
        </w:tc>
        <w:tc>
          <w:tcPr>
            <w:tcW w:w="6086" w:type="dxa"/>
            <w:tcBorders>
              <w:top w:val="nil"/>
              <w:left w:val="nil"/>
              <w:bottom w:val="nil"/>
              <w:right w:val="nil"/>
            </w:tcBorders>
            <w:shd w:val="clear" w:color="auto" w:fill="auto"/>
            <w:hideMark/>
          </w:tcPr>
          <w:p w14:paraId="6B68A743"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tc>
        <w:tc>
          <w:tcPr>
            <w:tcW w:w="1017" w:type="dxa"/>
            <w:tcBorders>
              <w:top w:val="nil"/>
              <w:left w:val="nil"/>
              <w:bottom w:val="nil"/>
              <w:right w:val="nil"/>
            </w:tcBorders>
            <w:shd w:val="clear" w:color="auto" w:fill="auto"/>
            <w:noWrap/>
            <w:hideMark/>
          </w:tcPr>
          <w:p w14:paraId="28E5B88B"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1,854</w:t>
            </w:r>
          </w:p>
        </w:tc>
        <w:tc>
          <w:tcPr>
            <w:tcW w:w="1017" w:type="dxa"/>
            <w:tcBorders>
              <w:top w:val="nil"/>
              <w:left w:val="nil"/>
              <w:bottom w:val="nil"/>
              <w:right w:val="nil"/>
            </w:tcBorders>
            <w:shd w:val="clear" w:color="auto" w:fill="auto"/>
            <w:noWrap/>
            <w:hideMark/>
          </w:tcPr>
          <w:p w14:paraId="0FE56213"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1,467</w:t>
            </w:r>
          </w:p>
        </w:tc>
        <w:tc>
          <w:tcPr>
            <w:tcW w:w="1018" w:type="dxa"/>
            <w:tcBorders>
              <w:top w:val="nil"/>
              <w:left w:val="nil"/>
              <w:bottom w:val="nil"/>
              <w:right w:val="nil"/>
            </w:tcBorders>
            <w:shd w:val="clear" w:color="auto" w:fill="auto"/>
            <w:noWrap/>
            <w:hideMark/>
          </w:tcPr>
          <w:p w14:paraId="6DF02181"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1,467</w:t>
            </w:r>
          </w:p>
        </w:tc>
      </w:tr>
      <w:tr w:rsidR="007160D4" w:rsidRPr="002E3FD6" w14:paraId="5BAD0728" w14:textId="77777777" w:rsidTr="009130A2">
        <w:trPr>
          <w:trHeight w:val="288"/>
        </w:trPr>
        <w:tc>
          <w:tcPr>
            <w:tcW w:w="399" w:type="dxa"/>
            <w:tcBorders>
              <w:top w:val="nil"/>
              <w:left w:val="nil"/>
              <w:bottom w:val="nil"/>
              <w:right w:val="nil"/>
            </w:tcBorders>
            <w:shd w:val="clear" w:color="auto" w:fill="auto"/>
            <w:noWrap/>
            <w:hideMark/>
          </w:tcPr>
          <w:p w14:paraId="7B366936"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3.1</w:t>
            </w:r>
          </w:p>
        </w:tc>
        <w:tc>
          <w:tcPr>
            <w:tcW w:w="6086" w:type="dxa"/>
            <w:tcBorders>
              <w:top w:val="nil"/>
              <w:left w:val="nil"/>
              <w:bottom w:val="nil"/>
              <w:right w:val="nil"/>
            </w:tcBorders>
            <w:shd w:val="clear" w:color="auto" w:fill="auto"/>
            <w:hideMark/>
          </w:tcPr>
          <w:p w14:paraId="716F462F"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Wider and more effective use of WIPO’s global IP systems, services, knowledge and data</w:t>
            </w:r>
          </w:p>
        </w:tc>
        <w:tc>
          <w:tcPr>
            <w:tcW w:w="1017" w:type="dxa"/>
            <w:tcBorders>
              <w:top w:val="nil"/>
              <w:left w:val="nil"/>
              <w:bottom w:val="nil"/>
              <w:right w:val="nil"/>
            </w:tcBorders>
            <w:shd w:val="clear" w:color="auto" w:fill="auto"/>
            <w:noWrap/>
            <w:hideMark/>
          </w:tcPr>
          <w:p w14:paraId="54E465CB"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10,029</w:t>
            </w:r>
          </w:p>
        </w:tc>
        <w:tc>
          <w:tcPr>
            <w:tcW w:w="1017" w:type="dxa"/>
            <w:tcBorders>
              <w:top w:val="nil"/>
              <w:left w:val="nil"/>
              <w:bottom w:val="nil"/>
              <w:right w:val="nil"/>
            </w:tcBorders>
            <w:shd w:val="clear" w:color="auto" w:fill="auto"/>
            <w:noWrap/>
            <w:hideMark/>
          </w:tcPr>
          <w:p w14:paraId="59220C2A"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10,148</w:t>
            </w:r>
          </w:p>
        </w:tc>
        <w:tc>
          <w:tcPr>
            <w:tcW w:w="1018" w:type="dxa"/>
            <w:tcBorders>
              <w:top w:val="nil"/>
              <w:left w:val="nil"/>
              <w:bottom w:val="nil"/>
              <w:right w:val="nil"/>
            </w:tcBorders>
            <w:shd w:val="clear" w:color="auto" w:fill="auto"/>
            <w:noWrap/>
            <w:hideMark/>
          </w:tcPr>
          <w:p w14:paraId="0A3984EC"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9,588</w:t>
            </w:r>
          </w:p>
        </w:tc>
      </w:tr>
      <w:tr w:rsidR="007160D4" w:rsidRPr="002E3FD6" w14:paraId="7120CE67" w14:textId="77777777" w:rsidTr="009130A2">
        <w:trPr>
          <w:trHeight w:val="288"/>
        </w:trPr>
        <w:tc>
          <w:tcPr>
            <w:tcW w:w="399" w:type="dxa"/>
            <w:tcBorders>
              <w:top w:val="nil"/>
              <w:left w:val="nil"/>
              <w:bottom w:val="nil"/>
              <w:right w:val="nil"/>
            </w:tcBorders>
            <w:shd w:val="clear" w:color="auto" w:fill="auto"/>
            <w:noWrap/>
            <w:hideMark/>
          </w:tcPr>
          <w:p w14:paraId="17F876EE"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3.2</w:t>
            </w:r>
          </w:p>
        </w:tc>
        <w:tc>
          <w:tcPr>
            <w:tcW w:w="6086" w:type="dxa"/>
            <w:tcBorders>
              <w:top w:val="nil"/>
              <w:left w:val="nil"/>
              <w:bottom w:val="nil"/>
              <w:right w:val="nil"/>
            </w:tcBorders>
            <w:shd w:val="clear" w:color="auto" w:fill="auto"/>
            <w:hideMark/>
          </w:tcPr>
          <w:p w14:paraId="31F7436E"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Improved productivity and service quality of WIPO’s global IP systems, services, knowledge and data</w:t>
            </w:r>
          </w:p>
        </w:tc>
        <w:tc>
          <w:tcPr>
            <w:tcW w:w="1017" w:type="dxa"/>
            <w:tcBorders>
              <w:top w:val="nil"/>
              <w:left w:val="nil"/>
              <w:bottom w:val="nil"/>
              <w:right w:val="nil"/>
            </w:tcBorders>
            <w:shd w:val="clear" w:color="auto" w:fill="auto"/>
            <w:noWrap/>
            <w:hideMark/>
          </w:tcPr>
          <w:p w14:paraId="75E2AAEC"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6,591</w:t>
            </w:r>
          </w:p>
        </w:tc>
        <w:tc>
          <w:tcPr>
            <w:tcW w:w="1017" w:type="dxa"/>
            <w:tcBorders>
              <w:top w:val="nil"/>
              <w:left w:val="nil"/>
              <w:bottom w:val="nil"/>
              <w:right w:val="nil"/>
            </w:tcBorders>
            <w:shd w:val="clear" w:color="auto" w:fill="auto"/>
            <w:noWrap/>
            <w:hideMark/>
          </w:tcPr>
          <w:p w14:paraId="13C42961"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6,089</w:t>
            </w:r>
          </w:p>
        </w:tc>
        <w:tc>
          <w:tcPr>
            <w:tcW w:w="1018" w:type="dxa"/>
            <w:tcBorders>
              <w:top w:val="nil"/>
              <w:left w:val="nil"/>
              <w:bottom w:val="nil"/>
              <w:right w:val="nil"/>
            </w:tcBorders>
            <w:shd w:val="clear" w:color="auto" w:fill="auto"/>
            <w:noWrap/>
            <w:hideMark/>
          </w:tcPr>
          <w:p w14:paraId="67743BA3"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6,812</w:t>
            </w:r>
          </w:p>
        </w:tc>
      </w:tr>
      <w:tr w:rsidR="007160D4" w:rsidRPr="002E3FD6" w14:paraId="5131D90D" w14:textId="77777777" w:rsidTr="009130A2">
        <w:trPr>
          <w:trHeight w:val="288"/>
        </w:trPr>
        <w:tc>
          <w:tcPr>
            <w:tcW w:w="399" w:type="dxa"/>
            <w:tcBorders>
              <w:top w:val="nil"/>
              <w:left w:val="nil"/>
              <w:bottom w:val="nil"/>
              <w:right w:val="nil"/>
            </w:tcBorders>
            <w:shd w:val="clear" w:color="auto" w:fill="auto"/>
            <w:noWrap/>
            <w:hideMark/>
          </w:tcPr>
          <w:p w14:paraId="129B3EBB"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4.5</w:t>
            </w:r>
          </w:p>
        </w:tc>
        <w:tc>
          <w:tcPr>
            <w:tcW w:w="6086" w:type="dxa"/>
            <w:tcBorders>
              <w:top w:val="nil"/>
              <w:left w:val="nil"/>
              <w:bottom w:val="nil"/>
              <w:right w:val="nil"/>
            </w:tcBorders>
            <w:shd w:val="clear" w:color="auto" w:fill="auto"/>
            <w:hideMark/>
          </w:tcPr>
          <w:p w14:paraId="68C24268" w14:textId="77777777" w:rsidR="007160D4" w:rsidRPr="002E3FD6" w:rsidRDefault="007160D4" w:rsidP="009130A2">
            <w:pPr>
              <w:spacing w:after="0" w:line="240" w:lineRule="auto"/>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Enhanced IP infrastructure for IP Offices</w:t>
            </w:r>
          </w:p>
        </w:tc>
        <w:tc>
          <w:tcPr>
            <w:tcW w:w="1017" w:type="dxa"/>
            <w:tcBorders>
              <w:top w:val="nil"/>
              <w:left w:val="nil"/>
              <w:bottom w:val="nil"/>
              <w:right w:val="nil"/>
            </w:tcBorders>
            <w:shd w:val="clear" w:color="auto" w:fill="auto"/>
            <w:noWrap/>
            <w:hideMark/>
          </w:tcPr>
          <w:p w14:paraId="7F7A6BA4"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15,481</w:t>
            </w:r>
          </w:p>
        </w:tc>
        <w:tc>
          <w:tcPr>
            <w:tcW w:w="1017" w:type="dxa"/>
            <w:tcBorders>
              <w:top w:val="nil"/>
              <w:left w:val="nil"/>
              <w:bottom w:val="nil"/>
              <w:right w:val="nil"/>
            </w:tcBorders>
            <w:shd w:val="clear" w:color="auto" w:fill="auto"/>
            <w:noWrap/>
            <w:hideMark/>
          </w:tcPr>
          <w:p w14:paraId="168066F2"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12,568</w:t>
            </w:r>
          </w:p>
        </w:tc>
        <w:tc>
          <w:tcPr>
            <w:tcW w:w="1018" w:type="dxa"/>
            <w:tcBorders>
              <w:top w:val="nil"/>
              <w:left w:val="nil"/>
              <w:bottom w:val="nil"/>
              <w:right w:val="nil"/>
            </w:tcBorders>
            <w:shd w:val="clear" w:color="auto" w:fill="auto"/>
            <w:noWrap/>
            <w:hideMark/>
          </w:tcPr>
          <w:p w14:paraId="56FA08D6" w14:textId="77777777" w:rsidR="007160D4" w:rsidRPr="002E3FD6" w:rsidRDefault="007160D4" w:rsidP="009130A2">
            <w:pPr>
              <w:spacing w:after="0" w:line="240" w:lineRule="auto"/>
              <w:jc w:val="right"/>
              <w:rPr>
                <w:rFonts w:ascii="Arial Narrow" w:eastAsia="Times New Roman" w:hAnsi="Arial Narrow" w:cs="Arial"/>
                <w:sz w:val="16"/>
                <w:szCs w:val="16"/>
                <w:lang w:val="en-US"/>
              </w:rPr>
            </w:pPr>
            <w:r w:rsidRPr="002E3FD6">
              <w:rPr>
                <w:rFonts w:ascii="Arial Narrow" w:eastAsia="Times New Roman" w:hAnsi="Arial Narrow" w:cs="Arial"/>
                <w:sz w:val="16"/>
                <w:szCs w:val="16"/>
                <w:lang w:val="en-US"/>
              </w:rPr>
              <w:t>12,404</w:t>
            </w:r>
          </w:p>
        </w:tc>
      </w:tr>
      <w:tr w:rsidR="007160D4" w:rsidRPr="002E3FD6" w14:paraId="702C1592" w14:textId="77777777" w:rsidTr="009130A2">
        <w:trPr>
          <w:trHeight w:val="288"/>
        </w:trPr>
        <w:tc>
          <w:tcPr>
            <w:tcW w:w="399" w:type="dxa"/>
            <w:tcBorders>
              <w:top w:val="single" w:sz="4" w:space="0" w:color="BFBFBF"/>
              <w:left w:val="nil"/>
              <w:bottom w:val="single" w:sz="8" w:space="0" w:color="C7CFD8"/>
              <w:right w:val="nil"/>
            </w:tcBorders>
            <w:shd w:val="clear" w:color="auto" w:fill="auto"/>
            <w:noWrap/>
            <w:vAlign w:val="center"/>
            <w:hideMark/>
          </w:tcPr>
          <w:p w14:paraId="0060A35D" w14:textId="77777777" w:rsidR="007160D4" w:rsidRPr="002E3FD6" w:rsidRDefault="007160D4" w:rsidP="009130A2">
            <w:pPr>
              <w:spacing w:after="0" w:line="240" w:lineRule="auto"/>
              <w:rPr>
                <w:rFonts w:ascii="Arial Narrow" w:eastAsia="Times New Roman" w:hAnsi="Arial Narrow" w:cs="Arial"/>
                <w:color w:val="005172"/>
                <w:sz w:val="16"/>
                <w:szCs w:val="16"/>
                <w:lang w:val="en-US"/>
              </w:rPr>
            </w:pPr>
            <w:r w:rsidRPr="002E3FD6">
              <w:rPr>
                <w:rFonts w:ascii="Arial Narrow" w:eastAsia="Times New Roman" w:hAnsi="Arial Narrow" w:cs="Arial"/>
                <w:color w:val="005172"/>
                <w:sz w:val="16"/>
                <w:szCs w:val="16"/>
                <w:lang w:val="en-US"/>
              </w:rPr>
              <w:t> </w:t>
            </w:r>
          </w:p>
        </w:tc>
        <w:tc>
          <w:tcPr>
            <w:tcW w:w="6086" w:type="dxa"/>
            <w:tcBorders>
              <w:top w:val="single" w:sz="4" w:space="0" w:color="BFBFBF"/>
              <w:left w:val="nil"/>
              <w:bottom w:val="single" w:sz="8" w:space="0" w:color="C7CFD8"/>
              <w:right w:val="nil"/>
            </w:tcBorders>
            <w:shd w:val="clear" w:color="auto" w:fill="auto"/>
            <w:noWrap/>
            <w:vAlign w:val="center"/>
            <w:hideMark/>
          </w:tcPr>
          <w:p w14:paraId="1667DFE2" w14:textId="77777777" w:rsidR="007160D4" w:rsidRPr="002E3FD6" w:rsidRDefault="007160D4" w:rsidP="009130A2">
            <w:pPr>
              <w:spacing w:after="0" w:line="240" w:lineRule="auto"/>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Total</w:t>
            </w:r>
          </w:p>
        </w:tc>
        <w:tc>
          <w:tcPr>
            <w:tcW w:w="1017" w:type="dxa"/>
            <w:tcBorders>
              <w:top w:val="single" w:sz="4" w:space="0" w:color="BFBFBF"/>
              <w:left w:val="nil"/>
              <w:bottom w:val="single" w:sz="8" w:space="0" w:color="C7CFD8"/>
              <w:right w:val="nil"/>
            </w:tcBorders>
            <w:shd w:val="clear" w:color="auto" w:fill="auto"/>
            <w:noWrap/>
            <w:vAlign w:val="center"/>
            <w:hideMark/>
          </w:tcPr>
          <w:p w14:paraId="2A04A451" w14:textId="77777777" w:rsidR="007160D4" w:rsidRPr="002E3FD6" w:rsidRDefault="007160D4" w:rsidP="009130A2">
            <w:pPr>
              <w:spacing w:after="0" w:line="240" w:lineRule="auto"/>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41,810</w:t>
            </w:r>
          </w:p>
        </w:tc>
        <w:tc>
          <w:tcPr>
            <w:tcW w:w="1017" w:type="dxa"/>
            <w:tcBorders>
              <w:top w:val="single" w:sz="4" w:space="0" w:color="BFBFBF"/>
              <w:left w:val="nil"/>
              <w:bottom w:val="single" w:sz="8" w:space="0" w:color="C7CFD8"/>
              <w:right w:val="nil"/>
            </w:tcBorders>
            <w:shd w:val="clear" w:color="auto" w:fill="auto"/>
            <w:noWrap/>
            <w:vAlign w:val="center"/>
            <w:hideMark/>
          </w:tcPr>
          <w:p w14:paraId="0F2076A6" w14:textId="77777777" w:rsidR="007160D4" w:rsidRPr="002E3FD6" w:rsidRDefault="007160D4" w:rsidP="009130A2">
            <w:pPr>
              <w:spacing w:after="0" w:line="240" w:lineRule="auto"/>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37,682</w:t>
            </w:r>
          </w:p>
        </w:tc>
        <w:tc>
          <w:tcPr>
            <w:tcW w:w="1018" w:type="dxa"/>
            <w:tcBorders>
              <w:top w:val="single" w:sz="4" w:space="0" w:color="BFBFBF"/>
              <w:left w:val="nil"/>
              <w:bottom w:val="single" w:sz="8" w:space="0" w:color="C7CFD8"/>
              <w:right w:val="nil"/>
            </w:tcBorders>
            <w:shd w:val="clear" w:color="auto" w:fill="auto"/>
            <w:noWrap/>
            <w:vAlign w:val="center"/>
            <w:hideMark/>
          </w:tcPr>
          <w:p w14:paraId="6B748556" w14:textId="77777777" w:rsidR="007160D4" w:rsidRPr="002E3FD6" w:rsidRDefault="007160D4" w:rsidP="009130A2">
            <w:pPr>
              <w:spacing w:after="0" w:line="240" w:lineRule="auto"/>
              <w:jc w:val="right"/>
              <w:rPr>
                <w:rFonts w:ascii="Arial Narrow" w:eastAsia="Times New Roman" w:hAnsi="Arial Narrow" w:cs="Arial"/>
                <w:b/>
                <w:bCs/>
                <w:sz w:val="16"/>
                <w:szCs w:val="16"/>
                <w:lang w:val="en-US"/>
              </w:rPr>
            </w:pPr>
            <w:r w:rsidRPr="002E3FD6">
              <w:rPr>
                <w:rFonts w:ascii="Arial Narrow" w:eastAsia="Times New Roman" w:hAnsi="Arial Narrow" w:cs="Arial"/>
                <w:b/>
                <w:bCs/>
                <w:sz w:val="16"/>
                <w:szCs w:val="16"/>
                <w:lang w:val="en-US"/>
              </w:rPr>
              <w:t>37,758</w:t>
            </w:r>
          </w:p>
        </w:tc>
      </w:tr>
    </w:tbl>
    <w:p w14:paraId="2227C830" w14:textId="77777777" w:rsidR="004D67F9" w:rsidRDefault="004D67F9">
      <w:pPr>
        <w:spacing w:after="200" w:line="276" w:lineRule="auto"/>
        <w:rPr>
          <w:color w:val="005172" w:themeColor="text2"/>
          <w:sz w:val="32"/>
          <w:lang w:val="en-US"/>
        </w:rPr>
      </w:pPr>
      <w:r>
        <w:rPr>
          <w:lang w:val="en-US"/>
        </w:rPr>
        <w:br w:type="page"/>
      </w:r>
    </w:p>
    <w:p w14:paraId="525F35CD" w14:textId="55BF2CD5" w:rsidR="0036583B" w:rsidRDefault="0036583B" w:rsidP="0036583B">
      <w:pPr>
        <w:pStyle w:val="Heading1NoNumb"/>
        <w:spacing w:before="240" w:after="120"/>
        <w:rPr>
          <w:lang w:val="en-US"/>
        </w:rPr>
      </w:pPr>
      <w:r>
        <w:rPr>
          <w:lang w:val="en-US"/>
        </w:rPr>
        <w:t>Resources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D879B1" w:rsidRPr="00034525" w14:paraId="190C1A26" w14:textId="77777777" w:rsidTr="006B4D1A">
        <w:trPr>
          <w:trHeight w:val="72"/>
        </w:trPr>
        <w:tc>
          <w:tcPr>
            <w:tcW w:w="9540" w:type="dxa"/>
          </w:tcPr>
          <w:p w14:paraId="20B34934" w14:textId="38E657C3" w:rsidR="00D879B1" w:rsidRPr="00034525" w:rsidRDefault="00D879B1" w:rsidP="001A3F3C">
            <w:pPr>
              <w:spacing w:after="60" w:line="240" w:lineRule="auto"/>
              <w:jc w:val="center"/>
              <w:rPr>
                <w:rFonts w:cs="Arial"/>
                <w:b/>
                <w:bCs/>
                <w:color w:val="005172"/>
                <w:sz w:val="16"/>
                <w:szCs w:val="16"/>
              </w:rPr>
            </w:pPr>
            <w:r>
              <w:rPr>
                <w:rFonts w:eastAsia="SimHei" w:cs="Arial"/>
                <w:b/>
                <w:bCs/>
                <w:color w:val="005172"/>
                <w:szCs w:val="18"/>
                <w:lang w:val="en-US" w:eastAsia="zh-CN"/>
              </w:rPr>
              <w:t>Infrastructure and Platforms</w:t>
            </w:r>
            <w:r>
              <w:rPr>
                <w:rFonts w:cs="Arial"/>
                <w:b/>
                <w:bCs/>
                <w:color w:val="005172"/>
                <w:szCs w:val="16"/>
              </w:rPr>
              <w:t xml:space="preserve">: </w:t>
            </w:r>
            <w:r w:rsidRPr="00034525">
              <w:rPr>
                <w:rFonts w:cs="Arial"/>
                <w:b/>
                <w:bCs/>
                <w:color w:val="005172"/>
                <w:szCs w:val="16"/>
              </w:rPr>
              <w:t xml:space="preserve">Resources by </w:t>
            </w:r>
            <w:r>
              <w:rPr>
                <w:rFonts w:cs="Arial"/>
                <w:b/>
                <w:bCs/>
                <w:color w:val="005172"/>
                <w:szCs w:val="16"/>
              </w:rPr>
              <w:t>Cost Category</w:t>
            </w:r>
          </w:p>
        </w:tc>
      </w:tr>
      <w:tr w:rsidR="00D879B1" w:rsidRPr="00034525" w14:paraId="4F23FA14" w14:textId="77777777" w:rsidTr="006B4D1A">
        <w:trPr>
          <w:trHeight w:val="80"/>
        </w:trPr>
        <w:tc>
          <w:tcPr>
            <w:tcW w:w="9540" w:type="dxa"/>
          </w:tcPr>
          <w:p w14:paraId="2B7F5671" w14:textId="24C70293" w:rsidR="00D879B1" w:rsidRPr="00034525" w:rsidRDefault="00D879B1"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6734CBFD" w14:textId="51598B38" w:rsidR="00D879B1" w:rsidRDefault="00D879B1" w:rsidP="00792A58">
      <w:pPr>
        <w:spacing w:after="0"/>
        <w:rPr>
          <w:rFonts w:asciiTheme="minorHAnsi" w:hAnsiTheme="minorHAnsi"/>
          <w:sz w:val="22"/>
        </w:rPr>
      </w:pPr>
    </w:p>
    <w:tbl>
      <w:tblPr>
        <w:tblW w:w="8740" w:type="dxa"/>
        <w:jc w:val="center"/>
        <w:tblLook w:val="04A0" w:firstRow="1" w:lastRow="0" w:firstColumn="1" w:lastColumn="0" w:noHBand="0" w:noVBand="1"/>
      </w:tblPr>
      <w:tblGrid>
        <w:gridCol w:w="253"/>
        <w:gridCol w:w="222"/>
        <w:gridCol w:w="2977"/>
        <w:gridCol w:w="253"/>
        <w:gridCol w:w="1060"/>
        <w:gridCol w:w="1180"/>
        <w:gridCol w:w="1180"/>
        <w:gridCol w:w="1060"/>
        <w:gridCol w:w="1060"/>
      </w:tblGrid>
      <w:tr w:rsidR="00D879B1" w:rsidRPr="00D879B1" w14:paraId="045CE1B6" w14:textId="77777777" w:rsidTr="005A1D34">
        <w:trPr>
          <w:divId w:val="695733442"/>
          <w:trHeight w:val="420"/>
          <w:tblHeader/>
          <w:jc w:val="center"/>
        </w:trPr>
        <w:tc>
          <w:tcPr>
            <w:tcW w:w="3200" w:type="dxa"/>
            <w:gridSpan w:val="4"/>
            <w:vMerge w:val="restart"/>
            <w:tcBorders>
              <w:top w:val="nil"/>
              <w:left w:val="nil"/>
              <w:bottom w:val="nil"/>
              <w:right w:val="nil"/>
            </w:tcBorders>
            <w:shd w:val="clear" w:color="000000" w:fill="C7CFD8"/>
            <w:hideMark/>
          </w:tcPr>
          <w:p w14:paraId="7C1AA1A0" w14:textId="210C12AA" w:rsidR="00D879B1" w:rsidRPr="00D879B1" w:rsidRDefault="00D879B1" w:rsidP="00D879B1">
            <w:pPr>
              <w:spacing w:after="0" w:line="240" w:lineRule="auto"/>
              <w:rPr>
                <w:rFonts w:ascii="Arial Narrow" w:eastAsia="Times New Roman" w:hAnsi="Arial Narrow" w:cs="Times New Roman"/>
                <w:b/>
                <w:bCs/>
                <w:i/>
                <w:iCs/>
                <w:sz w:val="16"/>
                <w:szCs w:val="16"/>
                <w:lang w:val="en-US"/>
              </w:rPr>
            </w:pPr>
            <w:r w:rsidRPr="00D879B1">
              <w:rPr>
                <w:rFonts w:ascii="Arial Narrow" w:eastAsia="Times New Roman" w:hAnsi="Arial Narrow" w:cs="Times New Roman"/>
                <w:b/>
                <w:bCs/>
                <w:i/>
                <w:i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24B764E6"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2024/25 </w:t>
            </w:r>
            <w:r w:rsidRPr="00D879B1">
              <w:rPr>
                <w:rFonts w:ascii="Arial Narrow" w:eastAsia="Times New Roman" w:hAnsi="Arial Narrow" w:cs="Times New Roman"/>
                <w:b/>
                <w:bCs/>
                <w:sz w:val="16"/>
                <w:szCs w:val="16"/>
                <w:lang w:val="en-US"/>
              </w:rPr>
              <w:br/>
              <w:t>Proposed</w:t>
            </w:r>
            <w:r w:rsidRPr="00D879B1">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2AA68314"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2022/23</w:t>
            </w:r>
            <w:r w:rsidRPr="00D879B1">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50FF6098"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2022/23 </w:t>
            </w:r>
            <w:r w:rsidRPr="00D879B1">
              <w:rPr>
                <w:rFonts w:ascii="Arial Narrow" w:eastAsia="Times New Roman" w:hAnsi="Arial Narrow" w:cs="Times New Roman"/>
                <w:b/>
                <w:bCs/>
                <w:sz w:val="16"/>
                <w:szCs w:val="16"/>
                <w:lang w:val="en-US"/>
              </w:rPr>
              <w:br/>
              <w:t>Budget after</w:t>
            </w:r>
            <w:r w:rsidRPr="00D879B1">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70298840" w14:textId="77777777" w:rsidR="00D879B1" w:rsidRPr="00D879B1" w:rsidRDefault="00D879B1" w:rsidP="00D879B1">
            <w:pPr>
              <w:spacing w:after="0" w:line="240" w:lineRule="auto"/>
              <w:jc w:val="center"/>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2024/25 </w:t>
            </w:r>
            <w:r w:rsidRPr="00D879B1">
              <w:rPr>
                <w:rFonts w:ascii="Arial Narrow" w:eastAsia="Times New Roman" w:hAnsi="Arial Narrow" w:cs="Times New Roman"/>
                <w:b/>
                <w:bCs/>
                <w:sz w:val="16"/>
                <w:szCs w:val="16"/>
                <w:lang w:val="en-US"/>
              </w:rPr>
              <w:br/>
              <w:t xml:space="preserve">vs. 2022/23 PoW&amp;B </w:t>
            </w:r>
          </w:p>
        </w:tc>
      </w:tr>
      <w:tr w:rsidR="00D879B1" w:rsidRPr="00D879B1" w14:paraId="5281F27F" w14:textId="77777777" w:rsidTr="005A1D34">
        <w:trPr>
          <w:divId w:val="695733442"/>
          <w:trHeight w:val="315"/>
          <w:jc w:val="center"/>
        </w:trPr>
        <w:tc>
          <w:tcPr>
            <w:tcW w:w="3200" w:type="dxa"/>
            <w:gridSpan w:val="4"/>
            <w:vMerge/>
            <w:tcBorders>
              <w:top w:val="nil"/>
              <w:left w:val="nil"/>
              <w:bottom w:val="nil"/>
              <w:right w:val="nil"/>
            </w:tcBorders>
            <w:vAlign w:val="center"/>
            <w:hideMark/>
          </w:tcPr>
          <w:p w14:paraId="7A4BAA4D" w14:textId="77777777" w:rsidR="00D879B1" w:rsidRPr="00D879B1" w:rsidRDefault="00D879B1" w:rsidP="00D879B1">
            <w:pPr>
              <w:spacing w:after="0" w:line="240" w:lineRule="auto"/>
              <w:rPr>
                <w:rFonts w:ascii="Arial Narrow" w:eastAsia="Times New Roman" w:hAnsi="Arial Narrow" w:cs="Times New Roman"/>
                <w:b/>
                <w:bCs/>
                <w:i/>
                <w:iCs/>
                <w:sz w:val="16"/>
                <w:szCs w:val="16"/>
                <w:lang w:val="en-US"/>
              </w:rPr>
            </w:pPr>
          </w:p>
        </w:tc>
        <w:tc>
          <w:tcPr>
            <w:tcW w:w="1060" w:type="dxa"/>
            <w:vMerge/>
            <w:tcBorders>
              <w:top w:val="nil"/>
              <w:left w:val="nil"/>
              <w:bottom w:val="nil"/>
              <w:right w:val="nil"/>
            </w:tcBorders>
            <w:vAlign w:val="center"/>
            <w:hideMark/>
          </w:tcPr>
          <w:p w14:paraId="43D14C1A"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4F614C4C"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62B8EB0E"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6B1E640E" w14:textId="77777777" w:rsidR="00D879B1" w:rsidRPr="00D879B1" w:rsidRDefault="00D879B1" w:rsidP="00D879B1">
            <w:pPr>
              <w:spacing w:after="0" w:line="240" w:lineRule="auto"/>
              <w:ind w:firstLineChars="100" w:firstLine="160"/>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07F1637A" w14:textId="77777777" w:rsidR="00D879B1" w:rsidRPr="00D879B1" w:rsidRDefault="00D879B1" w:rsidP="00D879B1">
            <w:pPr>
              <w:spacing w:after="0" w:line="240" w:lineRule="auto"/>
              <w:ind w:firstLineChars="200" w:firstLine="320"/>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w:t>
            </w:r>
          </w:p>
        </w:tc>
      </w:tr>
      <w:tr w:rsidR="00D879B1" w:rsidRPr="00D879B1" w14:paraId="1E475873" w14:textId="77777777" w:rsidTr="008A121C">
        <w:trPr>
          <w:divId w:val="695733442"/>
          <w:trHeight w:hRule="exact" w:val="216"/>
          <w:jc w:val="center"/>
        </w:trPr>
        <w:tc>
          <w:tcPr>
            <w:tcW w:w="3200" w:type="dxa"/>
            <w:gridSpan w:val="4"/>
            <w:tcBorders>
              <w:top w:val="nil"/>
              <w:left w:val="nil"/>
              <w:bottom w:val="nil"/>
              <w:right w:val="nil"/>
            </w:tcBorders>
            <w:shd w:val="clear" w:color="auto" w:fill="auto"/>
            <w:noWrap/>
            <w:hideMark/>
          </w:tcPr>
          <w:p w14:paraId="5E40CE4C" w14:textId="77777777" w:rsidR="00D879B1" w:rsidRPr="00D879B1" w:rsidRDefault="00D879B1" w:rsidP="00D879B1">
            <w:pPr>
              <w:spacing w:after="0" w:line="240" w:lineRule="auto"/>
              <w:rPr>
                <w:rFonts w:ascii="Arial Narrow" w:eastAsia="Times New Roman" w:hAnsi="Arial Narrow" w:cs="Times New Roman"/>
                <w:b/>
                <w:bCs/>
                <w:color w:val="005172"/>
                <w:sz w:val="16"/>
                <w:szCs w:val="16"/>
                <w:lang w:val="en-US"/>
              </w:rPr>
            </w:pPr>
            <w:r w:rsidRPr="00D879B1">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7737237B" w14:textId="77777777" w:rsidR="00D879B1" w:rsidRPr="00D879B1" w:rsidRDefault="00D879B1" w:rsidP="00D879B1">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195918C7"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A183DC6"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F06803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7727D8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r>
      <w:tr w:rsidR="00D879B1" w:rsidRPr="00D879B1" w14:paraId="294FB874"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3218FF88"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040FD063"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DBA207B"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Posts</w:t>
            </w:r>
          </w:p>
        </w:tc>
        <w:tc>
          <w:tcPr>
            <w:tcW w:w="103" w:type="dxa"/>
            <w:tcBorders>
              <w:top w:val="nil"/>
              <w:left w:val="nil"/>
              <w:bottom w:val="nil"/>
              <w:right w:val="nil"/>
            </w:tcBorders>
            <w:shd w:val="clear" w:color="auto" w:fill="auto"/>
            <w:noWrap/>
            <w:hideMark/>
          </w:tcPr>
          <w:p w14:paraId="187D0992"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FE4D55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25,777</w:t>
            </w:r>
          </w:p>
        </w:tc>
        <w:tc>
          <w:tcPr>
            <w:tcW w:w="1180" w:type="dxa"/>
            <w:tcBorders>
              <w:top w:val="nil"/>
              <w:left w:val="nil"/>
              <w:bottom w:val="nil"/>
              <w:right w:val="nil"/>
            </w:tcBorders>
            <w:shd w:val="clear" w:color="auto" w:fill="auto"/>
            <w:noWrap/>
            <w:hideMark/>
          </w:tcPr>
          <w:p w14:paraId="58D875D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24,899</w:t>
            </w:r>
          </w:p>
        </w:tc>
        <w:tc>
          <w:tcPr>
            <w:tcW w:w="1180" w:type="dxa"/>
            <w:tcBorders>
              <w:top w:val="nil"/>
              <w:left w:val="nil"/>
              <w:bottom w:val="nil"/>
              <w:right w:val="nil"/>
            </w:tcBorders>
            <w:shd w:val="clear" w:color="auto" w:fill="auto"/>
            <w:noWrap/>
            <w:hideMark/>
          </w:tcPr>
          <w:p w14:paraId="032E9FA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24,011</w:t>
            </w:r>
          </w:p>
        </w:tc>
        <w:tc>
          <w:tcPr>
            <w:tcW w:w="1060" w:type="dxa"/>
            <w:tcBorders>
              <w:top w:val="nil"/>
              <w:left w:val="nil"/>
              <w:bottom w:val="nil"/>
              <w:right w:val="nil"/>
            </w:tcBorders>
            <w:shd w:val="clear" w:color="auto" w:fill="auto"/>
            <w:noWrap/>
            <w:hideMark/>
          </w:tcPr>
          <w:p w14:paraId="2EAF0FD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878</w:t>
            </w:r>
          </w:p>
        </w:tc>
        <w:tc>
          <w:tcPr>
            <w:tcW w:w="1060" w:type="dxa"/>
            <w:tcBorders>
              <w:top w:val="nil"/>
              <w:left w:val="nil"/>
              <w:bottom w:val="nil"/>
              <w:right w:val="nil"/>
            </w:tcBorders>
            <w:shd w:val="clear" w:color="auto" w:fill="auto"/>
            <w:noWrap/>
            <w:hideMark/>
          </w:tcPr>
          <w:p w14:paraId="0CFEE2C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w:t>
            </w:r>
          </w:p>
        </w:tc>
      </w:tr>
      <w:tr w:rsidR="00D879B1" w:rsidRPr="00D879B1" w14:paraId="0303A7E0"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7263F5C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FD8E9F8"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3F94DA16"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Temporary Staff</w:t>
            </w:r>
          </w:p>
        </w:tc>
        <w:tc>
          <w:tcPr>
            <w:tcW w:w="103" w:type="dxa"/>
            <w:tcBorders>
              <w:top w:val="nil"/>
              <w:left w:val="nil"/>
              <w:bottom w:val="nil"/>
              <w:right w:val="nil"/>
            </w:tcBorders>
            <w:shd w:val="clear" w:color="auto" w:fill="auto"/>
            <w:noWrap/>
            <w:hideMark/>
          </w:tcPr>
          <w:p w14:paraId="4C7F55BC"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C08DBA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1,339</w:t>
            </w:r>
          </w:p>
        </w:tc>
        <w:tc>
          <w:tcPr>
            <w:tcW w:w="1180" w:type="dxa"/>
            <w:tcBorders>
              <w:top w:val="nil"/>
              <w:left w:val="nil"/>
              <w:bottom w:val="nil"/>
              <w:right w:val="nil"/>
            </w:tcBorders>
            <w:shd w:val="clear" w:color="auto" w:fill="auto"/>
            <w:noWrap/>
            <w:hideMark/>
          </w:tcPr>
          <w:p w14:paraId="0AE02F2D"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1,597</w:t>
            </w:r>
          </w:p>
        </w:tc>
        <w:tc>
          <w:tcPr>
            <w:tcW w:w="1180" w:type="dxa"/>
            <w:tcBorders>
              <w:top w:val="nil"/>
              <w:left w:val="nil"/>
              <w:bottom w:val="nil"/>
              <w:right w:val="nil"/>
            </w:tcBorders>
            <w:shd w:val="clear" w:color="auto" w:fill="auto"/>
            <w:noWrap/>
            <w:hideMark/>
          </w:tcPr>
          <w:p w14:paraId="557E951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1,060</w:t>
            </w:r>
          </w:p>
        </w:tc>
        <w:tc>
          <w:tcPr>
            <w:tcW w:w="1060" w:type="dxa"/>
            <w:tcBorders>
              <w:top w:val="nil"/>
              <w:left w:val="nil"/>
              <w:bottom w:val="nil"/>
              <w:right w:val="nil"/>
            </w:tcBorders>
            <w:shd w:val="clear" w:color="auto" w:fill="auto"/>
            <w:noWrap/>
            <w:hideMark/>
          </w:tcPr>
          <w:p w14:paraId="742A284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(257)</w:t>
            </w:r>
          </w:p>
        </w:tc>
        <w:tc>
          <w:tcPr>
            <w:tcW w:w="1060" w:type="dxa"/>
            <w:tcBorders>
              <w:top w:val="nil"/>
              <w:left w:val="nil"/>
              <w:bottom w:val="nil"/>
              <w:right w:val="nil"/>
            </w:tcBorders>
            <w:shd w:val="clear" w:color="auto" w:fill="auto"/>
            <w:noWrap/>
            <w:hideMark/>
          </w:tcPr>
          <w:p w14:paraId="10575FD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-16%</w:t>
            </w:r>
          </w:p>
        </w:tc>
      </w:tr>
      <w:tr w:rsidR="00D879B1" w:rsidRPr="00D879B1" w14:paraId="3864A455"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3E4BF2C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2AD6AD4"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1E809C7"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Other Staff Costs</w:t>
            </w:r>
          </w:p>
        </w:tc>
        <w:tc>
          <w:tcPr>
            <w:tcW w:w="103" w:type="dxa"/>
            <w:tcBorders>
              <w:top w:val="nil"/>
              <w:left w:val="nil"/>
              <w:bottom w:val="nil"/>
              <w:right w:val="nil"/>
            </w:tcBorders>
            <w:shd w:val="clear" w:color="auto" w:fill="auto"/>
            <w:noWrap/>
            <w:hideMark/>
          </w:tcPr>
          <w:p w14:paraId="4DCBEB11"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305B88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2D83F1B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9DD1D4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2B8E2D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39E2445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771A638E" w14:textId="77777777" w:rsidTr="008A121C">
        <w:trPr>
          <w:divId w:val="695733442"/>
          <w:trHeight w:hRule="exact" w:val="216"/>
          <w:jc w:val="center"/>
        </w:trPr>
        <w:tc>
          <w:tcPr>
            <w:tcW w:w="103" w:type="dxa"/>
            <w:tcBorders>
              <w:top w:val="single" w:sz="4" w:space="0" w:color="C7CFD8"/>
              <w:left w:val="nil"/>
              <w:bottom w:val="single" w:sz="8" w:space="0" w:color="C7CFD8"/>
              <w:right w:val="nil"/>
            </w:tcBorders>
            <w:shd w:val="clear" w:color="auto" w:fill="auto"/>
            <w:noWrap/>
            <w:hideMark/>
          </w:tcPr>
          <w:p w14:paraId="08012BD8"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2FFBC494"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Total A</w:t>
            </w:r>
          </w:p>
        </w:tc>
        <w:tc>
          <w:tcPr>
            <w:tcW w:w="103" w:type="dxa"/>
            <w:tcBorders>
              <w:top w:val="single" w:sz="4" w:space="0" w:color="C7CFD8"/>
              <w:left w:val="nil"/>
              <w:bottom w:val="single" w:sz="8" w:space="0" w:color="C7CFD8"/>
              <w:right w:val="nil"/>
            </w:tcBorders>
            <w:shd w:val="clear" w:color="auto" w:fill="auto"/>
            <w:noWrap/>
            <w:hideMark/>
          </w:tcPr>
          <w:p w14:paraId="68B123B3"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6EB3843C"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27,116</w:t>
            </w:r>
          </w:p>
        </w:tc>
        <w:tc>
          <w:tcPr>
            <w:tcW w:w="1180" w:type="dxa"/>
            <w:tcBorders>
              <w:top w:val="single" w:sz="4" w:space="0" w:color="C7CFD8"/>
              <w:left w:val="nil"/>
              <w:bottom w:val="single" w:sz="8" w:space="0" w:color="C7CFD8"/>
              <w:right w:val="nil"/>
            </w:tcBorders>
            <w:shd w:val="clear" w:color="auto" w:fill="auto"/>
            <w:noWrap/>
            <w:vAlign w:val="center"/>
            <w:hideMark/>
          </w:tcPr>
          <w:p w14:paraId="77E4D573"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26,496</w:t>
            </w:r>
          </w:p>
        </w:tc>
        <w:tc>
          <w:tcPr>
            <w:tcW w:w="1180" w:type="dxa"/>
            <w:tcBorders>
              <w:top w:val="single" w:sz="4" w:space="0" w:color="C7CFD8"/>
              <w:left w:val="nil"/>
              <w:bottom w:val="single" w:sz="8" w:space="0" w:color="C7CFD8"/>
              <w:right w:val="nil"/>
            </w:tcBorders>
            <w:shd w:val="clear" w:color="auto" w:fill="auto"/>
            <w:noWrap/>
            <w:vAlign w:val="center"/>
            <w:hideMark/>
          </w:tcPr>
          <w:p w14:paraId="20DD8D19"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25,071</w:t>
            </w:r>
          </w:p>
        </w:tc>
        <w:tc>
          <w:tcPr>
            <w:tcW w:w="1060" w:type="dxa"/>
            <w:tcBorders>
              <w:top w:val="single" w:sz="4" w:space="0" w:color="C7CFD8"/>
              <w:left w:val="nil"/>
              <w:bottom w:val="single" w:sz="8" w:space="0" w:color="C7CFD8"/>
              <w:right w:val="nil"/>
            </w:tcBorders>
            <w:shd w:val="clear" w:color="auto" w:fill="auto"/>
            <w:noWrap/>
            <w:vAlign w:val="center"/>
            <w:hideMark/>
          </w:tcPr>
          <w:p w14:paraId="6E7AB658"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620</w:t>
            </w:r>
          </w:p>
        </w:tc>
        <w:tc>
          <w:tcPr>
            <w:tcW w:w="1060" w:type="dxa"/>
            <w:tcBorders>
              <w:top w:val="single" w:sz="4" w:space="0" w:color="C7CFD8"/>
              <w:left w:val="nil"/>
              <w:bottom w:val="single" w:sz="8" w:space="0" w:color="C7CFD8"/>
              <w:right w:val="nil"/>
            </w:tcBorders>
            <w:shd w:val="clear" w:color="auto" w:fill="auto"/>
            <w:noWrap/>
            <w:vAlign w:val="center"/>
            <w:hideMark/>
          </w:tcPr>
          <w:p w14:paraId="74B24BFF"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2%</w:t>
            </w:r>
          </w:p>
        </w:tc>
      </w:tr>
      <w:tr w:rsidR="00D879B1" w:rsidRPr="00D879B1" w14:paraId="5C8362DD" w14:textId="77777777" w:rsidTr="008A121C">
        <w:trPr>
          <w:divId w:val="695733442"/>
          <w:trHeight w:hRule="exact" w:val="216"/>
          <w:jc w:val="center"/>
        </w:trPr>
        <w:tc>
          <w:tcPr>
            <w:tcW w:w="3200" w:type="dxa"/>
            <w:gridSpan w:val="4"/>
            <w:tcBorders>
              <w:top w:val="nil"/>
              <w:left w:val="nil"/>
              <w:bottom w:val="nil"/>
              <w:right w:val="nil"/>
            </w:tcBorders>
            <w:shd w:val="clear" w:color="auto" w:fill="auto"/>
            <w:noWrap/>
            <w:hideMark/>
          </w:tcPr>
          <w:p w14:paraId="4A6A2A68" w14:textId="77777777" w:rsidR="00D879B1" w:rsidRPr="00D879B1" w:rsidRDefault="00D879B1" w:rsidP="00D879B1">
            <w:pPr>
              <w:spacing w:after="0" w:line="240" w:lineRule="auto"/>
              <w:rPr>
                <w:rFonts w:ascii="Arial Narrow" w:eastAsia="Times New Roman" w:hAnsi="Arial Narrow" w:cs="Times New Roman"/>
                <w:b/>
                <w:bCs/>
                <w:color w:val="005172"/>
                <w:sz w:val="16"/>
                <w:szCs w:val="16"/>
                <w:lang w:val="en-US"/>
              </w:rPr>
            </w:pPr>
            <w:r w:rsidRPr="00D879B1">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65E9C04E" w14:textId="77777777" w:rsidR="00D879B1" w:rsidRPr="00D879B1" w:rsidRDefault="00D879B1" w:rsidP="00D879B1">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53835916"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0FD7848"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6FC5373"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91A2ED4"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3D3AC66D"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3774AF0C"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97" w:type="dxa"/>
            <w:gridSpan w:val="3"/>
            <w:tcBorders>
              <w:top w:val="nil"/>
              <w:left w:val="nil"/>
              <w:bottom w:val="nil"/>
              <w:right w:val="nil"/>
            </w:tcBorders>
            <w:shd w:val="clear" w:color="auto" w:fill="auto"/>
            <w:noWrap/>
            <w:hideMark/>
          </w:tcPr>
          <w:p w14:paraId="126C3561"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5C4891CB"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70E047E"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FCF3742"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B879E83"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CD908FE"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6825A2A4"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12DB0863"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7DD67B2"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03E01E8A"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Internships</w:t>
            </w:r>
          </w:p>
        </w:tc>
        <w:tc>
          <w:tcPr>
            <w:tcW w:w="103" w:type="dxa"/>
            <w:tcBorders>
              <w:top w:val="nil"/>
              <w:left w:val="nil"/>
              <w:bottom w:val="nil"/>
              <w:right w:val="nil"/>
            </w:tcBorders>
            <w:shd w:val="clear" w:color="auto" w:fill="auto"/>
            <w:noWrap/>
            <w:hideMark/>
          </w:tcPr>
          <w:p w14:paraId="480045CF"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D83007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53</w:t>
            </w:r>
          </w:p>
        </w:tc>
        <w:tc>
          <w:tcPr>
            <w:tcW w:w="1180" w:type="dxa"/>
            <w:tcBorders>
              <w:top w:val="nil"/>
              <w:left w:val="nil"/>
              <w:bottom w:val="nil"/>
              <w:right w:val="nil"/>
            </w:tcBorders>
            <w:shd w:val="clear" w:color="auto" w:fill="auto"/>
            <w:noWrap/>
            <w:hideMark/>
          </w:tcPr>
          <w:p w14:paraId="35B504F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14</w:t>
            </w:r>
          </w:p>
        </w:tc>
        <w:tc>
          <w:tcPr>
            <w:tcW w:w="1180" w:type="dxa"/>
            <w:tcBorders>
              <w:top w:val="nil"/>
              <w:left w:val="nil"/>
              <w:bottom w:val="nil"/>
              <w:right w:val="nil"/>
            </w:tcBorders>
            <w:shd w:val="clear" w:color="auto" w:fill="auto"/>
            <w:noWrap/>
            <w:hideMark/>
          </w:tcPr>
          <w:p w14:paraId="7C8CFCC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24</w:t>
            </w:r>
          </w:p>
        </w:tc>
        <w:tc>
          <w:tcPr>
            <w:tcW w:w="1060" w:type="dxa"/>
            <w:tcBorders>
              <w:top w:val="nil"/>
              <w:left w:val="nil"/>
              <w:bottom w:val="nil"/>
              <w:right w:val="nil"/>
            </w:tcBorders>
            <w:shd w:val="clear" w:color="auto" w:fill="auto"/>
            <w:noWrap/>
            <w:hideMark/>
          </w:tcPr>
          <w:p w14:paraId="47CA583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39</w:t>
            </w:r>
          </w:p>
        </w:tc>
        <w:tc>
          <w:tcPr>
            <w:tcW w:w="1060" w:type="dxa"/>
            <w:tcBorders>
              <w:top w:val="nil"/>
              <w:left w:val="nil"/>
              <w:bottom w:val="nil"/>
              <w:right w:val="nil"/>
            </w:tcBorders>
            <w:shd w:val="clear" w:color="auto" w:fill="auto"/>
            <w:noWrap/>
            <w:hideMark/>
          </w:tcPr>
          <w:p w14:paraId="38A68AB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+100%</w:t>
            </w:r>
          </w:p>
        </w:tc>
      </w:tr>
      <w:tr w:rsidR="00D879B1" w:rsidRPr="00D879B1" w14:paraId="0ACB0F43"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6DD64F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6763296"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F7F97CF"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WIPO Fellowships</w:t>
            </w:r>
          </w:p>
        </w:tc>
        <w:tc>
          <w:tcPr>
            <w:tcW w:w="103" w:type="dxa"/>
            <w:tcBorders>
              <w:top w:val="nil"/>
              <w:left w:val="nil"/>
              <w:bottom w:val="nil"/>
              <w:right w:val="nil"/>
            </w:tcBorders>
            <w:shd w:val="clear" w:color="auto" w:fill="auto"/>
            <w:noWrap/>
            <w:hideMark/>
          </w:tcPr>
          <w:p w14:paraId="4CEFA8A8"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126014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644</w:t>
            </w:r>
          </w:p>
        </w:tc>
        <w:tc>
          <w:tcPr>
            <w:tcW w:w="1180" w:type="dxa"/>
            <w:tcBorders>
              <w:top w:val="nil"/>
              <w:left w:val="nil"/>
              <w:bottom w:val="nil"/>
              <w:right w:val="nil"/>
            </w:tcBorders>
            <w:shd w:val="clear" w:color="auto" w:fill="auto"/>
            <w:noWrap/>
            <w:hideMark/>
          </w:tcPr>
          <w:p w14:paraId="4A0D0A1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448</w:t>
            </w:r>
          </w:p>
        </w:tc>
        <w:tc>
          <w:tcPr>
            <w:tcW w:w="1180" w:type="dxa"/>
            <w:tcBorders>
              <w:top w:val="nil"/>
              <w:left w:val="nil"/>
              <w:bottom w:val="nil"/>
              <w:right w:val="nil"/>
            </w:tcBorders>
            <w:shd w:val="clear" w:color="auto" w:fill="auto"/>
            <w:noWrap/>
            <w:hideMark/>
          </w:tcPr>
          <w:p w14:paraId="7148FEC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479</w:t>
            </w:r>
          </w:p>
        </w:tc>
        <w:tc>
          <w:tcPr>
            <w:tcW w:w="1060" w:type="dxa"/>
            <w:tcBorders>
              <w:top w:val="nil"/>
              <w:left w:val="nil"/>
              <w:bottom w:val="nil"/>
              <w:right w:val="nil"/>
            </w:tcBorders>
            <w:shd w:val="clear" w:color="auto" w:fill="auto"/>
            <w:noWrap/>
            <w:hideMark/>
          </w:tcPr>
          <w:p w14:paraId="1862094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196</w:t>
            </w:r>
          </w:p>
        </w:tc>
        <w:tc>
          <w:tcPr>
            <w:tcW w:w="1060" w:type="dxa"/>
            <w:tcBorders>
              <w:top w:val="nil"/>
              <w:left w:val="nil"/>
              <w:bottom w:val="nil"/>
              <w:right w:val="nil"/>
            </w:tcBorders>
            <w:shd w:val="clear" w:color="auto" w:fill="auto"/>
            <w:noWrap/>
            <w:hideMark/>
          </w:tcPr>
          <w:p w14:paraId="0409E60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44%</w:t>
            </w:r>
          </w:p>
        </w:tc>
      </w:tr>
      <w:tr w:rsidR="00D879B1" w:rsidRPr="00D879B1" w14:paraId="4B7D5333"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2B1539F5"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685D43D1"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CFFA4A2"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565BB06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697</w:t>
            </w:r>
          </w:p>
        </w:tc>
        <w:tc>
          <w:tcPr>
            <w:tcW w:w="1180" w:type="dxa"/>
            <w:tcBorders>
              <w:top w:val="nil"/>
              <w:left w:val="nil"/>
              <w:bottom w:val="single" w:sz="4" w:space="0" w:color="C7CFD8"/>
              <w:right w:val="nil"/>
            </w:tcBorders>
            <w:shd w:val="clear" w:color="auto" w:fill="auto"/>
            <w:noWrap/>
            <w:hideMark/>
          </w:tcPr>
          <w:p w14:paraId="168BE35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462</w:t>
            </w:r>
          </w:p>
        </w:tc>
        <w:tc>
          <w:tcPr>
            <w:tcW w:w="1180" w:type="dxa"/>
            <w:tcBorders>
              <w:top w:val="nil"/>
              <w:left w:val="nil"/>
              <w:bottom w:val="single" w:sz="4" w:space="0" w:color="C7CFD8"/>
              <w:right w:val="nil"/>
            </w:tcBorders>
            <w:shd w:val="clear" w:color="auto" w:fill="auto"/>
            <w:noWrap/>
            <w:hideMark/>
          </w:tcPr>
          <w:p w14:paraId="0F9D851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503</w:t>
            </w:r>
          </w:p>
        </w:tc>
        <w:tc>
          <w:tcPr>
            <w:tcW w:w="1060" w:type="dxa"/>
            <w:tcBorders>
              <w:top w:val="nil"/>
              <w:left w:val="nil"/>
              <w:bottom w:val="single" w:sz="4" w:space="0" w:color="C7CFD8"/>
              <w:right w:val="nil"/>
            </w:tcBorders>
            <w:shd w:val="clear" w:color="auto" w:fill="auto"/>
            <w:noWrap/>
            <w:hideMark/>
          </w:tcPr>
          <w:p w14:paraId="29072F8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235</w:t>
            </w:r>
          </w:p>
        </w:tc>
        <w:tc>
          <w:tcPr>
            <w:tcW w:w="1060" w:type="dxa"/>
            <w:tcBorders>
              <w:top w:val="nil"/>
              <w:left w:val="nil"/>
              <w:bottom w:val="single" w:sz="4" w:space="0" w:color="C7CFD8"/>
              <w:right w:val="nil"/>
            </w:tcBorders>
            <w:shd w:val="clear" w:color="auto" w:fill="auto"/>
            <w:noWrap/>
            <w:hideMark/>
          </w:tcPr>
          <w:p w14:paraId="13B6162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51%</w:t>
            </w:r>
          </w:p>
        </w:tc>
      </w:tr>
      <w:tr w:rsidR="00D879B1" w:rsidRPr="00D879B1" w14:paraId="560855C5"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21EDB4B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373B1E4F"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72069543"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01992002"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A6D9928"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99988B9"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21EE371"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1FE8C15A"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18CF39B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60E6D2F6"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2381644"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Staff Missions</w:t>
            </w:r>
          </w:p>
        </w:tc>
        <w:tc>
          <w:tcPr>
            <w:tcW w:w="103" w:type="dxa"/>
            <w:tcBorders>
              <w:top w:val="nil"/>
              <w:left w:val="nil"/>
              <w:bottom w:val="nil"/>
              <w:right w:val="nil"/>
            </w:tcBorders>
            <w:shd w:val="clear" w:color="auto" w:fill="auto"/>
            <w:noWrap/>
            <w:hideMark/>
          </w:tcPr>
          <w:p w14:paraId="0CBADB97"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786DBC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395</w:t>
            </w:r>
          </w:p>
        </w:tc>
        <w:tc>
          <w:tcPr>
            <w:tcW w:w="1180" w:type="dxa"/>
            <w:tcBorders>
              <w:top w:val="nil"/>
              <w:left w:val="nil"/>
              <w:bottom w:val="nil"/>
              <w:right w:val="nil"/>
            </w:tcBorders>
            <w:shd w:val="clear" w:color="auto" w:fill="auto"/>
            <w:noWrap/>
            <w:hideMark/>
          </w:tcPr>
          <w:p w14:paraId="0BA9B29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411</w:t>
            </w:r>
          </w:p>
        </w:tc>
        <w:tc>
          <w:tcPr>
            <w:tcW w:w="1180" w:type="dxa"/>
            <w:tcBorders>
              <w:top w:val="nil"/>
              <w:left w:val="nil"/>
              <w:bottom w:val="nil"/>
              <w:right w:val="nil"/>
            </w:tcBorders>
            <w:shd w:val="clear" w:color="auto" w:fill="auto"/>
            <w:noWrap/>
            <w:hideMark/>
          </w:tcPr>
          <w:p w14:paraId="083604B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205</w:t>
            </w:r>
          </w:p>
        </w:tc>
        <w:tc>
          <w:tcPr>
            <w:tcW w:w="1060" w:type="dxa"/>
            <w:tcBorders>
              <w:top w:val="nil"/>
              <w:left w:val="nil"/>
              <w:bottom w:val="nil"/>
              <w:right w:val="nil"/>
            </w:tcBorders>
            <w:shd w:val="clear" w:color="auto" w:fill="auto"/>
            <w:noWrap/>
            <w:hideMark/>
          </w:tcPr>
          <w:p w14:paraId="1B604FA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(16)</w:t>
            </w:r>
          </w:p>
        </w:tc>
        <w:tc>
          <w:tcPr>
            <w:tcW w:w="1060" w:type="dxa"/>
            <w:tcBorders>
              <w:top w:val="nil"/>
              <w:left w:val="nil"/>
              <w:bottom w:val="nil"/>
              <w:right w:val="nil"/>
            </w:tcBorders>
            <w:shd w:val="clear" w:color="auto" w:fill="auto"/>
            <w:noWrap/>
            <w:hideMark/>
          </w:tcPr>
          <w:p w14:paraId="58DC8BB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w:t>
            </w:r>
          </w:p>
        </w:tc>
      </w:tr>
      <w:tr w:rsidR="00D879B1" w:rsidRPr="00D879B1" w14:paraId="16187984"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3F4E535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3ADF180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BAA8B75"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Third-party Travel</w:t>
            </w:r>
          </w:p>
        </w:tc>
        <w:tc>
          <w:tcPr>
            <w:tcW w:w="103" w:type="dxa"/>
            <w:tcBorders>
              <w:top w:val="nil"/>
              <w:left w:val="nil"/>
              <w:bottom w:val="nil"/>
              <w:right w:val="nil"/>
            </w:tcBorders>
            <w:shd w:val="clear" w:color="auto" w:fill="auto"/>
            <w:noWrap/>
            <w:hideMark/>
          </w:tcPr>
          <w:p w14:paraId="78B4CE15"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B52FFE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220</w:t>
            </w:r>
          </w:p>
        </w:tc>
        <w:tc>
          <w:tcPr>
            <w:tcW w:w="1180" w:type="dxa"/>
            <w:tcBorders>
              <w:top w:val="nil"/>
              <w:left w:val="nil"/>
              <w:bottom w:val="nil"/>
              <w:right w:val="nil"/>
            </w:tcBorders>
            <w:shd w:val="clear" w:color="auto" w:fill="auto"/>
            <w:noWrap/>
            <w:hideMark/>
          </w:tcPr>
          <w:p w14:paraId="4A2F252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166</w:t>
            </w:r>
          </w:p>
        </w:tc>
        <w:tc>
          <w:tcPr>
            <w:tcW w:w="1180" w:type="dxa"/>
            <w:tcBorders>
              <w:top w:val="nil"/>
              <w:left w:val="nil"/>
              <w:bottom w:val="nil"/>
              <w:right w:val="nil"/>
            </w:tcBorders>
            <w:shd w:val="clear" w:color="auto" w:fill="auto"/>
            <w:noWrap/>
            <w:hideMark/>
          </w:tcPr>
          <w:p w14:paraId="0DB0BE1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66</w:t>
            </w:r>
          </w:p>
        </w:tc>
        <w:tc>
          <w:tcPr>
            <w:tcW w:w="1060" w:type="dxa"/>
            <w:tcBorders>
              <w:top w:val="nil"/>
              <w:left w:val="nil"/>
              <w:bottom w:val="nil"/>
              <w:right w:val="nil"/>
            </w:tcBorders>
            <w:shd w:val="clear" w:color="auto" w:fill="auto"/>
            <w:noWrap/>
            <w:hideMark/>
          </w:tcPr>
          <w:p w14:paraId="5078E39A"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54</w:t>
            </w:r>
          </w:p>
        </w:tc>
        <w:tc>
          <w:tcPr>
            <w:tcW w:w="1060" w:type="dxa"/>
            <w:tcBorders>
              <w:top w:val="nil"/>
              <w:left w:val="nil"/>
              <w:bottom w:val="nil"/>
              <w:right w:val="nil"/>
            </w:tcBorders>
            <w:shd w:val="clear" w:color="auto" w:fill="auto"/>
            <w:noWrap/>
            <w:hideMark/>
          </w:tcPr>
          <w:p w14:paraId="48C058B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33%</w:t>
            </w:r>
          </w:p>
        </w:tc>
      </w:tr>
      <w:tr w:rsidR="00D879B1" w:rsidRPr="00D879B1" w14:paraId="0184D469"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43FA7B4B"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7B58CAE1"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186C0364"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02CACB4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615</w:t>
            </w:r>
          </w:p>
        </w:tc>
        <w:tc>
          <w:tcPr>
            <w:tcW w:w="1180" w:type="dxa"/>
            <w:tcBorders>
              <w:top w:val="nil"/>
              <w:left w:val="nil"/>
              <w:bottom w:val="single" w:sz="4" w:space="0" w:color="C7CFD8"/>
              <w:right w:val="nil"/>
            </w:tcBorders>
            <w:shd w:val="clear" w:color="auto" w:fill="auto"/>
            <w:noWrap/>
            <w:hideMark/>
          </w:tcPr>
          <w:p w14:paraId="38E616C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577</w:t>
            </w:r>
          </w:p>
        </w:tc>
        <w:tc>
          <w:tcPr>
            <w:tcW w:w="1180" w:type="dxa"/>
            <w:tcBorders>
              <w:top w:val="nil"/>
              <w:left w:val="nil"/>
              <w:bottom w:val="single" w:sz="4" w:space="0" w:color="C7CFD8"/>
              <w:right w:val="nil"/>
            </w:tcBorders>
            <w:shd w:val="clear" w:color="auto" w:fill="auto"/>
            <w:noWrap/>
            <w:hideMark/>
          </w:tcPr>
          <w:p w14:paraId="6E038C0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271</w:t>
            </w:r>
          </w:p>
        </w:tc>
        <w:tc>
          <w:tcPr>
            <w:tcW w:w="1060" w:type="dxa"/>
            <w:tcBorders>
              <w:top w:val="nil"/>
              <w:left w:val="nil"/>
              <w:bottom w:val="single" w:sz="4" w:space="0" w:color="C7CFD8"/>
              <w:right w:val="nil"/>
            </w:tcBorders>
            <w:shd w:val="clear" w:color="auto" w:fill="auto"/>
            <w:noWrap/>
            <w:hideMark/>
          </w:tcPr>
          <w:p w14:paraId="1920F0C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38</w:t>
            </w:r>
          </w:p>
        </w:tc>
        <w:tc>
          <w:tcPr>
            <w:tcW w:w="1060" w:type="dxa"/>
            <w:tcBorders>
              <w:top w:val="nil"/>
              <w:left w:val="nil"/>
              <w:bottom w:val="single" w:sz="4" w:space="0" w:color="C7CFD8"/>
              <w:right w:val="nil"/>
            </w:tcBorders>
            <w:shd w:val="clear" w:color="auto" w:fill="auto"/>
            <w:noWrap/>
            <w:hideMark/>
          </w:tcPr>
          <w:p w14:paraId="1FC2716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7%</w:t>
            </w:r>
          </w:p>
        </w:tc>
      </w:tr>
      <w:tr w:rsidR="00D879B1" w:rsidRPr="00D879B1" w14:paraId="36DE10FB"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5FD573C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1AC72C2E"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65F696F5"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400A2253"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FD3A484"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55B380A"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781BA8A"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531FF4CA"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03E46A7"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029237F"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543AD21"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Conferences</w:t>
            </w:r>
          </w:p>
        </w:tc>
        <w:tc>
          <w:tcPr>
            <w:tcW w:w="103" w:type="dxa"/>
            <w:tcBorders>
              <w:top w:val="nil"/>
              <w:left w:val="nil"/>
              <w:bottom w:val="nil"/>
              <w:right w:val="nil"/>
            </w:tcBorders>
            <w:shd w:val="clear" w:color="auto" w:fill="auto"/>
            <w:noWrap/>
            <w:hideMark/>
          </w:tcPr>
          <w:p w14:paraId="4055CC17"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68366F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795</w:t>
            </w:r>
          </w:p>
        </w:tc>
        <w:tc>
          <w:tcPr>
            <w:tcW w:w="1180" w:type="dxa"/>
            <w:tcBorders>
              <w:top w:val="nil"/>
              <w:left w:val="nil"/>
              <w:bottom w:val="nil"/>
              <w:right w:val="nil"/>
            </w:tcBorders>
            <w:shd w:val="clear" w:color="auto" w:fill="auto"/>
            <w:noWrap/>
            <w:hideMark/>
          </w:tcPr>
          <w:p w14:paraId="6A1319E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470</w:t>
            </w:r>
          </w:p>
        </w:tc>
        <w:tc>
          <w:tcPr>
            <w:tcW w:w="1180" w:type="dxa"/>
            <w:tcBorders>
              <w:top w:val="nil"/>
              <w:left w:val="nil"/>
              <w:bottom w:val="nil"/>
              <w:right w:val="nil"/>
            </w:tcBorders>
            <w:shd w:val="clear" w:color="auto" w:fill="auto"/>
            <w:noWrap/>
            <w:hideMark/>
          </w:tcPr>
          <w:p w14:paraId="79D5A7E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715</w:t>
            </w:r>
          </w:p>
        </w:tc>
        <w:tc>
          <w:tcPr>
            <w:tcW w:w="1060" w:type="dxa"/>
            <w:tcBorders>
              <w:top w:val="nil"/>
              <w:left w:val="nil"/>
              <w:bottom w:val="nil"/>
              <w:right w:val="nil"/>
            </w:tcBorders>
            <w:shd w:val="clear" w:color="auto" w:fill="auto"/>
            <w:noWrap/>
            <w:hideMark/>
          </w:tcPr>
          <w:p w14:paraId="1496515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325</w:t>
            </w:r>
          </w:p>
        </w:tc>
        <w:tc>
          <w:tcPr>
            <w:tcW w:w="1060" w:type="dxa"/>
            <w:tcBorders>
              <w:top w:val="nil"/>
              <w:left w:val="nil"/>
              <w:bottom w:val="nil"/>
              <w:right w:val="nil"/>
            </w:tcBorders>
            <w:shd w:val="clear" w:color="auto" w:fill="auto"/>
            <w:noWrap/>
            <w:hideMark/>
          </w:tcPr>
          <w:p w14:paraId="65BB079D"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69%</w:t>
            </w:r>
          </w:p>
        </w:tc>
      </w:tr>
      <w:tr w:rsidR="00D879B1" w:rsidRPr="00D879B1" w14:paraId="15C57356"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BFED2A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49E458B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82D1F1A"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Publishing</w:t>
            </w:r>
          </w:p>
        </w:tc>
        <w:tc>
          <w:tcPr>
            <w:tcW w:w="103" w:type="dxa"/>
            <w:tcBorders>
              <w:top w:val="nil"/>
              <w:left w:val="nil"/>
              <w:bottom w:val="nil"/>
              <w:right w:val="nil"/>
            </w:tcBorders>
            <w:shd w:val="clear" w:color="auto" w:fill="auto"/>
            <w:noWrap/>
            <w:hideMark/>
          </w:tcPr>
          <w:p w14:paraId="560F1D7B"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CEAED4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10</w:t>
            </w:r>
          </w:p>
        </w:tc>
        <w:tc>
          <w:tcPr>
            <w:tcW w:w="1180" w:type="dxa"/>
            <w:tcBorders>
              <w:top w:val="nil"/>
              <w:left w:val="nil"/>
              <w:bottom w:val="nil"/>
              <w:right w:val="nil"/>
            </w:tcBorders>
            <w:shd w:val="clear" w:color="auto" w:fill="auto"/>
            <w:noWrap/>
            <w:hideMark/>
          </w:tcPr>
          <w:p w14:paraId="7B9C637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9A208A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831EE5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10</w:t>
            </w:r>
          </w:p>
        </w:tc>
        <w:tc>
          <w:tcPr>
            <w:tcW w:w="1060" w:type="dxa"/>
            <w:tcBorders>
              <w:top w:val="nil"/>
              <w:left w:val="nil"/>
              <w:bottom w:val="nil"/>
              <w:right w:val="nil"/>
            </w:tcBorders>
            <w:shd w:val="clear" w:color="auto" w:fill="auto"/>
            <w:noWrap/>
            <w:hideMark/>
          </w:tcPr>
          <w:p w14:paraId="4E906D7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4477DA80"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52E667A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C247C50"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4EC1FDCD"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03327B5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305</w:t>
            </w:r>
          </w:p>
        </w:tc>
        <w:tc>
          <w:tcPr>
            <w:tcW w:w="1180" w:type="dxa"/>
            <w:tcBorders>
              <w:top w:val="nil"/>
              <w:left w:val="nil"/>
              <w:bottom w:val="nil"/>
              <w:right w:val="nil"/>
            </w:tcBorders>
            <w:shd w:val="clear" w:color="auto" w:fill="auto"/>
            <w:noWrap/>
            <w:hideMark/>
          </w:tcPr>
          <w:p w14:paraId="42B17DB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437</w:t>
            </w:r>
          </w:p>
        </w:tc>
        <w:tc>
          <w:tcPr>
            <w:tcW w:w="1180" w:type="dxa"/>
            <w:tcBorders>
              <w:top w:val="nil"/>
              <w:left w:val="nil"/>
              <w:bottom w:val="nil"/>
              <w:right w:val="nil"/>
            </w:tcBorders>
            <w:shd w:val="clear" w:color="auto" w:fill="auto"/>
            <w:noWrap/>
            <w:hideMark/>
          </w:tcPr>
          <w:p w14:paraId="2E316EB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568</w:t>
            </w:r>
          </w:p>
        </w:tc>
        <w:tc>
          <w:tcPr>
            <w:tcW w:w="1060" w:type="dxa"/>
            <w:tcBorders>
              <w:top w:val="nil"/>
              <w:left w:val="nil"/>
              <w:bottom w:val="nil"/>
              <w:right w:val="nil"/>
            </w:tcBorders>
            <w:shd w:val="clear" w:color="auto" w:fill="auto"/>
            <w:noWrap/>
            <w:hideMark/>
          </w:tcPr>
          <w:p w14:paraId="39703B2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(132)</w:t>
            </w:r>
          </w:p>
        </w:tc>
        <w:tc>
          <w:tcPr>
            <w:tcW w:w="1060" w:type="dxa"/>
            <w:tcBorders>
              <w:top w:val="nil"/>
              <w:left w:val="nil"/>
              <w:bottom w:val="nil"/>
              <w:right w:val="nil"/>
            </w:tcBorders>
            <w:shd w:val="clear" w:color="auto" w:fill="auto"/>
            <w:noWrap/>
            <w:hideMark/>
          </w:tcPr>
          <w:p w14:paraId="219AA34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-30%</w:t>
            </w:r>
          </w:p>
        </w:tc>
      </w:tr>
      <w:tr w:rsidR="00D879B1" w:rsidRPr="00D879B1" w14:paraId="469FD0A2"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4506414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C044141"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6A480E03"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694E7A2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11,766</w:t>
            </w:r>
          </w:p>
        </w:tc>
        <w:tc>
          <w:tcPr>
            <w:tcW w:w="1180" w:type="dxa"/>
            <w:tcBorders>
              <w:top w:val="nil"/>
              <w:left w:val="nil"/>
              <w:bottom w:val="nil"/>
              <w:right w:val="nil"/>
            </w:tcBorders>
            <w:shd w:val="clear" w:color="auto" w:fill="auto"/>
            <w:noWrap/>
            <w:hideMark/>
          </w:tcPr>
          <w:p w14:paraId="02B12E0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9,104</w:t>
            </w:r>
          </w:p>
        </w:tc>
        <w:tc>
          <w:tcPr>
            <w:tcW w:w="1180" w:type="dxa"/>
            <w:tcBorders>
              <w:top w:val="nil"/>
              <w:left w:val="nil"/>
              <w:bottom w:val="nil"/>
              <w:right w:val="nil"/>
            </w:tcBorders>
            <w:shd w:val="clear" w:color="auto" w:fill="auto"/>
            <w:noWrap/>
            <w:hideMark/>
          </w:tcPr>
          <w:p w14:paraId="624029D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9,822</w:t>
            </w:r>
          </w:p>
        </w:tc>
        <w:tc>
          <w:tcPr>
            <w:tcW w:w="1060" w:type="dxa"/>
            <w:tcBorders>
              <w:top w:val="nil"/>
              <w:left w:val="nil"/>
              <w:bottom w:val="nil"/>
              <w:right w:val="nil"/>
            </w:tcBorders>
            <w:shd w:val="clear" w:color="auto" w:fill="auto"/>
            <w:noWrap/>
            <w:hideMark/>
          </w:tcPr>
          <w:p w14:paraId="5292391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2,662</w:t>
            </w:r>
          </w:p>
        </w:tc>
        <w:tc>
          <w:tcPr>
            <w:tcW w:w="1060" w:type="dxa"/>
            <w:tcBorders>
              <w:top w:val="nil"/>
              <w:left w:val="nil"/>
              <w:bottom w:val="nil"/>
              <w:right w:val="nil"/>
            </w:tcBorders>
            <w:shd w:val="clear" w:color="auto" w:fill="auto"/>
            <w:noWrap/>
            <w:hideMark/>
          </w:tcPr>
          <w:p w14:paraId="4EA5B86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29%</w:t>
            </w:r>
          </w:p>
        </w:tc>
      </w:tr>
      <w:tr w:rsidR="00D879B1" w:rsidRPr="00D879B1" w14:paraId="12A11285"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7C13BDCD"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C655158"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5EE57C9"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53AAAA6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12,876</w:t>
            </w:r>
          </w:p>
        </w:tc>
        <w:tc>
          <w:tcPr>
            <w:tcW w:w="1180" w:type="dxa"/>
            <w:tcBorders>
              <w:top w:val="nil"/>
              <w:left w:val="nil"/>
              <w:bottom w:val="single" w:sz="4" w:space="0" w:color="C7CFD8"/>
              <w:right w:val="nil"/>
            </w:tcBorders>
            <w:shd w:val="clear" w:color="auto" w:fill="auto"/>
            <w:noWrap/>
            <w:hideMark/>
          </w:tcPr>
          <w:p w14:paraId="555869AA"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10,011</w:t>
            </w:r>
          </w:p>
        </w:tc>
        <w:tc>
          <w:tcPr>
            <w:tcW w:w="1180" w:type="dxa"/>
            <w:tcBorders>
              <w:top w:val="nil"/>
              <w:left w:val="nil"/>
              <w:bottom w:val="single" w:sz="4" w:space="0" w:color="C7CFD8"/>
              <w:right w:val="nil"/>
            </w:tcBorders>
            <w:shd w:val="clear" w:color="auto" w:fill="auto"/>
            <w:noWrap/>
            <w:hideMark/>
          </w:tcPr>
          <w:p w14:paraId="3BDA91B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11,105</w:t>
            </w:r>
          </w:p>
        </w:tc>
        <w:tc>
          <w:tcPr>
            <w:tcW w:w="1060" w:type="dxa"/>
            <w:tcBorders>
              <w:top w:val="nil"/>
              <w:left w:val="nil"/>
              <w:bottom w:val="single" w:sz="4" w:space="0" w:color="C7CFD8"/>
              <w:right w:val="nil"/>
            </w:tcBorders>
            <w:shd w:val="clear" w:color="auto" w:fill="auto"/>
            <w:noWrap/>
            <w:hideMark/>
          </w:tcPr>
          <w:p w14:paraId="4B144BE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2,865</w:t>
            </w:r>
          </w:p>
        </w:tc>
        <w:tc>
          <w:tcPr>
            <w:tcW w:w="1060" w:type="dxa"/>
            <w:tcBorders>
              <w:top w:val="nil"/>
              <w:left w:val="nil"/>
              <w:bottom w:val="single" w:sz="4" w:space="0" w:color="C7CFD8"/>
              <w:right w:val="nil"/>
            </w:tcBorders>
            <w:shd w:val="clear" w:color="auto" w:fill="auto"/>
            <w:noWrap/>
            <w:hideMark/>
          </w:tcPr>
          <w:p w14:paraId="64B1C35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29%</w:t>
            </w:r>
          </w:p>
        </w:tc>
      </w:tr>
      <w:tr w:rsidR="00D879B1" w:rsidRPr="00D879B1" w14:paraId="0DD9D56E"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4850273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45FD844F"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Finance Costs</w:t>
            </w:r>
          </w:p>
        </w:tc>
        <w:tc>
          <w:tcPr>
            <w:tcW w:w="103" w:type="dxa"/>
            <w:tcBorders>
              <w:top w:val="nil"/>
              <w:left w:val="nil"/>
              <w:bottom w:val="nil"/>
              <w:right w:val="nil"/>
            </w:tcBorders>
            <w:shd w:val="clear" w:color="auto" w:fill="auto"/>
            <w:noWrap/>
            <w:hideMark/>
          </w:tcPr>
          <w:p w14:paraId="29C992EF"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3516923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DF36AE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E59A2A5"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FC175A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BCB35C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26AC8371"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78DD85CB"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6562BCB9"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17EEE857"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 </w:t>
            </w:r>
          </w:p>
        </w:tc>
        <w:tc>
          <w:tcPr>
            <w:tcW w:w="1060" w:type="dxa"/>
            <w:tcBorders>
              <w:top w:val="nil"/>
              <w:left w:val="nil"/>
              <w:bottom w:val="single" w:sz="4" w:space="0" w:color="C7CFD8"/>
              <w:right w:val="nil"/>
            </w:tcBorders>
            <w:shd w:val="clear" w:color="auto" w:fill="auto"/>
            <w:noWrap/>
            <w:hideMark/>
          </w:tcPr>
          <w:p w14:paraId="435410F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0B1CD3B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6BF3CFFA"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037E8D4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28FDAB9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73CCD764"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433B59B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56EECA1B"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Operating Expenses</w:t>
            </w:r>
          </w:p>
        </w:tc>
        <w:tc>
          <w:tcPr>
            <w:tcW w:w="103" w:type="dxa"/>
            <w:tcBorders>
              <w:top w:val="nil"/>
              <w:left w:val="nil"/>
              <w:bottom w:val="nil"/>
              <w:right w:val="nil"/>
            </w:tcBorders>
            <w:shd w:val="clear" w:color="auto" w:fill="auto"/>
            <w:noWrap/>
            <w:hideMark/>
          </w:tcPr>
          <w:p w14:paraId="21CC3FDB"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33BA8A6D"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65D5795"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5F5BCC2"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F5718D9"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B61036B"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5300F91A"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14700806"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28F088DA"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2EBECF4A"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6923174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283</w:t>
            </w:r>
          </w:p>
        </w:tc>
        <w:tc>
          <w:tcPr>
            <w:tcW w:w="1180" w:type="dxa"/>
            <w:tcBorders>
              <w:top w:val="nil"/>
              <w:left w:val="nil"/>
              <w:bottom w:val="nil"/>
              <w:right w:val="nil"/>
            </w:tcBorders>
            <w:shd w:val="clear" w:color="auto" w:fill="auto"/>
            <w:noWrap/>
            <w:hideMark/>
          </w:tcPr>
          <w:p w14:paraId="0241175A"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629844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510</w:t>
            </w:r>
          </w:p>
        </w:tc>
        <w:tc>
          <w:tcPr>
            <w:tcW w:w="1060" w:type="dxa"/>
            <w:tcBorders>
              <w:top w:val="nil"/>
              <w:left w:val="nil"/>
              <w:bottom w:val="nil"/>
              <w:right w:val="nil"/>
            </w:tcBorders>
            <w:shd w:val="clear" w:color="auto" w:fill="auto"/>
            <w:noWrap/>
            <w:hideMark/>
          </w:tcPr>
          <w:p w14:paraId="51C4748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283</w:t>
            </w:r>
          </w:p>
        </w:tc>
        <w:tc>
          <w:tcPr>
            <w:tcW w:w="1060" w:type="dxa"/>
            <w:tcBorders>
              <w:top w:val="nil"/>
              <w:left w:val="nil"/>
              <w:bottom w:val="nil"/>
              <w:right w:val="nil"/>
            </w:tcBorders>
            <w:shd w:val="clear" w:color="auto" w:fill="auto"/>
            <w:noWrap/>
            <w:hideMark/>
          </w:tcPr>
          <w:p w14:paraId="78B8577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4DDEDDAE"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6761382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7B51F78"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1A850182"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Communication</w:t>
            </w:r>
          </w:p>
        </w:tc>
        <w:tc>
          <w:tcPr>
            <w:tcW w:w="103" w:type="dxa"/>
            <w:tcBorders>
              <w:top w:val="nil"/>
              <w:left w:val="nil"/>
              <w:bottom w:val="nil"/>
              <w:right w:val="nil"/>
            </w:tcBorders>
            <w:shd w:val="clear" w:color="auto" w:fill="auto"/>
            <w:noWrap/>
            <w:hideMark/>
          </w:tcPr>
          <w:p w14:paraId="7B979391"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1051C7D"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C228FC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4F35B4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w:t>
            </w:r>
          </w:p>
        </w:tc>
        <w:tc>
          <w:tcPr>
            <w:tcW w:w="1060" w:type="dxa"/>
            <w:tcBorders>
              <w:top w:val="nil"/>
              <w:left w:val="nil"/>
              <w:bottom w:val="nil"/>
              <w:right w:val="nil"/>
            </w:tcBorders>
            <w:shd w:val="clear" w:color="auto" w:fill="auto"/>
            <w:noWrap/>
            <w:hideMark/>
          </w:tcPr>
          <w:p w14:paraId="570193C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28E083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58607A37"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79EB4E0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531D3902"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hideMark/>
          </w:tcPr>
          <w:p w14:paraId="2320F33F"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4220727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1D4B42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810CD8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96</w:t>
            </w:r>
          </w:p>
        </w:tc>
        <w:tc>
          <w:tcPr>
            <w:tcW w:w="1060" w:type="dxa"/>
            <w:tcBorders>
              <w:top w:val="nil"/>
              <w:left w:val="nil"/>
              <w:bottom w:val="nil"/>
              <w:right w:val="nil"/>
            </w:tcBorders>
            <w:shd w:val="clear" w:color="auto" w:fill="auto"/>
            <w:noWrap/>
            <w:hideMark/>
          </w:tcPr>
          <w:p w14:paraId="07A8BFAF"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FCE4CAD"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4BFC533E"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83D631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360EBA9A"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E197298"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UN Joint Services</w:t>
            </w:r>
          </w:p>
        </w:tc>
        <w:tc>
          <w:tcPr>
            <w:tcW w:w="103" w:type="dxa"/>
            <w:tcBorders>
              <w:top w:val="nil"/>
              <w:left w:val="nil"/>
              <w:bottom w:val="nil"/>
              <w:right w:val="nil"/>
            </w:tcBorders>
            <w:shd w:val="clear" w:color="auto" w:fill="auto"/>
            <w:noWrap/>
            <w:hideMark/>
          </w:tcPr>
          <w:p w14:paraId="614E2A73"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EBF7A1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2BB5E9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92843A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w:t>
            </w:r>
          </w:p>
        </w:tc>
        <w:tc>
          <w:tcPr>
            <w:tcW w:w="1060" w:type="dxa"/>
            <w:tcBorders>
              <w:top w:val="nil"/>
              <w:left w:val="nil"/>
              <w:bottom w:val="nil"/>
              <w:right w:val="nil"/>
            </w:tcBorders>
            <w:shd w:val="clear" w:color="auto" w:fill="auto"/>
            <w:noWrap/>
            <w:hideMark/>
          </w:tcPr>
          <w:p w14:paraId="28B77EF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228E666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776C42B4"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2A123DBA" w14:textId="77777777" w:rsidR="00D879B1" w:rsidRPr="00D879B1" w:rsidRDefault="00D879B1" w:rsidP="00D879B1">
            <w:pPr>
              <w:spacing w:after="0" w:line="240" w:lineRule="auto"/>
              <w:rPr>
                <w:rFonts w:ascii="Arial Narrow" w:eastAsia="Times New Roman" w:hAnsi="Arial Narrow" w:cs="Times New Roman"/>
                <w:b/>
                <w:bCs/>
                <w:i/>
                <w:iCs/>
                <w:sz w:val="16"/>
                <w:szCs w:val="16"/>
                <w:lang w:val="en-US"/>
              </w:rPr>
            </w:pPr>
            <w:r w:rsidRPr="00D879B1">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8D6D7FF"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052919CC"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14CF5784"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283</w:t>
            </w:r>
          </w:p>
        </w:tc>
        <w:tc>
          <w:tcPr>
            <w:tcW w:w="1180" w:type="dxa"/>
            <w:tcBorders>
              <w:top w:val="nil"/>
              <w:left w:val="nil"/>
              <w:bottom w:val="single" w:sz="4" w:space="0" w:color="C7CFD8"/>
              <w:right w:val="nil"/>
            </w:tcBorders>
            <w:shd w:val="clear" w:color="auto" w:fill="auto"/>
            <w:noWrap/>
            <w:hideMark/>
          </w:tcPr>
          <w:p w14:paraId="715D237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1D26752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616</w:t>
            </w:r>
          </w:p>
        </w:tc>
        <w:tc>
          <w:tcPr>
            <w:tcW w:w="1060" w:type="dxa"/>
            <w:tcBorders>
              <w:top w:val="nil"/>
              <w:left w:val="nil"/>
              <w:bottom w:val="single" w:sz="4" w:space="0" w:color="C7CFD8"/>
              <w:right w:val="nil"/>
            </w:tcBorders>
            <w:shd w:val="clear" w:color="auto" w:fill="auto"/>
            <w:noWrap/>
            <w:hideMark/>
          </w:tcPr>
          <w:p w14:paraId="6768583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283</w:t>
            </w:r>
          </w:p>
        </w:tc>
        <w:tc>
          <w:tcPr>
            <w:tcW w:w="1060" w:type="dxa"/>
            <w:tcBorders>
              <w:top w:val="nil"/>
              <w:left w:val="nil"/>
              <w:bottom w:val="single" w:sz="4" w:space="0" w:color="C7CFD8"/>
              <w:right w:val="nil"/>
            </w:tcBorders>
            <w:shd w:val="clear" w:color="auto" w:fill="auto"/>
            <w:noWrap/>
            <w:hideMark/>
          </w:tcPr>
          <w:p w14:paraId="290D1F0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n/a</w:t>
            </w:r>
          </w:p>
        </w:tc>
      </w:tr>
      <w:tr w:rsidR="00D879B1" w:rsidRPr="00D879B1" w14:paraId="37B7C298"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F47FA9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576433DD"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3A267F0D"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71E4E06C"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482931B"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0526706"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4472088"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3D2D43CC"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1FB11C1C"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68901E4F"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BE7A91E"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014FDDB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200</w:t>
            </w:r>
          </w:p>
        </w:tc>
        <w:tc>
          <w:tcPr>
            <w:tcW w:w="1180" w:type="dxa"/>
            <w:tcBorders>
              <w:top w:val="nil"/>
              <w:left w:val="nil"/>
              <w:bottom w:val="nil"/>
              <w:right w:val="nil"/>
            </w:tcBorders>
            <w:shd w:val="clear" w:color="auto" w:fill="auto"/>
            <w:noWrap/>
            <w:hideMark/>
          </w:tcPr>
          <w:p w14:paraId="6FFA364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115</w:t>
            </w:r>
          </w:p>
        </w:tc>
        <w:tc>
          <w:tcPr>
            <w:tcW w:w="1180" w:type="dxa"/>
            <w:tcBorders>
              <w:top w:val="nil"/>
              <w:left w:val="nil"/>
              <w:bottom w:val="nil"/>
              <w:right w:val="nil"/>
            </w:tcBorders>
            <w:shd w:val="clear" w:color="auto" w:fill="auto"/>
            <w:noWrap/>
            <w:hideMark/>
          </w:tcPr>
          <w:p w14:paraId="6D006E5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172</w:t>
            </w:r>
          </w:p>
        </w:tc>
        <w:tc>
          <w:tcPr>
            <w:tcW w:w="1060" w:type="dxa"/>
            <w:tcBorders>
              <w:top w:val="nil"/>
              <w:left w:val="nil"/>
              <w:bottom w:val="nil"/>
              <w:right w:val="nil"/>
            </w:tcBorders>
            <w:shd w:val="clear" w:color="auto" w:fill="auto"/>
            <w:noWrap/>
            <w:hideMark/>
          </w:tcPr>
          <w:p w14:paraId="44953E3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85</w:t>
            </w:r>
          </w:p>
        </w:tc>
        <w:tc>
          <w:tcPr>
            <w:tcW w:w="1060" w:type="dxa"/>
            <w:tcBorders>
              <w:top w:val="nil"/>
              <w:left w:val="nil"/>
              <w:bottom w:val="nil"/>
              <w:right w:val="nil"/>
            </w:tcBorders>
            <w:shd w:val="clear" w:color="auto" w:fill="auto"/>
            <w:noWrap/>
            <w:hideMark/>
          </w:tcPr>
          <w:p w14:paraId="2C7FC82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74%</w:t>
            </w:r>
          </w:p>
        </w:tc>
      </w:tr>
      <w:tr w:rsidR="00D879B1" w:rsidRPr="00D879B1" w14:paraId="4DD6D1EB" w14:textId="77777777" w:rsidTr="008A121C">
        <w:trPr>
          <w:divId w:val="695733442"/>
          <w:trHeight w:hRule="exact" w:val="216"/>
          <w:jc w:val="center"/>
        </w:trPr>
        <w:tc>
          <w:tcPr>
            <w:tcW w:w="103" w:type="dxa"/>
            <w:tcBorders>
              <w:top w:val="nil"/>
              <w:left w:val="nil"/>
              <w:bottom w:val="nil"/>
              <w:right w:val="nil"/>
            </w:tcBorders>
            <w:shd w:val="clear" w:color="auto" w:fill="auto"/>
            <w:noWrap/>
            <w:hideMark/>
          </w:tcPr>
          <w:p w14:paraId="0C8ED09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5DE4DE69"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30354CC5"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07CEE74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22</w:t>
            </w:r>
          </w:p>
        </w:tc>
        <w:tc>
          <w:tcPr>
            <w:tcW w:w="1180" w:type="dxa"/>
            <w:tcBorders>
              <w:top w:val="nil"/>
              <w:left w:val="nil"/>
              <w:bottom w:val="nil"/>
              <w:right w:val="nil"/>
            </w:tcBorders>
            <w:shd w:val="clear" w:color="auto" w:fill="auto"/>
            <w:noWrap/>
            <w:hideMark/>
          </w:tcPr>
          <w:p w14:paraId="278A593E"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21</w:t>
            </w:r>
          </w:p>
        </w:tc>
        <w:tc>
          <w:tcPr>
            <w:tcW w:w="1180" w:type="dxa"/>
            <w:tcBorders>
              <w:top w:val="nil"/>
              <w:left w:val="nil"/>
              <w:bottom w:val="nil"/>
              <w:right w:val="nil"/>
            </w:tcBorders>
            <w:shd w:val="clear" w:color="auto" w:fill="auto"/>
            <w:noWrap/>
            <w:hideMark/>
          </w:tcPr>
          <w:p w14:paraId="018E74F2"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19</w:t>
            </w:r>
          </w:p>
        </w:tc>
        <w:tc>
          <w:tcPr>
            <w:tcW w:w="1060" w:type="dxa"/>
            <w:tcBorders>
              <w:top w:val="nil"/>
              <w:left w:val="nil"/>
              <w:bottom w:val="nil"/>
              <w:right w:val="nil"/>
            </w:tcBorders>
            <w:shd w:val="clear" w:color="auto" w:fill="auto"/>
            <w:noWrap/>
            <w:hideMark/>
          </w:tcPr>
          <w:p w14:paraId="51291E16"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w:t>
            </w:r>
          </w:p>
        </w:tc>
        <w:tc>
          <w:tcPr>
            <w:tcW w:w="1060" w:type="dxa"/>
            <w:tcBorders>
              <w:top w:val="nil"/>
              <w:left w:val="nil"/>
              <w:bottom w:val="nil"/>
              <w:right w:val="nil"/>
            </w:tcBorders>
            <w:shd w:val="clear" w:color="auto" w:fill="auto"/>
            <w:noWrap/>
            <w:hideMark/>
          </w:tcPr>
          <w:p w14:paraId="31741859"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5%</w:t>
            </w:r>
          </w:p>
        </w:tc>
      </w:tr>
      <w:tr w:rsidR="00D879B1" w:rsidRPr="00D879B1" w14:paraId="16CB98F7" w14:textId="77777777" w:rsidTr="008A121C">
        <w:trPr>
          <w:divId w:val="695733442"/>
          <w:trHeight w:hRule="exact" w:val="216"/>
          <w:jc w:val="center"/>
        </w:trPr>
        <w:tc>
          <w:tcPr>
            <w:tcW w:w="103" w:type="dxa"/>
            <w:tcBorders>
              <w:top w:val="nil"/>
              <w:left w:val="nil"/>
              <w:bottom w:val="single" w:sz="4" w:space="0" w:color="C7CFD8"/>
              <w:right w:val="nil"/>
            </w:tcBorders>
            <w:shd w:val="clear" w:color="auto" w:fill="auto"/>
            <w:noWrap/>
            <w:hideMark/>
          </w:tcPr>
          <w:p w14:paraId="453FF811" w14:textId="77777777" w:rsidR="00D879B1" w:rsidRPr="00D879B1" w:rsidRDefault="00D879B1" w:rsidP="00D879B1">
            <w:pPr>
              <w:spacing w:after="0" w:line="240" w:lineRule="auto"/>
              <w:rPr>
                <w:rFonts w:ascii="Arial Narrow" w:eastAsia="Times New Roman" w:hAnsi="Arial Narrow" w:cs="Times New Roman"/>
                <w:b/>
                <w:bCs/>
                <w:i/>
                <w:iCs/>
                <w:sz w:val="16"/>
                <w:szCs w:val="16"/>
                <w:lang w:val="en-US"/>
              </w:rPr>
            </w:pPr>
            <w:r w:rsidRPr="00D879B1">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421C79E5" w14:textId="77777777"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97D183D" w14:textId="77777777" w:rsidR="00D879B1" w:rsidRPr="00D879B1" w:rsidRDefault="00D879B1" w:rsidP="00D879B1">
            <w:pPr>
              <w:spacing w:after="0" w:line="240" w:lineRule="auto"/>
              <w:rPr>
                <w:rFonts w:ascii="Arial Narrow" w:eastAsia="Times New Roman" w:hAnsi="Arial Narrow" w:cs="Times New Roman"/>
                <w:i/>
                <w:iCs/>
                <w:sz w:val="16"/>
                <w:szCs w:val="16"/>
                <w:lang w:val="en-US"/>
              </w:rPr>
            </w:pPr>
            <w:r w:rsidRPr="00D879B1">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2F17B208"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222</w:t>
            </w:r>
          </w:p>
        </w:tc>
        <w:tc>
          <w:tcPr>
            <w:tcW w:w="1180" w:type="dxa"/>
            <w:tcBorders>
              <w:top w:val="nil"/>
              <w:left w:val="nil"/>
              <w:bottom w:val="single" w:sz="4" w:space="0" w:color="C7CFD8"/>
              <w:right w:val="nil"/>
            </w:tcBorders>
            <w:shd w:val="clear" w:color="auto" w:fill="auto"/>
            <w:noWrap/>
            <w:hideMark/>
          </w:tcPr>
          <w:p w14:paraId="3B15968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136</w:t>
            </w:r>
          </w:p>
        </w:tc>
        <w:tc>
          <w:tcPr>
            <w:tcW w:w="1180" w:type="dxa"/>
            <w:tcBorders>
              <w:top w:val="nil"/>
              <w:left w:val="nil"/>
              <w:bottom w:val="single" w:sz="4" w:space="0" w:color="C7CFD8"/>
              <w:right w:val="nil"/>
            </w:tcBorders>
            <w:shd w:val="clear" w:color="auto" w:fill="auto"/>
            <w:noWrap/>
            <w:hideMark/>
          </w:tcPr>
          <w:p w14:paraId="463C86A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191</w:t>
            </w:r>
          </w:p>
        </w:tc>
        <w:tc>
          <w:tcPr>
            <w:tcW w:w="1060" w:type="dxa"/>
            <w:tcBorders>
              <w:top w:val="nil"/>
              <w:left w:val="nil"/>
              <w:bottom w:val="single" w:sz="4" w:space="0" w:color="C7CFD8"/>
              <w:right w:val="nil"/>
            </w:tcBorders>
            <w:shd w:val="clear" w:color="auto" w:fill="auto"/>
            <w:noWrap/>
            <w:hideMark/>
          </w:tcPr>
          <w:p w14:paraId="1B072ED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86</w:t>
            </w:r>
          </w:p>
        </w:tc>
        <w:tc>
          <w:tcPr>
            <w:tcW w:w="1060" w:type="dxa"/>
            <w:tcBorders>
              <w:top w:val="nil"/>
              <w:left w:val="nil"/>
              <w:bottom w:val="single" w:sz="4" w:space="0" w:color="C7CFD8"/>
              <w:right w:val="nil"/>
            </w:tcBorders>
            <w:shd w:val="clear" w:color="auto" w:fill="auto"/>
            <w:noWrap/>
            <w:hideMark/>
          </w:tcPr>
          <w:p w14:paraId="7D9D4E23"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63%</w:t>
            </w:r>
          </w:p>
        </w:tc>
      </w:tr>
      <w:tr w:rsidR="00D879B1" w:rsidRPr="00D879B1" w14:paraId="0A6ADDE0" w14:textId="77777777" w:rsidTr="008A121C">
        <w:trPr>
          <w:divId w:val="695733442"/>
          <w:trHeight w:hRule="exact" w:val="216"/>
          <w:jc w:val="center"/>
        </w:trPr>
        <w:tc>
          <w:tcPr>
            <w:tcW w:w="103" w:type="dxa"/>
            <w:tcBorders>
              <w:top w:val="nil"/>
              <w:left w:val="nil"/>
              <w:bottom w:val="single" w:sz="8" w:space="0" w:color="C7CFD8"/>
              <w:right w:val="nil"/>
            </w:tcBorders>
            <w:shd w:val="clear" w:color="auto" w:fill="auto"/>
            <w:noWrap/>
            <w:hideMark/>
          </w:tcPr>
          <w:p w14:paraId="1BB80623"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7DD02E59"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Total B</w:t>
            </w:r>
          </w:p>
        </w:tc>
        <w:tc>
          <w:tcPr>
            <w:tcW w:w="103" w:type="dxa"/>
            <w:tcBorders>
              <w:top w:val="nil"/>
              <w:left w:val="nil"/>
              <w:bottom w:val="single" w:sz="8" w:space="0" w:color="C7CFD8"/>
              <w:right w:val="nil"/>
            </w:tcBorders>
            <w:shd w:val="clear" w:color="auto" w:fill="auto"/>
            <w:noWrap/>
            <w:hideMark/>
          </w:tcPr>
          <w:p w14:paraId="368F1108"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298D2DC2"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14,694</w:t>
            </w:r>
          </w:p>
        </w:tc>
        <w:tc>
          <w:tcPr>
            <w:tcW w:w="1180" w:type="dxa"/>
            <w:tcBorders>
              <w:top w:val="nil"/>
              <w:left w:val="nil"/>
              <w:bottom w:val="single" w:sz="8" w:space="0" w:color="C7CFD8"/>
              <w:right w:val="nil"/>
            </w:tcBorders>
            <w:shd w:val="clear" w:color="auto" w:fill="auto"/>
            <w:noWrap/>
            <w:vAlign w:val="center"/>
            <w:hideMark/>
          </w:tcPr>
          <w:p w14:paraId="28213AC1"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11,186</w:t>
            </w:r>
          </w:p>
        </w:tc>
        <w:tc>
          <w:tcPr>
            <w:tcW w:w="1180" w:type="dxa"/>
            <w:tcBorders>
              <w:top w:val="nil"/>
              <w:left w:val="nil"/>
              <w:bottom w:val="single" w:sz="8" w:space="0" w:color="C7CFD8"/>
              <w:right w:val="nil"/>
            </w:tcBorders>
            <w:shd w:val="clear" w:color="auto" w:fill="auto"/>
            <w:noWrap/>
            <w:vAlign w:val="center"/>
            <w:hideMark/>
          </w:tcPr>
          <w:p w14:paraId="1DD7B856"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12,687</w:t>
            </w:r>
          </w:p>
        </w:tc>
        <w:tc>
          <w:tcPr>
            <w:tcW w:w="1060" w:type="dxa"/>
            <w:tcBorders>
              <w:top w:val="nil"/>
              <w:left w:val="nil"/>
              <w:bottom w:val="single" w:sz="8" w:space="0" w:color="C7CFD8"/>
              <w:right w:val="nil"/>
            </w:tcBorders>
            <w:shd w:val="clear" w:color="auto" w:fill="auto"/>
            <w:noWrap/>
            <w:vAlign w:val="center"/>
            <w:hideMark/>
          </w:tcPr>
          <w:p w14:paraId="77C773E3"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3,507</w:t>
            </w:r>
          </w:p>
        </w:tc>
        <w:tc>
          <w:tcPr>
            <w:tcW w:w="1060" w:type="dxa"/>
            <w:tcBorders>
              <w:top w:val="nil"/>
              <w:left w:val="nil"/>
              <w:bottom w:val="single" w:sz="8" w:space="0" w:color="C7CFD8"/>
              <w:right w:val="nil"/>
            </w:tcBorders>
            <w:shd w:val="clear" w:color="auto" w:fill="auto"/>
            <w:noWrap/>
            <w:vAlign w:val="center"/>
            <w:hideMark/>
          </w:tcPr>
          <w:p w14:paraId="39B5B198"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31%</w:t>
            </w:r>
          </w:p>
        </w:tc>
      </w:tr>
      <w:tr w:rsidR="00D879B1" w:rsidRPr="00D879B1" w14:paraId="1D1DF350" w14:textId="77777777" w:rsidTr="008A121C">
        <w:trPr>
          <w:divId w:val="695733442"/>
          <w:trHeight w:hRule="exact" w:val="216"/>
          <w:jc w:val="center"/>
        </w:trPr>
        <w:tc>
          <w:tcPr>
            <w:tcW w:w="103" w:type="dxa"/>
            <w:tcBorders>
              <w:top w:val="nil"/>
              <w:left w:val="nil"/>
              <w:bottom w:val="single" w:sz="8" w:space="0" w:color="C7CFD8"/>
              <w:right w:val="nil"/>
            </w:tcBorders>
            <w:shd w:val="clear" w:color="auto" w:fill="auto"/>
            <w:noWrap/>
            <w:hideMark/>
          </w:tcPr>
          <w:p w14:paraId="40CEA30E"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2994" w:type="dxa"/>
            <w:gridSpan w:val="2"/>
            <w:tcBorders>
              <w:top w:val="nil"/>
              <w:left w:val="nil"/>
              <w:bottom w:val="single" w:sz="8" w:space="0" w:color="C7CFD8"/>
              <w:right w:val="nil"/>
            </w:tcBorders>
            <w:shd w:val="clear" w:color="auto" w:fill="auto"/>
            <w:noWrap/>
            <w:vAlign w:val="center"/>
            <w:hideMark/>
          </w:tcPr>
          <w:p w14:paraId="52523144" w14:textId="77777777" w:rsidR="00D879B1" w:rsidRPr="00D879B1" w:rsidRDefault="00D879B1" w:rsidP="00D879B1">
            <w:pPr>
              <w:spacing w:after="0" w:line="240" w:lineRule="auto"/>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TOTAL</w:t>
            </w:r>
          </w:p>
        </w:tc>
        <w:tc>
          <w:tcPr>
            <w:tcW w:w="103" w:type="dxa"/>
            <w:tcBorders>
              <w:top w:val="nil"/>
              <w:left w:val="nil"/>
              <w:bottom w:val="single" w:sz="8" w:space="0" w:color="C7CFD8"/>
              <w:right w:val="nil"/>
            </w:tcBorders>
            <w:shd w:val="clear" w:color="auto" w:fill="auto"/>
            <w:noWrap/>
            <w:hideMark/>
          </w:tcPr>
          <w:p w14:paraId="3638EE19" w14:textId="77777777" w:rsidR="00D879B1" w:rsidRPr="00D879B1" w:rsidRDefault="00D879B1" w:rsidP="00D879B1">
            <w:pPr>
              <w:spacing w:after="0" w:line="240" w:lineRule="auto"/>
              <w:jc w:val="center"/>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4112FA3E"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41,810</w:t>
            </w:r>
          </w:p>
        </w:tc>
        <w:tc>
          <w:tcPr>
            <w:tcW w:w="1180" w:type="dxa"/>
            <w:tcBorders>
              <w:top w:val="nil"/>
              <w:left w:val="nil"/>
              <w:bottom w:val="single" w:sz="8" w:space="0" w:color="C7CFD8"/>
              <w:right w:val="nil"/>
            </w:tcBorders>
            <w:shd w:val="clear" w:color="auto" w:fill="auto"/>
            <w:noWrap/>
            <w:vAlign w:val="center"/>
            <w:hideMark/>
          </w:tcPr>
          <w:p w14:paraId="1016E91A"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37,682</w:t>
            </w:r>
          </w:p>
        </w:tc>
        <w:tc>
          <w:tcPr>
            <w:tcW w:w="1180" w:type="dxa"/>
            <w:tcBorders>
              <w:top w:val="nil"/>
              <w:left w:val="nil"/>
              <w:bottom w:val="single" w:sz="8" w:space="0" w:color="C7CFD8"/>
              <w:right w:val="nil"/>
            </w:tcBorders>
            <w:shd w:val="clear" w:color="auto" w:fill="auto"/>
            <w:noWrap/>
            <w:vAlign w:val="center"/>
            <w:hideMark/>
          </w:tcPr>
          <w:p w14:paraId="59F95659"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37,758</w:t>
            </w:r>
          </w:p>
        </w:tc>
        <w:tc>
          <w:tcPr>
            <w:tcW w:w="1060" w:type="dxa"/>
            <w:tcBorders>
              <w:top w:val="nil"/>
              <w:left w:val="nil"/>
              <w:bottom w:val="single" w:sz="8" w:space="0" w:color="C7CFD8"/>
              <w:right w:val="nil"/>
            </w:tcBorders>
            <w:shd w:val="clear" w:color="auto" w:fill="auto"/>
            <w:noWrap/>
            <w:vAlign w:val="center"/>
            <w:hideMark/>
          </w:tcPr>
          <w:p w14:paraId="4D726E3F"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4,128</w:t>
            </w:r>
          </w:p>
        </w:tc>
        <w:tc>
          <w:tcPr>
            <w:tcW w:w="1060" w:type="dxa"/>
            <w:tcBorders>
              <w:top w:val="nil"/>
              <w:left w:val="nil"/>
              <w:bottom w:val="single" w:sz="8" w:space="0" w:color="C7CFD8"/>
              <w:right w:val="nil"/>
            </w:tcBorders>
            <w:shd w:val="clear" w:color="auto" w:fill="auto"/>
            <w:noWrap/>
            <w:vAlign w:val="center"/>
            <w:hideMark/>
          </w:tcPr>
          <w:p w14:paraId="39FC3F87"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11%</w:t>
            </w:r>
          </w:p>
        </w:tc>
      </w:tr>
    </w:tbl>
    <w:p w14:paraId="24AB6039" w14:textId="40CE9C93" w:rsidR="00D879B1" w:rsidRDefault="00D879B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D879B1" w:rsidRPr="00034525" w14:paraId="3EDDFF6A" w14:textId="77777777" w:rsidTr="006B4D1A">
        <w:trPr>
          <w:trHeight w:val="72"/>
        </w:trPr>
        <w:tc>
          <w:tcPr>
            <w:tcW w:w="9630" w:type="dxa"/>
          </w:tcPr>
          <w:p w14:paraId="4A1FBE8D" w14:textId="637FB1B8" w:rsidR="00D879B1" w:rsidRPr="00034525" w:rsidRDefault="00D879B1" w:rsidP="001A3F3C">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r w:rsidR="00FC621E" w:rsidRPr="00FC621E">
              <w:rPr>
                <w:rFonts w:cs="Arial"/>
                <w:b/>
                <w:bCs/>
                <w:color w:val="005172"/>
                <w:szCs w:val="16"/>
                <w:vertAlign w:val="superscript"/>
              </w:rPr>
              <w:t>1</w:t>
            </w:r>
          </w:p>
        </w:tc>
      </w:tr>
      <w:tr w:rsidR="00D879B1" w:rsidRPr="00034525" w14:paraId="58F8DC73" w14:textId="77777777" w:rsidTr="006B4D1A">
        <w:trPr>
          <w:trHeight w:val="80"/>
        </w:trPr>
        <w:tc>
          <w:tcPr>
            <w:tcW w:w="9630" w:type="dxa"/>
          </w:tcPr>
          <w:p w14:paraId="39CF18D8" w14:textId="5841D87C" w:rsidR="00D879B1" w:rsidRPr="00034525" w:rsidRDefault="00D879B1" w:rsidP="0096174B">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8A408BB" w14:textId="4636D678" w:rsidR="00D879B1" w:rsidRDefault="00D879B1" w:rsidP="00792A58">
      <w:pPr>
        <w:spacing w:after="0"/>
        <w:rPr>
          <w:rFonts w:asciiTheme="minorHAnsi" w:hAnsiTheme="minorHAnsi"/>
          <w:sz w:val="22"/>
        </w:rPr>
      </w:pPr>
    </w:p>
    <w:tbl>
      <w:tblPr>
        <w:tblW w:w="9280" w:type="dxa"/>
        <w:jc w:val="center"/>
        <w:tblLook w:val="04A0" w:firstRow="1" w:lastRow="0" w:firstColumn="1" w:lastColumn="0" w:noHBand="0" w:noVBand="1"/>
      </w:tblPr>
      <w:tblGrid>
        <w:gridCol w:w="2320"/>
        <w:gridCol w:w="1120"/>
        <w:gridCol w:w="1120"/>
        <w:gridCol w:w="1120"/>
        <w:gridCol w:w="1120"/>
        <w:gridCol w:w="1120"/>
        <w:gridCol w:w="1360"/>
      </w:tblGrid>
      <w:tr w:rsidR="00D879B1" w:rsidRPr="00D879B1" w14:paraId="737C6CE1" w14:textId="77777777" w:rsidTr="001A3F3C">
        <w:trPr>
          <w:divId w:val="1473212538"/>
          <w:trHeight w:val="855"/>
          <w:jc w:val="center"/>
        </w:trPr>
        <w:tc>
          <w:tcPr>
            <w:tcW w:w="2320" w:type="dxa"/>
            <w:tcBorders>
              <w:top w:val="nil"/>
              <w:left w:val="nil"/>
              <w:bottom w:val="nil"/>
              <w:right w:val="nil"/>
            </w:tcBorders>
            <w:shd w:val="clear" w:color="000000" w:fill="C7CFD8"/>
            <w:vAlign w:val="center"/>
            <w:hideMark/>
          </w:tcPr>
          <w:p w14:paraId="122C6130" w14:textId="7BE4191B" w:rsidR="00D879B1" w:rsidRPr="00D879B1" w:rsidRDefault="00D879B1" w:rsidP="00D879B1">
            <w:pPr>
              <w:spacing w:after="0" w:line="240" w:lineRule="auto"/>
              <w:jc w:val="center"/>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Fund-in-Trust (FIT)</w:t>
            </w:r>
          </w:p>
        </w:tc>
        <w:tc>
          <w:tcPr>
            <w:tcW w:w="1120" w:type="dxa"/>
            <w:tcBorders>
              <w:top w:val="nil"/>
              <w:left w:val="nil"/>
              <w:bottom w:val="nil"/>
              <w:right w:val="nil"/>
            </w:tcBorders>
            <w:shd w:val="clear" w:color="000000" w:fill="C7CFD8"/>
            <w:vAlign w:val="center"/>
            <w:hideMark/>
          </w:tcPr>
          <w:p w14:paraId="4B9916AC"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Balance as of December 31, 2022</w:t>
            </w:r>
          </w:p>
        </w:tc>
        <w:tc>
          <w:tcPr>
            <w:tcW w:w="1120" w:type="dxa"/>
            <w:tcBorders>
              <w:top w:val="nil"/>
              <w:left w:val="nil"/>
              <w:bottom w:val="nil"/>
              <w:right w:val="nil"/>
            </w:tcBorders>
            <w:shd w:val="clear" w:color="000000" w:fill="C7CFD8"/>
            <w:vAlign w:val="center"/>
            <w:hideMark/>
          </w:tcPr>
          <w:p w14:paraId="4B07B314" w14:textId="36127C6A" w:rsidR="00D879B1" w:rsidRPr="00D879B1" w:rsidRDefault="00D879B1" w:rsidP="00FC621E">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Estimated contributions </w:t>
            </w:r>
            <w:r w:rsidRPr="00D879B1">
              <w:rPr>
                <w:rFonts w:ascii="Arial Narrow" w:eastAsia="Times New Roman" w:hAnsi="Arial Narrow" w:cs="Times New Roman"/>
                <w:b/>
                <w:bCs/>
                <w:sz w:val="16"/>
                <w:szCs w:val="16"/>
                <w:lang w:val="en-US"/>
              </w:rPr>
              <w:br/>
              <w:t xml:space="preserve">2023 </w:t>
            </w:r>
          </w:p>
        </w:tc>
        <w:tc>
          <w:tcPr>
            <w:tcW w:w="1120" w:type="dxa"/>
            <w:tcBorders>
              <w:top w:val="nil"/>
              <w:left w:val="nil"/>
              <w:bottom w:val="nil"/>
              <w:right w:val="nil"/>
            </w:tcBorders>
            <w:shd w:val="clear" w:color="000000" w:fill="C7CFD8"/>
            <w:vAlign w:val="center"/>
            <w:hideMark/>
          </w:tcPr>
          <w:p w14:paraId="016DE401" w14:textId="5C93CA8E" w:rsidR="00D879B1" w:rsidRPr="00D879B1" w:rsidRDefault="00D879B1" w:rsidP="00FC621E">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Estimated expenditure end 2023 </w:t>
            </w:r>
          </w:p>
        </w:tc>
        <w:tc>
          <w:tcPr>
            <w:tcW w:w="1120" w:type="dxa"/>
            <w:tcBorders>
              <w:top w:val="nil"/>
              <w:left w:val="nil"/>
              <w:bottom w:val="nil"/>
              <w:right w:val="nil"/>
            </w:tcBorders>
            <w:shd w:val="clear" w:color="000000" w:fill="C7CFD8"/>
            <w:vAlign w:val="center"/>
            <w:hideMark/>
          </w:tcPr>
          <w:p w14:paraId="6FD0B6C1"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Expected balance end 2023 </w:t>
            </w:r>
          </w:p>
        </w:tc>
        <w:tc>
          <w:tcPr>
            <w:tcW w:w="1120" w:type="dxa"/>
            <w:tcBorders>
              <w:top w:val="nil"/>
              <w:left w:val="nil"/>
              <w:bottom w:val="nil"/>
              <w:right w:val="nil"/>
            </w:tcBorders>
            <w:shd w:val="clear" w:color="000000" w:fill="C7CFD8"/>
            <w:vAlign w:val="center"/>
            <w:hideMark/>
          </w:tcPr>
          <w:p w14:paraId="34FFF364" w14:textId="787DBFFF" w:rsidR="00D879B1" w:rsidRPr="00D879B1" w:rsidRDefault="00D879B1" w:rsidP="00FC621E">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Estimated contributions 2024/25 </w:t>
            </w:r>
          </w:p>
        </w:tc>
        <w:tc>
          <w:tcPr>
            <w:tcW w:w="1360" w:type="dxa"/>
            <w:tcBorders>
              <w:top w:val="nil"/>
              <w:left w:val="nil"/>
              <w:bottom w:val="nil"/>
              <w:right w:val="nil"/>
            </w:tcBorders>
            <w:shd w:val="clear" w:color="000000" w:fill="C7CFD8"/>
            <w:vAlign w:val="center"/>
            <w:hideMark/>
          </w:tcPr>
          <w:p w14:paraId="5A290A49"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 xml:space="preserve"> Estimated amount available for programming in 2024/25 </w:t>
            </w:r>
          </w:p>
        </w:tc>
      </w:tr>
      <w:tr w:rsidR="00D879B1" w:rsidRPr="00D879B1" w14:paraId="2D0AF959" w14:textId="77777777" w:rsidTr="001A3F3C">
        <w:trPr>
          <w:divId w:val="1473212538"/>
          <w:trHeight w:val="60"/>
          <w:jc w:val="center"/>
        </w:trPr>
        <w:tc>
          <w:tcPr>
            <w:tcW w:w="2320" w:type="dxa"/>
            <w:tcBorders>
              <w:top w:val="nil"/>
              <w:left w:val="nil"/>
              <w:bottom w:val="nil"/>
              <w:right w:val="nil"/>
            </w:tcBorders>
            <w:shd w:val="clear" w:color="auto" w:fill="auto"/>
            <w:vAlign w:val="center"/>
            <w:hideMark/>
          </w:tcPr>
          <w:p w14:paraId="0769F631"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vAlign w:val="center"/>
            <w:hideMark/>
          </w:tcPr>
          <w:p w14:paraId="0716726C" w14:textId="77777777" w:rsidR="00D879B1" w:rsidRPr="00D879B1" w:rsidRDefault="00D879B1" w:rsidP="00D879B1">
            <w:pPr>
              <w:spacing w:after="0" w:line="240" w:lineRule="auto"/>
              <w:jc w:val="center"/>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03304AB1"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EAE1747"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27BFFABB"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0B028CC3"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vAlign w:val="center"/>
            <w:hideMark/>
          </w:tcPr>
          <w:p w14:paraId="7BDECA7C" w14:textId="77777777" w:rsidR="00D879B1" w:rsidRPr="00D879B1" w:rsidRDefault="00D879B1" w:rsidP="00D879B1">
            <w:pPr>
              <w:spacing w:after="0" w:line="240" w:lineRule="auto"/>
              <w:jc w:val="right"/>
              <w:rPr>
                <w:rFonts w:ascii="Times New Roman" w:eastAsia="Times New Roman" w:hAnsi="Times New Roman" w:cs="Times New Roman"/>
                <w:sz w:val="20"/>
                <w:szCs w:val="20"/>
                <w:lang w:val="en-US"/>
              </w:rPr>
            </w:pPr>
          </w:p>
        </w:tc>
      </w:tr>
      <w:tr w:rsidR="00D879B1" w:rsidRPr="00D879B1" w14:paraId="2D0712F0" w14:textId="77777777" w:rsidTr="001A3F3C">
        <w:trPr>
          <w:divId w:val="1473212538"/>
          <w:trHeight w:val="315"/>
          <w:jc w:val="center"/>
        </w:trPr>
        <w:tc>
          <w:tcPr>
            <w:tcW w:w="2320" w:type="dxa"/>
            <w:tcBorders>
              <w:top w:val="nil"/>
              <w:left w:val="nil"/>
              <w:bottom w:val="nil"/>
              <w:right w:val="nil"/>
            </w:tcBorders>
            <w:shd w:val="clear" w:color="000000" w:fill="FFFFFF"/>
            <w:hideMark/>
          </w:tcPr>
          <w:p w14:paraId="190CA061" w14:textId="7A48E1B2" w:rsidR="00D879B1" w:rsidRPr="00D879B1" w:rsidRDefault="00D879B1" w:rsidP="00D879B1">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Jap</w:t>
            </w:r>
            <w:r w:rsidR="00F90296">
              <w:rPr>
                <w:rFonts w:ascii="Arial Narrow" w:eastAsia="Times New Roman" w:hAnsi="Arial Narrow" w:cs="Times New Roman"/>
                <w:sz w:val="16"/>
                <w:szCs w:val="16"/>
                <w:lang w:val="en-US"/>
              </w:rPr>
              <w:t>an (Industrial Property) Global</w:t>
            </w:r>
          </w:p>
        </w:tc>
        <w:tc>
          <w:tcPr>
            <w:tcW w:w="1120" w:type="dxa"/>
            <w:tcBorders>
              <w:top w:val="nil"/>
              <w:left w:val="nil"/>
              <w:bottom w:val="nil"/>
              <w:right w:val="nil"/>
            </w:tcBorders>
            <w:shd w:val="clear" w:color="000000" w:fill="FFFFFF"/>
            <w:noWrap/>
            <w:hideMark/>
          </w:tcPr>
          <w:p w14:paraId="147162F0"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8,806</w:t>
            </w:r>
          </w:p>
        </w:tc>
        <w:tc>
          <w:tcPr>
            <w:tcW w:w="1120" w:type="dxa"/>
            <w:tcBorders>
              <w:top w:val="nil"/>
              <w:left w:val="nil"/>
              <w:bottom w:val="nil"/>
              <w:right w:val="nil"/>
            </w:tcBorders>
            <w:shd w:val="clear" w:color="000000" w:fill="FFFFFF"/>
            <w:noWrap/>
            <w:hideMark/>
          </w:tcPr>
          <w:p w14:paraId="5CED3F6B"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4,820</w:t>
            </w:r>
          </w:p>
        </w:tc>
        <w:tc>
          <w:tcPr>
            <w:tcW w:w="1120" w:type="dxa"/>
            <w:tcBorders>
              <w:top w:val="nil"/>
              <w:left w:val="nil"/>
              <w:bottom w:val="nil"/>
              <w:right w:val="nil"/>
            </w:tcBorders>
            <w:shd w:val="clear" w:color="000000" w:fill="FFFFFF"/>
            <w:noWrap/>
            <w:hideMark/>
          </w:tcPr>
          <w:p w14:paraId="14A6C87C"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3,689</w:t>
            </w:r>
          </w:p>
        </w:tc>
        <w:tc>
          <w:tcPr>
            <w:tcW w:w="1120" w:type="dxa"/>
            <w:tcBorders>
              <w:top w:val="nil"/>
              <w:left w:val="nil"/>
              <w:bottom w:val="nil"/>
              <w:right w:val="nil"/>
            </w:tcBorders>
            <w:shd w:val="clear" w:color="000000" w:fill="FFFFFF"/>
            <w:noWrap/>
            <w:hideMark/>
          </w:tcPr>
          <w:p w14:paraId="5D660401"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9,937</w:t>
            </w:r>
          </w:p>
        </w:tc>
        <w:tc>
          <w:tcPr>
            <w:tcW w:w="1120" w:type="dxa"/>
            <w:tcBorders>
              <w:top w:val="nil"/>
              <w:left w:val="nil"/>
              <w:bottom w:val="nil"/>
              <w:right w:val="nil"/>
            </w:tcBorders>
            <w:shd w:val="clear" w:color="000000" w:fill="FFFFFF"/>
            <w:noWrap/>
            <w:hideMark/>
          </w:tcPr>
          <w:p w14:paraId="2DB474BA"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9,640</w:t>
            </w:r>
          </w:p>
        </w:tc>
        <w:tc>
          <w:tcPr>
            <w:tcW w:w="1360" w:type="dxa"/>
            <w:tcBorders>
              <w:top w:val="nil"/>
              <w:left w:val="nil"/>
              <w:bottom w:val="nil"/>
              <w:right w:val="nil"/>
            </w:tcBorders>
            <w:shd w:val="clear" w:color="000000" w:fill="FFFFFF"/>
            <w:noWrap/>
            <w:hideMark/>
          </w:tcPr>
          <w:p w14:paraId="7EEEDFA7" w14:textId="77777777" w:rsidR="00D879B1" w:rsidRPr="00D879B1" w:rsidRDefault="00D879B1" w:rsidP="00D879B1">
            <w:pPr>
              <w:spacing w:after="0" w:line="240" w:lineRule="auto"/>
              <w:jc w:val="right"/>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lang w:val="en-US"/>
              </w:rPr>
              <w:t>19,577</w:t>
            </w:r>
          </w:p>
        </w:tc>
      </w:tr>
      <w:tr w:rsidR="00D879B1" w:rsidRPr="00D879B1" w14:paraId="1182291A" w14:textId="77777777" w:rsidTr="001A3F3C">
        <w:trPr>
          <w:divId w:val="1473212538"/>
          <w:trHeight w:val="285"/>
          <w:jc w:val="center"/>
        </w:trPr>
        <w:tc>
          <w:tcPr>
            <w:tcW w:w="2320" w:type="dxa"/>
            <w:tcBorders>
              <w:top w:val="single" w:sz="4" w:space="0" w:color="BFBFBF"/>
              <w:left w:val="nil"/>
              <w:bottom w:val="single" w:sz="4" w:space="0" w:color="BFBFBF"/>
              <w:right w:val="nil"/>
            </w:tcBorders>
            <w:shd w:val="clear" w:color="000000" w:fill="FFFFFF"/>
            <w:vAlign w:val="center"/>
            <w:hideMark/>
          </w:tcPr>
          <w:p w14:paraId="036E520A" w14:textId="77777777" w:rsidR="00D879B1" w:rsidRPr="00D879B1" w:rsidRDefault="00D879B1" w:rsidP="00D879B1">
            <w:pPr>
              <w:spacing w:after="0" w:line="240" w:lineRule="auto"/>
              <w:ind w:firstLineChars="200" w:firstLine="320"/>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Total</w:t>
            </w:r>
          </w:p>
        </w:tc>
        <w:tc>
          <w:tcPr>
            <w:tcW w:w="1120" w:type="dxa"/>
            <w:tcBorders>
              <w:top w:val="single" w:sz="4" w:space="0" w:color="BFBFBF"/>
              <w:left w:val="nil"/>
              <w:bottom w:val="single" w:sz="4" w:space="0" w:color="BFBFBF"/>
              <w:right w:val="nil"/>
            </w:tcBorders>
            <w:shd w:val="clear" w:color="000000" w:fill="FFFFFF"/>
            <w:vAlign w:val="center"/>
            <w:hideMark/>
          </w:tcPr>
          <w:p w14:paraId="3A4DFCBC"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8,806</w:t>
            </w:r>
          </w:p>
        </w:tc>
        <w:tc>
          <w:tcPr>
            <w:tcW w:w="1120" w:type="dxa"/>
            <w:tcBorders>
              <w:top w:val="single" w:sz="4" w:space="0" w:color="BFBFBF"/>
              <w:left w:val="nil"/>
              <w:bottom w:val="single" w:sz="4" w:space="0" w:color="BFBFBF"/>
              <w:right w:val="nil"/>
            </w:tcBorders>
            <w:shd w:val="clear" w:color="000000" w:fill="FFFFFF"/>
            <w:vAlign w:val="center"/>
            <w:hideMark/>
          </w:tcPr>
          <w:p w14:paraId="5CE58D7D"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4,820</w:t>
            </w:r>
          </w:p>
        </w:tc>
        <w:tc>
          <w:tcPr>
            <w:tcW w:w="1120" w:type="dxa"/>
            <w:tcBorders>
              <w:top w:val="single" w:sz="4" w:space="0" w:color="BFBFBF"/>
              <w:left w:val="nil"/>
              <w:bottom w:val="single" w:sz="4" w:space="0" w:color="BFBFBF"/>
              <w:right w:val="nil"/>
            </w:tcBorders>
            <w:shd w:val="clear" w:color="000000" w:fill="FFFFFF"/>
            <w:vAlign w:val="center"/>
            <w:hideMark/>
          </w:tcPr>
          <w:p w14:paraId="6D71E267"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3,689</w:t>
            </w:r>
          </w:p>
        </w:tc>
        <w:tc>
          <w:tcPr>
            <w:tcW w:w="1120" w:type="dxa"/>
            <w:tcBorders>
              <w:top w:val="single" w:sz="4" w:space="0" w:color="BFBFBF"/>
              <w:left w:val="nil"/>
              <w:bottom w:val="single" w:sz="4" w:space="0" w:color="BFBFBF"/>
              <w:right w:val="nil"/>
            </w:tcBorders>
            <w:shd w:val="clear" w:color="000000" w:fill="FFFFFF"/>
            <w:vAlign w:val="center"/>
            <w:hideMark/>
          </w:tcPr>
          <w:p w14:paraId="45077C22"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9,937</w:t>
            </w:r>
          </w:p>
        </w:tc>
        <w:tc>
          <w:tcPr>
            <w:tcW w:w="1120" w:type="dxa"/>
            <w:tcBorders>
              <w:top w:val="single" w:sz="4" w:space="0" w:color="BFBFBF"/>
              <w:left w:val="nil"/>
              <w:bottom w:val="single" w:sz="4" w:space="0" w:color="BFBFBF"/>
              <w:right w:val="nil"/>
            </w:tcBorders>
            <w:shd w:val="clear" w:color="000000" w:fill="FFFFFF"/>
            <w:vAlign w:val="center"/>
            <w:hideMark/>
          </w:tcPr>
          <w:p w14:paraId="4B3201C9"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9,640</w:t>
            </w:r>
          </w:p>
        </w:tc>
        <w:tc>
          <w:tcPr>
            <w:tcW w:w="1360" w:type="dxa"/>
            <w:tcBorders>
              <w:top w:val="single" w:sz="4" w:space="0" w:color="BFBFBF"/>
              <w:left w:val="nil"/>
              <w:bottom w:val="single" w:sz="4" w:space="0" w:color="BFBFBF"/>
              <w:right w:val="nil"/>
            </w:tcBorders>
            <w:shd w:val="clear" w:color="000000" w:fill="FFFFFF"/>
            <w:vAlign w:val="center"/>
            <w:hideMark/>
          </w:tcPr>
          <w:p w14:paraId="587B6944"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r w:rsidRPr="00D879B1">
              <w:rPr>
                <w:rFonts w:ascii="Arial Narrow" w:eastAsia="Times New Roman" w:hAnsi="Arial Narrow" w:cs="Times New Roman"/>
                <w:b/>
                <w:bCs/>
                <w:sz w:val="16"/>
                <w:szCs w:val="16"/>
                <w:lang w:val="en-US"/>
              </w:rPr>
              <w:t>19,577</w:t>
            </w:r>
          </w:p>
        </w:tc>
      </w:tr>
      <w:tr w:rsidR="00D879B1" w:rsidRPr="00D879B1" w14:paraId="7972106E" w14:textId="77777777" w:rsidTr="001A3F3C">
        <w:trPr>
          <w:divId w:val="1473212538"/>
          <w:trHeight w:val="75"/>
          <w:jc w:val="center"/>
        </w:trPr>
        <w:tc>
          <w:tcPr>
            <w:tcW w:w="2320" w:type="dxa"/>
            <w:tcBorders>
              <w:top w:val="nil"/>
              <w:left w:val="nil"/>
              <w:bottom w:val="nil"/>
              <w:right w:val="nil"/>
            </w:tcBorders>
            <w:shd w:val="clear" w:color="auto" w:fill="auto"/>
            <w:noWrap/>
            <w:vAlign w:val="bottom"/>
            <w:hideMark/>
          </w:tcPr>
          <w:p w14:paraId="496F844A" w14:textId="77777777" w:rsidR="00D879B1" w:rsidRPr="00D879B1" w:rsidRDefault="00D879B1" w:rsidP="00D879B1">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noWrap/>
            <w:vAlign w:val="bottom"/>
            <w:hideMark/>
          </w:tcPr>
          <w:p w14:paraId="5632ED6A"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7ACACFE0"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5195B272"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76EB92CE"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466BEF68"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35CC4B50" w14:textId="77777777" w:rsidR="00D879B1" w:rsidRPr="00D879B1" w:rsidRDefault="00D879B1" w:rsidP="00D879B1">
            <w:pPr>
              <w:spacing w:after="0" w:line="240" w:lineRule="auto"/>
              <w:rPr>
                <w:rFonts w:ascii="Times New Roman" w:eastAsia="Times New Roman" w:hAnsi="Times New Roman" w:cs="Times New Roman"/>
                <w:sz w:val="20"/>
                <w:szCs w:val="20"/>
                <w:lang w:val="en-US"/>
              </w:rPr>
            </w:pPr>
          </w:p>
        </w:tc>
      </w:tr>
      <w:tr w:rsidR="00D879B1" w:rsidRPr="00D879B1" w14:paraId="52D8184D" w14:textId="77777777" w:rsidTr="001A3F3C">
        <w:trPr>
          <w:divId w:val="1473212538"/>
          <w:trHeight w:val="300"/>
          <w:jc w:val="center"/>
        </w:trPr>
        <w:tc>
          <w:tcPr>
            <w:tcW w:w="9280" w:type="dxa"/>
            <w:gridSpan w:val="7"/>
            <w:tcBorders>
              <w:top w:val="nil"/>
              <w:left w:val="nil"/>
              <w:bottom w:val="nil"/>
              <w:right w:val="nil"/>
            </w:tcBorders>
            <w:shd w:val="clear" w:color="auto" w:fill="auto"/>
            <w:hideMark/>
          </w:tcPr>
          <w:p w14:paraId="27ED3A08" w14:textId="0819B5A7" w:rsidR="00D879B1" w:rsidRPr="00D879B1" w:rsidRDefault="00D879B1" w:rsidP="00FC621E">
            <w:pPr>
              <w:spacing w:after="0" w:line="240" w:lineRule="auto"/>
              <w:rPr>
                <w:rFonts w:ascii="Arial Narrow" w:eastAsia="Times New Roman" w:hAnsi="Arial Narrow" w:cs="Times New Roman"/>
                <w:sz w:val="16"/>
                <w:szCs w:val="16"/>
                <w:lang w:val="en-US"/>
              </w:rPr>
            </w:pPr>
            <w:r w:rsidRPr="00D879B1">
              <w:rPr>
                <w:rFonts w:ascii="Arial Narrow" w:eastAsia="Times New Roman" w:hAnsi="Arial Narrow" w:cs="Times New Roman"/>
                <w:sz w:val="16"/>
                <w:szCs w:val="16"/>
                <w:vertAlign w:val="superscript"/>
                <w:lang w:val="en-US"/>
              </w:rPr>
              <w:t>1</w:t>
            </w:r>
            <w:r w:rsidRPr="00D879B1">
              <w:rPr>
                <w:rFonts w:ascii="Arial Narrow" w:eastAsia="Times New Roman" w:hAnsi="Arial Narrow" w:cs="Times New Roman"/>
                <w:sz w:val="16"/>
                <w:szCs w:val="16"/>
                <w:lang w:val="en-US"/>
              </w:rPr>
              <w:t xml:space="preserve"> </w:t>
            </w:r>
            <w:r w:rsidR="00FC621E">
              <w:rPr>
                <w:rFonts w:ascii="Arial Narrow" w:eastAsia="Times New Roman" w:hAnsi="Arial Narrow" w:cs="Times New Roman"/>
                <w:sz w:val="16"/>
                <w:szCs w:val="16"/>
                <w:lang w:val="en-US"/>
              </w:rPr>
              <w:t xml:space="preserve">This FIT includes activities carried out under several other areas. </w:t>
            </w:r>
          </w:p>
        </w:tc>
      </w:tr>
    </w:tbl>
    <w:p w14:paraId="269F3CDA" w14:textId="059F2ABA" w:rsidR="00D879B1" w:rsidRDefault="00D879B1"/>
    <w:p w14:paraId="3158F687" w14:textId="77777777" w:rsidR="00D879B1" w:rsidRDefault="00D879B1"/>
    <w:p w14:paraId="093A3D3B" w14:textId="1192371C" w:rsidR="0036583B" w:rsidRDefault="0036583B">
      <w:r>
        <w:br w:type="page"/>
      </w:r>
    </w:p>
    <w:p w14:paraId="74C934FA" w14:textId="0C7A503B" w:rsidR="001232B3" w:rsidRPr="00D350B5" w:rsidRDefault="00972877" w:rsidP="005320C7">
      <w:pPr>
        <w:pStyle w:val="SectorTitle"/>
      </w:pPr>
      <w:bookmarkStart w:id="28" w:name="_Toc131175988"/>
      <w:r w:rsidRPr="00972877">
        <w:t>Glo</w:t>
      </w:r>
      <w:r w:rsidR="001949B7">
        <w:t>bal Challenges and Partnerships</w:t>
      </w:r>
      <w:bookmarkEnd w:id="28"/>
    </w:p>
    <w:p w14:paraId="728E06DF" w14:textId="6CFE3DB4" w:rsidR="001E33DC" w:rsidRPr="00D350B5" w:rsidRDefault="005F2812" w:rsidP="001232B3">
      <w:pPr>
        <w:tabs>
          <w:tab w:val="left" w:pos="2700"/>
        </w:tabs>
        <w:rPr>
          <w:lang w:val="en-US"/>
        </w:rPr>
      </w:pPr>
      <w:r>
        <w:rPr>
          <w:noProof/>
          <w:lang w:val="en-US"/>
        </w:rPr>
        <w:drawing>
          <wp:inline distT="0" distB="0" distL="0" distR="0" wp14:anchorId="70920DE9" wp14:editId="734559CF">
            <wp:extent cx="2554296" cy="731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54296" cy="731520"/>
                    </a:xfrm>
                    <a:prstGeom prst="rect">
                      <a:avLst/>
                    </a:prstGeom>
                    <a:noFill/>
                  </pic:spPr>
                </pic:pic>
              </a:graphicData>
            </a:graphic>
          </wp:inline>
        </w:drawing>
      </w:r>
    </w:p>
    <w:p w14:paraId="4EBFE158" w14:textId="77777777" w:rsidR="00CC7388" w:rsidRPr="004472DE" w:rsidRDefault="00CC7388" w:rsidP="00CC7388">
      <w:pPr>
        <w:pStyle w:val="Heading1NoNumb"/>
        <w:rPr>
          <w:lang w:val="en-US"/>
        </w:rPr>
      </w:pPr>
      <w:r w:rsidRPr="00D350B5">
        <w:rPr>
          <w:lang w:val="en-US"/>
        </w:rPr>
        <w:t>Implementation Strategies</w:t>
      </w:r>
      <w:r>
        <w:rPr>
          <w:rFonts w:eastAsia="SimHei" w:cs="Arial"/>
          <w:szCs w:val="20"/>
          <w:lang w:val="en-US" w:eastAsia="zh-CN"/>
        </w:rPr>
        <w:t xml:space="preserve"> </w:t>
      </w:r>
    </w:p>
    <w:p w14:paraId="3234CB88" w14:textId="77777777" w:rsidR="00CC7388" w:rsidRDefault="00CC7388" w:rsidP="00CC7388">
      <w:pPr>
        <w:rPr>
          <w:lang w:val="en-US"/>
        </w:rPr>
      </w:pPr>
      <w:r>
        <w:rPr>
          <w:noProof/>
          <w:lang w:val="en-US"/>
        </w:rPr>
        <w:drawing>
          <wp:anchor distT="0" distB="0" distL="114300" distR="114300" simplePos="0" relativeHeight="251825664" behindDoc="0" locked="0" layoutInCell="1" allowOverlap="1" wp14:anchorId="6F4FBD59" wp14:editId="611FE742">
            <wp:simplePos x="0" y="0"/>
            <wp:positionH relativeFrom="margin">
              <wp:align>right</wp:align>
            </wp:positionH>
            <wp:positionV relativeFrom="paragraph">
              <wp:posOffset>39342</wp:posOffset>
            </wp:positionV>
            <wp:extent cx="1439960" cy="2286000"/>
            <wp:effectExtent l="0" t="0" r="8255" b="0"/>
            <wp:wrapSquare wrapText="bothSides"/>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39960" cy="2286000"/>
                    </a:xfrm>
                    <a:prstGeom prst="rect">
                      <a:avLst/>
                    </a:prstGeom>
                    <a:noFill/>
                  </pic:spPr>
                </pic:pic>
              </a:graphicData>
            </a:graphic>
          </wp:anchor>
        </w:drawing>
      </w:r>
      <w:r w:rsidRPr="00E1100E">
        <w:rPr>
          <w:lang w:val="en-US"/>
        </w:rPr>
        <w:t xml:space="preserve">As the world emerges from the worst effects of the </w:t>
      </w:r>
      <w:r>
        <w:rPr>
          <w:lang w:val="en-US"/>
        </w:rPr>
        <w:t xml:space="preserve">Covid-19 </w:t>
      </w:r>
      <w:r w:rsidRPr="00E1100E">
        <w:rPr>
          <w:lang w:val="en-US"/>
        </w:rPr>
        <w:t xml:space="preserve">pandemic, </w:t>
      </w:r>
      <w:r>
        <w:rPr>
          <w:lang w:val="en-US"/>
        </w:rPr>
        <w:t>the previous biennium has brought in sharp focus</w:t>
      </w:r>
      <w:r w:rsidRPr="00E1100E">
        <w:rPr>
          <w:lang w:val="en-US"/>
        </w:rPr>
        <w:t xml:space="preserve"> a plethora of</w:t>
      </w:r>
      <w:r>
        <w:rPr>
          <w:lang w:val="en-US"/>
        </w:rPr>
        <w:t xml:space="preserve"> </w:t>
      </w:r>
      <w:r w:rsidRPr="00E1100E">
        <w:rPr>
          <w:lang w:val="en-US"/>
        </w:rPr>
        <w:t xml:space="preserve">global challenges </w:t>
      </w:r>
      <w:r>
        <w:rPr>
          <w:lang w:val="en-US"/>
        </w:rPr>
        <w:t xml:space="preserve">facing our world today, </w:t>
      </w:r>
      <w:r w:rsidRPr="009A0616">
        <w:rPr>
          <w:lang w:val="en-US"/>
        </w:rPr>
        <w:t xml:space="preserve">such as climate change, access to healthcare, </w:t>
      </w:r>
      <w:r>
        <w:rPr>
          <w:lang w:val="en-US"/>
        </w:rPr>
        <w:t xml:space="preserve">rapid </w:t>
      </w:r>
      <w:r w:rsidRPr="009A0616">
        <w:rPr>
          <w:lang w:val="en-US"/>
        </w:rPr>
        <w:t>technological disruption</w:t>
      </w:r>
      <w:r>
        <w:rPr>
          <w:lang w:val="en-US"/>
        </w:rPr>
        <w:t xml:space="preserve">, </w:t>
      </w:r>
      <w:r w:rsidRPr="00400431">
        <w:rPr>
          <w:lang w:val="en-US"/>
        </w:rPr>
        <w:t xml:space="preserve">and the </w:t>
      </w:r>
      <w:r>
        <w:rPr>
          <w:lang w:val="en-US"/>
        </w:rPr>
        <w:t>need for meaningful participation of underserved demographics</w:t>
      </w:r>
      <w:r w:rsidRPr="00400431">
        <w:rPr>
          <w:lang w:val="en-US"/>
        </w:rPr>
        <w:t xml:space="preserve"> in the formal economy</w:t>
      </w:r>
      <w:r>
        <w:rPr>
          <w:lang w:val="en-US"/>
        </w:rPr>
        <w:t>.</w:t>
      </w:r>
    </w:p>
    <w:p w14:paraId="2E70DCBA" w14:textId="77777777" w:rsidR="00CC7388" w:rsidRPr="00246F52" w:rsidRDefault="00CC7388" w:rsidP="00CC7388">
      <w:pPr>
        <w:rPr>
          <w:lang w:val="en-US"/>
        </w:rPr>
      </w:pPr>
      <w:r w:rsidRPr="00246F52">
        <w:rPr>
          <w:lang w:val="en-US"/>
        </w:rPr>
        <w:t xml:space="preserve">These complex issues that render the trajectory of our future uncertain </w:t>
      </w:r>
      <w:r>
        <w:rPr>
          <w:lang w:val="en-US"/>
        </w:rPr>
        <w:t>interact quite closely with the intellectual property (IP) system as well as the broader innovation economy.  For instance, b</w:t>
      </w:r>
      <w:r w:rsidRPr="00246F52">
        <w:rPr>
          <w:lang w:val="en-US"/>
        </w:rPr>
        <w:t>y incentivizing inventors and creators to invest in research and de</w:t>
      </w:r>
      <w:r>
        <w:rPr>
          <w:lang w:val="en-US"/>
        </w:rPr>
        <w:t>velopment, IP</w:t>
      </w:r>
      <w:r w:rsidRPr="00246F52">
        <w:rPr>
          <w:lang w:val="en-US"/>
        </w:rPr>
        <w:t xml:space="preserve"> can lead to the discovery of new technologies and solutions to global challenges. </w:t>
      </w:r>
      <w:r>
        <w:rPr>
          <w:lang w:val="en-US"/>
        </w:rPr>
        <w:t xml:space="preserve"> </w:t>
      </w:r>
      <w:r w:rsidRPr="00246F52">
        <w:rPr>
          <w:lang w:val="en-US"/>
        </w:rPr>
        <w:t>This, in turn, creates new industries and markets, generating ec</w:t>
      </w:r>
      <w:r>
        <w:rPr>
          <w:lang w:val="en-US"/>
        </w:rPr>
        <w:t xml:space="preserve">onomic growth and job creation. </w:t>
      </w:r>
    </w:p>
    <w:p w14:paraId="3AD08783" w14:textId="06331A27" w:rsidR="00CC7388" w:rsidRPr="00246F52" w:rsidRDefault="00CC7388" w:rsidP="00CC7388">
      <w:pPr>
        <w:rPr>
          <w:lang w:val="en-US"/>
        </w:rPr>
      </w:pPr>
      <w:r w:rsidRPr="00246F52">
        <w:rPr>
          <w:lang w:val="en-US"/>
        </w:rPr>
        <w:t>Furthermore, greater collaboration and cooperation between countries and organizations</w:t>
      </w:r>
      <w:r w:rsidR="00FC621E">
        <w:rPr>
          <w:lang w:val="en-US"/>
        </w:rPr>
        <w:t xml:space="preserve"> can be fostered through licens</w:t>
      </w:r>
      <w:r>
        <w:rPr>
          <w:lang w:val="en-US"/>
        </w:rPr>
        <w:t xml:space="preserve">ing agreements and technology transfer, which are both made possible by the IP system.  This kind of exchange </w:t>
      </w:r>
      <w:r w:rsidRPr="00246F52">
        <w:rPr>
          <w:lang w:val="en-US"/>
        </w:rPr>
        <w:t xml:space="preserve">can help bridge gaps in knowledge and technology, particularly in developing countries, ultimately contributing to the </w:t>
      </w:r>
      <w:r>
        <w:rPr>
          <w:lang w:val="en-US"/>
        </w:rPr>
        <w:t>overall advancement of society.</w:t>
      </w:r>
    </w:p>
    <w:p w14:paraId="6CEB926A" w14:textId="77777777" w:rsidR="00CC7388" w:rsidRDefault="00CC7388" w:rsidP="00CC7388">
      <w:pPr>
        <w:rPr>
          <w:lang w:val="en-US"/>
        </w:rPr>
      </w:pPr>
      <w:r>
        <w:rPr>
          <w:lang w:val="en-US"/>
        </w:rPr>
        <w:t>In this context, the Global Challenges and Partnerships Sector</w:t>
      </w:r>
      <w:r w:rsidRPr="00A033AA">
        <w:rPr>
          <w:lang w:val="en-US"/>
        </w:rPr>
        <w:t xml:space="preserve"> </w:t>
      </w:r>
      <w:r w:rsidRPr="00462095">
        <w:rPr>
          <w:lang w:val="en-US"/>
        </w:rPr>
        <w:t xml:space="preserve">is at the forefront </w:t>
      </w:r>
      <w:r>
        <w:rPr>
          <w:lang w:val="en-US"/>
        </w:rPr>
        <w:t>of WIPO’s communication and engagement with strategic partners</w:t>
      </w:r>
      <w:r w:rsidRPr="00462095">
        <w:rPr>
          <w:lang w:val="en-US"/>
        </w:rPr>
        <w:t xml:space="preserve"> worldwide to increase awa</w:t>
      </w:r>
      <w:r>
        <w:rPr>
          <w:lang w:val="en-US"/>
        </w:rPr>
        <w:t xml:space="preserve">reness of IP and its potential to improve livelihoods and economies. </w:t>
      </w:r>
    </w:p>
    <w:p w14:paraId="245CE6F1" w14:textId="7ADBA45A" w:rsidR="00CC7388" w:rsidRDefault="00CC7388" w:rsidP="00CC7388">
      <w:pPr>
        <w:rPr>
          <w:lang w:val="en-US"/>
        </w:rPr>
      </w:pPr>
      <w:r>
        <w:rPr>
          <w:lang w:val="en-US"/>
        </w:rPr>
        <w:t xml:space="preserve">The priority in the 2024/25 </w:t>
      </w:r>
      <w:r w:rsidR="0026419C">
        <w:rPr>
          <w:lang w:val="en-US"/>
        </w:rPr>
        <w:t>biennium</w:t>
      </w:r>
      <w:r>
        <w:rPr>
          <w:lang w:val="en-US"/>
        </w:rPr>
        <w:t xml:space="preserve"> will include</w:t>
      </w:r>
      <w:r w:rsidRPr="00A6711D">
        <w:rPr>
          <w:lang w:val="en-US"/>
        </w:rPr>
        <w:t xml:space="preserve"> </w:t>
      </w:r>
      <w:r>
        <w:rPr>
          <w:lang w:val="en-US"/>
        </w:rPr>
        <w:t xml:space="preserve">facilitating the </w:t>
      </w:r>
      <w:r w:rsidRPr="00A6711D">
        <w:rPr>
          <w:lang w:val="en-US"/>
        </w:rPr>
        <w:t>normative work</w:t>
      </w:r>
      <w:r>
        <w:rPr>
          <w:lang w:val="en-US"/>
        </w:rPr>
        <w:t xml:space="preserve"> </w:t>
      </w:r>
      <w:r w:rsidRPr="00A6711D">
        <w:rPr>
          <w:lang w:val="en-US"/>
        </w:rPr>
        <w:t>in the area</w:t>
      </w:r>
      <w:r>
        <w:rPr>
          <w:lang w:val="en-US"/>
        </w:rPr>
        <w:t>s</w:t>
      </w:r>
      <w:r w:rsidRPr="00A6711D">
        <w:rPr>
          <w:lang w:val="en-US"/>
        </w:rPr>
        <w:t xml:space="preserve"> of genetic resources (GRs), traditional knowledge (TK), and traditional cultural expressions (TCEs), and contribut</w:t>
      </w:r>
      <w:r>
        <w:rPr>
          <w:lang w:val="en-US"/>
        </w:rPr>
        <w:t>ing</w:t>
      </w:r>
      <w:r w:rsidRPr="00A6711D">
        <w:rPr>
          <w:lang w:val="en-US"/>
        </w:rPr>
        <w:t xml:space="preserve"> to the development of Indigenous Peoples and local communities through impactful projects, tools and trainings. </w:t>
      </w:r>
      <w:r>
        <w:rPr>
          <w:lang w:val="en-US"/>
        </w:rPr>
        <w:t xml:space="preserve"> It will also involve leading international cooperation and dialogue on building respect for IP; demonstrating the value of IP in advancing the implementation of the Sustainable Development Goals (SDGs)</w:t>
      </w:r>
      <w:r w:rsidRPr="004632A3">
        <w:t xml:space="preserve"> </w:t>
      </w:r>
      <w:r w:rsidRPr="004632A3">
        <w:rPr>
          <w:lang w:val="en-US"/>
        </w:rPr>
        <w:t>and the broader goals of the UN system</w:t>
      </w:r>
      <w:r>
        <w:rPr>
          <w:lang w:val="en-US"/>
        </w:rPr>
        <w:t>; increasing shared understanding of the linkages between IP and Competition Policy as well as developing a work program on the Future of IP.</w:t>
      </w:r>
    </w:p>
    <w:p w14:paraId="1B147DE6" w14:textId="77777777" w:rsidR="00CC7388" w:rsidRDefault="00CC7388" w:rsidP="00CC7388">
      <w:pPr>
        <w:rPr>
          <w:lang w:val="en-US"/>
        </w:rPr>
      </w:pPr>
      <w:r>
        <w:rPr>
          <w:lang w:val="en-US"/>
        </w:rPr>
        <w:t>In addition, the Sector will lead WIPO’s effective interaction and partnership with the UN, IGOs, business associations and civil society and also</w:t>
      </w:r>
      <w:r w:rsidRPr="004632A3">
        <w:rPr>
          <w:lang w:val="en-US"/>
        </w:rPr>
        <w:t xml:space="preserve"> </w:t>
      </w:r>
      <w:r>
        <w:rPr>
          <w:lang w:val="en-US"/>
        </w:rPr>
        <w:t xml:space="preserve">facilitate knowledge transfer and technology adaptation through </w:t>
      </w:r>
      <w:r w:rsidRPr="00413E23">
        <w:rPr>
          <w:lang w:val="en-US"/>
        </w:rPr>
        <w:t>multi</w:t>
      </w:r>
      <w:r>
        <w:rPr>
          <w:lang w:val="en-US"/>
        </w:rPr>
        <w:t>-</w:t>
      </w:r>
      <w:r w:rsidRPr="00413E23">
        <w:rPr>
          <w:lang w:val="en-US"/>
        </w:rPr>
        <w:t>stakeholder platforms</w:t>
      </w:r>
      <w:r>
        <w:rPr>
          <w:lang w:val="en-US"/>
        </w:rPr>
        <w:t>, such as WIPO GREEN,</w:t>
      </w:r>
      <w:r w:rsidRPr="00034982">
        <w:rPr>
          <w:lang w:val="en-US"/>
        </w:rPr>
        <w:t xml:space="preserve"> </w:t>
      </w:r>
      <w:r>
        <w:rPr>
          <w:lang w:val="en-US"/>
        </w:rPr>
        <w:t>which addresses global challenges relating to climate change and environmental degradation. The Sector is also</w:t>
      </w:r>
      <w:r w:rsidRPr="00342826">
        <w:rPr>
          <w:lang w:val="en-US"/>
        </w:rPr>
        <w:t xml:space="preserve"> engaging new stakeholders, </w:t>
      </w:r>
      <w:r>
        <w:rPr>
          <w:lang w:val="en-US"/>
        </w:rPr>
        <w:t xml:space="preserve">especially the youth, through an </w:t>
      </w:r>
      <w:r w:rsidRPr="00342826">
        <w:rPr>
          <w:lang w:val="en-US"/>
        </w:rPr>
        <w:t>inclusive and diverse approach that empowers young minds to shape the futu</w:t>
      </w:r>
      <w:r>
        <w:rPr>
          <w:lang w:val="en-US"/>
        </w:rPr>
        <w:t>re of IP</w:t>
      </w:r>
      <w:r w:rsidRPr="00342826">
        <w:rPr>
          <w:lang w:val="en-US"/>
        </w:rPr>
        <w:t>.</w:t>
      </w:r>
      <w:r>
        <w:rPr>
          <w:lang w:val="en-US"/>
        </w:rPr>
        <w:t xml:space="preserve"> </w:t>
      </w:r>
    </w:p>
    <w:p w14:paraId="7C2EABEE" w14:textId="77777777" w:rsidR="00CC7388" w:rsidRPr="00CE7001" w:rsidRDefault="00CC7388" w:rsidP="00CE7001">
      <w:pPr>
        <w:pStyle w:val="NormalAbb"/>
        <w:rPr>
          <w:color w:val="005172" w:themeColor="text2"/>
          <w:sz w:val="22"/>
          <w:lang w:val="en-US"/>
        </w:rPr>
      </w:pPr>
      <w:r w:rsidRPr="00CE7001">
        <w:rPr>
          <w:color w:val="005172" w:themeColor="text2"/>
          <w:sz w:val="22"/>
          <w:lang w:val="en-US"/>
        </w:rPr>
        <w:t xml:space="preserve">Traditional Knowledge </w:t>
      </w:r>
    </w:p>
    <w:p w14:paraId="2586BF53" w14:textId="77777777" w:rsidR="00CC7388" w:rsidRPr="00255FC7" w:rsidRDefault="00CC7388" w:rsidP="00CC7388">
      <w:pPr>
        <w:spacing w:after="120"/>
      </w:pPr>
      <w:r w:rsidRPr="00255FC7">
        <w:t>WIPO’s work on the intersection of IP and GRs, TK and TCEs</w:t>
      </w:r>
      <w:r w:rsidRPr="00255FC7">
        <w:rPr>
          <w:rFonts w:cs="Arial"/>
          <w:szCs w:val="18"/>
        </w:rPr>
        <w:t xml:space="preserve"> in </w:t>
      </w:r>
      <w:r>
        <w:rPr>
          <w:rFonts w:cs="Arial"/>
          <w:szCs w:val="18"/>
        </w:rPr>
        <w:t xml:space="preserve">2024/25 </w:t>
      </w:r>
      <w:r w:rsidRPr="00255FC7">
        <w:rPr>
          <w:rFonts w:cs="Arial"/>
          <w:szCs w:val="18"/>
        </w:rPr>
        <w:t>will, in particular, focus on:</w:t>
      </w:r>
    </w:p>
    <w:p w14:paraId="3D66A25A" w14:textId="77777777" w:rsidR="00CC7388" w:rsidRPr="00255FC7" w:rsidRDefault="00CC7388" w:rsidP="008407D7">
      <w:pPr>
        <w:numPr>
          <w:ilvl w:val="0"/>
          <w:numId w:val="31"/>
        </w:numPr>
        <w:spacing w:line="240" w:lineRule="auto"/>
        <w:rPr>
          <w:szCs w:val="18"/>
          <w:lang w:val="en-US"/>
        </w:rPr>
      </w:pPr>
      <w:r w:rsidRPr="00255FC7">
        <w:rPr>
          <w:rFonts w:asciiTheme="minorHAnsi" w:eastAsia="Times New Roman" w:hAnsiTheme="minorHAnsi" w:cstheme="minorHAnsi"/>
          <w:szCs w:val="18"/>
          <w:lang w:val="en-US" w:eastAsia="ja-JP"/>
        </w:rPr>
        <w:t xml:space="preserve">Organizing and facilitating the Diplomatic Conference on GRs and associated TK to be held no later than 2024, promoting ratification of and accession to </w:t>
      </w:r>
      <w:r>
        <w:rPr>
          <w:rFonts w:asciiTheme="minorHAnsi" w:eastAsia="Times New Roman" w:hAnsiTheme="minorHAnsi" w:cstheme="minorHAnsi"/>
          <w:szCs w:val="18"/>
          <w:lang w:val="en-US" w:eastAsia="ja-JP"/>
        </w:rPr>
        <w:t xml:space="preserve">any </w:t>
      </w:r>
      <w:r w:rsidRPr="00255FC7">
        <w:rPr>
          <w:rFonts w:asciiTheme="minorHAnsi" w:eastAsia="Times New Roman" w:hAnsiTheme="minorHAnsi" w:cstheme="minorHAnsi"/>
          <w:szCs w:val="18"/>
          <w:lang w:val="en-US" w:eastAsia="ja-JP"/>
        </w:rPr>
        <w:t xml:space="preserve">international legal instrument </w:t>
      </w:r>
      <w:r>
        <w:rPr>
          <w:rFonts w:asciiTheme="minorHAnsi" w:eastAsia="Times New Roman" w:hAnsiTheme="minorHAnsi" w:cstheme="minorHAnsi"/>
          <w:szCs w:val="18"/>
          <w:lang w:val="en-US" w:eastAsia="ja-JP"/>
        </w:rPr>
        <w:t>that</w:t>
      </w:r>
      <w:r w:rsidRPr="00255FC7">
        <w:rPr>
          <w:rFonts w:asciiTheme="minorHAnsi" w:eastAsia="Times New Roman" w:hAnsiTheme="minorHAnsi" w:cstheme="minorHAnsi"/>
          <w:szCs w:val="18"/>
          <w:lang w:val="en-US" w:eastAsia="ja-JP"/>
        </w:rPr>
        <w:t xml:space="preserve"> may be agreed upon at the Diplomatic Conference</w:t>
      </w:r>
      <w:r>
        <w:rPr>
          <w:rFonts w:asciiTheme="minorHAnsi" w:eastAsia="Times New Roman" w:hAnsiTheme="minorHAnsi" w:cstheme="minorHAnsi"/>
          <w:szCs w:val="18"/>
          <w:lang w:val="en-US" w:eastAsia="ja-JP"/>
        </w:rPr>
        <w:t xml:space="preserve"> in 2024</w:t>
      </w:r>
      <w:r w:rsidRPr="00255FC7">
        <w:rPr>
          <w:rFonts w:asciiTheme="minorHAnsi" w:eastAsia="Times New Roman" w:hAnsiTheme="minorHAnsi" w:cstheme="minorHAnsi"/>
          <w:szCs w:val="18"/>
          <w:lang w:val="en-US" w:eastAsia="ja-JP"/>
        </w:rPr>
        <w:t>, and organizing and facilitating such other international normative activities on TK and TCEs as may be defined by the 2023 General Assembly;</w:t>
      </w:r>
    </w:p>
    <w:p w14:paraId="13CA2150" w14:textId="386186A1" w:rsidR="00AF5A05" w:rsidRPr="003A20EE" w:rsidRDefault="00CC7388" w:rsidP="008407D7">
      <w:pPr>
        <w:numPr>
          <w:ilvl w:val="0"/>
          <w:numId w:val="31"/>
        </w:numPr>
        <w:spacing w:line="240" w:lineRule="auto"/>
        <w:rPr>
          <w:szCs w:val="18"/>
        </w:rPr>
      </w:pPr>
      <w:r w:rsidRPr="003A20EE">
        <w:rPr>
          <w:rFonts w:asciiTheme="minorHAnsi" w:eastAsia="Times New Roman" w:hAnsiTheme="minorHAnsi" w:cstheme="minorHAnsi"/>
          <w:szCs w:val="18"/>
          <w:lang w:val="en-US" w:eastAsia="ja-JP"/>
        </w:rPr>
        <w:t>Facilitating Indigenous Peoples’</w:t>
      </w:r>
      <w:r w:rsidR="00FC621E" w:rsidRPr="003A20EE">
        <w:rPr>
          <w:rFonts w:asciiTheme="minorHAnsi" w:eastAsia="Times New Roman" w:hAnsiTheme="minorHAnsi" w:cstheme="minorHAnsi"/>
          <w:szCs w:val="18"/>
          <w:lang w:val="en-US" w:eastAsia="ja-JP"/>
        </w:rPr>
        <w:t>, as well as local communities’</w:t>
      </w:r>
      <w:r w:rsidRPr="003A20EE">
        <w:rPr>
          <w:rFonts w:asciiTheme="minorHAnsi" w:eastAsia="Times New Roman" w:hAnsiTheme="minorHAnsi" w:cstheme="minorHAnsi"/>
          <w:szCs w:val="18"/>
          <w:lang w:val="en-US" w:eastAsia="ja-JP"/>
        </w:rPr>
        <w:t xml:space="preserve"> effective participation in WIPO's normative work relating to GRs, TK and TCEs as appropriate;</w:t>
      </w:r>
    </w:p>
    <w:p w14:paraId="359D29D5" w14:textId="79619BA1" w:rsidR="00CC7388" w:rsidRPr="00255FC7" w:rsidRDefault="00CC7388" w:rsidP="008407D7">
      <w:pPr>
        <w:numPr>
          <w:ilvl w:val="0"/>
          <w:numId w:val="31"/>
        </w:numPr>
        <w:spacing w:line="240" w:lineRule="auto"/>
        <w:rPr>
          <w:lang w:val="en-US"/>
        </w:rPr>
      </w:pPr>
      <w:r w:rsidRPr="00255FC7">
        <w:rPr>
          <w:lang w:val="en-US"/>
        </w:rPr>
        <w:t xml:space="preserve">Providing policy, legislative and technical assistance and advice in relation to strategies, policies and legal frameworks that Member States and regional organizations may establish on IP and TK, TCEs, as well as GRs and data, particularly in furtherance of the results of the 2024 Diplomatic Conference; </w:t>
      </w:r>
    </w:p>
    <w:p w14:paraId="695A8FC4" w14:textId="75F007DC" w:rsidR="00CC7388" w:rsidRPr="00255FC7" w:rsidRDefault="00CC7388" w:rsidP="008407D7">
      <w:pPr>
        <w:numPr>
          <w:ilvl w:val="0"/>
          <w:numId w:val="31"/>
        </w:numPr>
        <w:spacing w:line="240" w:lineRule="auto"/>
        <w:rPr>
          <w:lang w:val="en-US"/>
        </w:rPr>
      </w:pPr>
      <w:r>
        <w:rPr>
          <w:lang w:val="en-US"/>
        </w:rPr>
        <w:t>Positively impacting lives and livelihoods of Indigenous Peoples by e</w:t>
      </w:r>
      <w:r w:rsidRPr="00255FC7">
        <w:rPr>
          <w:lang w:val="en-US"/>
        </w:rPr>
        <w:t>xpanding provision of IP-related training, mentoring, match-making and practical services and tools in support of</w:t>
      </w:r>
      <w:r w:rsidR="00FC621E">
        <w:rPr>
          <w:lang w:val="en-US"/>
        </w:rPr>
        <w:t>:</w:t>
      </w:r>
      <w:r w:rsidRPr="00255FC7">
        <w:rPr>
          <w:lang w:val="en-US"/>
        </w:rPr>
        <w:t xml:space="preserve"> (i) Indigenous Peoples and local communities’ entrepreneurship and IP rights management, with an emphasis on women and youth</w:t>
      </w:r>
      <w:r w:rsidR="00FC621E">
        <w:rPr>
          <w:lang w:val="en-US"/>
        </w:rPr>
        <w:t>;</w:t>
      </w:r>
      <w:r w:rsidRPr="00255FC7">
        <w:rPr>
          <w:lang w:val="en-US"/>
        </w:rPr>
        <w:t xml:space="preserve"> and (ii) effective IP rights management in GRs and data in the life sciences;</w:t>
      </w:r>
    </w:p>
    <w:p w14:paraId="524A45AB" w14:textId="77777777" w:rsidR="00CC7388" w:rsidRPr="00255FC7" w:rsidRDefault="00CC7388" w:rsidP="008407D7">
      <w:pPr>
        <w:numPr>
          <w:ilvl w:val="0"/>
          <w:numId w:val="31"/>
        </w:numPr>
        <w:spacing w:line="240" w:lineRule="auto"/>
        <w:rPr>
          <w:lang w:val="en-US"/>
        </w:rPr>
      </w:pPr>
      <w:r w:rsidRPr="00255FC7">
        <w:rPr>
          <w:lang w:val="en-US"/>
        </w:rPr>
        <w:t>Providing legal-technical advice and assistance related to inventories, registers, portals, platforms and databases that could support implementation of national, regional and international legal and policy frameworks related to IP and TK, TCEs, as well as GRs and data, that Member States may establish;</w:t>
      </w:r>
    </w:p>
    <w:p w14:paraId="065F8771" w14:textId="77777777" w:rsidR="00CC7388" w:rsidRPr="0025327B" w:rsidRDefault="00CC7388" w:rsidP="008407D7">
      <w:pPr>
        <w:numPr>
          <w:ilvl w:val="0"/>
          <w:numId w:val="31"/>
        </w:numPr>
        <w:spacing w:line="240" w:lineRule="auto"/>
        <w:rPr>
          <w:rFonts w:asciiTheme="majorHAnsi" w:eastAsia="Times New Roman" w:hAnsiTheme="majorHAnsi" w:cstheme="majorHAnsi"/>
          <w:szCs w:val="18"/>
          <w:lang w:val="en-US" w:eastAsia="ja-JP"/>
        </w:rPr>
      </w:pPr>
      <w:r w:rsidRPr="0025327B">
        <w:rPr>
          <w:rFonts w:asciiTheme="majorHAnsi" w:eastAsia="Times New Roman" w:hAnsiTheme="majorHAnsi" w:cstheme="majorHAnsi"/>
          <w:szCs w:val="18"/>
          <w:lang w:val="en-US" w:eastAsia="ja-JP"/>
        </w:rPr>
        <w:t>Continuing to reach out with inspiring and empirical stories and experiences, as well as up-to-date and practical information on IP and GRs, TK and TCEs;</w:t>
      </w:r>
    </w:p>
    <w:p w14:paraId="19DBB71F" w14:textId="77777777" w:rsidR="00CC7388" w:rsidRPr="00400431" w:rsidRDefault="00CC7388" w:rsidP="008407D7">
      <w:pPr>
        <w:numPr>
          <w:ilvl w:val="0"/>
          <w:numId w:val="31"/>
        </w:numPr>
        <w:spacing w:line="240" w:lineRule="auto"/>
        <w:rPr>
          <w:lang w:val="en-US"/>
        </w:rPr>
      </w:pPr>
      <w:r>
        <w:rPr>
          <w:lang w:val="en-US"/>
        </w:rPr>
        <w:t>Bringing people together by f</w:t>
      </w:r>
      <w:r w:rsidRPr="00255FC7">
        <w:rPr>
          <w:lang w:val="en-US"/>
        </w:rPr>
        <w:t>acilitating dialogues and collaborations between Indigenous Peoples, Member States, industry and other actors in the global IP ecosystem.</w:t>
      </w:r>
    </w:p>
    <w:p w14:paraId="1D0CD52A" w14:textId="77777777" w:rsidR="00CC7388" w:rsidRPr="00CE7001" w:rsidRDefault="00CC7388" w:rsidP="00CE7001">
      <w:pPr>
        <w:pStyle w:val="NormalAbb"/>
        <w:rPr>
          <w:color w:val="005172" w:themeColor="text2"/>
          <w:sz w:val="22"/>
          <w:lang w:val="en-US"/>
        </w:rPr>
      </w:pPr>
      <w:r w:rsidRPr="00CE7001">
        <w:rPr>
          <w:color w:val="005172" w:themeColor="text2"/>
          <w:sz w:val="22"/>
          <w:lang w:val="en-US"/>
        </w:rPr>
        <w:t xml:space="preserve">Global Challenges </w:t>
      </w:r>
    </w:p>
    <w:p w14:paraId="105A68E1" w14:textId="5CB6AC5D" w:rsidR="00CC7388" w:rsidRPr="00403092" w:rsidRDefault="00CC7388" w:rsidP="00CC7388">
      <w:r w:rsidRPr="00A75AA5">
        <w:t xml:space="preserve">Global Challenges </w:t>
      </w:r>
      <w:r>
        <w:t>addresses</w:t>
      </w:r>
      <w:r w:rsidRPr="00A75AA5">
        <w:t xml:space="preserve"> innovation and IP at the nexus of interconnected global issues, in particular global health, climate change and food security. </w:t>
      </w:r>
      <w:r w:rsidR="00FC621E">
        <w:t xml:space="preserve"> </w:t>
      </w:r>
      <w:r>
        <w:t>By engaging</w:t>
      </w:r>
      <w:r w:rsidRPr="00A75AA5">
        <w:t xml:space="preserve"> across a wide range of </w:t>
      </w:r>
      <w:r>
        <w:t>IP</w:t>
      </w:r>
      <w:r w:rsidRPr="00A75AA5">
        <w:t>-related global policy discussions and with a broad cross-section of stakeholders</w:t>
      </w:r>
      <w:r>
        <w:t>, i</w:t>
      </w:r>
      <w:r w:rsidRPr="00A75AA5">
        <w:t xml:space="preserve">t identifies opportunities to apply and scale up innovation-driven solutions that </w:t>
      </w:r>
      <w:r>
        <w:t xml:space="preserve">address global challenges and </w:t>
      </w:r>
      <w:r w:rsidRPr="00A75AA5">
        <w:t xml:space="preserve">improve peoples’ lives. </w:t>
      </w:r>
      <w:r>
        <w:t xml:space="preserve"> </w:t>
      </w:r>
      <w:r w:rsidRPr="00403092">
        <w:t xml:space="preserve">Efforts in the next biennium will include initiatives </w:t>
      </w:r>
      <w:r>
        <w:t>aimed at</w:t>
      </w:r>
      <w:r w:rsidRPr="00403092">
        <w:t>:</w:t>
      </w:r>
    </w:p>
    <w:p w14:paraId="77763130" w14:textId="35C1B9C2" w:rsidR="00CC7388" w:rsidRDefault="00CC7388"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 xml:space="preserve">Promoting a more equitable and sustainable future where critical resources and technologies are accessible to all. </w:t>
      </w:r>
      <w:r w:rsidR="00FC621E">
        <w:rPr>
          <w:rFonts w:ascii="Arial" w:eastAsiaTheme="minorHAnsi" w:hAnsi="Arial" w:cstheme="minorBidi"/>
          <w:sz w:val="18"/>
          <w:lang w:eastAsia="en-US"/>
        </w:rPr>
        <w:t xml:space="preserve"> </w:t>
      </w:r>
      <w:r>
        <w:rPr>
          <w:rFonts w:ascii="Arial" w:eastAsiaTheme="minorHAnsi" w:hAnsi="Arial" w:cstheme="minorBidi"/>
          <w:sz w:val="18"/>
          <w:lang w:eastAsia="en-US"/>
        </w:rPr>
        <w:t>This would be done by demonstrating the role of IP in increasing access to health as well as environmentally-friendly “green” technologies, including by:</w:t>
      </w:r>
      <w:r w:rsidRPr="00D323C8">
        <w:rPr>
          <w:rFonts w:ascii="Arial" w:eastAsiaTheme="minorHAnsi" w:hAnsi="Arial" w:cstheme="minorBidi"/>
          <w:sz w:val="18"/>
          <w:lang w:eastAsia="en-US"/>
        </w:rPr>
        <w:t xml:space="preserve"> </w:t>
      </w:r>
      <w:r>
        <w:rPr>
          <w:rFonts w:ascii="Arial" w:eastAsiaTheme="minorHAnsi" w:hAnsi="Arial" w:cstheme="minorBidi"/>
          <w:sz w:val="18"/>
          <w:lang w:eastAsia="en-US"/>
        </w:rPr>
        <w:t>(i) expanding and strengthening</w:t>
      </w:r>
      <w:r w:rsidRPr="00D323C8">
        <w:rPr>
          <w:rFonts w:ascii="Arial" w:eastAsiaTheme="minorHAnsi" w:hAnsi="Arial" w:cstheme="minorBidi"/>
          <w:sz w:val="18"/>
          <w:lang w:eastAsia="en-US"/>
        </w:rPr>
        <w:t xml:space="preserve"> </w:t>
      </w:r>
      <w:r w:rsidRPr="00413E23">
        <w:rPr>
          <w:rFonts w:ascii="Arial" w:eastAsiaTheme="minorHAnsi" w:hAnsi="Arial" w:cstheme="minorBidi"/>
          <w:sz w:val="18"/>
          <w:lang w:eastAsia="en-US"/>
        </w:rPr>
        <w:t>the WIPO GREEN network with the aim of promoting innovation and deployment of green technologies to address climate change and food security issues</w:t>
      </w:r>
      <w:r>
        <w:rPr>
          <w:rFonts w:ascii="Arial" w:eastAsiaTheme="minorHAnsi" w:hAnsi="Arial" w:cstheme="minorBidi"/>
          <w:sz w:val="18"/>
          <w:lang w:eastAsia="en-US"/>
        </w:rPr>
        <w:t>, using the Green Technology Book and WIPO GREEN database as foundational elements; (ii)</w:t>
      </w:r>
      <w:r w:rsidRPr="00413E23">
        <w:rPr>
          <w:rFonts w:ascii="Arial" w:eastAsiaTheme="minorHAnsi" w:hAnsi="Arial" w:cstheme="minorBidi"/>
          <w:sz w:val="18"/>
          <w:lang w:eastAsia="en-US"/>
        </w:rPr>
        <w:t xml:space="preserve"> </w:t>
      </w:r>
      <w:r>
        <w:rPr>
          <w:rFonts w:ascii="Arial" w:eastAsiaTheme="minorHAnsi" w:hAnsi="Arial" w:cstheme="minorBidi"/>
          <w:sz w:val="18"/>
          <w:lang w:eastAsia="en-US"/>
        </w:rPr>
        <w:t>re-imagining WIPO’s work at the intersection of IP and global health innovation with a focus on supporting cutting-edge approaches to expand access to health technologies; and (iii) f</w:t>
      </w:r>
      <w:r w:rsidRPr="00413E23">
        <w:rPr>
          <w:rFonts w:ascii="Arial" w:eastAsiaTheme="minorHAnsi" w:hAnsi="Arial" w:cstheme="minorBidi"/>
          <w:sz w:val="18"/>
          <w:lang w:eastAsia="en-US"/>
        </w:rPr>
        <w:t xml:space="preserve">urther strengthening of the Trilateral Cooperation </w:t>
      </w:r>
      <w:r>
        <w:rPr>
          <w:rFonts w:ascii="Arial" w:eastAsiaTheme="minorHAnsi" w:hAnsi="Arial" w:cstheme="minorBidi"/>
          <w:sz w:val="18"/>
          <w:lang w:eastAsia="en-US"/>
        </w:rPr>
        <w:t>among</w:t>
      </w:r>
      <w:r w:rsidRPr="00413E23">
        <w:rPr>
          <w:rFonts w:ascii="Arial" w:eastAsiaTheme="minorHAnsi" w:hAnsi="Arial" w:cstheme="minorBidi"/>
          <w:sz w:val="18"/>
          <w:lang w:eastAsia="en-US"/>
        </w:rPr>
        <w:t xml:space="preserve"> WHO, WIPO and WTO </w:t>
      </w:r>
      <w:r>
        <w:rPr>
          <w:rFonts w:ascii="Arial" w:eastAsiaTheme="minorHAnsi" w:hAnsi="Arial" w:cstheme="minorBidi"/>
          <w:sz w:val="18"/>
          <w:lang w:eastAsia="en-US"/>
        </w:rPr>
        <w:t>to</w:t>
      </w:r>
      <w:r w:rsidRPr="00413E23">
        <w:rPr>
          <w:rFonts w:ascii="Arial" w:eastAsiaTheme="minorHAnsi" w:hAnsi="Arial" w:cstheme="minorBidi"/>
          <w:sz w:val="18"/>
          <w:lang w:eastAsia="en-US"/>
        </w:rPr>
        <w:t xml:space="preserve"> help address vanguard issues at the intersection of IP, trade and pub</w:t>
      </w:r>
      <w:r>
        <w:rPr>
          <w:rFonts w:ascii="Arial" w:eastAsiaTheme="minorHAnsi" w:hAnsi="Arial" w:cstheme="minorBidi"/>
          <w:sz w:val="18"/>
          <w:lang w:eastAsia="en-US"/>
        </w:rPr>
        <w:t>lic health, including COVID-19 and Anti-Microbial Resistance (AMR);</w:t>
      </w:r>
    </w:p>
    <w:p w14:paraId="0C49FA26" w14:textId="77777777" w:rsidR="00CC7388" w:rsidRPr="00413E23" w:rsidRDefault="00CC7388"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 xml:space="preserve">Further addressing climate action by expanding the WIPO GREEN Acceleration Project model to support partner-led match-making and green technology implementation. </w:t>
      </w:r>
    </w:p>
    <w:p w14:paraId="0D0E3316" w14:textId="77777777" w:rsidR="00CC7388" w:rsidRPr="00CE7001" w:rsidRDefault="00CC7388" w:rsidP="00CE7001">
      <w:pPr>
        <w:pStyle w:val="NormalAbb"/>
        <w:rPr>
          <w:color w:val="005172" w:themeColor="text2"/>
          <w:sz w:val="22"/>
          <w:lang w:val="en-US"/>
        </w:rPr>
      </w:pPr>
      <w:r w:rsidRPr="00CE7001">
        <w:rPr>
          <w:color w:val="005172" w:themeColor="text2"/>
          <w:sz w:val="22"/>
          <w:lang w:val="en-US"/>
        </w:rPr>
        <w:t xml:space="preserve">Building Respect for IP </w:t>
      </w:r>
    </w:p>
    <w:p w14:paraId="74CA9E11" w14:textId="6CD459E3" w:rsidR="00CC7388" w:rsidRDefault="00CC7388" w:rsidP="00CC7388">
      <w:pPr>
        <w:rPr>
          <w:rFonts w:cs="Arial"/>
          <w:color w:val="000000"/>
        </w:rPr>
      </w:pPr>
      <w:r w:rsidRPr="07A70FFC">
        <w:rPr>
          <w:rFonts w:cs="Arial"/>
          <w:color w:val="000000" w:themeColor="text1"/>
        </w:rPr>
        <w:t>WIPO’s work in the area of building respect for IP follows a balanced approach towards the prevention of IP infringement and the enforcement of IP rights</w:t>
      </w:r>
      <w:r w:rsidR="00FC621E">
        <w:rPr>
          <w:rFonts w:cs="Arial"/>
          <w:color w:val="000000" w:themeColor="text1"/>
        </w:rPr>
        <w:t>,</w:t>
      </w:r>
      <w:r>
        <w:rPr>
          <w:rFonts w:cs="Arial"/>
          <w:color w:val="000000" w:themeColor="text1"/>
        </w:rPr>
        <w:t xml:space="preserve"> which are guided by Development Agenda Recommendation 45 </w:t>
      </w:r>
      <w:r w:rsidRPr="07A70FFC">
        <w:rPr>
          <w:rFonts w:cs="Arial"/>
          <w:color w:val="000000" w:themeColor="text1"/>
        </w:rPr>
        <w:t xml:space="preserve">in the interests of social and economic development and consumer protection.  </w:t>
      </w:r>
      <w:r>
        <w:rPr>
          <w:rFonts w:cs="Arial"/>
          <w:color w:val="000000" w:themeColor="text1"/>
        </w:rPr>
        <w:t>Priorities</w:t>
      </w:r>
      <w:r w:rsidRPr="07A70FFC">
        <w:rPr>
          <w:rFonts w:cs="Arial"/>
          <w:color w:val="000000" w:themeColor="text1"/>
        </w:rPr>
        <w:t xml:space="preserve"> </w:t>
      </w:r>
      <w:r>
        <w:rPr>
          <w:rFonts w:cs="Arial"/>
          <w:color w:val="000000" w:themeColor="text1"/>
        </w:rPr>
        <w:t>in</w:t>
      </w:r>
      <w:r w:rsidRPr="07A70FFC">
        <w:rPr>
          <w:rFonts w:cs="Arial"/>
          <w:color w:val="000000" w:themeColor="text1"/>
        </w:rPr>
        <w:t xml:space="preserve"> the 2024/25 biennium will encompass:  </w:t>
      </w:r>
    </w:p>
    <w:p w14:paraId="1C1EF288" w14:textId="77777777" w:rsidR="00CC7388" w:rsidRDefault="00CC7388" w:rsidP="008407D7">
      <w:pPr>
        <w:numPr>
          <w:ilvl w:val="0"/>
          <w:numId w:val="31"/>
        </w:numPr>
        <w:spacing w:line="240" w:lineRule="auto"/>
        <w:contextualSpacing/>
        <w:rPr>
          <w:rFonts w:cs="Arial"/>
          <w:color w:val="000000"/>
        </w:rPr>
      </w:pPr>
      <w:r w:rsidRPr="1901BB18">
        <w:rPr>
          <w:rFonts w:cs="Arial"/>
          <w:color w:val="000000" w:themeColor="text1"/>
        </w:rPr>
        <w:t xml:space="preserve">Organizing sessions and facilitating the work of the Advisory Committee on Enforcement (ACE), fostering informed and empirically well-founded policy discussions and the sharing of national experiences; </w:t>
      </w:r>
    </w:p>
    <w:p w14:paraId="6A4B04B9" w14:textId="77777777" w:rsidR="00CC7388" w:rsidRDefault="00CC7388" w:rsidP="00CC7388">
      <w:pPr>
        <w:spacing w:after="0" w:line="240" w:lineRule="auto"/>
        <w:contextualSpacing/>
        <w:rPr>
          <w:rFonts w:cs="Arial"/>
          <w:color w:val="000000"/>
          <w:szCs w:val="18"/>
        </w:rPr>
      </w:pPr>
    </w:p>
    <w:p w14:paraId="5B012BAF" w14:textId="77777777" w:rsidR="00CC7388" w:rsidRDefault="00CC7388" w:rsidP="008407D7">
      <w:pPr>
        <w:numPr>
          <w:ilvl w:val="0"/>
          <w:numId w:val="31"/>
        </w:numPr>
        <w:spacing w:line="240" w:lineRule="auto"/>
        <w:contextualSpacing/>
        <w:rPr>
          <w:rFonts w:cs="Arial"/>
          <w:color w:val="000000"/>
        </w:rPr>
      </w:pPr>
      <w:r w:rsidRPr="1901BB18">
        <w:rPr>
          <w:rFonts w:cs="Arial"/>
          <w:color w:val="000000" w:themeColor="text1"/>
        </w:rPr>
        <w:t xml:space="preserve">Working closely with all stakeholders, including </w:t>
      </w:r>
      <w:r>
        <w:rPr>
          <w:rFonts w:cs="Arial"/>
          <w:color w:val="000000" w:themeColor="text1"/>
        </w:rPr>
        <w:t xml:space="preserve">Member States, </w:t>
      </w:r>
      <w:r w:rsidRPr="1901BB18">
        <w:rPr>
          <w:rFonts w:cs="Arial"/>
          <w:color w:val="000000" w:themeColor="text1"/>
        </w:rPr>
        <w:t>IGOs, NGOs</w:t>
      </w:r>
      <w:r>
        <w:rPr>
          <w:rFonts w:cs="Arial"/>
          <w:color w:val="000000" w:themeColor="text1"/>
        </w:rPr>
        <w:t xml:space="preserve"> and </w:t>
      </w:r>
      <w:r w:rsidRPr="1901BB18">
        <w:rPr>
          <w:rFonts w:cs="Arial"/>
          <w:color w:val="000000" w:themeColor="text1"/>
        </w:rPr>
        <w:t xml:space="preserve">civil society to strengthen international efforts to build respect for IP </w:t>
      </w:r>
      <w:bookmarkStart w:id="29" w:name="_Int_5IVl4HZR"/>
      <w:r w:rsidRPr="1901BB18">
        <w:rPr>
          <w:rFonts w:cs="Arial"/>
          <w:color w:val="000000" w:themeColor="text1"/>
        </w:rPr>
        <w:t>through structured</w:t>
      </w:r>
      <w:bookmarkEnd w:id="29"/>
      <w:r w:rsidRPr="1901BB18">
        <w:rPr>
          <w:rFonts w:cs="Arial"/>
          <w:color w:val="000000" w:themeColor="text1"/>
        </w:rPr>
        <w:t xml:space="preserve"> coordination and high-impact cooperation activities;</w:t>
      </w:r>
    </w:p>
    <w:p w14:paraId="56F5C9CA" w14:textId="77777777" w:rsidR="00CC7388" w:rsidRDefault="00CC7388" w:rsidP="00CC7388">
      <w:pPr>
        <w:spacing w:after="0" w:line="240" w:lineRule="auto"/>
        <w:contextualSpacing/>
        <w:rPr>
          <w:rFonts w:cs="Arial"/>
          <w:color w:val="000000"/>
          <w:szCs w:val="18"/>
        </w:rPr>
      </w:pPr>
    </w:p>
    <w:p w14:paraId="2E4B35D5" w14:textId="77777777" w:rsidR="00CC7388" w:rsidRDefault="00CC7388" w:rsidP="008407D7">
      <w:pPr>
        <w:numPr>
          <w:ilvl w:val="0"/>
          <w:numId w:val="31"/>
        </w:numPr>
        <w:spacing w:line="240" w:lineRule="auto"/>
        <w:contextualSpacing/>
        <w:rPr>
          <w:rFonts w:cs="Arial"/>
          <w:color w:val="000000"/>
        </w:rPr>
      </w:pPr>
      <w:r>
        <w:rPr>
          <w:rFonts w:cs="Arial"/>
          <w:color w:val="000000" w:themeColor="text1"/>
        </w:rPr>
        <w:t>Increasing the evidence base by</w:t>
      </w:r>
      <w:r w:rsidRPr="09B57A1E">
        <w:rPr>
          <w:rFonts w:cs="Arial"/>
          <w:color w:val="000000" w:themeColor="text1"/>
        </w:rPr>
        <w:t xml:space="preserve"> publishing research on topical and relevant issues in the area of building respect for IP, and holding open conferences with expert speakers on such issues;</w:t>
      </w:r>
    </w:p>
    <w:p w14:paraId="165CF1FD" w14:textId="77777777" w:rsidR="00CC7388" w:rsidRDefault="00CC7388" w:rsidP="00CC7388">
      <w:pPr>
        <w:spacing w:after="0" w:line="240" w:lineRule="auto"/>
        <w:ind w:left="360"/>
        <w:contextualSpacing/>
        <w:rPr>
          <w:rFonts w:cs="Arial"/>
          <w:color w:val="000000"/>
          <w:szCs w:val="18"/>
        </w:rPr>
      </w:pPr>
    </w:p>
    <w:p w14:paraId="06BC46F0" w14:textId="57A715A8" w:rsidR="00CC7388" w:rsidRDefault="00CC7388" w:rsidP="008407D7">
      <w:pPr>
        <w:numPr>
          <w:ilvl w:val="0"/>
          <w:numId w:val="31"/>
        </w:numPr>
        <w:spacing w:line="240" w:lineRule="auto"/>
        <w:contextualSpacing/>
        <w:rPr>
          <w:rFonts w:cs="Arial"/>
        </w:rPr>
      </w:pPr>
      <w:r>
        <w:rPr>
          <w:rFonts w:cs="Arial"/>
          <w:color w:val="000000" w:themeColor="text1"/>
        </w:rPr>
        <w:t>Further d</w:t>
      </w:r>
      <w:r w:rsidRPr="09B57A1E">
        <w:rPr>
          <w:rFonts w:cs="Arial"/>
          <w:color w:val="000000" w:themeColor="text1"/>
        </w:rPr>
        <w:t xml:space="preserve">eveloping the scope and functionalities of WIPO ALERT as an effective international tool for cooperation between Member States and relevant stakeholders to combat online </w:t>
      </w:r>
      <w:r w:rsidRPr="09B57A1E">
        <w:rPr>
          <w:rFonts w:cs="Arial"/>
        </w:rPr>
        <w:t>IP infringement</w:t>
      </w:r>
      <w:r w:rsidR="00FC621E">
        <w:rPr>
          <w:rFonts w:cs="Arial"/>
        </w:rPr>
        <w:t>,</w:t>
      </w:r>
      <w:r>
        <w:rPr>
          <w:rFonts w:cs="Arial"/>
        </w:rPr>
        <w:t xml:space="preserve"> which affects us all</w:t>
      </w:r>
      <w:r w:rsidRPr="09B57A1E">
        <w:rPr>
          <w:rFonts w:cs="Arial"/>
        </w:rPr>
        <w:t>;</w:t>
      </w:r>
    </w:p>
    <w:p w14:paraId="7FFA185C" w14:textId="77777777" w:rsidR="00CC7388" w:rsidRDefault="00CC7388" w:rsidP="00CC7388">
      <w:pPr>
        <w:spacing w:after="0" w:line="240" w:lineRule="auto"/>
        <w:contextualSpacing/>
        <w:rPr>
          <w:rFonts w:cs="Arial"/>
          <w:szCs w:val="18"/>
        </w:rPr>
      </w:pPr>
      <w:r>
        <w:rPr>
          <w:rFonts w:cs="Arial"/>
          <w:szCs w:val="18"/>
        </w:rPr>
        <w:t xml:space="preserve"> </w:t>
      </w:r>
    </w:p>
    <w:p w14:paraId="388583F3" w14:textId="77777777" w:rsidR="00CC7388" w:rsidRDefault="00CC7388" w:rsidP="008407D7">
      <w:pPr>
        <w:numPr>
          <w:ilvl w:val="0"/>
          <w:numId w:val="31"/>
        </w:numPr>
        <w:spacing w:line="240" w:lineRule="auto"/>
        <w:contextualSpacing/>
        <w:rPr>
          <w:rFonts w:cs="Arial"/>
        </w:rPr>
      </w:pPr>
      <w:r>
        <w:rPr>
          <w:rFonts w:cs="Arial"/>
        </w:rPr>
        <w:t>Continuing to play a leading role to p</w:t>
      </w:r>
      <w:r w:rsidRPr="07A70FFC">
        <w:rPr>
          <w:rFonts w:cs="Arial"/>
        </w:rPr>
        <w:t>rovid</w:t>
      </w:r>
      <w:r>
        <w:rPr>
          <w:rFonts w:cs="Arial"/>
        </w:rPr>
        <w:t>e</w:t>
      </w:r>
      <w:r w:rsidRPr="07A70FFC">
        <w:rPr>
          <w:rFonts w:cs="Arial"/>
        </w:rPr>
        <w:t xml:space="preserve">, upon request and on a strictly confidential basis, legislative advice to Member States relating to IP enforcement in line with Part III of the TRIPS Agreement; </w:t>
      </w:r>
    </w:p>
    <w:p w14:paraId="7523C4EF" w14:textId="77777777" w:rsidR="00CC7388" w:rsidRDefault="00CC7388" w:rsidP="00CC7388">
      <w:pPr>
        <w:spacing w:after="0" w:line="240" w:lineRule="auto"/>
        <w:contextualSpacing/>
        <w:rPr>
          <w:rFonts w:cs="Arial"/>
          <w:szCs w:val="18"/>
        </w:rPr>
      </w:pPr>
    </w:p>
    <w:p w14:paraId="784705D9" w14:textId="77777777" w:rsidR="00CC7388" w:rsidRDefault="00CC7388" w:rsidP="008407D7">
      <w:pPr>
        <w:numPr>
          <w:ilvl w:val="0"/>
          <w:numId w:val="31"/>
        </w:numPr>
        <w:spacing w:after="0" w:line="240" w:lineRule="auto"/>
        <w:contextualSpacing/>
        <w:rPr>
          <w:rFonts w:cs="Arial"/>
          <w:szCs w:val="18"/>
        </w:rPr>
      </w:pPr>
      <w:r>
        <w:rPr>
          <w:rFonts w:cs="Arial"/>
          <w:szCs w:val="18"/>
        </w:rPr>
        <w:t xml:space="preserve">Improving the IP ecosystem by supporting and assisting Member States with a view to enhancing the capacities of law enforcement officials, prosecutors and judges for the enforcement of IP rights with a focus on impact-driven training projects aimed at building institutional training capacities in beneficiary countries in a sustainable way as well as making available useful and accessible tools and materials on IP enforcement; </w:t>
      </w:r>
    </w:p>
    <w:p w14:paraId="57B84DF1" w14:textId="77777777" w:rsidR="00CC7388" w:rsidRDefault="00CC7388" w:rsidP="00CC7388">
      <w:pPr>
        <w:spacing w:line="240" w:lineRule="auto"/>
        <w:contextualSpacing/>
        <w:rPr>
          <w:rFonts w:cs="Arial"/>
          <w:szCs w:val="18"/>
        </w:rPr>
      </w:pPr>
    </w:p>
    <w:p w14:paraId="5492F6FC" w14:textId="7C13CB10" w:rsidR="00CC7388" w:rsidRDefault="00CC7388" w:rsidP="008407D7">
      <w:pPr>
        <w:numPr>
          <w:ilvl w:val="0"/>
          <w:numId w:val="31"/>
        </w:numPr>
        <w:spacing w:after="0" w:line="240" w:lineRule="auto"/>
        <w:contextualSpacing/>
        <w:rPr>
          <w:rFonts w:cs="Arial"/>
        </w:rPr>
      </w:pPr>
      <w:r w:rsidRPr="07A70FFC">
        <w:rPr>
          <w:rFonts w:cs="Arial"/>
        </w:rPr>
        <w:t>Assisting Member States in building respect for IP as part of their national IP policy frameworks, as well as in developing impactful awareness-raising stra</w:t>
      </w:r>
      <w:r w:rsidR="0089750C">
        <w:rPr>
          <w:rFonts w:cs="Arial"/>
        </w:rPr>
        <w:t>tegies, products and activities.</w:t>
      </w:r>
    </w:p>
    <w:p w14:paraId="74796A19" w14:textId="77777777" w:rsidR="00CE7001" w:rsidRDefault="00CE7001" w:rsidP="00CE7001">
      <w:pPr>
        <w:pStyle w:val="NormalAbb"/>
        <w:rPr>
          <w:color w:val="005172" w:themeColor="text2"/>
          <w:sz w:val="20"/>
          <w:lang w:val="en-US"/>
        </w:rPr>
      </w:pPr>
    </w:p>
    <w:p w14:paraId="1155A3EF" w14:textId="77777777" w:rsidR="00CE7001" w:rsidRDefault="00CE7001" w:rsidP="00CE7001">
      <w:pPr>
        <w:pStyle w:val="NormalAbb"/>
        <w:rPr>
          <w:color w:val="005172" w:themeColor="text2"/>
          <w:sz w:val="20"/>
          <w:lang w:val="en-US"/>
        </w:rPr>
      </w:pPr>
    </w:p>
    <w:p w14:paraId="2519F29F" w14:textId="46038D6F" w:rsidR="00CC7388" w:rsidRPr="00CE7001" w:rsidRDefault="00CC7388" w:rsidP="00CE7001">
      <w:pPr>
        <w:pStyle w:val="NormalAbb"/>
        <w:rPr>
          <w:color w:val="005172" w:themeColor="text2"/>
          <w:sz w:val="22"/>
          <w:lang w:val="en-US"/>
        </w:rPr>
      </w:pPr>
      <w:r w:rsidRPr="00CE7001">
        <w:rPr>
          <w:color w:val="005172" w:themeColor="text2"/>
          <w:sz w:val="22"/>
          <w:lang w:val="en-US"/>
        </w:rPr>
        <w:t>IP and Competition Policy</w:t>
      </w:r>
    </w:p>
    <w:p w14:paraId="45767D5F" w14:textId="010BC8D7" w:rsidR="009740EF" w:rsidRPr="009740EF" w:rsidRDefault="00CC7388" w:rsidP="009740EF">
      <w:r>
        <w:rPr>
          <w:lang w:val="en-US"/>
        </w:rPr>
        <w:t xml:space="preserve">The </w:t>
      </w:r>
      <w:r w:rsidRPr="002A49E1">
        <w:rPr>
          <w:lang w:val="en-US"/>
        </w:rPr>
        <w:t xml:space="preserve">IP and Competition Policy </w:t>
      </w:r>
      <w:r w:rsidRPr="004F5E9E">
        <w:rPr>
          <w:lang w:val="en-US"/>
        </w:rPr>
        <w:t xml:space="preserve">(IP&amp;CP) </w:t>
      </w:r>
      <w:r>
        <w:rPr>
          <w:lang w:val="en-US"/>
        </w:rPr>
        <w:t xml:space="preserve">area has a crucial role in examining </w:t>
      </w:r>
      <w:r w:rsidRPr="002A49E1">
        <w:rPr>
          <w:lang w:val="en-US"/>
        </w:rPr>
        <w:t xml:space="preserve">global trends </w:t>
      </w:r>
      <w:r>
        <w:rPr>
          <w:lang w:val="en-US"/>
        </w:rPr>
        <w:t>at the intersection of</w:t>
      </w:r>
      <w:r w:rsidRPr="002A49E1">
        <w:rPr>
          <w:lang w:val="en-US"/>
        </w:rPr>
        <w:t xml:space="preserve"> IP</w:t>
      </w:r>
      <w:r>
        <w:rPr>
          <w:lang w:val="en-US"/>
        </w:rPr>
        <w:t xml:space="preserve"> and</w:t>
      </w:r>
      <w:r w:rsidRPr="002A49E1">
        <w:rPr>
          <w:lang w:val="en-US"/>
        </w:rPr>
        <w:t xml:space="preserve"> antitrust</w:t>
      </w:r>
      <w:r>
        <w:rPr>
          <w:lang w:val="en-US"/>
        </w:rPr>
        <w:t>, as well as that of</w:t>
      </w:r>
      <w:r w:rsidRPr="002A49E1">
        <w:rPr>
          <w:lang w:val="en-US"/>
        </w:rPr>
        <w:t xml:space="preserve"> unfair competition</w:t>
      </w:r>
      <w:r>
        <w:rPr>
          <w:lang w:val="en-US"/>
        </w:rPr>
        <w:t>.  It also establishes and enhances partnerships</w:t>
      </w:r>
      <w:r w:rsidRPr="002A49E1">
        <w:rPr>
          <w:lang w:val="en-US"/>
        </w:rPr>
        <w:t xml:space="preserve"> in international competition networks and committees</w:t>
      </w:r>
      <w:r>
        <w:rPr>
          <w:lang w:val="en-US"/>
        </w:rPr>
        <w:t xml:space="preserve">, while </w:t>
      </w:r>
      <w:r w:rsidRPr="002A49E1">
        <w:rPr>
          <w:lang w:val="en-US"/>
        </w:rPr>
        <w:t>liaising with other international organizations on IP-related competition matters.</w:t>
      </w:r>
      <w:r>
        <w:rPr>
          <w:lang w:val="en-US"/>
        </w:rPr>
        <w:t xml:space="preserve">  In 2024/25, IP</w:t>
      </w:r>
      <w:r w:rsidRPr="004F5E9E">
        <w:rPr>
          <w:lang w:val="en-US"/>
        </w:rPr>
        <w:t xml:space="preserve">&amp;CP </w:t>
      </w:r>
      <w:r>
        <w:rPr>
          <w:lang w:val="en-US"/>
        </w:rPr>
        <w:t>aims at further securing</w:t>
      </w:r>
      <w:r w:rsidRPr="002A49E1">
        <w:t xml:space="preserve"> WIPO’s </w:t>
      </w:r>
      <w:r>
        <w:t xml:space="preserve">place as an essential player in managing the relevant issues, </w:t>
      </w:r>
      <w:r w:rsidRPr="00AB0EAE">
        <w:rPr>
          <w:i/>
        </w:rPr>
        <w:t>inter alia</w:t>
      </w:r>
      <w:r>
        <w:rPr>
          <w:i/>
        </w:rPr>
        <w:t xml:space="preserve">, </w:t>
      </w:r>
      <w:r w:rsidRPr="00202131">
        <w:t>through</w:t>
      </w:r>
      <w:r w:rsidRPr="002A49E1">
        <w:t xml:space="preserve">: </w:t>
      </w:r>
      <w:r>
        <w:t xml:space="preserve"> </w:t>
      </w:r>
      <w:r w:rsidR="00F34506" w:rsidRPr="002A49E1">
        <w:t xml:space="preserve">(i) </w:t>
      </w:r>
      <w:r w:rsidR="00F34506">
        <w:t>engaging and advising national agencies, in cooperation with other IGOs;</w:t>
      </w:r>
      <w:r w:rsidR="00F34506" w:rsidRPr="002A49E1">
        <w:t xml:space="preserve"> (ii) active presence in the main internati</w:t>
      </w:r>
      <w:r w:rsidR="00F34506">
        <w:t>onal fora on competition policy</w:t>
      </w:r>
      <w:r w:rsidR="00F34506" w:rsidRPr="00F34506">
        <w:t>; (iii) conducting analysis and research on topical issues on IP and competition policy; and (iv) conducting analysis and research on the possible impact on performers and creators.</w:t>
      </w:r>
    </w:p>
    <w:p w14:paraId="3D819F66" w14:textId="2A4F1A93" w:rsidR="00CC7388" w:rsidRPr="00CE7001" w:rsidRDefault="00CC7388" w:rsidP="00F34506">
      <w:pPr>
        <w:spacing w:before="320"/>
        <w:rPr>
          <w:color w:val="005172" w:themeColor="text2"/>
          <w:sz w:val="22"/>
          <w:lang w:val="en-US"/>
        </w:rPr>
      </w:pPr>
      <w:r w:rsidRPr="00CE7001">
        <w:rPr>
          <w:color w:val="005172" w:themeColor="text2"/>
          <w:sz w:val="22"/>
          <w:lang w:val="en-US"/>
        </w:rPr>
        <w:t>Future of IP</w:t>
      </w:r>
    </w:p>
    <w:p w14:paraId="30CCD4D0" w14:textId="04DF12EC" w:rsidR="00CC7388" w:rsidRDefault="00CC7388" w:rsidP="00CC7388">
      <w:r>
        <w:t>The Future of IP addresses cutting-edge issues around the future development of IP, and will aim at three things.  First, to analyze the results of the Global IP Perception Survey (called “WIPO Pulse”) and to develop and gain insights into how people around the world view IP.  S</w:t>
      </w:r>
      <w:r w:rsidRPr="00947A24">
        <w:t xml:space="preserve">econd, to raise awareness </w:t>
      </w:r>
      <w:r>
        <w:t xml:space="preserve">about the future development of the global IP system, including in the context of emerging global challenges. </w:t>
      </w:r>
      <w:r w:rsidR="00FC621E">
        <w:t xml:space="preserve"> </w:t>
      </w:r>
      <w:r>
        <w:t>By working closely with external partners and interested stakeholders, this area of work will help to shape the future direction of the global IP ecosystem.  Third, to support IP Offices as they evolve their roles in a world where national economies are increasingly driven by innovation and creativity.  This will help to ensure that IP Offices are equipped to effectively navigate the evolving IP landscape, and support the growth and development of innovative and creative industries.</w:t>
      </w:r>
    </w:p>
    <w:p w14:paraId="3D0CF15A" w14:textId="77777777" w:rsidR="00CC7388" w:rsidRPr="00BD3491" w:rsidRDefault="00CC7388" w:rsidP="00CC7388">
      <w:pPr>
        <w:keepNext/>
        <w:spacing w:before="320" w:after="240"/>
        <w:rPr>
          <w:color w:val="005172" w:themeColor="text2"/>
          <w:sz w:val="22"/>
          <w:lang w:val="en-US"/>
        </w:rPr>
      </w:pPr>
      <w:r w:rsidRPr="00BD3491">
        <w:rPr>
          <w:color w:val="005172" w:themeColor="text2"/>
          <w:sz w:val="22"/>
          <w:lang w:val="en-US"/>
        </w:rPr>
        <w:t>Youth Engagement</w:t>
      </w:r>
    </w:p>
    <w:p w14:paraId="3493CF9B" w14:textId="2DC0600E" w:rsidR="00CC7388" w:rsidRPr="001235C6" w:rsidRDefault="00CC7388" w:rsidP="00CC7388">
      <w:pPr>
        <w:rPr>
          <w:rFonts w:asciiTheme="minorHAnsi" w:hAnsiTheme="minorHAnsi" w:cstheme="minorHAnsi"/>
          <w:szCs w:val="18"/>
        </w:rPr>
      </w:pPr>
      <w:r>
        <w:rPr>
          <w:rFonts w:asciiTheme="minorHAnsi" w:hAnsiTheme="minorHAnsi" w:cstheme="minorHAnsi"/>
          <w:szCs w:val="18"/>
          <w:lang w:val="en-US"/>
        </w:rPr>
        <w:t>WIPO’s</w:t>
      </w:r>
      <w:r w:rsidRPr="00C5346D">
        <w:rPr>
          <w:rFonts w:asciiTheme="minorHAnsi" w:hAnsiTheme="minorHAnsi" w:cstheme="minorHAnsi"/>
          <w:szCs w:val="18"/>
        </w:rPr>
        <w:t xml:space="preserve"> </w:t>
      </w:r>
      <w:r w:rsidRPr="00C5346D">
        <w:rPr>
          <w:rFonts w:asciiTheme="minorHAnsi" w:hAnsiTheme="minorHAnsi" w:cstheme="minorHAnsi"/>
          <w:szCs w:val="18"/>
          <w:lang w:val="en-US"/>
        </w:rPr>
        <w:t xml:space="preserve">Youth Engagement work </w:t>
      </w:r>
      <w:r>
        <w:rPr>
          <w:rFonts w:asciiTheme="minorHAnsi" w:hAnsiTheme="minorHAnsi" w:cstheme="minorHAnsi"/>
          <w:szCs w:val="18"/>
        </w:rPr>
        <w:t xml:space="preserve">recognizes the importance of </w:t>
      </w:r>
      <w:r w:rsidRPr="00C5346D">
        <w:rPr>
          <w:rFonts w:asciiTheme="minorHAnsi" w:hAnsiTheme="minorHAnsi" w:cstheme="minorHAnsi"/>
          <w:szCs w:val="18"/>
        </w:rPr>
        <w:t>young people in the innovation ecosystem</w:t>
      </w:r>
      <w:r>
        <w:rPr>
          <w:rFonts w:asciiTheme="minorHAnsi" w:hAnsiTheme="minorHAnsi" w:cstheme="minorHAnsi"/>
          <w:szCs w:val="18"/>
        </w:rPr>
        <w:t xml:space="preserve"> as our future innovators and creators.  </w:t>
      </w:r>
      <w:r>
        <w:rPr>
          <w:rFonts w:asciiTheme="minorHAnsi" w:hAnsiTheme="minorHAnsi" w:cstheme="minorHAnsi"/>
          <w:szCs w:val="18"/>
          <w:lang w:val="en-US"/>
        </w:rPr>
        <w:t xml:space="preserve">Building on the efforts of the previous </w:t>
      </w:r>
      <w:r w:rsidR="0026419C">
        <w:rPr>
          <w:rFonts w:asciiTheme="minorHAnsi" w:hAnsiTheme="minorHAnsi" w:cstheme="minorHAnsi"/>
          <w:szCs w:val="18"/>
          <w:lang w:val="en-US"/>
        </w:rPr>
        <w:t>biennium</w:t>
      </w:r>
      <w:r>
        <w:rPr>
          <w:rFonts w:asciiTheme="minorHAnsi" w:hAnsiTheme="minorHAnsi" w:cstheme="minorHAnsi"/>
          <w:szCs w:val="18"/>
          <w:lang w:val="en-US"/>
        </w:rPr>
        <w:t>, the</w:t>
      </w:r>
      <w:r>
        <w:rPr>
          <w:rFonts w:asciiTheme="minorHAnsi" w:hAnsiTheme="minorHAnsi" w:cstheme="minorHAnsi"/>
          <w:szCs w:val="18"/>
        </w:rPr>
        <w:t xml:space="preserve"> focus in</w:t>
      </w:r>
      <w:r>
        <w:rPr>
          <w:rFonts w:asciiTheme="minorHAnsi" w:hAnsiTheme="minorHAnsi" w:cstheme="minorHAnsi"/>
          <w:szCs w:val="18"/>
          <w:lang w:val="en-US"/>
        </w:rPr>
        <w:t xml:space="preserve"> 2024/25 will be on:</w:t>
      </w:r>
    </w:p>
    <w:p w14:paraId="259032D8" w14:textId="30064AA7" w:rsidR="00CC7388" w:rsidRPr="00BD3491" w:rsidRDefault="00CC7388" w:rsidP="008407D7">
      <w:pPr>
        <w:numPr>
          <w:ilvl w:val="0"/>
          <w:numId w:val="31"/>
        </w:numPr>
        <w:spacing w:line="240" w:lineRule="auto"/>
        <w:contextualSpacing/>
        <w:rPr>
          <w:rFonts w:cs="Arial"/>
        </w:rPr>
      </w:pPr>
      <w:r w:rsidRPr="00BD3491">
        <w:rPr>
          <w:rFonts w:cs="Arial"/>
        </w:rPr>
        <w:t>Roll</w:t>
      </w:r>
      <w:r>
        <w:rPr>
          <w:rFonts w:cs="Arial"/>
        </w:rPr>
        <w:t>ing</w:t>
      </w:r>
      <w:r w:rsidRPr="00BD3491">
        <w:rPr>
          <w:rFonts w:cs="Arial"/>
        </w:rPr>
        <w:t xml:space="preserve"> out</w:t>
      </w:r>
      <w:r>
        <w:rPr>
          <w:rFonts w:cs="Arial"/>
        </w:rPr>
        <w:t xml:space="preserve"> impact-driven</w:t>
      </w:r>
      <w:r w:rsidRPr="00BD3491">
        <w:rPr>
          <w:rFonts w:cs="Arial"/>
        </w:rPr>
        <w:t xml:space="preserve"> projects, activities and educational </w:t>
      </w:r>
      <w:r>
        <w:rPr>
          <w:rFonts w:cs="Arial"/>
        </w:rPr>
        <w:t>content</w:t>
      </w:r>
      <w:r w:rsidR="00FC621E">
        <w:rPr>
          <w:rFonts w:cs="Arial"/>
        </w:rPr>
        <w:t>,</w:t>
      </w:r>
      <w:r w:rsidRPr="00BD3491">
        <w:rPr>
          <w:rFonts w:cs="Arial"/>
        </w:rPr>
        <w:t xml:space="preserve"> </w:t>
      </w:r>
      <w:r>
        <w:rPr>
          <w:rFonts w:cs="Arial"/>
        </w:rPr>
        <w:t>which</w:t>
      </w:r>
      <w:r w:rsidRPr="00BD3491">
        <w:rPr>
          <w:rFonts w:cs="Arial"/>
        </w:rPr>
        <w:t xml:space="preserve"> young audiences</w:t>
      </w:r>
      <w:r>
        <w:rPr>
          <w:rFonts w:cs="Arial"/>
        </w:rPr>
        <w:t xml:space="preserve"> can relate to and be excited about;</w:t>
      </w:r>
    </w:p>
    <w:p w14:paraId="27FB5187" w14:textId="77777777" w:rsidR="00CC7388" w:rsidRPr="00BD3491" w:rsidRDefault="00CC7388" w:rsidP="00CC7388">
      <w:pPr>
        <w:spacing w:line="240" w:lineRule="auto"/>
        <w:ind w:left="360"/>
        <w:contextualSpacing/>
        <w:rPr>
          <w:rFonts w:cs="Arial"/>
        </w:rPr>
      </w:pPr>
    </w:p>
    <w:p w14:paraId="6F735F56" w14:textId="77777777" w:rsidR="00CC7388" w:rsidRPr="00BD3491" w:rsidRDefault="00CC7388" w:rsidP="008407D7">
      <w:pPr>
        <w:numPr>
          <w:ilvl w:val="0"/>
          <w:numId w:val="31"/>
        </w:numPr>
        <w:spacing w:line="240" w:lineRule="auto"/>
        <w:contextualSpacing/>
        <w:rPr>
          <w:rFonts w:cs="Arial"/>
        </w:rPr>
      </w:pPr>
      <w:r>
        <w:rPr>
          <w:rFonts w:cs="Arial"/>
        </w:rPr>
        <w:t xml:space="preserve">Increasing opportunities for young people by </w:t>
      </w:r>
      <w:r w:rsidRPr="00BD3491">
        <w:rPr>
          <w:rFonts w:cs="Arial"/>
        </w:rPr>
        <w:t>creat</w:t>
      </w:r>
      <w:r>
        <w:rPr>
          <w:rFonts w:cs="Arial"/>
        </w:rPr>
        <w:t>ing</w:t>
      </w:r>
      <w:r w:rsidRPr="00BD3491">
        <w:rPr>
          <w:rFonts w:cs="Arial"/>
        </w:rPr>
        <w:t xml:space="preserve"> a pipeline of young IP professionals, creators, inventors and entrepreneurs through intensive learning and training</w:t>
      </w:r>
      <w:r>
        <w:rPr>
          <w:rFonts w:cs="Arial"/>
        </w:rPr>
        <w:t xml:space="preserve"> activities;</w:t>
      </w:r>
    </w:p>
    <w:p w14:paraId="381D6865" w14:textId="77777777" w:rsidR="00CC7388" w:rsidRPr="00BD3491" w:rsidRDefault="00CC7388" w:rsidP="00CC7388">
      <w:pPr>
        <w:spacing w:line="240" w:lineRule="auto"/>
        <w:ind w:left="720"/>
        <w:contextualSpacing/>
        <w:rPr>
          <w:rFonts w:cs="Arial"/>
        </w:rPr>
      </w:pPr>
    </w:p>
    <w:p w14:paraId="5B3AB1CC" w14:textId="77777777" w:rsidR="00CC7388" w:rsidRPr="00BD3491" w:rsidRDefault="00CC7388" w:rsidP="008407D7">
      <w:pPr>
        <w:numPr>
          <w:ilvl w:val="0"/>
          <w:numId w:val="31"/>
        </w:numPr>
        <w:spacing w:line="240" w:lineRule="auto"/>
        <w:contextualSpacing/>
        <w:rPr>
          <w:rFonts w:cs="Arial"/>
        </w:rPr>
      </w:pPr>
      <w:r>
        <w:rPr>
          <w:rFonts w:cs="Arial"/>
        </w:rPr>
        <w:t xml:space="preserve">Giving a voice to </w:t>
      </w:r>
      <w:r w:rsidRPr="00BD3491">
        <w:rPr>
          <w:rFonts w:cs="Arial"/>
        </w:rPr>
        <w:t xml:space="preserve">youth </w:t>
      </w:r>
      <w:r>
        <w:rPr>
          <w:rFonts w:cs="Arial"/>
        </w:rPr>
        <w:t>from around the world</w:t>
      </w:r>
      <w:r w:rsidRPr="00BD3491">
        <w:rPr>
          <w:rFonts w:cs="Arial"/>
        </w:rPr>
        <w:t xml:space="preserve"> who have made strides in their IP journeys</w:t>
      </w:r>
      <w:r>
        <w:rPr>
          <w:rFonts w:cs="Arial"/>
        </w:rPr>
        <w:t xml:space="preserve"> and</w:t>
      </w:r>
      <w:r w:rsidRPr="00BD3491">
        <w:rPr>
          <w:rFonts w:cs="Arial"/>
        </w:rPr>
        <w:t xml:space="preserve"> empower and equip them to be champions of IP in their communities</w:t>
      </w:r>
      <w:r>
        <w:rPr>
          <w:rFonts w:cs="Arial"/>
        </w:rPr>
        <w:t>;</w:t>
      </w:r>
    </w:p>
    <w:p w14:paraId="75C3C768" w14:textId="77777777" w:rsidR="00CC7388" w:rsidRPr="00BD3491" w:rsidRDefault="00CC7388" w:rsidP="00CC7388">
      <w:pPr>
        <w:spacing w:line="240" w:lineRule="auto"/>
        <w:ind w:left="360"/>
        <w:contextualSpacing/>
        <w:rPr>
          <w:rFonts w:cs="Arial"/>
        </w:rPr>
      </w:pPr>
    </w:p>
    <w:p w14:paraId="72C5DAFD" w14:textId="77777777" w:rsidR="00CC7388" w:rsidRPr="00BD3491" w:rsidRDefault="00CC7388" w:rsidP="008407D7">
      <w:pPr>
        <w:numPr>
          <w:ilvl w:val="0"/>
          <w:numId w:val="31"/>
        </w:numPr>
        <w:spacing w:line="240" w:lineRule="auto"/>
        <w:contextualSpacing/>
        <w:rPr>
          <w:rFonts w:cs="Arial"/>
        </w:rPr>
      </w:pPr>
      <w:r w:rsidRPr="00BD3491">
        <w:rPr>
          <w:rFonts w:cs="Arial"/>
        </w:rPr>
        <w:t>Rais</w:t>
      </w:r>
      <w:r>
        <w:rPr>
          <w:rFonts w:cs="Arial"/>
        </w:rPr>
        <w:t>ing</w:t>
      </w:r>
      <w:r w:rsidRPr="00BD3491">
        <w:rPr>
          <w:rFonts w:cs="Arial"/>
        </w:rPr>
        <w:t xml:space="preserve"> awareness about the </w:t>
      </w:r>
      <w:r>
        <w:rPr>
          <w:rFonts w:cs="Arial"/>
        </w:rPr>
        <w:t>importance of</w:t>
      </w:r>
      <w:r w:rsidRPr="00BD3491">
        <w:rPr>
          <w:rFonts w:cs="Arial"/>
        </w:rPr>
        <w:t xml:space="preserve"> IP to young (and aspiring) inventors, creators and entrepreneurs</w:t>
      </w:r>
      <w:r>
        <w:rPr>
          <w:rFonts w:cs="Arial"/>
        </w:rPr>
        <w:t>;</w:t>
      </w:r>
    </w:p>
    <w:p w14:paraId="2B6EFFA4" w14:textId="77777777" w:rsidR="00CC7388" w:rsidRPr="00BD3491" w:rsidRDefault="00CC7388" w:rsidP="00CC7388">
      <w:pPr>
        <w:spacing w:line="240" w:lineRule="auto"/>
        <w:ind w:left="720"/>
        <w:contextualSpacing/>
        <w:rPr>
          <w:rFonts w:cs="Arial"/>
        </w:rPr>
      </w:pPr>
    </w:p>
    <w:p w14:paraId="5C52076D" w14:textId="77777777" w:rsidR="00CC7388" w:rsidRPr="00996FFE" w:rsidRDefault="00CC7388" w:rsidP="008407D7">
      <w:pPr>
        <w:numPr>
          <w:ilvl w:val="0"/>
          <w:numId w:val="31"/>
        </w:numPr>
        <w:spacing w:line="240" w:lineRule="auto"/>
        <w:contextualSpacing/>
        <w:rPr>
          <w:rFonts w:cs="Arial"/>
        </w:rPr>
      </w:pPr>
      <w:r w:rsidRPr="00A5320F">
        <w:rPr>
          <w:rFonts w:cs="Arial"/>
        </w:rPr>
        <w:t>Providing IP commercialization advice and support tailored for young entrepreneurs in the creative and industrial economy.</w:t>
      </w:r>
    </w:p>
    <w:p w14:paraId="51F3BA10" w14:textId="19735D21" w:rsidR="00CC7388" w:rsidRPr="009D3C42" w:rsidRDefault="00F01B55" w:rsidP="00CE7001">
      <w:pPr>
        <w:pStyle w:val="NormalAbb"/>
        <w:rPr>
          <w:color w:val="005172" w:themeColor="text2"/>
          <w:sz w:val="22"/>
          <w:lang w:val="en-US"/>
        </w:rPr>
      </w:pPr>
      <w:r w:rsidRPr="009D3C42">
        <w:rPr>
          <w:color w:val="005172" w:themeColor="text2"/>
          <w:sz w:val="22"/>
          <w:lang w:val="en-US"/>
        </w:rPr>
        <w:t xml:space="preserve">2030 Agenda for Sustainable Development and </w:t>
      </w:r>
      <w:r w:rsidR="00CC7388" w:rsidRPr="009D3C42">
        <w:rPr>
          <w:color w:val="005172" w:themeColor="text2"/>
          <w:sz w:val="22"/>
          <w:lang w:val="en-US"/>
        </w:rPr>
        <w:t>Sustainable Development Goals (SDGs)</w:t>
      </w:r>
    </w:p>
    <w:p w14:paraId="0E35CD02" w14:textId="6E9EE8A9" w:rsidR="00CC7388" w:rsidRPr="009D3C42" w:rsidRDefault="00CC7388" w:rsidP="00CC7388">
      <w:r w:rsidRPr="009D3C42">
        <w:rPr>
          <w:lang w:val="en-US"/>
        </w:rPr>
        <w:t xml:space="preserve">WIPO’s work </w:t>
      </w:r>
      <w:r w:rsidR="00142508" w:rsidRPr="009D3C42">
        <w:rPr>
          <w:lang w:val="en-US"/>
        </w:rPr>
        <w:t xml:space="preserve">for the implementation of the 2030 Agenda for Sustainable Development </w:t>
      </w:r>
      <w:r w:rsidRPr="009D3C42">
        <w:rPr>
          <w:lang w:val="en-US"/>
        </w:rPr>
        <w:t xml:space="preserve">responds to the evolving needs and priorities of its Member States and stakeholders </w:t>
      </w:r>
      <w:r w:rsidR="00142508" w:rsidRPr="009D3C42">
        <w:rPr>
          <w:lang w:val="en-US"/>
        </w:rPr>
        <w:t xml:space="preserve">and contributes to </w:t>
      </w:r>
      <w:r w:rsidRPr="009D3C42">
        <w:rPr>
          <w:lang w:val="en-US"/>
        </w:rPr>
        <w:t>addressing global challenges such as climate change, poverty, and inequality.</w:t>
      </w:r>
      <w:r w:rsidRPr="009D3C42">
        <w:t xml:space="preserve">  </w:t>
      </w:r>
      <w:r w:rsidRPr="009D3C42">
        <w:rPr>
          <w:lang w:val="en-US"/>
        </w:rPr>
        <w:t xml:space="preserve">By contributing to the implementation of the </w:t>
      </w:r>
      <w:r w:rsidR="00142508" w:rsidRPr="009D3C42">
        <w:rPr>
          <w:lang w:val="en-US"/>
        </w:rPr>
        <w:t>2030 Agenda for Sustainable Development</w:t>
      </w:r>
      <w:r w:rsidRPr="009D3C42">
        <w:rPr>
          <w:lang w:val="en-US"/>
        </w:rPr>
        <w:t xml:space="preserve">, WIPO seeks to demonstrate the value and relevance of IP in promoting economic, social, and environmental progress.  The SDGs also emphasize the need for partnerships and collaboration across different sectors and stakeholder groups, including governments, </w:t>
      </w:r>
      <w:r w:rsidR="00142508" w:rsidRPr="009D3C42">
        <w:rPr>
          <w:lang w:val="en-US"/>
        </w:rPr>
        <w:t xml:space="preserve">international organizations, </w:t>
      </w:r>
      <w:r w:rsidRPr="009D3C42">
        <w:rPr>
          <w:lang w:val="en-US"/>
        </w:rPr>
        <w:t xml:space="preserve">civil society, </w:t>
      </w:r>
      <w:r w:rsidR="00142508" w:rsidRPr="009D3C42">
        <w:rPr>
          <w:lang w:val="en-US"/>
        </w:rPr>
        <w:t xml:space="preserve">and </w:t>
      </w:r>
      <w:r w:rsidRPr="009D3C42">
        <w:rPr>
          <w:lang w:val="en-US"/>
        </w:rPr>
        <w:t xml:space="preserve">the private sector.  As a specialized agency of the UN, WIPO has a unique role to play in facilitating these partnerships and providing a platform for dialogue and cooperation on IP-related issues that impact sustainable development.  In the 2024/25 biennium, WIPO will continue its </w:t>
      </w:r>
      <w:r w:rsidR="00142508" w:rsidRPr="009D3C42">
        <w:rPr>
          <w:lang w:val="en-US"/>
        </w:rPr>
        <w:t xml:space="preserve">active and </w:t>
      </w:r>
      <w:r w:rsidRPr="009D3C42">
        <w:t xml:space="preserve">multi-faceted </w:t>
      </w:r>
      <w:r w:rsidR="00142508" w:rsidRPr="009D3C42">
        <w:t xml:space="preserve">engagement </w:t>
      </w:r>
      <w:r w:rsidRPr="009D3C42">
        <w:t xml:space="preserve">to </w:t>
      </w:r>
      <w:r w:rsidR="00142508" w:rsidRPr="009D3C42">
        <w:t xml:space="preserve">support </w:t>
      </w:r>
      <w:r w:rsidRPr="009D3C42">
        <w:t>the implementation of the 2030 Agenda for Sustainable Development.  This work will consider the broad scope of the SDGs and their cross-cutting impact on the Organization through: (i) preparing reports and facilitating the discussions on the SDGs as they rela</w:t>
      </w:r>
      <w:r w:rsidR="00490D1F">
        <w:t xml:space="preserve">te to WIPO’s mandate and work; </w:t>
      </w:r>
      <w:r w:rsidRPr="009D3C42">
        <w:t>(ii) engaging with other IGOs and UN agencies on the SDGs</w:t>
      </w:r>
      <w:r w:rsidR="00386DB7" w:rsidRPr="009D3C42">
        <w:t>, including within the framework of the UN Sustainable Development Group (UNSDG)</w:t>
      </w:r>
      <w:r w:rsidRPr="009D3C42">
        <w:t>; and (iii) reaching out to Member States, partners and other stakeholders with relevant information on the potential of IP for achieving the SDGs and on WIPO’s work programs and activities that contribute to that objective.</w:t>
      </w:r>
    </w:p>
    <w:p w14:paraId="75875E87" w14:textId="065D3A5D" w:rsidR="00142508" w:rsidRPr="002A49E1" w:rsidRDefault="00142508" w:rsidP="00CC7388">
      <w:r w:rsidRPr="009D3C42">
        <w:t>As the specialized United Nations agency for innovation and IP, WIPO has a</w:t>
      </w:r>
      <w:r w:rsidR="0035699C" w:rsidRPr="009D3C42">
        <w:t>n important</w:t>
      </w:r>
      <w:r w:rsidRPr="009D3C42">
        <w:t xml:space="preserve"> role to play </w:t>
      </w:r>
      <w:r w:rsidR="003925C8" w:rsidRPr="009D3C42">
        <w:t>in helping Member States to achieve the SDGs</w:t>
      </w:r>
      <w:r w:rsidRPr="009D3C42">
        <w:t xml:space="preserve">. Through its technical assistance for development programs, </w:t>
      </w:r>
      <w:r w:rsidR="003925C8" w:rsidRPr="009D3C42">
        <w:t>WIPO helps developing and least developed countries to benefit</w:t>
      </w:r>
      <w:r w:rsidR="009D3C42" w:rsidRPr="009D3C42">
        <w:t xml:space="preserve"> </w:t>
      </w:r>
      <w:r w:rsidRPr="009D3C42">
        <w:t xml:space="preserve">from the use of intellectual property (IP) to achieve the SDGs. By stepping up its efforts to create a balanced and effective global IP system, WIPO will assist Member States and stakeholders to use the IP system to stimulate the innovation, competitiveness and creativity they need to achieve those goals. </w:t>
      </w:r>
      <w:r w:rsidR="00EC0EE5">
        <w:t xml:space="preserve"> </w:t>
      </w:r>
      <w:r w:rsidRPr="009D3C42">
        <w:t xml:space="preserve">WIPO will </w:t>
      </w:r>
      <w:r w:rsidR="003925C8" w:rsidRPr="009D3C42">
        <w:t>strive to</w:t>
      </w:r>
      <w:r w:rsidR="009D3C42" w:rsidRPr="009D3C42">
        <w:t xml:space="preserve"> </w:t>
      </w:r>
      <w:r w:rsidRPr="009D3C42">
        <w:t xml:space="preserve">ensure that IP and development policies </w:t>
      </w:r>
      <w:r w:rsidR="003925C8" w:rsidRPr="009D3C42">
        <w:t xml:space="preserve">play a </w:t>
      </w:r>
      <w:r w:rsidR="009D3C42" w:rsidRPr="009D3C42">
        <w:t xml:space="preserve">supportive </w:t>
      </w:r>
      <w:r w:rsidR="003925C8" w:rsidRPr="009D3C42">
        <w:t>role in the achievement of the SDGs</w:t>
      </w:r>
      <w:r w:rsidRPr="009D3C42">
        <w:t>.</w:t>
      </w:r>
    </w:p>
    <w:p w14:paraId="3369CEC6" w14:textId="77777777" w:rsidR="00CC7388" w:rsidRPr="00CE7001" w:rsidRDefault="00CC7388" w:rsidP="00CE7001">
      <w:pPr>
        <w:pStyle w:val="NormalAbb"/>
        <w:rPr>
          <w:color w:val="005172" w:themeColor="text2"/>
          <w:sz w:val="22"/>
          <w:lang w:val="en-US"/>
        </w:rPr>
      </w:pPr>
      <w:r w:rsidRPr="00CE7001">
        <w:rPr>
          <w:color w:val="005172" w:themeColor="text2"/>
          <w:sz w:val="22"/>
          <w:lang w:val="en-US"/>
        </w:rPr>
        <w:t xml:space="preserve">External Relations </w:t>
      </w:r>
    </w:p>
    <w:p w14:paraId="7D2E5F49" w14:textId="77777777" w:rsidR="00CC7388" w:rsidRPr="005C16C7" w:rsidRDefault="00CC7388" w:rsidP="00CC7388">
      <w:pPr>
        <w:rPr>
          <w:lang w:val="en-US"/>
        </w:rPr>
      </w:pPr>
      <w:r w:rsidRPr="00381E01">
        <w:rPr>
          <w:lang w:val="en-US"/>
        </w:rPr>
        <w:t>The work in connection with External Relations for the next biennium will be to:</w:t>
      </w:r>
      <w:r w:rsidRPr="005C16C7">
        <w:rPr>
          <w:lang w:val="en-US"/>
        </w:rPr>
        <w:t xml:space="preserve"> </w:t>
      </w:r>
    </w:p>
    <w:p w14:paraId="770A8028" w14:textId="77777777" w:rsidR="00CC7388" w:rsidRPr="004D430E" w:rsidRDefault="00CC7388" w:rsidP="008407D7">
      <w:pPr>
        <w:numPr>
          <w:ilvl w:val="0"/>
          <w:numId w:val="31"/>
        </w:numPr>
        <w:spacing w:line="240" w:lineRule="auto"/>
        <w:contextualSpacing/>
        <w:rPr>
          <w:rFonts w:cs="Arial"/>
          <w:color w:val="000000" w:themeColor="text1"/>
        </w:rPr>
      </w:pPr>
      <w:r w:rsidRPr="004D430E">
        <w:rPr>
          <w:rFonts w:cs="Arial"/>
          <w:color w:val="000000" w:themeColor="text1"/>
        </w:rPr>
        <w:t>Actively engage with UN Organizations, IGOs, NGOs and Industry on the role of IP, innovation and technol</w:t>
      </w:r>
      <w:r>
        <w:rPr>
          <w:rFonts w:cs="Arial"/>
          <w:color w:val="000000" w:themeColor="text1"/>
        </w:rPr>
        <w:t>ogy in improving peoples’ lives,</w:t>
      </w:r>
      <w:r w:rsidRPr="004D430E">
        <w:rPr>
          <w:rFonts w:cs="Arial"/>
          <w:color w:val="000000" w:themeColor="text1"/>
        </w:rPr>
        <w:t xml:space="preserve"> and in so doing</w:t>
      </w:r>
      <w:r>
        <w:rPr>
          <w:rFonts w:cs="Arial"/>
          <w:color w:val="000000" w:themeColor="text1"/>
        </w:rPr>
        <w:t>,</w:t>
      </w:r>
      <w:r w:rsidRPr="004D430E">
        <w:rPr>
          <w:rFonts w:cs="Arial"/>
          <w:color w:val="000000" w:themeColor="text1"/>
        </w:rPr>
        <w:t xml:space="preserve"> reinforce WIPO’s position as the p</w:t>
      </w:r>
      <w:r>
        <w:rPr>
          <w:rFonts w:cs="Arial"/>
          <w:color w:val="000000" w:themeColor="text1"/>
        </w:rPr>
        <w:t>rimary international body on IP;</w:t>
      </w:r>
    </w:p>
    <w:p w14:paraId="68E37C7C" w14:textId="77777777" w:rsidR="00CC7388" w:rsidRPr="004D430E" w:rsidRDefault="00CC7388" w:rsidP="00CC7388">
      <w:pPr>
        <w:spacing w:line="240" w:lineRule="auto"/>
        <w:ind w:left="720"/>
        <w:contextualSpacing/>
        <w:rPr>
          <w:rFonts w:cs="Arial"/>
          <w:color w:val="000000" w:themeColor="text1"/>
        </w:rPr>
      </w:pPr>
    </w:p>
    <w:p w14:paraId="7A2B87EC" w14:textId="77777777" w:rsidR="00CC7388" w:rsidRPr="004D430E" w:rsidRDefault="00CC7388" w:rsidP="008407D7">
      <w:pPr>
        <w:numPr>
          <w:ilvl w:val="0"/>
          <w:numId w:val="31"/>
        </w:numPr>
        <w:spacing w:line="240" w:lineRule="auto"/>
        <w:contextualSpacing/>
        <w:rPr>
          <w:rFonts w:cs="Arial"/>
          <w:color w:val="000000" w:themeColor="text1"/>
        </w:rPr>
      </w:pPr>
      <w:r w:rsidRPr="004D430E">
        <w:rPr>
          <w:rFonts w:cs="Arial"/>
          <w:color w:val="000000" w:themeColor="text1"/>
        </w:rPr>
        <w:t>Strengthen WIPO’s representation in international meetings and processes that have a bearing on WIPO’s mandate</w:t>
      </w:r>
      <w:r>
        <w:rPr>
          <w:rFonts w:cs="Arial"/>
          <w:color w:val="000000" w:themeColor="text1"/>
        </w:rPr>
        <w:t>;</w:t>
      </w:r>
      <w:r w:rsidRPr="004D430E">
        <w:rPr>
          <w:rFonts w:cs="Arial"/>
          <w:color w:val="000000" w:themeColor="text1"/>
        </w:rPr>
        <w:t xml:space="preserve"> </w:t>
      </w:r>
    </w:p>
    <w:p w14:paraId="730A51A2" w14:textId="77777777" w:rsidR="00CC7388" w:rsidRPr="004D430E" w:rsidRDefault="00CC7388" w:rsidP="00CC7388">
      <w:pPr>
        <w:spacing w:line="240" w:lineRule="auto"/>
        <w:ind w:left="720"/>
        <w:contextualSpacing/>
        <w:rPr>
          <w:rFonts w:cs="Arial"/>
          <w:color w:val="000000" w:themeColor="text1"/>
        </w:rPr>
      </w:pPr>
    </w:p>
    <w:p w14:paraId="6DEA9914" w14:textId="77777777" w:rsidR="00CC7388" w:rsidRPr="004D430E" w:rsidRDefault="00CC7388" w:rsidP="008407D7">
      <w:pPr>
        <w:numPr>
          <w:ilvl w:val="0"/>
          <w:numId w:val="31"/>
        </w:numPr>
        <w:spacing w:line="240" w:lineRule="auto"/>
        <w:contextualSpacing/>
        <w:rPr>
          <w:rFonts w:cs="Arial"/>
          <w:color w:val="000000" w:themeColor="text1"/>
        </w:rPr>
      </w:pPr>
      <w:r w:rsidRPr="004D430E">
        <w:rPr>
          <w:rFonts w:cs="Arial"/>
          <w:color w:val="000000" w:themeColor="text1"/>
        </w:rPr>
        <w:t>Foster and deepen partnerships with select UN Organizations, IGOs, NGOs and Industry groups to use IP and innovation to improve peoples’ lives, in line with the MTSP</w:t>
      </w:r>
      <w:r>
        <w:rPr>
          <w:rFonts w:cs="Arial"/>
          <w:color w:val="000000" w:themeColor="text1"/>
        </w:rPr>
        <w:t>;</w:t>
      </w:r>
      <w:r w:rsidRPr="004D430E">
        <w:rPr>
          <w:rFonts w:cs="Arial"/>
          <w:color w:val="000000" w:themeColor="text1"/>
        </w:rPr>
        <w:t xml:space="preserve"> </w:t>
      </w:r>
    </w:p>
    <w:p w14:paraId="5BFF7D63" w14:textId="77777777" w:rsidR="00CC7388" w:rsidRPr="004D430E" w:rsidRDefault="00CC7388" w:rsidP="00CC7388">
      <w:pPr>
        <w:spacing w:line="240" w:lineRule="auto"/>
        <w:ind w:left="720"/>
        <w:contextualSpacing/>
        <w:rPr>
          <w:rFonts w:cs="Arial"/>
          <w:color w:val="000000" w:themeColor="text1"/>
        </w:rPr>
      </w:pPr>
    </w:p>
    <w:p w14:paraId="737A392C" w14:textId="77777777" w:rsidR="00CC7388" w:rsidRPr="004D430E" w:rsidRDefault="00CC7388" w:rsidP="008407D7">
      <w:pPr>
        <w:numPr>
          <w:ilvl w:val="0"/>
          <w:numId w:val="31"/>
        </w:numPr>
        <w:spacing w:line="240" w:lineRule="auto"/>
        <w:contextualSpacing/>
        <w:rPr>
          <w:rFonts w:cs="Arial"/>
          <w:color w:val="000000" w:themeColor="text1"/>
        </w:rPr>
      </w:pPr>
      <w:r w:rsidRPr="004D430E">
        <w:rPr>
          <w:rFonts w:cs="Arial"/>
          <w:color w:val="000000" w:themeColor="text1"/>
        </w:rPr>
        <w:t>Increase outreach to communities underserved by the IP ecosystem</w:t>
      </w:r>
      <w:r>
        <w:rPr>
          <w:rFonts w:cs="Arial"/>
          <w:color w:val="000000" w:themeColor="text1"/>
        </w:rPr>
        <w:t>,</w:t>
      </w:r>
      <w:r w:rsidRPr="004D430E">
        <w:rPr>
          <w:rFonts w:cs="Arial"/>
          <w:color w:val="000000" w:themeColor="text1"/>
        </w:rPr>
        <w:t xml:space="preserve"> to enable them to use IP for growth and development</w:t>
      </w:r>
      <w:r>
        <w:rPr>
          <w:rFonts w:cs="Arial"/>
          <w:color w:val="000000" w:themeColor="text1"/>
        </w:rPr>
        <w:t>;</w:t>
      </w:r>
    </w:p>
    <w:p w14:paraId="32F030A4" w14:textId="77777777" w:rsidR="00CC7388" w:rsidRPr="004D430E" w:rsidRDefault="00CC7388" w:rsidP="00CC7388">
      <w:pPr>
        <w:spacing w:line="240" w:lineRule="auto"/>
        <w:ind w:left="720"/>
        <w:contextualSpacing/>
        <w:rPr>
          <w:rFonts w:cs="Arial"/>
          <w:color w:val="000000" w:themeColor="text1"/>
        </w:rPr>
      </w:pPr>
    </w:p>
    <w:p w14:paraId="4386CD88" w14:textId="77777777" w:rsidR="00CC7388" w:rsidRPr="004D430E" w:rsidRDefault="00CC7388" w:rsidP="008407D7">
      <w:pPr>
        <w:numPr>
          <w:ilvl w:val="0"/>
          <w:numId w:val="31"/>
        </w:numPr>
        <w:spacing w:line="240" w:lineRule="auto"/>
        <w:contextualSpacing/>
        <w:rPr>
          <w:rFonts w:cs="Arial"/>
          <w:color w:val="000000" w:themeColor="text1"/>
        </w:rPr>
      </w:pPr>
      <w:r w:rsidRPr="004D430E">
        <w:rPr>
          <w:rFonts w:cs="Arial"/>
          <w:color w:val="000000" w:themeColor="text1"/>
        </w:rPr>
        <w:t xml:space="preserve">Enhance liaison among all relevant areas of WIPO to facilitate provision of technical contributions to multilateral processes and initiatives. </w:t>
      </w:r>
    </w:p>
    <w:p w14:paraId="2587BEF6" w14:textId="61509334" w:rsidR="00CC7388" w:rsidRPr="00CE7001" w:rsidRDefault="00CC7388" w:rsidP="00CE7001">
      <w:pPr>
        <w:pStyle w:val="NormalAbb"/>
        <w:rPr>
          <w:color w:val="005172" w:themeColor="text2"/>
          <w:sz w:val="22"/>
          <w:lang w:val="en-US"/>
        </w:rPr>
      </w:pPr>
      <w:r w:rsidRPr="00CE7001">
        <w:rPr>
          <w:color w:val="005172" w:themeColor="text2"/>
          <w:sz w:val="22"/>
          <w:lang w:val="en-US"/>
        </w:rPr>
        <w:t xml:space="preserve">WIPO’s </w:t>
      </w:r>
      <w:r w:rsidR="00A55F0A">
        <w:rPr>
          <w:color w:val="005172" w:themeColor="text2"/>
          <w:sz w:val="22"/>
          <w:lang w:val="en-US"/>
        </w:rPr>
        <w:t>Coordination</w:t>
      </w:r>
      <w:r w:rsidR="00A55F0A" w:rsidRPr="00CE7001">
        <w:rPr>
          <w:color w:val="005172" w:themeColor="text2"/>
          <w:sz w:val="22"/>
          <w:lang w:val="en-US"/>
        </w:rPr>
        <w:t xml:space="preserve"> </w:t>
      </w:r>
      <w:r w:rsidRPr="00CE7001">
        <w:rPr>
          <w:color w:val="005172" w:themeColor="text2"/>
          <w:sz w:val="22"/>
          <w:lang w:val="en-US"/>
        </w:rPr>
        <w:t xml:space="preserve">Office in New York </w:t>
      </w:r>
    </w:p>
    <w:p w14:paraId="63B5B410" w14:textId="77777777" w:rsidR="00CC7388" w:rsidRPr="00EB74C8" w:rsidRDefault="00CC7388" w:rsidP="00CC7388">
      <w:pPr>
        <w:rPr>
          <w:lang w:val="en-US"/>
        </w:rPr>
      </w:pPr>
      <w:r w:rsidRPr="00EB74C8">
        <w:rPr>
          <w:lang w:val="en-US"/>
        </w:rPr>
        <w:t xml:space="preserve">As WIPO's </w:t>
      </w:r>
      <w:r>
        <w:rPr>
          <w:lang w:val="en-US"/>
        </w:rPr>
        <w:t xml:space="preserve">permanent </w:t>
      </w:r>
      <w:r w:rsidRPr="00EB74C8">
        <w:rPr>
          <w:lang w:val="en-US"/>
        </w:rPr>
        <w:t>representation to the U</w:t>
      </w:r>
      <w:r>
        <w:rPr>
          <w:lang w:val="en-US"/>
        </w:rPr>
        <w:t>nited Nations (UN) headquarters</w:t>
      </w:r>
      <w:r w:rsidRPr="00EB74C8">
        <w:rPr>
          <w:lang w:val="en-US"/>
        </w:rPr>
        <w:t>, UN system entities and diplomatic community in New York, WIPO</w:t>
      </w:r>
      <w:r>
        <w:rPr>
          <w:lang w:val="en-US"/>
        </w:rPr>
        <w:t>’s Representative</w:t>
      </w:r>
      <w:r w:rsidRPr="00EB74C8">
        <w:rPr>
          <w:lang w:val="en-US"/>
        </w:rPr>
        <w:t xml:space="preserve"> Office in New York will, over the course of the next biennium, continue </w:t>
      </w:r>
      <w:r>
        <w:rPr>
          <w:lang w:val="en-US"/>
        </w:rPr>
        <w:t>to:</w:t>
      </w:r>
    </w:p>
    <w:p w14:paraId="4CC9BBB4" w14:textId="77777777" w:rsidR="00CC7388" w:rsidRDefault="00CC7388" w:rsidP="008407D7">
      <w:pPr>
        <w:pStyle w:val="ListParagraph"/>
        <w:numPr>
          <w:ilvl w:val="0"/>
          <w:numId w:val="31"/>
        </w:numPr>
        <w:spacing w:after="180"/>
        <w:rPr>
          <w:rFonts w:ascii="Arial" w:eastAsiaTheme="minorHAnsi" w:hAnsi="Arial" w:cstheme="minorBidi"/>
          <w:sz w:val="18"/>
          <w:lang w:eastAsia="en-US"/>
        </w:rPr>
      </w:pPr>
      <w:r>
        <w:rPr>
          <w:rFonts w:ascii="Arial" w:eastAsiaTheme="minorHAnsi" w:hAnsi="Arial" w:cstheme="minorBidi"/>
          <w:sz w:val="18"/>
          <w:lang w:eastAsia="en-US"/>
        </w:rPr>
        <w:t>Lead WIPO’s r</w:t>
      </w:r>
      <w:r w:rsidRPr="007F08E6">
        <w:rPr>
          <w:rFonts w:ascii="Arial" w:eastAsiaTheme="minorHAnsi" w:hAnsi="Arial" w:cstheme="minorBidi"/>
          <w:sz w:val="18"/>
          <w:lang w:eastAsia="en-US"/>
        </w:rPr>
        <w:t>epresent</w:t>
      </w:r>
      <w:r>
        <w:rPr>
          <w:rFonts w:ascii="Arial" w:eastAsiaTheme="minorHAnsi" w:hAnsi="Arial" w:cstheme="minorBidi"/>
          <w:sz w:val="18"/>
          <w:lang w:eastAsia="en-US"/>
        </w:rPr>
        <w:t xml:space="preserve">ation and </w:t>
      </w:r>
      <w:r w:rsidRPr="007F08E6">
        <w:rPr>
          <w:rFonts w:ascii="Arial" w:eastAsiaTheme="minorHAnsi" w:hAnsi="Arial" w:cstheme="minorBidi"/>
          <w:sz w:val="18"/>
          <w:lang w:eastAsia="en-US"/>
        </w:rPr>
        <w:t>participat</w:t>
      </w:r>
      <w:r>
        <w:rPr>
          <w:rFonts w:ascii="Arial" w:eastAsiaTheme="minorHAnsi" w:hAnsi="Arial" w:cstheme="minorBidi"/>
          <w:sz w:val="18"/>
          <w:lang w:eastAsia="en-US"/>
        </w:rPr>
        <w:t xml:space="preserve">ion </w:t>
      </w:r>
      <w:r w:rsidRPr="007F08E6">
        <w:rPr>
          <w:rFonts w:ascii="Arial" w:eastAsiaTheme="minorHAnsi" w:hAnsi="Arial" w:cstheme="minorBidi"/>
          <w:sz w:val="18"/>
          <w:lang w:eastAsia="en-US"/>
        </w:rPr>
        <w:t xml:space="preserve">in relevant meetings of the main UN organs in New York, particularly the UN General Assembly, the Economic and Social Council, and the Secretariat; </w:t>
      </w:r>
    </w:p>
    <w:p w14:paraId="7232C5D3" w14:textId="77777777" w:rsidR="00CC7388" w:rsidRPr="007F08E6" w:rsidRDefault="00CC7388" w:rsidP="00CC7388">
      <w:pPr>
        <w:pStyle w:val="ListParagraph"/>
        <w:spacing w:after="180"/>
        <w:rPr>
          <w:rFonts w:ascii="Arial" w:eastAsiaTheme="minorHAnsi" w:hAnsi="Arial" w:cstheme="minorBidi"/>
          <w:sz w:val="18"/>
          <w:lang w:eastAsia="en-US"/>
        </w:rPr>
      </w:pPr>
    </w:p>
    <w:p w14:paraId="20DC1CE6" w14:textId="7F70964A" w:rsidR="00CC7388" w:rsidRDefault="00CC7388" w:rsidP="008407D7">
      <w:pPr>
        <w:pStyle w:val="ListParagraph"/>
        <w:numPr>
          <w:ilvl w:val="0"/>
          <w:numId w:val="31"/>
        </w:numPr>
        <w:spacing w:after="180"/>
        <w:rPr>
          <w:rFonts w:ascii="Arial" w:eastAsiaTheme="minorHAnsi" w:hAnsi="Arial" w:cstheme="minorBidi"/>
          <w:sz w:val="18"/>
          <w:lang w:eastAsia="en-US"/>
        </w:rPr>
      </w:pPr>
      <w:r>
        <w:rPr>
          <w:rFonts w:ascii="Arial" w:eastAsiaTheme="minorHAnsi" w:hAnsi="Arial" w:cstheme="minorBidi"/>
          <w:sz w:val="18"/>
          <w:lang w:eastAsia="en-US"/>
        </w:rPr>
        <w:t>Direct the Organization’s e</w:t>
      </w:r>
      <w:r w:rsidRPr="007F08E6">
        <w:rPr>
          <w:rFonts w:ascii="Arial" w:eastAsiaTheme="minorHAnsi" w:hAnsi="Arial" w:cstheme="minorBidi"/>
          <w:sz w:val="18"/>
          <w:lang w:eastAsia="en-US"/>
        </w:rPr>
        <w:t>ngage</w:t>
      </w:r>
      <w:r>
        <w:rPr>
          <w:rFonts w:ascii="Arial" w:eastAsiaTheme="minorHAnsi" w:hAnsi="Arial" w:cstheme="minorBidi"/>
          <w:sz w:val="18"/>
          <w:lang w:eastAsia="en-US"/>
        </w:rPr>
        <w:t xml:space="preserve">ment in UN inter-agency processes and </w:t>
      </w:r>
      <w:r w:rsidRPr="007F08E6">
        <w:rPr>
          <w:rFonts w:ascii="Arial" w:eastAsiaTheme="minorHAnsi" w:hAnsi="Arial" w:cstheme="minorBidi"/>
          <w:sz w:val="18"/>
          <w:lang w:eastAsia="en-US"/>
        </w:rPr>
        <w:t>mechanisms relevant to the Organization’s mandate</w:t>
      </w:r>
      <w:r>
        <w:rPr>
          <w:rFonts w:ascii="Arial" w:eastAsiaTheme="minorHAnsi" w:hAnsi="Arial" w:cstheme="minorBidi"/>
          <w:sz w:val="18"/>
          <w:lang w:eastAsia="en-US"/>
        </w:rPr>
        <w:t>,</w:t>
      </w:r>
      <w:r w:rsidRPr="007F08E6">
        <w:rPr>
          <w:rFonts w:ascii="Arial" w:eastAsiaTheme="minorHAnsi" w:hAnsi="Arial" w:cstheme="minorBidi"/>
          <w:sz w:val="18"/>
          <w:lang w:eastAsia="en-US"/>
        </w:rPr>
        <w:t xml:space="preserve"> </w:t>
      </w:r>
      <w:r>
        <w:rPr>
          <w:rFonts w:ascii="Arial" w:eastAsiaTheme="minorHAnsi" w:hAnsi="Arial" w:cstheme="minorBidi"/>
          <w:sz w:val="18"/>
          <w:lang w:eastAsia="en-US"/>
        </w:rPr>
        <w:t xml:space="preserve">and strengthen </w:t>
      </w:r>
      <w:r w:rsidRPr="007F08E6">
        <w:rPr>
          <w:rFonts w:ascii="Arial" w:eastAsiaTheme="minorHAnsi" w:hAnsi="Arial" w:cstheme="minorBidi"/>
          <w:sz w:val="18"/>
          <w:lang w:eastAsia="en-US"/>
        </w:rPr>
        <w:t>partnerships with UN System representations in New York and other IGOs and partners in the U</w:t>
      </w:r>
      <w:r>
        <w:rPr>
          <w:rFonts w:ascii="Arial" w:eastAsiaTheme="minorHAnsi" w:hAnsi="Arial" w:cstheme="minorBidi"/>
          <w:sz w:val="18"/>
          <w:lang w:eastAsia="en-US"/>
        </w:rPr>
        <w:t xml:space="preserve">nited </w:t>
      </w:r>
      <w:r w:rsidRPr="007F08E6">
        <w:rPr>
          <w:rFonts w:ascii="Arial" w:eastAsiaTheme="minorHAnsi" w:hAnsi="Arial" w:cstheme="minorBidi"/>
          <w:sz w:val="18"/>
          <w:lang w:eastAsia="en-US"/>
        </w:rPr>
        <w:t>S</w:t>
      </w:r>
      <w:r>
        <w:rPr>
          <w:rFonts w:ascii="Arial" w:eastAsiaTheme="minorHAnsi" w:hAnsi="Arial" w:cstheme="minorBidi"/>
          <w:sz w:val="18"/>
          <w:lang w:eastAsia="en-US"/>
        </w:rPr>
        <w:t>tates of America in order to,</w:t>
      </w:r>
      <w:r w:rsidRPr="007F08E6">
        <w:rPr>
          <w:rFonts w:ascii="Arial" w:eastAsiaTheme="minorHAnsi" w:hAnsi="Arial" w:cstheme="minorBidi"/>
          <w:sz w:val="18"/>
          <w:lang w:eastAsia="en-US"/>
        </w:rPr>
        <w:t xml:space="preserve"> </w:t>
      </w:r>
      <w:r w:rsidRPr="00B16AC8">
        <w:rPr>
          <w:rFonts w:ascii="Arial" w:eastAsiaTheme="minorHAnsi" w:hAnsi="Arial" w:cstheme="minorBidi"/>
          <w:i/>
          <w:sz w:val="18"/>
          <w:lang w:eastAsia="en-US"/>
        </w:rPr>
        <w:t>inter alia</w:t>
      </w:r>
      <w:r w:rsidR="00FC621E">
        <w:rPr>
          <w:rFonts w:ascii="Arial" w:eastAsiaTheme="minorHAnsi" w:hAnsi="Arial" w:cstheme="minorBidi"/>
          <w:sz w:val="18"/>
          <w:lang w:eastAsia="en-US"/>
        </w:rPr>
        <w:t>, promote WIPO-</w:t>
      </w:r>
      <w:r>
        <w:rPr>
          <w:rFonts w:ascii="Arial" w:eastAsiaTheme="minorHAnsi" w:hAnsi="Arial" w:cstheme="minorBidi"/>
          <w:sz w:val="18"/>
          <w:lang w:eastAsia="en-US"/>
        </w:rPr>
        <w:t xml:space="preserve">led </w:t>
      </w:r>
      <w:r w:rsidRPr="007F08E6">
        <w:rPr>
          <w:rFonts w:ascii="Arial" w:eastAsiaTheme="minorHAnsi" w:hAnsi="Arial" w:cstheme="minorBidi"/>
          <w:sz w:val="18"/>
          <w:lang w:eastAsia="en-US"/>
        </w:rPr>
        <w:t>initiatives</w:t>
      </w:r>
      <w:r>
        <w:rPr>
          <w:rFonts w:ascii="Arial" w:eastAsiaTheme="minorHAnsi" w:hAnsi="Arial" w:cstheme="minorBidi"/>
          <w:sz w:val="18"/>
          <w:lang w:eastAsia="en-US"/>
        </w:rPr>
        <w:t xml:space="preserve"> and programs of work </w:t>
      </w:r>
      <w:r w:rsidRPr="007F08E6">
        <w:rPr>
          <w:rFonts w:ascii="Arial" w:eastAsiaTheme="minorHAnsi" w:hAnsi="Arial" w:cstheme="minorBidi"/>
          <w:sz w:val="18"/>
          <w:lang w:eastAsia="en-US"/>
        </w:rPr>
        <w:t xml:space="preserve">that </w:t>
      </w:r>
      <w:r>
        <w:rPr>
          <w:rFonts w:ascii="Arial" w:eastAsiaTheme="minorHAnsi" w:hAnsi="Arial" w:cstheme="minorBidi"/>
          <w:sz w:val="18"/>
          <w:lang w:eastAsia="en-US"/>
        </w:rPr>
        <w:t xml:space="preserve">contribute to the </w:t>
      </w:r>
      <w:r w:rsidRPr="007F08E6">
        <w:rPr>
          <w:rFonts w:ascii="Arial" w:eastAsiaTheme="minorHAnsi" w:hAnsi="Arial" w:cstheme="minorBidi"/>
          <w:sz w:val="18"/>
          <w:lang w:eastAsia="en-US"/>
        </w:rPr>
        <w:t xml:space="preserve">attainment of </w:t>
      </w:r>
      <w:r>
        <w:rPr>
          <w:rFonts w:ascii="Arial" w:eastAsiaTheme="minorHAnsi" w:hAnsi="Arial" w:cstheme="minorBidi"/>
          <w:sz w:val="18"/>
          <w:lang w:eastAsia="en-US"/>
        </w:rPr>
        <w:t>internationally agreed development goals</w:t>
      </w:r>
      <w:r w:rsidR="00FC621E">
        <w:rPr>
          <w:rFonts w:ascii="Arial" w:eastAsiaTheme="minorHAnsi" w:hAnsi="Arial" w:cstheme="minorBidi"/>
          <w:sz w:val="18"/>
          <w:lang w:eastAsia="en-US"/>
        </w:rPr>
        <w:t>,</w:t>
      </w:r>
      <w:r>
        <w:rPr>
          <w:rFonts w:ascii="Arial" w:eastAsiaTheme="minorHAnsi" w:hAnsi="Arial" w:cstheme="minorBidi"/>
          <w:sz w:val="18"/>
          <w:lang w:eastAsia="en-US"/>
        </w:rPr>
        <w:t xml:space="preserve"> including the </w:t>
      </w:r>
      <w:r w:rsidRPr="007F08E6">
        <w:rPr>
          <w:rFonts w:ascii="Arial" w:eastAsiaTheme="minorHAnsi" w:hAnsi="Arial" w:cstheme="minorBidi"/>
          <w:sz w:val="18"/>
          <w:lang w:eastAsia="en-US"/>
        </w:rPr>
        <w:t xml:space="preserve">2030 Agenda for Sustainable Development;   </w:t>
      </w:r>
    </w:p>
    <w:p w14:paraId="374D771A" w14:textId="77777777" w:rsidR="00CC7388" w:rsidRPr="007F08E6" w:rsidRDefault="00CC7388" w:rsidP="00CC7388">
      <w:pPr>
        <w:pStyle w:val="ListParagraph"/>
        <w:spacing w:after="180"/>
        <w:rPr>
          <w:rFonts w:ascii="Arial" w:eastAsiaTheme="minorHAnsi" w:hAnsi="Arial" w:cstheme="minorBidi"/>
          <w:sz w:val="18"/>
          <w:lang w:eastAsia="en-US"/>
        </w:rPr>
      </w:pPr>
    </w:p>
    <w:p w14:paraId="31DEE83A" w14:textId="77777777" w:rsidR="00CC7388" w:rsidRDefault="00CC7388" w:rsidP="008407D7">
      <w:pPr>
        <w:pStyle w:val="ListParagraph"/>
        <w:numPr>
          <w:ilvl w:val="0"/>
          <w:numId w:val="31"/>
        </w:numPr>
        <w:spacing w:after="180"/>
        <w:rPr>
          <w:rFonts w:ascii="Arial" w:eastAsiaTheme="minorHAnsi" w:hAnsi="Arial" w:cstheme="minorBidi"/>
          <w:sz w:val="18"/>
          <w:lang w:eastAsia="en-US"/>
        </w:rPr>
      </w:pPr>
      <w:r>
        <w:rPr>
          <w:rFonts w:ascii="Arial" w:eastAsiaTheme="minorHAnsi" w:hAnsi="Arial" w:cstheme="minorBidi"/>
          <w:sz w:val="18"/>
          <w:lang w:eastAsia="en-US"/>
        </w:rPr>
        <w:t>Provide and c</w:t>
      </w:r>
      <w:r w:rsidRPr="007F08E6">
        <w:rPr>
          <w:rFonts w:ascii="Arial" w:eastAsiaTheme="minorHAnsi" w:hAnsi="Arial" w:cstheme="minorBidi"/>
          <w:sz w:val="18"/>
          <w:lang w:eastAsia="en-US"/>
        </w:rPr>
        <w:t xml:space="preserve">oordinate </w:t>
      </w:r>
      <w:r>
        <w:rPr>
          <w:rFonts w:ascii="Arial" w:eastAsiaTheme="minorHAnsi" w:hAnsi="Arial" w:cstheme="minorBidi"/>
          <w:sz w:val="18"/>
          <w:lang w:eastAsia="en-US"/>
        </w:rPr>
        <w:t>contributions to UNHQ-</w:t>
      </w:r>
      <w:r w:rsidRPr="007F08E6">
        <w:rPr>
          <w:rFonts w:ascii="Arial" w:eastAsiaTheme="minorHAnsi" w:hAnsi="Arial" w:cstheme="minorBidi"/>
          <w:sz w:val="18"/>
          <w:lang w:eastAsia="en-US"/>
        </w:rPr>
        <w:t xml:space="preserve">led reports/processes </w:t>
      </w:r>
      <w:r>
        <w:rPr>
          <w:rFonts w:ascii="Arial" w:eastAsiaTheme="minorHAnsi" w:hAnsi="Arial" w:cstheme="minorBidi"/>
          <w:sz w:val="18"/>
          <w:lang w:eastAsia="en-US"/>
        </w:rPr>
        <w:t xml:space="preserve">of interest </w:t>
      </w:r>
      <w:r w:rsidRPr="007F08E6">
        <w:rPr>
          <w:rFonts w:ascii="Arial" w:eastAsiaTheme="minorHAnsi" w:hAnsi="Arial" w:cstheme="minorBidi"/>
          <w:sz w:val="18"/>
          <w:lang w:eastAsia="en-US"/>
        </w:rPr>
        <w:t>to ensure that these benefit from WIPO’s knowledge and program</w:t>
      </w:r>
      <w:r>
        <w:rPr>
          <w:rFonts w:ascii="Arial" w:eastAsiaTheme="minorHAnsi" w:hAnsi="Arial" w:cstheme="minorBidi"/>
          <w:sz w:val="18"/>
          <w:lang w:eastAsia="en-US"/>
        </w:rPr>
        <w:t>s</w:t>
      </w:r>
      <w:r w:rsidRPr="007F08E6">
        <w:rPr>
          <w:rFonts w:ascii="Arial" w:eastAsiaTheme="minorHAnsi" w:hAnsi="Arial" w:cstheme="minorBidi"/>
          <w:sz w:val="18"/>
          <w:lang w:eastAsia="en-US"/>
        </w:rPr>
        <w:t xml:space="preserve"> of work, as needed; </w:t>
      </w:r>
    </w:p>
    <w:p w14:paraId="4F7FD35C" w14:textId="77777777" w:rsidR="00CC7388" w:rsidRPr="007F08E6" w:rsidRDefault="00CC7388" w:rsidP="00CC7388">
      <w:pPr>
        <w:pStyle w:val="ListParagraph"/>
        <w:spacing w:after="180"/>
        <w:rPr>
          <w:rFonts w:ascii="Arial" w:eastAsiaTheme="minorHAnsi" w:hAnsi="Arial" w:cstheme="minorBidi"/>
          <w:sz w:val="18"/>
          <w:lang w:eastAsia="en-US"/>
        </w:rPr>
      </w:pPr>
    </w:p>
    <w:p w14:paraId="75DC458A" w14:textId="287912E2" w:rsidR="00CC7388" w:rsidRDefault="00CC7388" w:rsidP="008407D7">
      <w:pPr>
        <w:pStyle w:val="ListParagraph"/>
        <w:numPr>
          <w:ilvl w:val="0"/>
          <w:numId w:val="31"/>
        </w:numPr>
        <w:spacing w:after="180"/>
        <w:rPr>
          <w:rFonts w:ascii="Arial" w:eastAsiaTheme="minorHAnsi" w:hAnsi="Arial" w:cstheme="minorBidi"/>
          <w:sz w:val="18"/>
          <w:lang w:eastAsia="en-US"/>
        </w:rPr>
      </w:pPr>
      <w:r>
        <w:rPr>
          <w:rFonts w:ascii="Arial" w:eastAsiaTheme="minorHAnsi" w:hAnsi="Arial" w:cstheme="minorBidi"/>
          <w:sz w:val="18"/>
          <w:lang w:eastAsia="en-US"/>
        </w:rPr>
        <w:t xml:space="preserve">Advise on </w:t>
      </w:r>
      <w:r w:rsidRPr="007F08E6">
        <w:rPr>
          <w:rFonts w:ascii="Arial" w:eastAsiaTheme="minorHAnsi" w:hAnsi="Arial" w:cstheme="minorBidi"/>
          <w:sz w:val="18"/>
          <w:lang w:eastAsia="en-US"/>
        </w:rPr>
        <w:t>the Organization’s engagement and contribution to the UN Chief Executive</w:t>
      </w:r>
      <w:r>
        <w:rPr>
          <w:rFonts w:ascii="Arial" w:eastAsiaTheme="minorHAnsi" w:hAnsi="Arial" w:cstheme="minorBidi"/>
          <w:sz w:val="18"/>
          <w:lang w:eastAsia="en-US"/>
        </w:rPr>
        <w:t>s</w:t>
      </w:r>
      <w:r w:rsidRPr="007F08E6">
        <w:rPr>
          <w:rFonts w:ascii="Arial" w:eastAsiaTheme="minorHAnsi" w:hAnsi="Arial" w:cstheme="minorBidi"/>
          <w:sz w:val="18"/>
          <w:lang w:eastAsia="en-US"/>
        </w:rPr>
        <w:t xml:space="preserve"> Board (CEB) </w:t>
      </w:r>
      <w:r>
        <w:rPr>
          <w:rFonts w:ascii="Arial" w:eastAsiaTheme="minorHAnsi" w:hAnsi="Arial" w:cstheme="minorBidi"/>
          <w:sz w:val="18"/>
          <w:lang w:eastAsia="en-US"/>
        </w:rPr>
        <w:t xml:space="preserve">and subsidiary committees in support of the Organization’s role in </w:t>
      </w:r>
      <w:r w:rsidRPr="007F08E6">
        <w:rPr>
          <w:rFonts w:ascii="Arial" w:eastAsiaTheme="minorHAnsi" w:hAnsi="Arial" w:cstheme="minorBidi"/>
          <w:sz w:val="18"/>
          <w:lang w:eastAsia="en-US"/>
        </w:rPr>
        <w:t>facilitat</w:t>
      </w:r>
      <w:r>
        <w:rPr>
          <w:rFonts w:ascii="Arial" w:eastAsiaTheme="minorHAnsi" w:hAnsi="Arial" w:cstheme="minorBidi"/>
          <w:sz w:val="18"/>
          <w:lang w:eastAsia="en-US"/>
        </w:rPr>
        <w:t>ing</w:t>
      </w:r>
      <w:r w:rsidRPr="007F08E6">
        <w:rPr>
          <w:rFonts w:ascii="Arial" w:eastAsiaTheme="minorHAnsi" w:hAnsi="Arial" w:cstheme="minorBidi"/>
          <w:sz w:val="18"/>
          <w:lang w:eastAsia="en-US"/>
        </w:rPr>
        <w:t xml:space="preserve"> and enhanc</w:t>
      </w:r>
      <w:r>
        <w:rPr>
          <w:rFonts w:ascii="Arial" w:eastAsiaTheme="minorHAnsi" w:hAnsi="Arial" w:cstheme="minorBidi"/>
          <w:sz w:val="18"/>
          <w:lang w:eastAsia="en-US"/>
        </w:rPr>
        <w:t>ing</w:t>
      </w:r>
      <w:r w:rsidR="00FC621E">
        <w:rPr>
          <w:rFonts w:ascii="Arial" w:eastAsiaTheme="minorHAnsi" w:hAnsi="Arial" w:cstheme="minorBidi"/>
          <w:sz w:val="18"/>
          <w:lang w:eastAsia="en-US"/>
        </w:rPr>
        <w:t xml:space="preserve"> system-</w:t>
      </w:r>
      <w:r w:rsidRPr="007F08E6">
        <w:rPr>
          <w:rFonts w:ascii="Arial" w:eastAsiaTheme="minorHAnsi" w:hAnsi="Arial" w:cstheme="minorBidi"/>
          <w:sz w:val="18"/>
          <w:lang w:eastAsia="en-US"/>
        </w:rPr>
        <w:t>wide coordination and policy coherence</w:t>
      </w:r>
      <w:r>
        <w:rPr>
          <w:rFonts w:ascii="Arial" w:eastAsiaTheme="minorHAnsi" w:hAnsi="Arial" w:cstheme="minorBidi"/>
          <w:sz w:val="18"/>
          <w:lang w:eastAsia="en-US"/>
        </w:rPr>
        <w:t>;</w:t>
      </w:r>
    </w:p>
    <w:p w14:paraId="1E64A629" w14:textId="77777777" w:rsidR="00CC7388" w:rsidRPr="000B4B37" w:rsidRDefault="00CC7388" w:rsidP="00CC7388">
      <w:pPr>
        <w:pStyle w:val="ListParagraph"/>
        <w:rPr>
          <w:rFonts w:ascii="Arial" w:eastAsiaTheme="minorHAnsi" w:hAnsi="Arial" w:cstheme="minorBidi"/>
          <w:sz w:val="18"/>
          <w:lang w:eastAsia="en-US"/>
        </w:rPr>
      </w:pPr>
    </w:p>
    <w:p w14:paraId="16474372" w14:textId="77777777" w:rsidR="00CC7388" w:rsidRDefault="00CC7388" w:rsidP="008407D7">
      <w:pPr>
        <w:pStyle w:val="ListParagraph"/>
        <w:numPr>
          <w:ilvl w:val="0"/>
          <w:numId w:val="31"/>
        </w:numPr>
        <w:spacing w:after="180"/>
        <w:rPr>
          <w:rFonts w:ascii="Arial" w:eastAsiaTheme="minorHAnsi" w:hAnsi="Arial" w:cstheme="minorBidi"/>
          <w:sz w:val="18"/>
          <w:lang w:eastAsia="en-US"/>
        </w:rPr>
      </w:pPr>
      <w:r w:rsidRPr="000B4B37">
        <w:rPr>
          <w:rFonts w:ascii="Arial" w:eastAsiaTheme="minorHAnsi" w:hAnsi="Arial" w:cstheme="minorBidi"/>
          <w:sz w:val="18"/>
          <w:lang w:eastAsia="en-US"/>
        </w:rPr>
        <w:t>Lead WIPO’s engagement with the diplomatic and UN community in New York</w:t>
      </w:r>
      <w:r>
        <w:rPr>
          <w:rFonts w:ascii="Arial" w:eastAsiaTheme="minorHAnsi" w:hAnsi="Arial" w:cstheme="minorBidi"/>
          <w:sz w:val="18"/>
          <w:lang w:eastAsia="en-US"/>
        </w:rPr>
        <w:t>,</w:t>
      </w:r>
      <w:r w:rsidRPr="000B4B37">
        <w:rPr>
          <w:rFonts w:ascii="Arial" w:eastAsiaTheme="minorHAnsi" w:hAnsi="Arial" w:cstheme="minorBidi"/>
          <w:sz w:val="18"/>
          <w:lang w:eastAsia="en-US"/>
        </w:rPr>
        <w:t xml:space="preserve"> including through the organization of promotion and awareness raising initiatives.</w:t>
      </w:r>
    </w:p>
    <w:p w14:paraId="46F32A01" w14:textId="77777777" w:rsidR="00CC7388" w:rsidRDefault="00CC7388" w:rsidP="00CC7388">
      <w:pPr>
        <w:pStyle w:val="ListParagraph"/>
        <w:rPr>
          <w:rFonts w:ascii="Arial" w:eastAsiaTheme="minorHAnsi" w:hAnsi="Arial" w:cstheme="minorBidi"/>
          <w:sz w:val="18"/>
          <w:lang w:eastAsia="en-US"/>
        </w:rPr>
      </w:pPr>
    </w:p>
    <w:p w14:paraId="799F4E0A" w14:textId="77777777" w:rsidR="00CC7388" w:rsidRPr="00B57710" w:rsidRDefault="00CC7388" w:rsidP="00CC7388">
      <w:pPr>
        <w:pStyle w:val="ListParagraph"/>
        <w:rPr>
          <w:rFonts w:ascii="Arial" w:eastAsiaTheme="minorHAnsi" w:hAnsi="Arial" w:cstheme="minorBidi"/>
          <w:sz w:val="18"/>
          <w:lang w:eastAsia="en-US"/>
        </w:rPr>
      </w:pPr>
    </w:p>
    <w:p w14:paraId="6F81C220" w14:textId="77777777" w:rsidR="00CC7388" w:rsidRPr="006F1BC2" w:rsidRDefault="00CC7388"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9620" w:type="dxa"/>
        <w:tblInd w:w="10" w:type="dxa"/>
        <w:tblLayout w:type="fixed"/>
        <w:tblCellMar>
          <w:left w:w="0" w:type="dxa"/>
          <w:right w:w="0" w:type="dxa"/>
        </w:tblCellMar>
        <w:tblLook w:val="04A0" w:firstRow="1" w:lastRow="0" w:firstColumn="1" w:lastColumn="0" w:noHBand="0" w:noVBand="1"/>
      </w:tblPr>
      <w:tblGrid>
        <w:gridCol w:w="2337"/>
        <w:gridCol w:w="2338"/>
        <w:gridCol w:w="3415"/>
        <w:gridCol w:w="1530"/>
      </w:tblGrid>
      <w:tr w:rsidR="00CC7388" w:rsidRPr="00B57710" w14:paraId="4149A7EE" w14:textId="77777777" w:rsidTr="005B0AE9">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6001466D" w14:textId="77777777" w:rsidR="00CC7388" w:rsidRPr="00BE2F8A" w:rsidRDefault="00CC7388" w:rsidP="00750B3E">
            <w:pPr>
              <w:autoSpaceDE w:val="0"/>
              <w:autoSpaceDN w:val="0"/>
              <w:spacing w:after="0" w:line="240" w:lineRule="auto"/>
              <w:outlineLvl w:val="2"/>
              <w:rPr>
                <w:rFonts w:ascii="Arial Narrow" w:eastAsia="Times New Roman" w:hAnsi="Arial Narrow" w:cs="Arial"/>
                <w:b/>
                <w:bCs/>
                <w:sz w:val="16"/>
                <w:szCs w:val="14"/>
                <w:lang w:val="en-US"/>
              </w:rPr>
            </w:pPr>
            <w:r w:rsidRPr="00BE2F8A">
              <w:rPr>
                <w:rFonts w:ascii="Arial Narrow" w:eastAsia="Times New Roman" w:hAnsi="Arial Narrow" w:cs="Arial"/>
                <w:b/>
                <w:bCs/>
                <w:sz w:val="16"/>
                <w:szCs w:val="14"/>
                <w:lang w:val="en-US"/>
              </w:rPr>
              <w:t xml:space="preserve">Expected Result </w:t>
            </w:r>
          </w:p>
        </w:tc>
        <w:tc>
          <w:tcPr>
            <w:tcW w:w="2338" w:type="dxa"/>
            <w:tcBorders>
              <w:left w:val="nil"/>
              <w:right w:val="nil"/>
            </w:tcBorders>
            <w:shd w:val="clear" w:color="auto" w:fill="C6CFD7" w:themeFill="accent3" w:themeFillTint="66"/>
            <w:tcMar>
              <w:top w:w="0" w:type="dxa"/>
              <w:left w:w="108" w:type="dxa"/>
              <w:bottom w:w="0" w:type="dxa"/>
              <w:right w:w="108" w:type="dxa"/>
            </w:tcMar>
            <w:hideMark/>
          </w:tcPr>
          <w:p w14:paraId="2BF7A6BB" w14:textId="77777777" w:rsidR="00CC7388" w:rsidRPr="00BE2F8A" w:rsidRDefault="00CC7388" w:rsidP="00750B3E">
            <w:pPr>
              <w:autoSpaceDE w:val="0"/>
              <w:autoSpaceDN w:val="0"/>
              <w:spacing w:after="0" w:line="240" w:lineRule="auto"/>
              <w:outlineLvl w:val="2"/>
              <w:rPr>
                <w:rFonts w:ascii="Arial Narrow" w:eastAsia="Times New Roman" w:hAnsi="Arial Narrow" w:cs="Arial"/>
                <w:b/>
                <w:bCs/>
                <w:sz w:val="16"/>
                <w:szCs w:val="14"/>
                <w:lang w:val="en-US"/>
              </w:rPr>
            </w:pPr>
            <w:r w:rsidRPr="00BE2F8A">
              <w:rPr>
                <w:rFonts w:ascii="Arial Narrow" w:eastAsia="Times New Roman" w:hAnsi="Arial Narrow" w:cs="Arial"/>
                <w:b/>
                <w:bCs/>
                <w:sz w:val="16"/>
                <w:szCs w:val="14"/>
                <w:lang w:val="en-US"/>
              </w:rPr>
              <w:t>Risk</w:t>
            </w:r>
          </w:p>
        </w:tc>
        <w:tc>
          <w:tcPr>
            <w:tcW w:w="3415" w:type="dxa"/>
            <w:tcBorders>
              <w:left w:val="nil"/>
              <w:right w:val="nil"/>
            </w:tcBorders>
            <w:shd w:val="clear" w:color="auto" w:fill="C6CFD7" w:themeFill="accent3" w:themeFillTint="66"/>
            <w:tcMar>
              <w:top w:w="0" w:type="dxa"/>
              <w:left w:w="108" w:type="dxa"/>
              <w:bottom w:w="0" w:type="dxa"/>
              <w:right w:w="108" w:type="dxa"/>
            </w:tcMar>
            <w:hideMark/>
          </w:tcPr>
          <w:p w14:paraId="56C41352" w14:textId="77777777" w:rsidR="00CC7388" w:rsidRPr="00BE2F8A" w:rsidRDefault="00CC7388" w:rsidP="00750B3E">
            <w:pPr>
              <w:autoSpaceDE w:val="0"/>
              <w:autoSpaceDN w:val="0"/>
              <w:spacing w:after="0" w:line="240" w:lineRule="auto"/>
              <w:outlineLvl w:val="2"/>
              <w:rPr>
                <w:rFonts w:ascii="Arial Narrow" w:eastAsia="Times New Roman" w:hAnsi="Arial Narrow" w:cs="Arial"/>
                <w:b/>
                <w:bCs/>
                <w:sz w:val="16"/>
                <w:szCs w:val="14"/>
                <w:lang w:val="en-US"/>
              </w:rPr>
            </w:pPr>
            <w:r w:rsidRPr="00BE2F8A">
              <w:rPr>
                <w:rFonts w:ascii="Arial Narrow" w:eastAsia="Times New Roman" w:hAnsi="Arial Narrow" w:cs="Arial"/>
                <w:b/>
                <w:bCs/>
                <w:sz w:val="16"/>
                <w:szCs w:val="14"/>
                <w:lang w:val="en-US"/>
              </w:rPr>
              <w:t>Risk Response</w:t>
            </w:r>
          </w:p>
        </w:tc>
        <w:tc>
          <w:tcPr>
            <w:tcW w:w="1530" w:type="dxa"/>
            <w:tcBorders>
              <w:left w:val="nil"/>
            </w:tcBorders>
            <w:shd w:val="clear" w:color="auto" w:fill="C6CFD7" w:themeFill="accent3" w:themeFillTint="66"/>
            <w:tcMar>
              <w:top w:w="0" w:type="dxa"/>
              <w:left w:w="108" w:type="dxa"/>
              <w:bottom w:w="0" w:type="dxa"/>
              <w:right w:w="108" w:type="dxa"/>
            </w:tcMar>
            <w:hideMark/>
          </w:tcPr>
          <w:p w14:paraId="3B262441" w14:textId="77777777" w:rsidR="00CC7388" w:rsidRPr="00BE2F8A" w:rsidRDefault="00CC7388" w:rsidP="00750B3E">
            <w:pPr>
              <w:autoSpaceDE w:val="0"/>
              <w:autoSpaceDN w:val="0"/>
              <w:spacing w:after="0" w:line="240" w:lineRule="auto"/>
              <w:outlineLvl w:val="2"/>
              <w:rPr>
                <w:rFonts w:ascii="Arial Narrow" w:eastAsia="Times New Roman" w:hAnsi="Arial Narrow" w:cs="Arial"/>
                <w:b/>
                <w:bCs/>
                <w:sz w:val="16"/>
                <w:szCs w:val="14"/>
                <w:lang w:val="en-US"/>
              </w:rPr>
            </w:pPr>
            <w:r w:rsidRPr="00BE2F8A">
              <w:rPr>
                <w:rFonts w:ascii="Arial Narrow" w:eastAsia="Times New Roman" w:hAnsi="Arial Narrow" w:cs="Arial"/>
                <w:b/>
                <w:bCs/>
                <w:color w:val="000000"/>
                <w:sz w:val="16"/>
                <w:szCs w:val="14"/>
                <w:lang w:val="en-US"/>
              </w:rPr>
              <w:t xml:space="preserve">Target Residual Risk </w:t>
            </w:r>
          </w:p>
        </w:tc>
      </w:tr>
      <w:tr w:rsidR="00CC7388" w:rsidRPr="00B57710" w14:paraId="1A8D76AA" w14:textId="77777777" w:rsidTr="00BD75A0">
        <w:tc>
          <w:tcPr>
            <w:tcW w:w="9620" w:type="dxa"/>
            <w:gridSpan w:val="4"/>
            <w:shd w:val="clear" w:color="auto" w:fill="EDF0F3" w:themeFill="accent4" w:themeFillTint="33"/>
            <w:tcMar>
              <w:top w:w="0" w:type="dxa"/>
              <w:left w:w="108" w:type="dxa"/>
              <w:bottom w:w="0" w:type="dxa"/>
              <w:right w:w="108" w:type="dxa"/>
            </w:tcMar>
            <w:hideMark/>
          </w:tcPr>
          <w:tbl>
            <w:tblPr>
              <w:tblW w:w="0" w:type="auto"/>
              <w:tblLayout w:type="fixed"/>
              <w:tblCellMar>
                <w:left w:w="0" w:type="dxa"/>
                <w:right w:w="0" w:type="dxa"/>
              </w:tblCellMar>
              <w:tblLook w:val="04A0" w:firstRow="1" w:lastRow="0" w:firstColumn="1" w:lastColumn="0" w:noHBand="0" w:noVBand="1"/>
            </w:tblPr>
            <w:tblGrid>
              <w:gridCol w:w="1129"/>
              <w:gridCol w:w="8100"/>
            </w:tblGrid>
            <w:tr w:rsidR="00CC7388" w:rsidRPr="00B57710" w14:paraId="50297B56" w14:textId="77777777" w:rsidTr="005B0AE9">
              <w:trPr>
                <w:trHeight w:val="268"/>
              </w:trPr>
              <w:tc>
                <w:tcPr>
                  <w:tcW w:w="1129" w:type="dxa"/>
                  <w:tcMar>
                    <w:top w:w="0" w:type="dxa"/>
                    <w:left w:w="108" w:type="dxa"/>
                    <w:bottom w:w="0" w:type="dxa"/>
                    <w:right w:w="108" w:type="dxa"/>
                  </w:tcMar>
                  <w:hideMark/>
                </w:tcPr>
                <w:p w14:paraId="41BC38E4" w14:textId="0C549046" w:rsidR="00CC7388" w:rsidRPr="00BE2F8A" w:rsidRDefault="007C5188" w:rsidP="00750B3E">
                  <w:pPr>
                    <w:widowControl w:val="0"/>
                    <w:autoSpaceDE w:val="0"/>
                    <w:autoSpaceDN w:val="0"/>
                    <w:spacing w:after="0" w:line="240" w:lineRule="auto"/>
                    <w:ind w:hanging="360"/>
                    <w:jc w:val="right"/>
                    <w:rPr>
                      <w:rFonts w:ascii="Arial Narrow" w:eastAsia="Calibri"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2 </w:t>
                  </w:r>
                  <w:r w:rsidR="00CC7388" w:rsidRPr="00BE2F8A">
                    <w:rPr>
                      <w:rFonts w:ascii="Arial Narrow" w:eastAsia="Arial Narrow" w:hAnsi="Arial Narrow" w:cs="Arial Narrow"/>
                      <w:i/>
                      <w:iCs/>
                      <w:color w:val="005172" w:themeColor="text2"/>
                      <w:sz w:val="16"/>
                      <w:szCs w:val="16"/>
                      <w:lang w:val="en-US" w:bidi="en-US"/>
                    </w:rPr>
                    <w:t xml:space="preserve">  </w:t>
                  </w:r>
                </w:p>
              </w:tc>
              <w:tc>
                <w:tcPr>
                  <w:tcW w:w="8100" w:type="dxa"/>
                  <w:shd w:val="clear" w:color="auto" w:fill="EDF0F3" w:themeFill="accent4" w:themeFillTint="33"/>
                  <w:tcMar>
                    <w:top w:w="0" w:type="dxa"/>
                    <w:left w:w="108" w:type="dxa"/>
                    <w:bottom w:w="0" w:type="dxa"/>
                    <w:right w:w="108" w:type="dxa"/>
                  </w:tcMar>
                  <w:hideMark/>
                </w:tcPr>
                <w:p w14:paraId="6CDF5E17" w14:textId="77777777" w:rsidR="00CC7388" w:rsidRPr="00BE2F8A" w:rsidRDefault="00CC7388" w:rsidP="00750B3E">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BE2F8A">
                    <w:rPr>
                      <w:rFonts w:ascii="Arial Narrow" w:eastAsia="Arial Narrow" w:hAnsi="Arial Narrow" w:cs="Arial Narrow"/>
                      <w:i/>
                      <w:iCs/>
                      <w:color w:val="005172" w:themeColor="text2"/>
                      <w:sz w:val="16"/>
                      <w:szCs w:val="16"/>
                      <w:lang w:val="en-US" w:bidi="en-US"/>
                    </w:rPr>
                    <w:t>Bring people together and partner with stakeholders to shape the future of the global intellectual property ecosystem</w:t>
                  </w:r>
                </w:p>
              </w:tc>
            </w:tr>
          </w:tbl>
          <w:p w14:paraId="626D6A22" w14:textId="77777777" w:rsidR="00CC7388" w:rsidRPr="00B57710" w:rsidRDefault="00CC7388" w:rsidP="00750B3E">
            <w:pPr>
              <w:widowControl w:val="0"/>
              <w:autoSpaceDE w:val="0"/>
              <w:autoSpaceDN w:val="0"/>
              <w:spacing w:after="0" w:line="240" w:lineRule="auto"/>
              <w:rPr>
                <w:rFonts w:ascii="Times New Roman" w:eastAsia="Times New Roman" w:hAnsi="Times New Roman" w:cs="Times New Roman"/>
                <w:sz w:val="20"/>
                <w:szCs w:val="20"/>
                <w:lang w:val="en-US" w:bidi="en-US"/>
              </w:rPr>
            </w:pPr>
          </w:p>
        </w:tc>
      </w:tr>
      <w:tr w:rsidR="00CC7388" w:rsidRPr="00B57710" w14:paraId="79ADA5EF" w14:textId="77777777" w:rsidTr="00BD75A0">
        <w:trPr>
          <w:trHeight w:val="1384"/>
        </w:trPr>
        <w:tc>
          <w:tcPr>
            <w:tcW w:w="2337" w:type="dxa"/>
            <w:tcBorders>
              <w:bottom w:val="single" w:sz="4" w:space="0" w:color="CBD4DB" w:themeColor="accent4" w:themeTint="99"/>
            </w:tcBorders>
            <w:shd w:val="clear" w:color="auto" w:fill="FFFFFF"/>
            <w:tcMar>
              <w:top w:w="0" w:type="dxa"/>
              <w:left w:w="108" w:type="dxa"/>
              <w:bottom w:w="0" w:type="dxa"/>
              <w:right w:w="108" w:type="dxa"/>
            </w:tcMar>
            <w:hideMark/>
          </w:tcPr>
          <w:p w14:paraId="400E2935" w14:textId="77777777" w:rsidR="00CC7388" w:rsidRPr="00B57710" w:rsidRDefault="00CC7388" w:rsidP="00750B3E">
            <w:pPr>
              <w:autoSpaceDE w:val="0"/>
              <w:autoSpaceDN w:val="0"/>
              <w:spacing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accent1"/>
                <w:sz w:val="16"/>
                <w:szCs w:val="16"/>
                <w:lang w:val="en-US"/>
              </w:rPr>
              <w:t>2.2</w:t>
            </w:r>
            <w:r w:rsidRPr="00EA4A6F">
              <w:rPr>
                <w:rFonts w:ascii="Arial Narrow" w:eastAsia="Times New Roman" w:hAnsi="Arial Narrow" w:cs="Arial"/>
                <w:color w:val="005172" w:themeColor="accent1"/>
                <w:sz w:val="16"/>
                <w:szCs w:val="16"/>
                <w:lang w:val="en-US"/>
              </w:rPr>
              <w:t xml:space="preserve">  </w:t>
            </w:r>
            <w:r w:rsidRPr="00B57710">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p w14:paraId="7A4F9ABC" w14:textId="77777777" w:rsidR="00CC7388" w:rsidRPr="00B57710" w:rsidRDefault="00CC7388" w:rsidP="00750B3E">
            <w:pPr>
              <w:autoSpaceDE w:val="0"/>
              <w:autoSpaceDN w:val="0"/>
              <w:spacing w:after="0" w:line="240" w:lineRule="auto"/>
              <w:outlineLvl w:val="2"/>
              <w:rPr>
                <w:rFonts w:eastAsia="Times New Roman" w:cs="Arial"/>
                <w:sz w:val="16"/>
                <w:szCs w:val="16"/>
                <w:lang w:val="en-US"/>
              </w:rPr>
            </w:pPr>
            <w:r w:rsidRPr="00B57710">
              <w:rPr>
                <w:rFonts w:ascii="Arial Narrow" w:eastAsia="Times New Roman" w:hAnsi="Arial Narrow" w:cs="Arial"/>
                <w:b/>
                <w:bCs/>
                <w:i/>
                <w:iCs/>
                <w:sz w:val="16"/>
                <w:szCs w:val="16"/>
                <w:lang w:val="en-US"/>
              </w:rPr>
              <w:t>High risk appetite</w:t>
            </w:r>
          </w:p>
        </w:tc>
        <w:tc>
          <w:tcPr>
            <w:tcW w:w="2338" w:type="dxa"/>
            <w:tcBorders>
              <w:bottom w:val="single" w:sz="4" w:space="0" w:color="CBD4DB" w:themeColor="accent4" w:themeTint="99"/>
            </w:tcBorders>
            <w:shd w:val="clear" w:color="auto" w:fill="FFFFFF"/>
            <w:tcMar>
              <w:top w:w="0" w:type="dxa"/>
              <w:left w:w="108" w:type="dxa"/>
              <w:bottom w:w="0" w:type="dxa"/>
              <w:right w:w="108" w:type="dxa"/>
            </w:tcMar>
            <w:hideMark/>
          </w:tcPr>
          <w:p w14:paraId="5AF01F3F" w14:textId="5C28D361" w:rsidR="00CC7388" w:rsidRPr="00B57710" w:rsidRDefault="00CC7388" w:rsidP="00750B3E">
            <w:pPr>
              <w:autoSpaceDE w:val="0"/>
              <w:autoSpaceDN w:val="0"/>
              <w:spacing w:after="0" w:line="240" w:lineRule="auto"/>
              <w:outlineLvl w:val="2"/>
              <w:rPr>
                <w:rFonts w:ascii="Arial Narrow" w:eastAsia="Times New Roman" w:hAnsi="Arial Narrow" w:cs="Arial"/>
                <w:sz w:val="16"/>
                <w:szCs w:val="16"/>
                <w:lang w:val="en-US"/>
              </w:rPr>
            </w:pPr>
            <w:r w:rsidRPr="00B57710">
              <w:rPr>
                <w:rFonts w:ascii="Arial Narrow" w:eastAsia="Times New Roman" w:hAnsi="Arial Narrow" w:cs="Arial"/>
                <w:sz w:val="16"/>
                <w:szCs w:val="16"/>
                <w:lang w:val="en-US"/>
              </w:rPr>
              <w:t>Decreased engagement of external partners, including private sector and civil society, results in reduced relevance, cre</w:t>
            </w:r>
            <w:r w:rsidR="00FC621E">
              <w:rPr>
                <w:rFonts w:ascii="Arial Narrow" w:eastAsia="Times New Roman" w:hAnsi="Arial Narrow" w:cs="Arial"/>
                <w:sz w:val="16"/>
                <w:szCs w:val="16"/>
                <w:lang w:val="en-US"/>
              </w:rPr>
              <w:t>dibility and resilience of the S</w:t>
            </w:r>
            <w:r w:rsidRPr="00B57710">
              <w:rPr>
                <w:rFonts w:ascii="Arial Narrow" w:eastAsia="Times New Roman" w:hAnsi="Arial Narrow" w:cs="Arial"/>
                <w:sz w:val="16"/>
                <w:szCs w:val="16"/>
                <w:lang w:val="en-US"/>
              </w:rPr>
              <w:t>ector’s platforms and initiatives.</w:t>
            </w:r>
          </w:p>
        </w:tc>
        <w:tc>
          <w:tcPr>
            <w:tcW w:w="3415" w:type="dxa"/>
            <w:tcBorders>
              <w:bottom w:val="single" w:sz="4" w:space="0" w:color="CBD4DB" w:themeColor="accent4" w:themeTint="99"/>
            </w:tcBorders>
            <w:shd w:val="clear" w:color="auto" w:fill="FFFFFF"/>
            <w:tcMar>
              <w:top w:w="0" w:type="dxa"/>
              <w:left w:w="108" w:type="dxa"/>
              <w:bottom w:w="0" w:type="dxa"/>
              <w:right w:w="108" w:type="dxa"/>
            </w:tcMar>
            <w:hideMark/>
          </w:tcPr>
          <w:p w14:paraId="48EBA4F4" w14:textId="26A9F2B9" w:rsidR="00CC7388" w:rsidRPr="00B57710" w:rsidRDefault="00FC621E" w:rsidP="00750B3E">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Active outreach, engagement and communication to ensure S</w:t>
            </w:r>
            <w:r w:rsidR="00CC7388" w:rsidRPr="00B57710">
              <w:rPr>
                <w:rFonts w:ascii="Arial Narrow" w:eastAsia="Times New Roman" w:hAnsi="Arial Narrow" w:cs="Arial"/>
                <w:sz w:val="16"/>
                <w:szCs w:val="16"/>
                <w:lang w:val="en-US"/>
              </w:rPr>
              <w:t>ector platforms and initiatives align with external partner needs and priorities.  Proactive reaching out to underserved and/or emerging groups of stakeholders such as youth.</w:t>
            </w:r>
          </w:p>
        </w:tc>
        <w:tc>
          <w:tcPr>
            <w:tcW w:w="1530" w:type="dxa"/>
            <w:tcBorders>
              <w:bottom w:val="single" w:sz="4" w:space="0" w:color="CBD4DB" w:themeColor="accent4" w:themeTint="99"/>
            </w:tcBorders>
            <w:shd w:val="clear" w:color="auto" w:fill="FFFFFF"/>
            <w:tcMar>
              <w:top w:w="0" w:type="dxa"/>
              <w:left w:w="108" w:type="dxa"/>
              <w:bottom w:w="0" w:type="dxa"/>
              <w:right w:w="108" w:type="dxa"/>
            </w:tcMar>
          </w:tcPr>
          <w:p w14:paraId="13240227" w14:textId="0CD08736" w:rsidR="00CC7388" w:rsidRDefault="00CC7388" w:rsidP="00750B3E">
            <w:pPr>
              <w:autoSpaceDE w:val="0"/>
              <w:autoSpaceDN w:val="0"/>
              <w:spacing w:after="0" w:line="240" w:lineRule="auto"/>
              <w:outlineLvl w:val="2"/>
              <w:rPr>
                <w:rFonts w:ascii="Arial Narrow" w:eastAsia="Times New Roman" w:hAnsi="Arial Narrow" w:cs="Arial"/>
                <w:sz w:val="16"/>
                <w:szCs w:val="16"/>
                <w:lang w:val="en-US"/>
              </w:rPr>
            </w:pPr>
            <w:r w:rsidRPr="00B57710">
              <w:rPr>
                <w:rFonts w:ascii="Arial Narrow" w:eastAsia="Times New Roman" w:hAnsi="Arial Narrow" w:cs="Arial"/>
                <w:sz w:val="16"/>
                <w:szCs w:val="16"/>
                <w:lang w:val="en-US"/>
              </w:rPr>
              <w:t>Medium</w:t>
            </w:r>
            <w:r w:rsidR="00EB4125">
              <w:rPr>
                <w:rFonts w:ascii="Arial Narrow" w:eastAsia="Times New Roman" w:hAnsi="Arial Narrow" w:cs="Arial"/>
                <w:sz w:val="16"/>
                <w:szCs w:val="16"/>
                <w:lang w:val="en-US"/>
              </w:rPr>
              <w:t xml:space="preserve"> – </w:t>
            </w:r>
            <w:r w:rsidRPr="00B57710">
              <w:rPr>
                <w:rFonts w:ascii="Arial Narrow" w:eastAsia="Times New Roman" w:hAnsi="Arial Narrow" w:cs="Arial"/>
                <w:sz w:val="16"/>
                <w:szCs w:val="16"/>
                <w:lang w:val="en-US"/>
              </w:rPr>
              <w:t xml:space="preserve"> </w:t>
            </w:r>
          </w:p>
          <w:p w14:paraId="67736004" w14:textId="3356C691" w:rsidR="00CC7388" w:rsidRPr="00B57710" w:rsidRDefault="00EB4125" w:rsidP="00750B3E">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b</w:t>
            </w:r>
            <w:r w:rsidR="00CC7388" w:rsidRPr="00B57710">
              <w:rPr>
                <w:rFonts w:ascii="Arial Narrow" w:eastAsia="Times New Roman" w:hAnsi="Arial Narrow" w:cs="Arial"/>
                <w:sz w:val="16"/>
                <w:szCs w:val="16"/>
                <w:lang w:val="en-US"/>
              </w:rPr>
              <w:t>elow risk appetite</w:t>
            </w:r>
          </w:p>
          <w:p w14:paraId="50376F17" w14:textId="77777777" w:rsidR="00CC7388" w:rsidRPr="00B57710" w:rsidRDefault="00CC7388" w:rsidP="00750B3E">
            <w:pPr>
              <w:autoSpaceDE w:val="0"/>
              <w:autoSpaceDN w:val="0"/>
              <w:spacing w:after="0" w:line="240" w:lineRule="auto"/>
              <w:outlineLvl w:val="2"/>
              <w:rPr>
                <w:rFonts w:eastAsia="Times New Roman" w:cs="Arial"/>
                <w:sz w:val="20"/>
                <w:szCs w:val="20"/>
                <w:lang w:val="en-US"/>
              </w:rPr>
            </w:pPr>
          </w:p>
        </w:tc>
      </w:tr>
    </w:tbl>
    <w:p w14:paraId="67D17596" w14:textId="77777777" w:rsidR="00CC7388" w:rsidRPr="007F1A58" w:rsidRDefault="00CC7388" w:rsidP="00CC7388">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378"/>
        <w:gridCol w:w="2379"/>
        <w:gridCol w:w="2379"/>
        <w:gridCol w:w="2381"/>
      </w:tblGrid>
      <w:tr w:rsidR="00CC7388" w:rsidRPr="00D350B5" w14:paraId="37E3CCFE" w14:textId="77777777" w:rsidTr="00750B3E">
        <w:trPr>
          <w:cantSplit/>
          <w:trHeight w:val="282"/>
          <w:tblHeader/>
        </w:trPr>
        <w:tc>
          <w:tcPr>
            <w:tcW w:w="2378" w:type="dxa"/>
            <w:shd w:val="clear" w:color="auto" w:fill="C6CFD7" w:themeFill="accent3" w:themeFillTint="66"/>
          </w:tcPr>
          <w:p w14:paraId="6998DCD2" w14:textId="77777777" w:rsidR="00CC7388" w:rsidRPr="00D350B5" w:rsidRDefault="00CC7388" w:rsidP="00750B3E">
            <w:pPr>
              <w:pStyle w:val="TableHeading"/>
              <w:rPr>
                <w:lang w:val="en-US"/>
              </w:rPr>
            </w:pPr>
            <w:r w:rsidRPr="00D350B5">
              <w:rPr>
                <w:lang w:val="en-US"/>
              </w:rPr>
              <w:t>Expected Result</w:t>
            </w:r>
          </w:p>
        </w:tc>
        <w:tc>
          <w:tcPr>
            <w:tcW w:w="2379" w:type="dxa"/>
            <w:shd w:val="clear" w:color="auto" w:fill="C6CFD7" w:themeFill="accent3" w:themeFillTint="66"/>
          </w:tcPr>
          <w:p w14:paraId="285C629F" w14:textId="77777777" w:rsidR="00CC7388" w:rsidRPr="00D350B5" w:rsidRDefault="00CC7388" w:rsidP="00750B3E">
            <w:pPr>
              <w:pStyle w:val="TableHeading"/>
              <w:rPr>
                <w:lang w:val="en-US"/>
              </w:rPr>
            </w:pPr>
            <w:r w:rsidRPr="00D350B5">
              <w:rPr>
                <w:lang w:val="en-US"/>
              </w:rPr>
              <w:t>Performance Indicators</w:t>
            </w:r>
          </w:p>
        </w:tc>
        <w:tc>
          <w:tcPr>
            <w:tcW w:w="2379" w:type="dxa"/>
            <w:shd w:val="clear" w:color="auto" w:fill="C6CFD7" w:themeFill="accent3" w:themeFillTint="66"/>
          </w:tcPr>
          <w:p w14:paraId="7B402AAD" w14:textId="77777777" w:rsidR="00CC7388" w:rsidRPr="00D350B5" w:rsidRDefault="00CC7388" w:rsidP="00750B3E">
            <w:pPr>
              <w:pStyle w:val="TableHeading"/>
              <w:rPr>
                <w:lang w:val="en-US"/>
              </w:rPr>
            </w:pPr>
            <w:r w:rsidRPr="00D350B5">
              <w:rPr>
                <w:lang w:val="en-US"/>
              </w:rPr>
              <w:t>Baselines</w:t>
            </w:r>
          </w:p>
        </w:tc>
        <w:tc>
          <w:tcPr>
            <w:tcW w:w="2381" w:type="dxa"/>
            <w:shd w:val="clear" w:color="auto" w:fill="C6CFD7" w:themeFill="accent3" w:themeFillTint="66"/>
          </w:tcPr>
          <w:p w14:paraId="67B22289" w14:textId="77777777" w:rsidR="00CC7388" w:rsidRPr="00D350B5" w:rsidRDefault="00CC7388" w:rsidP="00750B3E">
            <w:pPr>
              <w:pStyle w:val="TableHeading"/>
              <w:rPr>
                <w:lang w:val="en-US"/>
              </w:rPr>
            </w:pPr>
            <w:r w:rsidRPr="00D350B5">
              <w:rPr>
                <w:lang w:val="en-US"/>
              </w:rPr>
              <w:t>Targets</w:t>
            </w:r>
          </w:p>
        </w:tc>
      </w:tr>
      <w:tr w:rsidR="00CC7388" w:rsidRPr="007B17FF" w14:paraId="46EE74B0" w14:textId="77777777" w:rsidTr="00750B3E">
        <w:trPr>
          <w:cantSplit/>
          <w:trHeight w:val="282"/>
        </w:trPr>
        <w:tc>
          <w:tcPr>
            <w:tcW w:w="2378" w:type="dxa"/>
            <w:shd w:val="clear" w:color="auto" w:fill="EDF0F3" w:themeFill="accent4" w:themeFillTint="33"/>
          </w:tcPr>
          <w:p w14:paraId="393C0357" w14:textId="77777777" w:rsidR="00CC7388" w:rsidRPr="007B17FF" w:rsidRDefault="00CC7388" w:rsidP="00750B3E">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2</w:t>
            </w:r>
          </w:p>
        </w:tc>
        <w:tc>
          <w:tcPr>
            <w:tcW w:w="7139" w:type="dxa"/>
            <w:gridSpan w:val="3"/>
            <w:shd w:val="clear" w:color="auto" w:fill="EDF0F3" w:themeFill="accent4" w:themeFillTint="33"/>
          </w:tcPr>
          <w:p w14:paraId="4E58FCFE" w14:textId="77777777" w:rsidR="00CC7388" w:rsidRPr="007B17FF" w:rsidRDefault="00CC7388" w:rsidP="00750B3E">
            <w:pPr>
              <w:pStyle w:val="TableHeading"/>
              <w:rPr>
                <w:b w:val="0"/>
                <w:i/>
                <w:color w:val="005172" w:themeColor="text2"/>
                <w:lang w:val="en-US"/>
              </w:rPr>
            </w:pPr>
            <w:r w:rsidRPr="007B17FF">
              <w:rPr>
                <w:b w:val="0"/>
                <w:i/>
                <w:color w:val="005172" w:themeColor="text2"/>
                <w:lang w:val="en-US"/>
              </w:rPr>
              <w:t>Bring people together and partner with stakeholders to shape the future of the global intellectual property ecosystem</w:t>
            </w:r>
          </w:p>
        </w:tc>
      </w:tr>
      <w:tr w:rsidR="00CC7388" w:rsidRPr="00D350B5" w14:paraId="6BFBA2A1" w14:textId="77777777" w:rsidTr="00750B3E">
        <w:trPr>
          <w:cantSplit/>
          <w:trHeight w:val="528"/>
        </w:trPr>
        <w:tc>
          <w:tcPr>
            <w:tcW w:w="2378" w:type="dxa"/>
            <w:shd w:val="clear" w:color="auto" w:fill="auto"/>
          </w:tcPr>
          <w:p w14:paraId="44FF6AAA" w14:textId="69702AE0" w:rsidR="00CC7388" w:rsidRPr="00D350B5" w:rsidRDefault="00CC7388" w:rsidP="00750B3E">
            <w:pPr>
              <w:pStyle w:val="TableTextBold"/>
              <w:rPr>
                <w:lang w:val="en-US"/>
              </w:rPr>
            </w:pPr>
            <w:r>
              <w:rPr>
                <w:rStyle w:val="charColoured"/>
                <w:lang w:val="en-US"/>
              </w:rPr>
              <w:t>2</w:t>
            </w:r>
            <w:r w:rsidRPr="00D350B5">
              <w:rPr>
                <w:rStyle w:val="charColoured"/>
                <w:lang w:val="en-US"/>
              </w:rPr>
              <w:t>.1</w:t>
            </w:r>
            <w:r w:rsidRPr="00D350B5">
              <w:rPr>
                <w:color w:val="005694"/>
                <w:lang w:val="en-US"/>
              </w:rPr>
              <w:t xml:space="preserve"> </w:t>
            </w:r>
            <w:r w:rsidR="006D0039">
              <w:rPr>
                <w:color w:val="005694"/>
                <w:lang w:val="en-US"/>
              </w:rPr>
              <w:t xml:space="preserve"> </w:t>
            </w:r>
            <w:r w:rsidRPr="008E4FDE">
              <w:rPr>
                <w:lang w:val="en-US"/>
              </w:rPr>
              <w:t>Development of balanced and effective international normative frameworks for IP</w:t>
            </w:r>
          </w:p>
        </w:tc>
        <w:tc>
          <w:tcPr>
            <w:tcW w:w="2379" w:type="dxa"/>
            <w:shd w:val="clear" w:color="auto" w:fill="auto"/>
          </w:tcPr>
          <w:p w14:paraId="15ABD6B9" w14:textId="77777777" w:rsidR="00CC7388" w:rsidRPr="00D350B5" w:rsidRDefault="00CC7388" w:rsidP="00750B3E">
            <w:pPr>
              <w:pStyle w:val="TableText"/>
              <w:rPr>
                <w:lang w:val="en-US"/>
              </w:rPr>
            </w:pPr>
            <w:r w:rsidRPr="00EC1305">
              <w:rPr>
                <w:lang w:val="en-US"/>
              </w:rPr>
              <w:t>Progress on the implementation of agreed work in accordance</w:t>
            </w:r>
            <w:r>
              <w:rPr>
                <w:lang w:val="en-US"/>
              </w:rPr>
              <w:t xml:space="preserve"> </w:t>
            </w:r>
            <w:r w:rsidRPr="00D830AB">
              <w:rPr>
                <w:lang w:val="en-US"/>
              </w:rPr>
              <w:t xml:space="preserve">with the agenda of the </w:t>
            </w:r>
            <w:r>
              <w:rPr>
                <w:lang w:val="en-US"/>
              </w:rPr>
              <w:t>Committee</w:t>
            </w:r>
          </w:p>
        </w:tc>
        <w:tc>
          <w:tcPr>
            <w:tcW w:w="2379" w:type="dxa"/>
            <w:shd w:val="clear" w:color="auto" w:fill="auto"/>
          </w:tcPr>
          <w:p w14:paraId="7C593E50" w14:textId="77777777" w:rsidR="00CC7388" w:rsidRPr="00D350B5" w:rsidRDefault="00CC7388" w:rsidP="00750B3E">
            <w:pPr>
              <w:pStyle w:val="TableText"/>
              <w:rPr>
                <w:lang w:val="en-US"/>
              </w:rPr>
            </w:pPr>
            <w:r>
              <w:rPr>
                <w:color w:val="000000" w:themeColor="text1"/>
                <w:szCs w:val="16"/>
              </w:rPr>
              <w:t>Implementation of the agreed agenda of the IGC for the 2024/25 biennium</w:t>
            </w:r>
          </w:p>
        </w:tc>
        <w:tc>
          <w:tcPr>
            <w:tcW w:w="2381" w:type="dxa"/>
            <w:shd w:val="clear" w:color="auto" w:fill="auto"/>
          </w:tcPr>
          <w:p w14:paraId="06B86B5E" w14:textId="77777777" w:rsidR="00CC7388" w:rsidRPr="00D350B5" w:rsidRDefault="00CC7388" w:rsidP="00750B3E">
            <w:pPr>
              <w:pStyle w:val="TableText"/>
              <w:rPr>
                <w:lang w:val="en-US"/>
              </w:rPr>
            </w:pPr>
            <w:r w:rsidRPr="00F40757">
              <w:rPr>
                <w:szCs w:val="16"/>
              </w:rPr>
              <w:t>Implementation of agreed work in accordance with the IGC agenda</w:t>
            </w:r>
          </w:p>
        </w:tc>
      </w:tr>
      <w:tr w:rsidR="00CC7388" w:rsidRPr="00D350B5" w14:paraId="48904906" w14:textId="77777777" w:rsidTr="00750B3E">
        <w:trPr>
          <w:cantSplit/>
          <w:trHeight w:val="360"/>
        </w:trPr>
        <w:tc>
          <w:tcPr>
            <w:tcW w:w="2378" w:type="dxa"/>
            <w:tcBorders>
              <w:top w:val="single" w:sz="4" w:space="0" w:color="BFBFBF" w:themeColor="background1" w:themeShade="BF"/>
            </w:tcBorders>
            <w:shd w:val="clear" w:color="auto" w:fill="auto"/>
          </w:tcPr>
          <w:p w14:paraId="2F9ADE25" w14:textId="12A89E9B" w:rsidR="00CC7388" w:rsidRDefault="00CC7388" w:rsidP="00750B3E">
            <w:pPr>
              <w:pStyle w:val="TableTextBold"/>
              <w:rPr>
                <w:rStyle w:val="charColoured"/>
                <w:lang w:val="en-US"/>
              </w:rPr>
            </w:pPr>
            <w:r w:rsidRPr="00EC1305">
              <w:rPr>
                <w:rStyle w:val="charColoured"/>
                <w:lang w:val="en-US"/>
              </w:rPr>
              <w:t>2.2</w:t>
            </w:r>
            <w:r w:rsidRPr="009E1FE2">
              <w:rPr>
                <w:rStyle w:val="charColoured"/>
                <w:color w:val="auto"/>
                <w:lang w:val="en-US"/>
              </w:rPr>
              <w:t xml:space="preserve"> </w:t>
            </w:r>
            <w:r w:rsidR="006D0039">
              <w:rPr>
                <w:rStyle w:val="charColoured"/>
                <w:color w:val="auto"/>
                <w:lang w:val="en-US"/>
              </w:rPr>
              <w:t xml:space="preserve"> </w:t>
            </w:r>
            <w:r w:rsidRPr="009E1FE2">
              <w:rPr>
                <w:rStyle w:val="charColoured"/>
                <w:color w:val="auto"/>
                <w:lang w:val="en-US"/>
              </w:rPr>
              <w:t>WIPO brings the international community together to proactively address emerging issues and policy challenges at the global level relating to IP, innovation and creativity</w:t>
            </w:r>
          </w:p>
        </w:tc>
        <w:tc>
          <w:tcPr>
            <w:tcW w:w="2379" w:type="dxa"/>
            <w:tcBorders>
              <w:top w:val="single" w:sz="4" w:space="0" w:color="BFBFBF" w:themeColor="background1" w:themeShade="BF"/>
              <w:bottom w:val="single" w:sz="4" w:space="0" w:color="BFBFBF" w:themeColor="background1" w:themeShade="BF"/>
            </w:tcBorders>
            <w:shd w:val="clear" w:color="auto" w:fill="auto"/>
          </w:tcPr>
          <w:p w14:paraId="6348FB65" w14:textId="77777777" w:rsidR="00CC7388" w:rsidRPr="00F17212" w:rsidRDefault="00CC7388" w:rsidP="00750B3E">
            <w:pPr>
              <w:pStyle w:val="TableText"/>
              <w:rPr>
                <w:lang w:val="en-US"/>
              </w:rPr>
            </w:pPr>
            <w:r w:rsidRPr="00EC1305">
              <w:rPr>
                <w:lang w:val="en-US"/>
              </w:rPr>
              <w:t>Level of satisfaction of participants in activities organized to improve the understanding of the IP and Competition Policy interface</w:t>
            </w:r>
          </w:p>
        </w:tc>
        <w:tc>
          <w:tcPr>
            <w:tcW w:w="2379" w:type="dxa"/>
            <w:tcBorders>
              <w:top w:val="single" w:sz="4" w:space="0" w:color="BFBFBF" w:themeColor="background1" w:themeShade="BF"/>
              <w:bottom w:val="single" w:sz="4" w:space="0" w:color="BFBFBF" w:themeColor="background1" w:themeShade="BF"/>
            </w:tcBorders>
            <w:shd w:val="clear" w:color="auto" w:fill="auto"/>
          </w:tcPr>
          <w:p w14:paraId="01E13640" w14:textId="77777777" w:rsidR="00CC7388" w:rsidRPr="00044A36" w:rsidRDefault="00CC7388" w:rsidP="00750B3E">
            <w:pPr>
              <w:pStyle w:val="TableText"/>
              <w:rPr>
                <w:lang w:val="en-US"/>
              </w:rPr>
            </w:pPr>
            <w:r>
              <w:rPr>
                <w:lang w:val="en-US"/>
              </w:rPr>
              <w:t>97%</w:t>
            </w:r>
          </w:p>
        </w:tc>
        <w:tc>
          <w:tcPr>
            <w:tcW w:w="2381" w:type="dxa"/>
            <w:tcBorders>
              <w:top w:val="single" w:sz="4" w:space="0" w:color="BFBFBF" w:themeColor="background1" w:themeShade="BF"/>
              <w:bottom w:val="single" w:sz="4" w:space="0" w:color="BFBFBF" w:themeColor="background1" w:themeShade="BF"/>
            </w:tcBorders>
            <w:shd w:val="clear" w:color="auto" w:fill="auto"/>
          </w:tcPr>
          <w:p w14:paraId="37EADF96" w14:textId="77777777" w:rsidR="00CC7388" w:rsidRPr="00044A36" w:rsidRDefault="00CC7388" w:rsidP="00750B3E">
            <w:pPr>
              <w:pStyle w:val="TableText"/>
              <w:rPr>
                <w:lang w:val="en-US"/>
              </w:rPr>
            </w:pPr>
            <w:r>
              <w:rPr>
                <w:szCs w:val="16"/>
              </w:rPr>
              <w:t>≥ 85</w:t>
            </w:r>
            <w:r w:rsidRPr="00B04169">
              <w:rPr>
                <w:szCs w:val="16"/>
              </w:rPr>
              <w:t>% satisfied or very satisfied</w:t>
            </w:r>
          </w:p>
        </w:tc>
      </w:tr>
      <w:tr w:rsidR="00CC7388" w:rsidRPr="00D350B5" w14:paraId="6A7B95D8" w14:textId="77777777" w:rsidTr="00750B3E">
        <w:trPr>
          <w:cantSplit/>
          <w:trHeight w:val="360"/>
        </w:trPr>
        <w:tc>
          <w:tcPr>
            <w:tcW w:w="2378" w:type="dxa"/>
            <w:tcBorders>
              <w:top w:val="single" w:sz="4" w:space="0" w:color="BFBFBF" w:themeColor="background1" w:themeShade="BF"/>
            </w:tcBorders>
            <w:shd w:val="clear" w:color="auto" w:fill="auto"/>
          </w:tcPr>
          <w:p w14:paraId="624E3941" w14:textId="77777777" w:rsidR="00CC7388" w:rsidRDefault="00CC7388" w:rsidP="00750B3E">
            <w:pPr>
              <w:pStyle w:val="TableTextBold"/>
              <w:rPr>
                <w:rStyle w:val="charColoured"/>
                <w:lang w:val="en-US"/>
              </w:rPr>
            </w:pPr>
            <w:r>
              <w:rPr>
                <w:rStyle w:val="charColoured"/>
                <w:lang w:val="en-US"/>
              </w:rPr>
              <w:t>2</w:t>
            </w:r>
            <w:r w:rsidRPr="00D350B5">
              <w:rPr>
                <w:rStyle w:val="charColoured"/>
                <w:lang w:val="en-US"/>
              </w:rPr>
              <w:t>.</w:t>
            </w:r>
            <w:r>
              <w:rPr>
                <w:rStyle w:val="charColoured"/>
                <w:lang w:val="en-US"/>
              </w:rPr>
              <w:t xml:space="preserve">3  </w:t>
            </w:r>
            <w:r w:rsidRPr="00F17212">
              <w:rPr>
                <w:lang w:val="en-US"/>
              </w:rPr>
              <w:t>International dialogue and cooperation on Building Respect for IP</w:t>
            </w:r>
          </w:p>
        </w:tc>
        <w:tc>
          <w:tcPr>
            <w:tcW w:w="2379" w:type="dxa"/>
            <w:tcBorders>
              <w:top w:val="single" w:sz="4" w:space="0" w:color="BFBFBF" w:themeColor="background1" w:themeShade="BF"/>
              <w:bottom w:val="single" w:sz="4" w:space="0" w:color="BFBFBF" w:themeColor="background1" w:themeShade="BF"/>
            </w:tcBorders>
            <w:shd w:val="clear" w:color="auto" w:fill="auto"/>
          </w:tcPr>
          <w:p w14:paraId="6DF756CA" w14:textId="77777777" w:rsidR="00CC7388" w:rsidRPr="006A7B71" w:rsidRDefault="00CC7388" w:rsidP="00750B3E">
            <w:pPr>
              <w:pStyle w:val="TableText"/>
              <w:rPr>
                <w:lang w:val="en-US"/>
              </w:rPr>
            </w:pPr>
            <w:r w:rsidRPr="00F17212">
              <w:rPr>
                <w:lang w:val="en-US"/>
              </w:rPr>
              <w:t>Progress on the implementation of agreed work in accordance with the agenda of</w:t>
            </w:r>
            <w:r>
              <w:rPr>
                <w:lang w:val="en-US"/>
              </w:rPr>
              <w:t xml:space="preserve"> Committee</w:t>
            </w:r>
          </w:p>
        </w:tc>
        <w:tc>
          <w:tcPr>
            <w:tcW w:w="2379" w:type="dxa"/>
            <w:tcBorders>
              <w:top w:val="single" w:sz="4" w:space="0" w:color="BFBFBF" w:themeColor="background1" w:themeShade="BF"/>
              <w:bottom w:val="single" w:sz="4" w:space="0" w:color="BFBFBF" w:themeColor="background1" w:themeShade="BF"/>
            </w:tcBorders>
            <w:shd w:val="clear" w:color="auto" w:fill="auto"/>
          </w:tcPr>
          <w:p w14:paraId="44C97DF7" w14:textId="77777777" w:rsidR="00CC7388" w:rsidRPr="00044A36" w:rsidRDefault="00CC7388" w:rsidP="00750B3E">
            <w:pPr>
              <w:pStyle w:val="TableText"/>
              <w:rPr>
                <w:lang w:val="en-US"/>
              </w:rPr>
            </w:pPr>
            <w:r>
              <w:rPr>
                <w:szCs w:val="16"/>
              </w:rPr>
              <w:t>Implementation of the ACE work program agreed upon during the fifteenth ACE session</w:t>
            </w:r>
          </w:p>
        </w:tc>
        <w:tc>
          <w:tcPr>
            <w:tcW w:w="2381" w:type="dxa"/>
            <w:tcBorders>
              <w:top w:val="single" w:sz="4" w:space="0" w:color="BFBFBF" w:themeColor="background1" w:themeShade="BF"/>
              <w:bottom w:val="single" w:sz="4" w:space="0" w:color="BFBFBF" w:themeColor="background1" w:themeShade="BF"/>
            </w:tcBorders>
            <w:shd w:val="clear" w:color="auto" w:fill="auto"/>
          </w:tcPr>
          <w:p w14:paraId="00F24CDE" w14:textId="77777777" w:rsidR="00CC7388" w:rsidRPr="00044A36" w:rsidRDefault="00CC7388" w:rsidP="00750B3E">
            <w:pPr>
              <w:pStyle w:val="TableText"/>
              <w:rPr>
                <w:lang w:val="en-US"/>
              </w:rPr>
            </w:pPr>
            <w:r w:rsidRPr="00F40757">
              <w:rPr>
                <w:szCs w:val="16"/>
              </w:rPr>
              <w:t xml:space="preserve">Implementation of agreed work in accordance with the </w:t>
            </w:r>
            <w:r>
              <w:rPr>
                <w:szCs w:val="16"/>
              </w:rPr>
              <w:t>ACE</w:t>
            </w:r>
            <w:r w:rsidRPr="00F40757">
              <w:rPr>
                <w:szCs w:val="16"/>
              </w:rPr>
              <w:t xml:space="preserve"> agenda</w:t>
            </w:r>
          </w:p>
        </w:tc>
      </w:tr>
      <w:tr w:rsidR="00CC7388" w:rsidRPr="00D350B5" w14:paraId="7A17887F" w14:textId="77777777" w:rsidTr="00750B3E">
        <w:trPr>
          <w:cantSplit/>
          <w:trHeight w:val="147"/>
        </w:trPr>
        <w:tc>
          <w:tcPr>
            <w:tcW w:w="2378" w:type="dxa"/>
            <w:vMerge w:val="restart"/>
            <w:tcBorders>
              <w:top w:val="single" w:sz="4" w:space="0" w:color="BFBFBF" w:themeColor="background1" w:themeShade="BF"/>
            </w:tcBorders>
            <w:shd w:val="clear" w:color="auto" w:fill="auto"/>
          </w:tcPr>
          <w:p w14:paraId="22307E53" w14:textId="77777777" w:rsidR="00CC7388" w:rsidRDefault="00CC7388" w:rsidP="00750B3E">
            <w:pPr>
              <w:pStyle w:val="TableTextBold"/>
              <w:rPr>
                <w:rStyle w:val="charColoured"/>
                <w:lang w:val="en-US"/>
              </w:rPr>
            </w:pPr>
            <w:r w:rsidRPr="00F17212">
              <w:rPr>
                <w:color w:val="005172" w:themeColor="text2"/>
                <w:lang w:val="en-US"/>
              </w:rPr>
              <w:t>2.4</w:t>
            </w:r>
            <w:r>
              <w:rPr>
                <w:color w:val="005172" w:themeColor="text2"/>
                <w:lang w:val="en-US"/>
              </w:rPr>
              <w:t xml:space="preserve">  </w:t>
            </w:r>
            <w:r w:rsidRPr="00F17212">
              <w:rPr>
                <w:lang w:val="en-US"/>
              </w:rPr>
              <w:t>Effective interaction and partnerships with the UN, IGOs and NGOs in support of global goals to which IP can contribute</w:t>
            </w:r>
          </w:p>
        </w:tc>
        <w:tc>
          <w:tcPr>
            <w:tcW w:w="2379" w:type="dxa"/>
            <w:tcBorders>
              <w:top w:val="single" w:sz="4" w:space="0" w:color="BFBFBF" w:themeColor="background1" w:themeShade="BF"/>
            </w:tcBorders>
            <w:shd w:val="clear" w:color="auto" w:fill="auto"/>
          </w:tcPr>
          <w:p w14:paraId="396B08F3" w14:textId="77777777" w:rsidR="00CC7388" w:rsidRPr="006A7B71" w:rsidRDefault="00CC7388" w:rsidP="00750B3E">
            <w:pPr>
              <w:pStyle w:val="TableText"/>
              <w:rPr>
                <w:lang w:val="en-US"/>
              </w:rPr>
            </w:pPr>
            <w:r w:rsidRPr="00F17212">
              <w:rPr>
                <w:lang w:val="en-US"/>
              </w:rPr>
              <w:t>No. of WIPO initiatives in partnership with the UN and other IGOs</w:t>
            </w:r>
          </w:p>
        </w:tc>
        <w:tc>
          <w:tcPr>
            <w:tcW w:w="2379" w:type="dxa"/>
            <w:tcBorders>
              <w:top w:val="single" w:sz="4" w:space="0" w:color="BFBFBF" w:themeColor="background1" w:themeShade="BF"/>
            </w:tcBorders>
            <w:shd w:val="clear" w:color="auto" w:fill="auto"/>
          </w:tcPr>
          <w:p w14:paraId="5A43211A" w14:textId="77777777" w:rsidR="00CC7388" w:rsidRPr="00044A36" w:rsidRDefault="00CC7388" w:rsidP="00750B3E">
            <w:pPr>
              <w:pStyle w:val="TableText"/>
              <w:rPr>
                <w:lang w:val="en-US"/>
              </w:rPr>
            </w:pPr>
            <w:r>
              <w:rPr>
                <w:lang w:val="en-US"/>
              </w:rPr>
              <w:t>11 initiatives</w:t>
            </w:r>
          </w:p>
        </w:tc>
        <w:tc>
          <w:tcPr>
            <w:tcW w:w="2381" w:type="dxa"/>
            <w:tcBorders>
              <w:top w:val="single" w:sz="4" w:space="0" w:color="BFBFBF" w:themeColor="background1" w:themeShade="BF"/>
            </w:tcBorders>
            <w:shd w:val="clear" w:color="auto" w:fill="auto"/>
          </w:tcPr>
          <w:p w14:paraId="5C59BF94" w14:textId="77777777" w:rsidR="00CC7388" w:rsidRPr="00044A36" w:rsidRDefault="00CC7388" w:rsidP="00750B3E">
            <w:pPr>
              <w:pStyle w:val="TableText"/>
              <w:rPr>
                <w:lang w:val="en-US"/>
              </w:rPr>
            </w:pPr>
            <w:r w:rsidRPr="008A5B42">
              <w:rPr>
                <w:lang w:val="en-US"/>
              </w:rPr>
              <w:t>18 initiatives that have regional or global impact</w:t>
            </w:r>
          </w:p>
        </w:tc>
      </w:tr>
      <w:tr w:rsidR="00CC7388" w:rsidRPr="00D350B5" w14:paraId="30A55C23" w14:textId="77777777" w:rsidTr="00750B3E">
        <w:trPr>
          <w:cantSplit/>
          <w:trHeight w:val="590"/>
        </w:trPr>
        <w:tc>
          <w:tcPr>
            <w:tcW w:w="2378" w:type="dxa"/>
            <w:vMerge/>
            <w:shd w:val="clear" w:color="auto" w:fill="auto"/>
          </w:tcPr>
          <w:p w14:paraId="73DC7A60" w14:textId="77777777" w:rsidR="00CC7388" w:rsidRPr="00F17212" w:rsidRDefault="00CC7388" w:rsidP="00750B3E">
            <w:pPr>
              <w:pStyle w:val="TableTextBold"/>
              <w:rPr>
                <w:color w:val="005172" w:themeColor="text2"/>
                <w:lang w:val="en-US"/>
              </w:rPr>
            </w:pPr>
          </w:p>
        </w:tc>
        <w:tc>
          <w:tcPr>
            <w:tcW w:w="2379" w:type="dxa"/>
            <w:shd w:val="clear" w:color="auto" w:fill="auto"/>
          </w:tcPr>
          <w:p w14:paraId="6C4FBA05" w14:textId="77777777" w:rsidR="00CC7388" w:rsidRPr="006A7B71" w:rsidRDefault="00CC7388" w:rsidP="00750B3E">
            <w:pPr>
              <w:pStyle w:val="TableText"/>
              <w:rPr>
                <w:lang w:val="en-US"/>
              </w:rPr>
            </w:pPr>
            <w:r w:rsidRPr="00F17212">
              <w:rPr>
                <w:lang w:val="en-US"/>
              </w:rPr>
              <w:t>No. of permanent observer NGOs engaging in WIPO's work and vice versa</w:t>
            </w:r>
          </w:p>
        </w:tc>
        <w:tc>
          <w:tcPr>
            <w:tcW w:w="2379" w:type="dxa"/>
            <w:shd w:val="clear" w:color="auto" w:fill="auto"/>
          </w:tcPr>
          <w:p w14:paraId="49A0497A" w14:textId="77777777" w:rsidR="00CC7388" w:rsidRPr="008A5B42" w:rsidRDefault="00CC7388" w:rsidP="00750B3E">
            <w:pPr>
              <w:pStyle w:val="TableText"/>
              <w:rPr>
                <w:lang w:val="en-US"/>
              </w:rPr>
            </w:pPr>
            <w:r w:rsidRPr="002D0E05">
              <w:rPr>
                <w:szCs w:val="16"/>
              </w:rPr>
              <w:t>Representatives of 293 permanently accredited NGOs attended WIPO events</w:t>
            </w:r>
            <w:r>
              <w:rPr>
                <w:szCs w:val="16"/>
              </w:rPr>
              <w:t xml:space="preserve"> (2022)</w:t>
            </w:r>
          </w:p>
        </w:tc>
        <w:tc>
          <w:tcPr>
            <w:tcW w:w="2381" w:type="dxa"/>
            <w:shd w:val="clear" w:color="auto" w:fill="auto"/>
          </w:tcPr>
          <w:p w14:paraId="252FAA4F" w14:textId="77777777" w:rsidR="00CC7388" w:rsidRPr="00044A36" w:rsidRDefault="00CC7388" w:rsidP="00750B3E">
            <w:pPr>
              <w:pStyle w:val="TableText"/>
              <w:rPr>
                <w:lang w:val="en-US"/>
              </w:rPr>
            </w:pPr>
            <w:r>
              <w:rPr>
                <w:szCs w:val="16"/>
                <w:lang w:val="en-US"/>
              </w:rPr>
              <w:t>Representatives of 32</w:t>
            </w:r>
            <w:r w:rsidRPr="00F40757">
              <w:rPr>
                <w:szCs w:val="16"/>
                <w:lang w:val="en-US"/>
              </w:rPr>
              <w:t>9 permanently accredited NGOs attend</w:t>
            </w:r>
            <w:r>
              <w:rPr>
                <w:szCs w:val="16"/>
                <w:lang w:val="en-US"/>
              </w:rPr>
              <w:t xml:space="preserve"> WIPO events (end 2025</w:t>
            </w:r>
            <w:r w:rsidRPr="00F40757">
              <w:rPr>
                <w:szCs w:val="16"/>
                <w:lang w:val="en-US"/>
              </w:rPr>
              <w:t>)</w:t>
            </w:r>
          </w:p>
        </w:tc>
      </w:tr>
      <w:tr w:rsidR="00CC7388" w:rsidRPr="007B17FF" w14:paraId="10809BAC" w14:textId="77777777" w:rsidTr="00750B3E">
        <w:trPr>
          <w:cantSplit/>
          <w:trHeight w:val="282"/>
        </w:trPr>
        <w:tc>
          <w:tcPr>
            <w:tcW w:w="2378" w:type="dxa"/>
            <w:shd w:val="clear" w:color="auto" w:fill="EDF0F3" w:themeFill="accent4" w:themeFillTint="33"/>
          </w:tcPr>
          <w:p w14:paraId="52CC7079" w14:textId="77777777" w:rsidR="00CC7388" w:rsidRPr="007B17FF" w:rsidRDefault="00CC7388" w:rsidP="00750B3E">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3</w:t>
            </w:r>
          </w:p>
        </w:tc>
        <w:tc>
          <w:tcPr>
            <w:tcW w:w="7139" w:type="dxa"/>
            <w:gridSpan w:val="3"/>
            <w:shd w:val="clear" w:color="auto" w:fill="EDF0F3" w:themeFill="accent4" w:themeFillTint="33"/>
          </w:tcPr>
          <w:p w14:paraId="0803AFEC" w14:textId="77777777" w:rsidR="00CC7388" w:rsidRPr="007B17FF" w:rsidRDefault="00CC7388" w:rsidP="00750B3E">
            <w:pPr>
              <w:pStyle w:val="TableHeading"/>
              <w:rPr>
                <w:b w:val="0"/>
                <w:i/>
                <w:color w:val="005172" w:themeColor="text2"/>
                <w:lang w:val="en-US"/>
              </w:rPr>
            </w:pPr>
            <w:r w:rsidRPr="007B17FF">
              <w:rPr>
                <w:b w:val="0"/>
                <w:i/>
                <w:color w:val="005172" w:themeColor="text2"/>
                <w:lang w:val="en-US"/>
              </w:rPr>
              <w:t>Provide high quality intellectual property services, knowledge and data that deliver value to users around the world</w:t>
            </w:r>
          </w:p>
        </w:tc>
      </w:tr>
      <w:tr w:rsidR="00CC7388" w:rsidRPr="00D350B5" w14:paraId="3235D7AA" w14:textId="77777777" w:rsidTr="00750B3E">
        <w:trPr>
          <w:cantSplit/>
          <w:trHeight w:val="511"/>
        </w:trPr>
        <w:tc>
          <w:tcPr>
            <w:tcW w:w="2378" w:type="dxa"/>
            <w:vMerge w:val="restart"/>
            <w:shd w:val="clear" w:color="auto" w:fill="auto"/>
          </w:tcPr>
          <w:p w14:paraId="30E0CC09" w14:textId="77777777" w:rsidR="00CC7388" w:rsidRDefault="00CC7388" w:rsidP="00750B3E">
            <w:pPr>
              <w:pStyle w:val="TableTextBold"/>
              <w:rPr>
                <w:rStyle w:val="charColoured"/>
                <w:lang w:val="en-US"/>
              </w:rPr>
            </w:pPr>
            <w:r>
              <w:rPr>
                <w:rStyle w:val="charColoured"/>
                <w:lang w:val="en-US"/>
              </w:rPr>
              <w:t xml:space="preserve">3.3  </w:t>
            </w:r>
            <w:r w:rsidRPr="00F17212">
              <w:rPr>
                <w:lang w:val="en-US"/>
              </w:rPr>
              <w:t>Knowledge transfer and technology adaptation is facilitated through WIPO’s IP-based platforms and tools to address global challenges</w:t>
            </w:r>
          </w:p>
        </w:tc>
        <w:tc>
          <w:tcPr>
            <w:tcW w:w="2379" w:type="dxa"/>
            <w:shd w:val="clear" w:color="auto" w:fill="auto"/>
          </w:tcPr>
          <w:p w14:paraId="3B0031BD" w14:textId="77777777" w:rsidR="00CC7388" w:rsidRDefault="00CC7388" w:rsidP="00750B3E">
            <w:pPr>
              <w:pStyle w:val="TableText"/>
              <w:rPr>
                <w:lang w:val="en-US"/>
              </w:rPr>
            </w:pPr>
            <w:r w:rsidRPr="00F17212">
              <w:rPr>
                <w:lang w:val="en-US"/>
              </w:rPr>
              <w:t>No. of matches between green technology seekers and provid</w:t>
            </w:r>
            <w:r>
              <w:rPr>
                <w:lang w:val="en-US"/>
              </w:rPr>
              <w:t>ers via the WIPO GREEN platform</w:t>
            </w:r>
            <w:r w:rsidRPr="00F17212">
              <w:rPr>
                <w:lang w:val="en-US"/>
              </w:rPr>
              <w:t xml:space="preserve"> and through Acceleration Projects</w:t>
            </w:r>
          </w:p>
        </w:tc>
        <w:tc>
          <w:tcPr>
            <w:tcW w:w="2379" w:type="dxa"/>
            <w:shd w:val="clear" w:color="auto" w:fill="auto"/>
          </w:tcPr>
          <w:p w14:paraId="1180E98B" w14:textId="77777777" w:rsidR="00CC7388" w:rsidRDefault="00CC7388" w:rsidP="00750B3E">
            <w:pPr>
              <w:pStyle w:val="TableText"/>
              <w:rPr>
                <w:lang w:val="en-US"/>
              </w:rPr>
            </w:pPr>
            <w:r>
              <w:rPr>
                <w:lang w:val="en-US"/>
              </w:rPr>
              <w:t>11 (cumulative end 2022)</w:t>
            </w:r>
          </w:p>
        </w:tc>
        <w:tc>
          <w:tcPr>
            <w:tcW w:w="2381" w:type="dxa"/>
            <w:shd w:val="clear" w:color="auto" w:fill="auto"/>
          </w:tcPr>
          <w:p w14:paraId="198C30B9" w14:textId="56773D3D" w:rsidR="00CC7388" w:rsidRPr="0021395C" w:rsidRDefault="00FE7F45" w:rsidP="00750B3E">
            <w:pPr>
              <w:pStyle w:val="TableText"/>
              <w:rPr>
                <w:szCs w:val="16"/>
              </w:rPr>
            </w:pPr>
            <w:r>
              <w:rPr>
                <w:szCs w:val="16"/>
              </w:rPr>
              <w:t>12</w:t>
            </w:r>
            <w:r w:rsidR="00CC7388">
              <w:rPr>
                <w:szCs w:val="16"/>
              </w:rPr>
              <w:t xml:space="preserve"> additional in the biennium</w:t>
            </w:r>
          </w:p>
        </w:tc>
      </w:tr>
      <w:tr w:rsidR="000257FB" w:rsidRPr="00D350B5" w14:paraId="038FC699" w14:textId="77777777" w:rsidTr="00750B3E">
        <w:trPr>
          <w:cantSplit/>
          <w:trHeight w:val="511"/>
        </w:trPr>
        <w:tc>
          <w:tcPr>
            <w:tcW w:w="2378" w:type="dxa"/>
            <w:vMerge/>
            <w:shd w:val="clear" w:color="auto" w:fill="auto"/>
          </w:tcPr>
          <w:p w14:paraId="180F75F9" w14:textId="77777777" w:rsidR="000257FB" w:rsidRDefault="000257FB" w:rsidP="000257FB">
            <w:pPr>
              <w:pStyle w:val="TableTextBold"/>
              <w:rPr>
                <w:rStyle w:val="charColoured"/>
                <w:lang w:val="en-US"/>
              </w:rPr>
            </w:pPr>
          </w:p>
        </w:tc>
        <w:tc>
          <w:tcPr>
            <w:tcW w:w="2379" w:type="dxa"/>
            <w:shd w:val="clear" w:color="auto" w:fill="auto"/>
          </w:tcPr>
          <w:p w14:paraId="242D82D6" w14:textId="7FCC244E" w:rsidR="000257FB" w:rsidRDefault="000257FB" w:rsidP="000257FB">
            <w:pPr>
              <w:pStyle w:val="TableText"/>
              <w:rPr>
                <w:rStyle w:val="ui-provider"/>
              </w:rPr>
            </w:pPr>
            <w:r>
              <w:rPr>
                <w:rStyle w:val="ui-provider"/>
              </w:rPr>
              <w:t>No. of tech transfers or access licenses supported by WIPO's global health initiatives, for which the IP component has been facilitated by WIPO</w:t>
            </w:r>
          </w:p>
        </w:tc>
        <w:tc>
          <w:tcPr>
            <w:tcW w:w="2379" w:type="dxa"/>
            <w:shd w:val="clear" w:color="auto" w:fill="auto"/>
          </w:tcPr>
          <w:p w14:paraId="01011A1F" w14:textId="5599B866" w:rsidR="000257FB" w:rsidRDefault="000257FB" w:rsidP="000257FB">
            <w:pPr>
              <w:pStyle w:val="TableText"/>
              <w:rPr>
                <w:lang w:val="en-US"/>
              </w:rPr>
            </w:pPr>
            <w:r>
              <w:rPr>
                <w:lang w:val="en-US"/>
              </w:rPr>
              <w:t>Not available</w:t>
            </w:r>
          </w:p>
        </w:tc>
        <w:tc>
          <w:tcPr>
            <w:tcW w:w="2381" w:type="dxa"/>
            <w:shd w:val="clear" w:color="auto" w:fill="auto"/>
          </w:tcPr>
          <w:p w14:paraId="2253CA97" w14:textId="054408D6" w:rsidR="000257FB" w:rsidRDefault="000257FB" w:rsidP="000257FB">
            <w:pPr>
              <w:pStyle w:val="TableText"/>
              <w:rPr>
                <w:lang w:val="en-US"/>
              </w:rPr>
            </w:pPr>
            <w:r>
              <w:rPr>
                <w:lang w:val="en-US"/>
              </w:rPr>
              <w:t>4</w:t>
            </w:r>
          </w:p>
        </w:tc>
      </w:tr>
      <w:tr w:rsidR="000257FB" w:rsidRPr="00D350B5" w14:paraId="62784448" w14:textId="77777777" w:rsidTr="00750B3E">
        <w:trPr>
          <w:cantSplit/>
          <w:trHeight w:val="511"/>
        </w:trPr>
        <w:tc>
          <w:tcPr>
            <w:tcW w:w="2378" w:type="dxa"/>
            <w:vMerge/>
            <w:shd w:val="clear" w:color="auto" w:fill="auto"/>
          </w:tcPr>
          <w:p w14:paraId="569F5FE9" w14:textId="77777777" w:rsidR="000257FB" w:rsidRDefault="000257FB" w:rsidP="000257FB">
            <w:pPr>
              <w:pStyle w:val="TableTextBold"/>
              <w:rPr>
                <w:rStyle w:val="charColoured"/>
                <w:lang w:val="en-US"/>
              </w:rPr>
            </w:pPr>
          </w:p>
        </w:tc>
        <w:tc>
          <w:tcPr>
            <w:tcW w:w="2379" w:type="dxa"/>
            <w:shd w:val="clear" w:color="auto" w:fill="auto"/>
          </w:tcPr>
          <w:p w14:paraId="3B2F4E9A" w14:textId="46773EED" w:rsidR="000257FB" w:rsidRPr="000B7F74" w:rsidRDefault="000257FB" w:rsidP="000257FB">
            <w:pPr>
              <w:pStyle w:val="TableText"/>
            </w:pPr>
            <w:r w:rsidRPr="00DF72DF">
              <w:rPr>
                <w:lang w:val="en-US"/>
              </w:rPr>
              <w:t>N</w:t>
            </w:r>
            <w:r>
              <w:rPr>
                <w:lang w:val="en-US"/>
              </w:rPr>
              <w:t>o.</w:t>
            </w:r>
            <w:r w:rsidRPr="00DF72DF">
              <w:rPr>
                <w:lang w:val="en-US"/>
              </w:rPr>
              <w:t xml:space="preserve"> of countries assisted to access patent information on green technologies available in the public domain with the support of the WIPO Green database</w:t>
            </w:r>
          </w:p>
        </w:tc>
        <w:tc>
          <w:tcPr>
            <w:tcW w:w="2379" w:type="dxa"/>
            <w:shd w:val="clear" w:color="auto" w:fill="auto"/>
          </w:tcPr>
          <w:p w14:paraId="20E7456F" w14:textId="06123958" w:rsidR="000257FB" w:rsidRPr="00181C39" w:rsidRDefault="000257FB" w:rsidP="000257FB">
            <w:pPr>
              <w:pStyle w:val="TableText"/>
              <w:rPr>
                <w:lang w:val="en-US"/>
              </w:rPr>
            </w:pPr>
            <w:r w:rsidRPr="00181C39">
              <w:rPr>
                <w:lang w:val="en-US"/>
              </w:rPr>
              <w:t>tbd</w:t>
            </w:r>
          </w:p>
        </w:tc>
        <w:tc>
          <w:tcPr>
            <w:tcW w:w="2381" w:type="dxa"/>
            <w:shd w:val="clear" w:color="auto" w:fill="auto"/>
          </w:tcPr>
          <w:p w14:paraId="635F84D8" w14:textId="4063CE0F" w:rsidR="000257FB" w:rsidRPr="00181C39" w:rsidRDefault="000257FB" w:rsidP="000257FB">
            <w:pPr>
              <w:pStyle w:val="TableText"/>
              <w:rPr>
                <w:szCs w:val="16"/>
              </w:rPr>
            </w:pPr>
            <w:r w:rsidRPr="00181C39">
              <w:rPr>
                <w:szCs w:val="16"/>
              </w:rPr>
              <w:t>tbd</w:t>
            </w:r>
          </w:p>
        </w:tc>
      </w:tr>
      <w:tr w:rsidR="000257FB" w:rsidRPr="007B17FF" w14:paraId="7DA51206" w14:textId="77777777" w:rsidTr="00750B3E">
        <w:trPr>
          <w:cantSplit/>
          <w:trHeight w:val="282"/>
        </w:trPr>
        <w:tc>
          <w:tcPr>
            <w:tcW w:w="2378" w:type="dxa"/>
            <w:shd w:val="clear" w:color="auto" w:fill="EDF0F3" w:themeFill="accent4" w:themeFillTint="33"/>
          </w:tcPr>
          <w:p w14:paraId="3AE07AFD" w14:textId="77777777" w:rsidR="000257FB" w:rsidRPr="007B17FF" w:rsidRDefault="000257FB" w:rsidP="000257FB">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4</w:t>
            </w:r>
          </w:p>
        </w:tc>
        <w:tc>
          <w:tcPr>
            <w:tcW w:w="7139" w:type="dxa"/>
            <w:gridSpan w:val="3"/>
            <w:shd w:val="clear" w:color="auto" w:fill="EDF0F3" w:themeFill="accent4" w:themeFillTint="33"/>
          </w:tcPr>
          <w:p w14:paraId="50DB06EA" w14:textId="77777777" w:rsidR="000257FB" w:rsidRPr="007B17FF" w:rsidRDefault="000257FB" w:rsidP="000257FB">
            <w:pPr>
              <w:pStyle w:val="TableHeading"/>
              <w:rPr>
                <w:b w:val="0"/>
                <w:i/>
                <w:color w:val="005172" w:themeColor="text2"/>
                <w:lang w:val="en-US"/>
              </w:rPr>
            </w:pPr>
            <w:r w:rsidRPr="007B17FF">
              <w:rPr>
                <w:b w:val="0"/>
                <w:i/>
                <w:color w:val="005172" w:themeColor="text2"/>
                <w:lang w:val="en-US"/>
              </w:rPr>
              <w:t>Support governments, enterprises, communities and individuals to use intellectual property as a tool for growth and sustainable development</w:t>
            </w:r>
          </w:p>
        </w:tc>
      </w:tr>
      <w:tr w:rsidR="000257FB" w:rsidRPr="00D350B5" w14:paraId="30E9995C" w14:textId="77777777" w:rsidTr="00750B3E">
        <w:trPr>
          <w:cantSplit/>
          <w:trHeight w:val="254"/>
        </w:trPr>
        <w:tc>
          <w:tcPr>
            <w:tcW w:w="2378" w:type="dxa"/>
            <w:vMerge w:val="restart"/>
            <w:shd w:val="clear" w:color="auto" w:fill="auto"/>
          </w:tcPr>
          <w:p w14:paraId="40B17A46" w14:textId="77777777" w:rsidR="000257FB" w:rsidRPr="00D350B5" w:rsidRDefault="000257FB" w:rsidP="000257FB">
            <w:pPr>
              <w:pStyle w:val="TableTextBold"/>
              <w:rPr>
                <w:lang w:val="en-US"/>
              </w:rPr>
            </w:pPr>
            <w:r>
              <w:rPr>
                <w:rStyle w:val="charColoured"/>
                <w:lang w:val="en-US"/>
              </w:rPr>
              <w:t xml:space="preserve">4.2  </w:t>
            </w:r>
            <w:r w:rsidRPr="00220454">
              <w:rPr>
                <w:lang w:val="en-US"/>
              </w:rPr>
              <w:t>Development of balanced and effective IP, innovation and creative ecosystems in Member States</w:t>
            </w:r>
          </w:p>
        </w:tc>
        <w:tc>
          <w:tcPr>
            <w:tcW w:w="2379" w:type="dxa"/>
            <w:vMerge w:val="restart"/>
            <w:shd w:val="clear" w:color="auto" w:fill="auto"/>
          </w:tcPr>
          <w:p w14:paraId="73ACA046" w14:textId="77777777" w:rsidR="000257FB" w:rsidRPr="00D350B5" w:rsidRDefault="000257FB" w:rsidP="000257FB">
            <w:pPr>
              <w:pStyle w:val="TableText"/>
              <w:rPr>
                <w:lang w:val="en-US"/>
              </w:rPr>
            </w:pPr>
            <w:r w:rsidRPr="00EC1305">
              <w:rPr>
                <w:lang w:val="en-US"/>
              </w:rPr>
              <w:t xml:space="preserve">No. and % of Member States satisfied with the </w:t>
            </w:r>
            <w:r w:rsidRPr="00A540AE">
              <w:rPr>
                <w:lang w:val="en-US"/>
              </w:rPr>
              <w:t>legislative and policy advice provided</w:t>
            </w:r>
          </w:p>
        </w:tc>
        <w:tc>
          <w:tcPr>
            <w:tcW w:w="2379" w:type="dxa"/>
            <w:shd w:val="clear" w:color="auto" w:fill="auto"/>
          </w:tcPr>
          <w:p w14:paraId="408D9D42" w14:textId="77777777" w:rsidR="000257FB" w:rsidRPr="00D350B5" w:rsidRDefault="000257FB" w:rsidP="000257FB">
            <w:pPr>
              <w:pStyle w:val="TableText"/>
              <w:rPr>
                <w:lang w:val="en-US"/>
              </w:rPr>
            </w:pPr>
            <w:r>
              <w:rPr>
                <w:lang w:val="en-US"/>
              </w:rPr>
              <w:t>Traditional Knowledge: 100%</w:t>
            </w:r>
          </w:p>
        </w:tc>
        <w:tc>
          <w:tcPr>
            <w:tcW w:w="2381" w:type="dxa"/>
            <w:shd w:val="clear" w:color="auto" w:fill="auto"/>
          </w:tcPr>
          <w:p w14:paraId="13D6C253" w14:textId="77777777" w:rsidR="000257FB" w:rsidRPr="00D350B5" w:rsidRDefault="000257FB" w:rsidP="000257FB">
            <w:pPr>
              <w:pStyle w:val="TableText"/>
              <w:rPr>
                <w:lang w:val="en-US"/>
              </w:rPr>
            </w:pPr>
            <w:r>
              <w:rPr>
                <w:szCs w:val="16"/>
              </w:rPr>
              <w:t>≥ 90</w:t>
            </w:r>
            <w:r w:rsidRPr="00B04169">
              <w:rPr>
                <w:szCs w:val="16"/>
              </w:rPr>
              <w:t>% satisfied or very satisfied</w:t>
            </w:r>
          </w:p>
        </w:tc>
      </w:tr>
      <w:tr w:rsidR="000257FB" w:rsidRPr="00D350B5" w14:paraId="1B0E3964" w14:textId="77777777" w:rsidTr="00750B3E">
        <w:trPr>
          <w:cantSplit/>
          <w:trHeight w:val="69"/>
        </w:trPr>
        <w:tc>
          <w:tcPr>
            <w:tcW w:w="2378" w:type="dxa"/>
            <w:vMerge/>
            <w:tcBorders>
              <w:bottom w:val="single" w:sz="4" w:space="0" w:color="C6CFD7" w:themeColor="accent3" w:themeTint="66"/>
            </w:tcBorders>
            <w:shd w:val="clear" w:color="auto" w:fill="auto"/>
          </w:tcPr>
          <w:p w14:paraId="0CAD2289" w14:textId="77777777" w:rsidR="000257FB" w:rsidRDefault="000257FB" w:rsidP="000257FB">
            <w:pPr>
              <w:pStyle w:val="TableTextBold"/>
              <w:rPr>
                <w:rStyle w:val="charColoured"/>
                <w:lang w:val="en-US"/>
              </w:rPr>
            </w:pPr>
          </w:p>
        </w:tc>
        <w:tc>
          <w:tcPr>
            <w:tcW w:w="2379" w:type="dxa"/>
            <w:vMerge/>
            <w:tcBorders>
              <w:bottom w:val="single" w:sz="4" w:space="0" w:color="C6CFD7" w:themeColor="accent3" w:themeTint="66"/>
            </w:tcBorders>
            <w:shd w:val="clear" w:color="auto" w:fill="auto"/>
          </w:tcPr>
          <w:p w14:paraId="69129984" w14:textId="77777777" w:rsidR="000257FB" w:rsidRPr="00A540AE" w:rsidRDefault="000257FB" w:rsidP="000257FB">
            <w:pPr>
              <w:pStyle w:val="TableText"/>
              <w:rPr>
                <w:lang w:val="en-US"/>
              </w:rPr>
            </w:pPr>
          </w:p>
        </w:tc>
        <w:tc>
          <w:tcPr>
            <w:tcW w:w="2379" w:type="dxa"/>
            <w:tcBorders>
              <w:bottom w:val="single" w:sz="4" w:space="0" w:color="C6CFD7" w:themeColor="accent3" w:themeTint="66"/>
            </w:tcBorders>
            <w:shd w:val="clear" w:color="auto" w:fill="auto"/>
          </w:tcPr>
          <w:p w14:paraId="09983C31" w14:textId="77777777" w:rsidR="000257FB" w:rsidRDefault="000257FB" w:rsidP="000257FB">
            <w:pPr>
              <w:pStyle w:val="TableText"/>
              <w:ind w:left="0" w:firstLine="107"/>
              <w:rPr>
                <w:lang w:val="en-US"/>
              </w:rPr>
            </w:pPr>
            <w:r>
              <w:rPr>
                <w:lang w:val="en-US"/>
              </w:rPr>
              <w:t>Building Respect for IP: tbd</w:t>
            </w:r>
          </w:p>
        </w:tc>
        <w:tc>
          <w:tcPr>
            <w:tcW w:w="2381" w:type="dxa"/>
            <w:tcBorders>
              <w:bottom w:val="single" w:sz="4" w:space="0" w:color="C6CFD7" w:themeColor="accent3" w:themeTint="66"/>
            </w:tcBorders>
            <w:shd w:val="clear" w:color="auto" w:fill="auto"/>
          </w:tcPr>
          <w:p w14:paraId="3049D21C" w14:textId="77777777" w:rsidR="000257FB" w:rsidRPr="00F17212" w:rsidRDefault="000257FB" w:rsidP="000257FB">
            <w:pPr>
              <w:pStyle w:val="TableText"/>
              <w:rPr>
                <w:lang w:val="en-US"/>
              </w:rPr>
            </w:pPr>
            <w:r>
              <w:rPr>
                <w:szCs w:val="16"/>
              </w:rPr>
              <w:t>≥ 90</w:t>
            </w:r>
            <w:r w:rsidRPr="00B04169">
              <w:rPr>
                <w:szCs w:val="16"/>
              </w:rPr>
              <w:t>% satisfied or very satisfied</w:t>
            </w:r>
          </w:p>
        </w:tc>
      </w:tr>
      <w:tr w:rsidR="000257FB" w:rsidRPr="00D350B5" w14:paraId="213DF386" w14:textId="77777777" w:rsidTr="00750B3E">
        <w:trPr>
          <w:cantSplit/>
          <w:trHeight w:val="404"/>
        </w:trPr>
        <w:tc>
          <w:tcPr>
            <w:tcW w:w="2378" w:type="dxa"/>
            <w:tcBorders>
              <w:top w:val="single" w:sz="4" w:space="0" w:color="C6CFD7" w:themeColor="accent3" w:themeTint="66"/>
              <w:bottom w:val="single" w:sz="4" w:space="0" w:color="C6CFD7" w:themeColor="accent3" w:themeTint="66"/>
            </w:tcBorders>
            <w:shd w:val="clear" w:color="auto" w:fill="auto"/>
          </w:tcPr>
          <w:p w14:paraId="0BBC742B" w14:textId="77777777" w:rsidR="000257FB" w:rsidRPr="00D350B5" w:rsidRDefault="000257FB" w:rsidP="000257FB">
            <w:pPr>
              <w:pStyle w:val="TableTextBold"/>
              <w:rPr>
                <w:lang w:val="en-US"/>
              </w:rPr>
            </w:pPr>
            <w:r>
              <w:rPr>
                <w:rStyle w:val="charColoured"/>
              </w:rPr>
              <w:t xml:space="preserve">4.3  </w:t>
            </w:r>
            <w:r w:rsidRPr="00220454">
              <w:rPr>
                <w:lang w:val="en-US"/>
              </w:rPr>
              <w:t>Increased IP knowledge and skills in all Member States</w:t>
            </w:r>
          </w:p>
        </w:tc>
        <w:tc>
          <w:tcPr>
            <w:tcW w:w="2379" w:type="dxa"/>
            <w:tcBorders>
              <w:top w:val="single" w:sz="4" w:space="0" w:color="C6CFD7" w:themeColor="accent3" w:themeTint="66"/>
              <w:bottom w:val="single" w:sz="4" w:space="0" w:color="C6CFD7" w:themeColor="accent3" w:themeTint="66"/>
            </w:tcBorders>
            <w:shd w:val="clear" w:color="auto" w:fill="auto"/>
          </w:tcPr>
          <w:p w14:paraId="57C149FF" w14:textId="77777777" w:rsidR="000257FB" w:rsidRPr="00D350B5" w:rsidRDefault="000257FB" w:rsidP="000257FB">
            <w:pPr>
              <w:pStyle w:val="TableText"/>
              <w:rPr>
                <w:lang w:val="en-US"/>
              </w:rPr>
            </w:pPr>
            <w:r w:rsidRPr="00F17212">
              <w:rPr>
                <w:lang w:val="en-US"/>
              </w:rPr>
              <w:t>Level of satisfaction of participants in WIPO training and skills development programs</w:t>
            </w:r>
          </w:p>
        </w:tc>
        <w:tc>
          <w:tcPr>
            <w:tcW w:w="2379" w:type="dxa"/>
            <w:tcBorders>
              <w:top w:val="single" w:sz="4" w:space="0" w:color="C6CFD7" w:themeColor="accent3" w:themeTint="66"/>
              <w:bottom w:val="single" w:sz="4" w:space="0" w:color="C6CFD7" w:themeColor="accent3" w:themeTint="66"/>
            </w:tcBorders>
            <w:shd w:val="clear" w:color="auto" w:fill="auto"/>
          </w:tcPr>
          <w:p w14:paraId="2D409434" w14:textId="77777777" w:rsidR="000257FB" w:rsidRPr="00D350B5" w:rsidRDefault="000257FB" w:rsidP="000257FB">
            <w:pPr>
              <w:pStyle w:val="TableText"/>
              <w:rPr>
                <w:lang w:val="en-US"/>
              </w:rPr>
            </w:pPr>
            <w:r>
              <w:rPr>
                <w:lang w:val="en-US"/>
              </w:rPr>
              <w:t>91%</w:t>
            </w:r>
          </w:p>
        </w:tc>
        <w:tc>
          <w:tcPr>
            <w:tcW w:w="2381" w:type="dxa"/>
            <w:tcBorders>
              <w:top w:val="single" w:sz="4" w:space="0" w:color="C6CFD7" w:themeColor="accent3" w:themeTint="66"/>
              <w:bottom w:val="single" w:sz="4" w:space="0" w:color="C6CFD7" w:themeColor="accent3" w:themeTint="66"/>
            </w:tcBorders>
            <w:shd w:val="clear" w:color="auto" w:fill="auto"/>
          </w:tcPr>
          <w:p w14:paraId="21825D31" w14:textId="77777777" w:rsidR="000257FB" w:rsidRPr="00D350B5" w:rsidRDefault="000257FB" w:rsidP="000257FB">
            <w:pPr>
              <w:pStyle w:val="TableText"/>
              <w:rPr>
                <w:lang w:val="en-US"/>
              </w:rPr>
            </w:pPr>
            <w:r>
              <w:rPr>
                <w:szCs w:val="16"/>
              </w:rPr>
              <w:t>≥ 85</w:t>
            </w:r>
            <w:r w:rsidRPr="00B04169">
              <w:rPr>
                <w:szCs w:val="16"/>
              </w:rPr>
              <w:t>% satisfied or very satisfied</w:t>
            </w:r>
          </w:p>
        </w:tc>
      </w:tr>
      <w:tr w:rsidR="000257FB" w:rsidRPr="00D350B5" w14:paraId="49557AAB" w14:textId="77777777" w:rsidTr="00750B3E">
        <w:trPr>
          <w:cantSplit/>
          <w:trHeight w:val="669"/>
        </w:trPr>
        <w:tc>
          <w:tcPr>
            <w:tcW w:w="2378" w:type="dxa"/>
            <w:tcBorders>
              <w:top w:val="single" w:sz="4" w:space="0" w:color="C6CFD7" w:themeColor="accent3" w:themeTint="66"/>
              <w:bottom w:val="single" w:sz="4" w:space="0" w:color="C6CFD7" w:themeColor="accent3" w:themeTint="66"/>
            </w:tcBorders>
            <w:shd w:val="clear" w:color="auto" w:fill="auto"/>
          </w:tcPr>
          <w:p w14:paraId="60B42389" w14:textId="77777777" w:rsidR="000257FB" w:rsidRDefault="000257FB" w:rsidP="000257FB">
            <w:pPr>
              <w:pStyle w:val="TableTextBold"/>
              <w:rPr>
                <w:rStyle w:val="charColoured"/>
              </w:rPr>
            </w:pPr>
            <w:r w:rsidRPr="00EA4A26">
              <w:rPr>
                <w:rStyle w:val="charColoured"/>
              </w:rPr>
              <w:t>4.4</w:t>
            </w:r>
            <w:r>
              <w:rPr>
                <w:rStyle w:val="charColoured"/>
              </w:rPr>
              <w:t xml:space="preserve">  </w:t>
            </w:r>
            <w:r w:rsidRPr="00EA4A26">
              <w:rPr>
                <w:rStyle w:val="charColoured"/>
                <w:color w:val="auto"/>
              </w:rPr>
              <w:t xml:space="preserve">More innovators, creators, SMEs, universities, research institutions and communities leverage IP successfully  </w:t>
            </w:r>
          </w:p>
        </w:tc>
        <w:tc>
          <w:tcPr>
            <w:tcW w:w="2379" w:type="dxa"/>
            <w:tcBorders>
              <w:top w:val="single" w:sz="4" w:space="0" w:color="C6CFD7" w:themeColor="accent3" w:themeTint="66"/>
              <w:bottom w:val="single" w:sz="4" w:space="0" w:color="C6CFD7" w:themeColor="accent3" w:themeTint="66"/>
            </w:tcBorders>
            <w:shd w:val="clear" w:color="auto" w:fill="auto"/>
          </w:tcPr>
          <w:p w14:paraId="79C42006" w14:textId="77777777" w:rsidR="000257FB" w:rsidRPr="00F17212" w:rsidRDefault="000257FB" w:rsidP="000257FB">
            <w:pPr>
              <w:pStyle w:val="TableText"/>
              <w:rPr>
                <w:lang w:val="en-US"/>
              </w:rPr>
            </w:pPr>
            <w:r w:rsidRPr="00EA4A26">
              <w:rPr>
                <w:lang w:val="en-US"/>
              </w:rPr>
              <w:t>Level of satisfaction of participants in training and capacity building activities related to GRs, TK and TCEs</w:t>
            </w:r>
          </w:p>
        </w:tc>
        <w:tc>
          <w:tcPr>
            <w:tcW w:w="2379" w:type="dxa"/>
            <w:tcBorders>
              <w:top w:val="single" w:sz="4" w:space="0" w:color="C6CFD7" w:themeColor="accent3" w:themeTint="66"/>
              <w:bottom w:val="single" w:sz="4" w:space="0" w:color="C6CFD7" w:themeColor="accent3" w:themeTint="66"/>
            </w:tcBorders>
            <w:shd w:val="clear" w:color="auto" w:fill="auto"/>
          </w:tcPr>
          <w:p w14:paraId="740D7D8A" w14:textId="77777777" w:rsidR="000257FB" w:rsidRDefault="000257FB" w:rsidP="000257FB">
            <w:pPr>
              <w:pStyle w:val="TableText"/>
              <w:rPr>
                <w:lang w:val="en-US"/>
              </w:rPr>
            </w:pPr>
            <w:r>
              <w:rPr>
                <w:lang w:val="en-US"/>
              </w:rPr>
              <w:t>96%</w:t>
            </w:r>
          </w:p>
        </w:tc>
        <w:tc>
          <w:tcPr>
            <w:tcW w:w="2381" w:type="dxa"/>
            <w:tcBorders>
              <w:top w:val="single" w:sz="4" w:space="0" w:color="C6CFD7" w:themeColor="accent3" w:themeTint="66"/>
              <w:bottom w:val="single" w:sz="4" w:space="0" w:color="C6CFD7" w:themeColor="accent3" w:themeTint="66"/>
            </w:tcBorders>
            <w:shd w:val="clear" w:color="auto" w:fill="auto"/>
          </w:tcPr>
          <w:p w14:paraId="4495FE9C" w14:textId="77777777" w:rsidR="000257FB" w:rsidRPr="00F17212" w:rsidRDefault="000257FB" w:rsidP="000257FB">
            <w:pPr>
              <w:pStyle w:val="TableText"/>
              <w:rPr>
                <w:lang w:val="en-US"/>
              </w:rPr>
            </w:pPr>
            <w:r>
              <w:rPr>
                <w:szCs w:val="16"/>
              </w:rPr>
              <w:t>≥ 85</w:t>
            </w:r>
            <w:r w:rsidRPr="00B04169">
              <w:rPr>
                <w:szCs w:val="16"/>
              </w:rPr>
              <w:t>% satisfied or very satisfied</w:t>
            </w:r>
          </w:p>
        </w:tc>
      </w:tr>
    </w:tbl>
    <w:p w14:paraId="36CD1F83" w14:textId="77777777" w:rsidR="006367C5" w:rsidRDefault="006367C5" w:rsidP="00A61ACF">
      <w:pPr>
        <w:pStyle w:val="Heading1NoNumb"/>
        <w:spacing w:before="480" w:after="120"/>
        <w:rPr>
          <w:lang w:val="en-US"/>
        </w:rPr>
        <w:sectPr w:rsidR="006367C5" w:rsidSect="009C6A49">
          <w:headerReference w:type="even" r:id="rId59"/>
          <w:headerReference w:type="default" r:id="rId60"/>
          <w:headerReference w:type="first" r:id="rId61"/>
          <w:pgSz w:w="11906" w:h="16838" w:code="9"/>
          <w:pgMar w:top="1361" w:right="1134" w:bottom="1361" w:left="1134" w:header="431" w:footer="862" w:gutter="0"/>
          <w:cols w:space="708"/>
          <w:titlePg/>
          <w:docGrid w:linePitch="360"/>
        </w:sectPr>
      </w:pPr>
    </w:p>
    <w:p w14:paraId="48BBDA91" w14:textId="58CC75B9" w:rsidR="00A61ACF" w:rsidRDefault="00A61ACF" w:rsidP="00B14BAF">
      <w:pPr>
        <w:pStyle w:val="Heading1NoNumb"/>
        <w:spacing w:before="0" w:after="120"/>
        <w:rPr>
          <w:lang w:val="en-US"/>
        </w:rPr>
      </w:pPr>
      <w:r>
        <w:rPr>
          <w:lang w:val="en-US"/>
        </w:rPr>
        <w:t>Resources</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A61ACF" w:rsidRPr="00192178" w14:paraId="259ADBC2" w14:textId="77777777" w:rsidTr="00D34E67">
        <w:trPr>
          <w:trHeight w:val="80"/>
        </w:trPr>
        <w:tc>
          <w:tcPr>
            <w:tcW w:w="9540" w:type="dxa"/>
          </w:tcPr>
          <w:p w14:paraId="05D05D60" w14:textId="77777777" w:rsidR="00A61ACF" w:rsidRPr="00034525" w:rsidRDefault="00A61ACF" w:rsidP="001A3F3C">
            <w:pPr>
              <w:spacing w:after="60" w:line="240" w:lineRule="auto"/>
              <w:jc w:val="center"/>
              <w:rPr>
                <w:rFonts w:cs="Arial"/>
                <w:b/>
                <w:bCs/>
                <w:color w:val="005172"/>
                <w:sz w:val="16"/>
                <w:szCs w:val="16"/>
              </w:rPr>
            </w:pPr>
            <w:r w:rsidRPr="00F121B1">
              <w:rPr>
                <w:rFonts w:eastAsia="SimHei" w:cs="Arial"/>
                <w:b/>
                <w:bCs/>
                <w:color w:val="005172"/>
                <w:szCs w:val="18"/>
                <w:lang w:val="en-US" w:eastAsia="zh-CN"/>
              </w:rPr>
              <w:t>Global Challenges and Partnerships</w:t>
            </w:r>
            <w:r>
              <w:rPr>
                <w:rFonts w:eastAsia="SimHei" w:cs="Arial"/>
                <w:b/>
                <w:bCs/>
                <w:color w:val="005172"/>
                <w:szCs w:val="18"/>
                <w:lang w:val="en-US" w:eastAsia="zh-CN"/>
              </w:rPr>
              <w:t xml:space="preserve">: Resources </w:t>
            </w:r>
            <w:r w:rsidRPr="00034525">
              <w:rPr>
                <w:rFonts w:cs="Arial"/>
                <w:b/>
                <w:bCs/>
                <w:color w:val="005172"/>
                <w:szCs w:val="16"/>
              </w:rPr>
              <w:t>by Cost Category</w:t>
            </w:r>
          </w:p>
        </w:tc>
      </w:tr>
      <w:tr w:rsidR="00A61ACF" w:rsidRPr="00192178" w14:paraId="4190DEA0" w14:textId="77777777" w:rsidTr="00D34E67">
        <w:trPr>
          <w:trHeight w:val="15"/>
        </w:trPr>
        <w:tc>
          <w:tcPr>
            <w:tcW w:w="9540" w:type="dxa"/>
          </w:tcPr>
          <w:p w14:paraId="6C4581C9" w14:textId="24836AF3" w:rsidR="00A61ACF" w:rsidRPr="00034525" w:rsidRDefault="00A61ACF"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1C5ED8BD" w14:textId="3F74F9C7" w:rsidR="008C4654" w:rsidRDefault="008C4654" w:rsidP="00792A58">
      <w:pPr>
        <w:spacing w:after="0"/>
        <w:rPr>
          <w:rFonts w:asciiTheme="minorHAnsi" w:hAnsiTheme="minorHAnsi"/>
          <w:sz w:val="22"/>
        </w:rPr>
      </w:pPr>
    </w:p>
    <w:tbl>
      <w:tblPr>
        <w:tblW w:w="9245" w:type="dxa"/>
        <w:jc w:val="center"/>
        <w:tblLook w:val="04A0" w:firstRow="1" w:lastRow="0" w:firstColumn="1" w:lastColumn="0" w:noHBand="0" w:noVBand="1"/>
      </w:tblPr>
      <w:tblGrid>
        <w:gridCol w:w="253"/>
        <w:gridCol w:w="222"/>
        <w:gridCol w:w="2977"/>
        <w:gridCol w:w="253"/>
        <w:gridCol w:w="1060"/>
        <w:gridCol w:w="1180"/>
        <w:gridCol w:w="1180"/>
        <w:gridCol w:w="1060"/>
        <w:gridCol w:w="1060"/>
      </w:tblGrid>
      <w:tr w:rsidR="008C4654" w:rsidRPr="008C4654" w14:paraId="7FB7B98B" w14:textId="77777777" w:rsidTr="0096174B">
        <w:trPr>
          <w:divId w:val="1390297738"/>
          <w:trHeight w:val="420"/>
          <w:jc w:val="center"/>
        </w:trPr>
        <w:tc>
          <w:tcPr>
            <w:tcW w:w="3705" w:type="dxa"/>
            <w:gridSpan w:val="4"/>
            <w:vMerge w:val="restart"/>
            <w:tcBorders>
              <w:top w:val="nil"/>
              <w:left w:val="nil"/>
              <w:bottom w:val="nil"/>
              <w:right w:val="nil"/>
            </w:tcBorders>
            <w:shd w:val="clear" w:color="000000" w:fill="C7CFD8"/>
            <w:hideMark/>
          </w:tcPr>
          <w:p w14:paraId="5285B18F" w14:textId="133CBE5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6DF9A87E"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2024/25 </w:t>
            </w:r>
            <w:r w:rsidRPr="008C4654">
              <w:rPr>
                <w:rFonts w:ascii="Arial Narrow" w:eastAsia="Times New Roman" w:hAnsi="Arial Narrow" w:cs="Times New Roman"/>
                <w:b/>
                <w:bCs/>
                <w:sz w:val="16"/>
                <w:szCs w:val="16"/>
                <w:lang w:val="en-US"/>
              </w:rPr>
              <w:br/>
              <w:t>Proposed</w:t>
            </w:r>
            <w:r w:rsidRPr="008C4654">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1DC1D90B"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2022/23</w:t>
            </w:r>
            <w:r w:rsidRPr="008C4654">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30B04ACC"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2022/23 </w:t>
            </w:r>
            <w:r w:rsidRPr="008C4654">
              <w:rPr>
                <w:rFonts w:ascii="Arial Narrow" w:eastAsia="Times New Roman" w:hAnsi="Arial Narrow" w:cs="Times New Roman"/>
                <w:b/>
                <w:bCs/>
                <w:sz w:val="16"/>
                <w:szCs w:val="16"/>
                <w:lang w:val="en-US"/>
              </w:rPr>
              <w:br/>
              <w:t>Budget after</w:t>
            </w:r>
            <w:r w:rsidRPr="008C4654">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763238BE" w14:textId="77777777" w:rsidR="008C4654" w:rsidRPr="008C4654" w:rsidRDefault="008C4654" w:rsidP="008C4654">
            <w:pPr>
              <w:spacing w:after="0" w:line="240" w:lineRule="auto"/>
              <w:jc w:val="center"/>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2024/25 </w:t>
            </w:r>
            <w:r w:rsidRPr="008C4654">
              <w:rPr>
                <w:rFonts w:ascii="Arial Narrow" w:eastAsia="Times New Roman" w:hAnsi="Arial Narrow" w:cs="Times New Roman"/>
                <w:b/>
                <w:bCs/>
                <w:sz w:val="16"/>
                <w:szCs w:val="16"/>
                <w:lang w:val="en-US"/>
              </w:rPr>
              <w:br/>
              <w:t xml:space="preserve">vs. 2022/23 PoW&amp;B </w:t>
            </w:r>
          </w:p>
        </w:tc>
      </w:tr>
      <w:tr w:rsidR="008C4654" w:rsidRPr="008C4654" w14:paraId="0595D6D3" w14:textId="77777777" w:rsidTr="0096174B">
        <w:trPr>
          <w:divId w:val="1390297738"/>
          <w:trHeight w:val="315"/>
          <w:jc w:val="center"/>
        </w:trPr>
        <w:tc>
          <w:tcPr>
            <w:tcW w:w="3705" w:type="dxa"/>
            <w:gridSpan w:val="4"/>
            <w:vMerge/>
            <w:tcBorders>
              <w:top w:val="nil"/>
              <w:left w:val="nil"/>
              <w:bottom w:val="nil"/>
              <w:right w:val="nil"/>
            </w:tcBorders>
            <w:vAlign w:val="center"/>
            <w:hideMark/>
          </w:tcPr>
          <w:p w14:paraId="465618AF"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p>
        </w:tc>
        <w:tc>
          <w:tcPr>
            <w:tcW w:w="1060" w:type="dxa"/>
            <w:vMerge/>
            <w:tcBorders>
              <w:top w:val="nil"/>
              <w:left w:val="nil"/>
              <w:bottom w:val="nil"/>
              <w:right w:val="nil"/>
            </w:tcBorders>
            <w:vAlign w:val="center"/>
            <w:hideMark/>
          </w:tcPr>
          <w:p w14:paraId="6FFDCFE8"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771DEB6B"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51DD56B0"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335390A7" w14:textId="77777777" w:rsidR="008C4654" w:rsidRPr="008C4654" w:rsidRDefault="008C4654" w:rsidP="008C4654">
            <w:pPr>
              <w:spacing w:after="0" w:line="240" w:lineRule="auto"/>
              <w:ind w:firstLineChars="100" w:firstLine="160"/>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27E13408" w14:textId="77777777" w:rsidR="008C4654" w:rsidRPr="008C4654" w:rsidRDefault="008C4654" w:rsidP="008C4654">
            <w:pPr>
              <w:spacing w:after="0" w:line="240" w:lineRule="auto"/>
              <w:ind w:firstLineChars="200" w:firstLine="320"/>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w:t>
            </w:r>
          </w:p>
        </w:tc>
      </w:tr>
      <w:tr w:rsidR="008C4654" w:rsidRPr="008C4654" w14:paraId="1B4D7EED" w14:textId="77777777" w:rsidTr="008A121C">
        <w:trPr>
          <w:divId w:val="1390297738"/>
          <w:trHeight w:hRule="exact" w:val="216"/>
          <w:jc w:val="center"/>
        </w:trPr>
        <w:tc>
          <w:tcPr>
            <w:tcW w:w="3705" w:type="dxa"/>
            <w:gridSpan w:val="4"/>
            <w:tcBorders>
              <w:top w:val="nil"/>
              <w:left w:val="nil"/>
              <w:bottom w:val="nil"/>
              <w:right w:val="nil"/>
            </w:tcBorders>
            <w:shd w:val="clear" w:color="auto" w:fill="auto"/>
            <w:noWrap/>
            <w:hideMark/>
          </w:tcPr>
          <w:p w14:paraId="605F0DCE" w14:textId="77777777" w:rsidR="008C4654" w:rsidRPr="008C4654" w:rsidRDefault="008C4654" w:rsidP="008C4654">
            <w:pPr>
              <w:spacing w:after="0" w:line="240" w:lineRule="auto"/>
              <w:rPr>
                <w:rFonts w:ascii="Arial Narrow" w:eastAsia="Times New Roman" w:hAnsi="Arial Narrow" w:cs="Times New Roman"/>
                <w:b/>
                <w:bCs/>
                <w:color w:val="005172"/>
                <w:sz w:val="16"/>
                <w:szCs w:val="16"/>
                <w:lang w:val="en-US"/>
              </w:rPr>
            </w:pPr>
            <w:r w:rsidRPr="008C4654">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39A177AC" w14:textId="77777777" w:rsidR="008C4654" w:rsidRPr="008C4654" w:rsidRDefault="008C4654" w:rsidP="008C4654">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0278C12D"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D979DF5"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C93AC33"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8421C88"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r>
      <w:tr w:rsidR="008C4654" w:rsidRPr="008C4654" w14:paraId="66091B17"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070B04C5"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4CC2B5A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4BFE1CB"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Posts</w:t>
            </w:r>
          </w:p>
        </w:tc>
        <w:tc>
          <w:tcPr>
            <w:tcW w:w="253" w:type="dxa"/>
            <w:tcBorders>
              <w:top w:val="nil"/>
              <w:left w:val="nil"/>
              <w:bottom w:val="nil"/>
              <w:right w:val="nil"/>
            </w:tcBorders>
            <w:shd w:val="clear" w:color="auto" w:fill="auto"/>
            <w:noWrap/>
            <w:hideMark/>
          </w:tcPr>
          <w:p w14:paraId="30461AF0"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C843C2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19,170</w:t>
            </w:r>
          </w:p>
        </w:tc>
        <w:tc>
          <w:tcPr>
            <w:tcW w:w="1180" w:type="dxa"/>
            <w:tcBorders>
              <w:top w:val="nil"/>
              <w:left w:val="nil"/>
              <w:bottom w:val="nil"/>
              <w:right w:val="nil"/>
            </w:tcBorders>
            <w:shd w:val="clear" w:color="auto" w:fill="auto"/>
            <w:noWrap/>
            <w:hideMark/>
          </w:tcPr>
          <w:p w14:paraId="4803C11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17,360</w:t>
            </w:r>
          </w:p>
        </w:tc>
        <w:tc>
          <w:tcPr>
            <w:tcW w:w="1180" w:type="dxa"/>
            <w:tcBorders>
              <w:top w:val="nil"/>
              <w:left w:val="nil"/>
              <w:bottom w:val="nil"/>
              <w:right w:val="nil"/>
            </w:tcBorders>
            <w:shd w:val="clear" w:color="auto" w:fill="auto"/>
            <w:noWrap/>
            <w:hideMark/>
          </w:tcPr>
          <w:p w14:paraId="53144A6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17,521</w:t>
            </w:r>
          </w:p>
        </w:tc>
        <w:tc>
          <w:tcPr>
            <w:tcW w:w="1060" w:type="dxa"/>
            <w:tcBorders>
              <w:top w:val="nil"/>
              <w:left w:val="nil"/>
              <w:bottom w:val="nil"/>
              <w:right w:val="nil"/>
            </w:tcBorders>
            <w:shd w:val="clear" w:color="auto" w:fill="auto"/>
            <w:noWrap/>
            <w:hideMark/>
          </w:tcPr>
          <w:p w14:paraId="4C78301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1,810</w:t>
            </w:r>
          </w:p>
        </w:tc>
        <w:tc>
          <w:tcPr>
            <w:tcW w:w="1060" w:type="dxa"/>
            <w:tcBorders>
              <w:top w:val="nil"/>
              <w:left w:val="nil"/>
              <w:bottom w:val="nil"/>
              <w:right w:val="nil"/>
            </w:tcBorders>
            <w:shd w:val="clear" w:color="auto" w:fill="auto"/>
            <w:noWrap/>
            <w:hideMark/>
          </w:tcPr>
          <w:p w14:paraId="39D9727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w:t>
            </w:r>
          </w:p>
        </w:tc>
      </w:tr>
      <w:tr w:rsidR="008C4654" w:rsidRPr="008C4654" w14:paraId="3C450C63"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066135B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5A56B10E"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AD33E6D"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Temporary Staff</w:t>
            </w:r>
          </w:p>
        </w:tc>
        <w:tc>
          <w:tcPr>
            <w:tcW w:w="253" w:type="dxa"/>
            <w:tcBorders>
              <w:top w:val="nil"/>
              <w:left w:val="nil"/>
              <w:bottom w:val="nil"/>
              <w:right w:val="nil"/>
            </w:tcBorders>
            <w:shd w:val="clear" w:color="auto" w:fill="auto"/>
            <w:noWrap/>
            <w:hideMark/>
          </w:tcPr>
          <w:p w14:paraId="250EBB5C"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136712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1,168</w:t>
            </w:r>
          </w:p>
        </w:tc>
        <w:tc>
          <w:tcPr>
            <w:tcW w:w="1180" w:type="dxa"/>
            <w:tcBorders>
              <w:top w:val="nil"/>
              <w:left w:val="nil"/>
              <w:bottom w:val="nil"/>
              <w:right w:val="nil"/>
            </w:tcBorders>
            <w:shd w:val="clear" w:color="auto" w:fill="auto"/>
            <w:noWrap/>
            <w:hideMark/>
          </w:tcPr>
          <w:p w14:paraId="609F5F2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1,061</w:t>
            </w:r>
          </w:p>
        </w:tc>
        <w:tc>
          <w:tcPr>
            <w:tcW w:w="1180" w:type="dxa"/>
            <w:tcBorders>
              <w:top w:val="nil"/>
              <w:left w:val="nil"/>
              <w:bottom w:val="nil"/>
              <w:right w:val="nil"/>
            </w:tcBorders>
            <w:shd w:val="clear" w:color="auto" w:fill="auto"/>
            <w:noWrap/>
            <w:hideMark/>
          </w:tcPr>
          <w:p w14:paraId="5D1306C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1,041</w:t>
            </w:r>
          </w:p>
        </w:tc>
        <w:tc>
          <w:tcPr>
            <w:tcW w:w="1060" w:type="dxa"/>
            <w:tcBorders>
              <w:top w:val="nil"/>
              <w:left w:val="nil"/>
              <w:bottom w:val="nil"/>
              <w:right w:val="nil"/>
            </w:tcBorders>
            <w:shd w:val="clear" w:color="auto" w:fill="auto"/>
            <w:noWrap/>
            <w:hideMark/>
          </w:tcPr>
          <w:p w14:paraId="3DF8F54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107</w:t>
            </w:r>
          </w:p>
        </w:tc>
        <w:tc>
          <w:tcPr>
            <w:tcW w:w="1060" w:type="dxa"/>
            <w:tcBorders>
              <w:top w:val="nil"/>
              <w:left w:val="nil"/>
              <w:bottom w:val="nil"/>
              <w:right w:val="nil"/>
            </w:tcBorders>
            <w:shd w:val="clear" w:color="auto" w:fill="auto"/>
            <w:noWrap/>
            <w:hideMark/>
          </w:tcPr>
          <w:p w14:paraId="12E6D34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w:t>
            </w:r>
          </w:p>
        </w:tc>
      </w:tr>
      <w:tr w:rsidR="008C4654" w:rsidRPr="008C4654" w14:paraId="778CD76C"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3FF8FC8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4DFC49E4"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2AB85EB"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Other Staff Costs</w:t>
            </w:r>
          </w:p>
        </w:tc>
        <w:tc>
          <w:tcPr>
            <w:tcW w:w="253" w:type="dxa"/>
            <w:tcBorders>
              <w:top w:val="nil"/>
              <w:left w:val="nil"/>
              <w:bottom w:val="nil"/>
              <w:right w:val="nil"/>
            </w:tcBorders>
            <w:shd w:val="clear" w:color="auto" w:fill="auto"/>
            <w:noWrap/>
            <w:hideMark/>
          </w:tcPr>
          <w:p w14:paraId="693D7D42"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6FB349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E1DD9C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A39700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88AAAB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AC4B62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311B95CC" w14:textId="77777777" w:rsidTr="008A121C">
        <w:trPr>
          <w:divId w:val="1390297738"/>
          <w:trHeight w:hRule="exact" w:val="216"/>
          <w:jc w:val="center"/>
        </w:trPr>
        <w:tc>
          <w:tcPr>
            <w:tcW w:w="253" w:type="dxa"/>
            <w:tcBorders>
              <w:top w:val="single" w:sz="4" w:space="0" w:color="C7CFD8"/>
              <w:left w:val="nil"/>
              <w:bottom w:val="single" w:sz="8" w:space="0" w:color="C7CFD8"/>
              <w:right w:val="nil"/>
            </w:tcBorders>
            <w:shd w:val="clear" w:color="auto" w:fill="auto"/>
            <w:noWrap/>
            <w:hideMark/>
          </w:tcPr>
          <w:p w14:paraId="71314198"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w:t>
            </w:r>
          </w:p>
        </w:tc>
        <w:tc>
          <w:tcPr>
            <w:tcW w:w="3199" w:type="dxa"/>
            <w:gridSpan w:val="2"/>
            <w:tcBorders>
              <w:top w:val="single" w:sz="4" w:space="0" w:color="C7CFD8"/>
              <w:left w:val="nil"/>
              <w:bottom w:val="single" w:sz="8" w:space="0" w:color="C7CFD8"/>
              <w:right w:val="nil"/>
            </w:tcBorders>
            <w:shd w:val="clear" w:color="auto" w:fill="auto"/>
            <w:noWrap/>
            <w:vAlign w:val="center"/>
            <w:hideMark/>
          </w:tcPr>
          <w:p w14:paraId="09AE4BB3"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Total A</w:t>
            </w:r>
          </w:p>
        </w:tc>
        <w:tc>
          <w:tcPr>
            <w:tcW w:w="253" w:type="dxa"/>
            <w:tcBorders>
              <w:top w:val="single" w:sz="4" w:space="0" w:color="C7CFD8"/>
              <w:left w:val="nil"/>
              <w:bottom w:val="single" w:sz="8" w:space="0" w:color="C7CFD8"/>
              <w:right w:val="nil"/>
            </w:tcBorders>
            <w:shd w:val="clear" w:color="auto" w:fill="auto"/>
            <w:noWrap/>
            <w:hideMark/>
          </w:tcPr>
          <w:p w14:paraId="7E9ABFA8"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11B781A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20,338</w:t>
            </w:r>
          </w:p>
        </w:tc>
        <w:tc>
          <w:tcPr>
            <w:tcW w:w="1180" w:type="dxa"/>
            <w:tcBorders>
              <w:top w:val="single" w:sz="4" w:space="0" w:color="C7CFD8"/>
              <w:left w:val="nil"/>
              <w:bottom w:val="single" w:sz="8" w:space="0" w:color="C7CFD8"/>
              <w:right w:val="nil"/>
            </w:tcBorders>
            <w:shd w:val="clear" w:color="auto" w:fill="auto"/>
            <w:noWrap/>
            <w:vAlign w:val="center"/>
            <w:hideMark/>
          </w:tcPr>
          <w:p w14:paraId="47F498B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18,421</w:t>
            </w:r>
          </w:p>
        </w:tc>
        <w:tc>
          <w:tcPr>
            <w:tcW w:w="1180" w:type="dxa"/>
            <w:tcBorders>
              <w:top w:val="single" w:sz="4" w:space="0" w:color="C7CFD8"/>
              <w:left w:val="nil"/>
              <w:bottom w:val="single" w:sz="8" w:space="0" w:color="C7CFD8"/>
              <w:right w:val="nil"/>
            </w:tcBorders>
            <w:shd w:val="clear" w:color="auto" w:fill="auto"/>
            <w:noWrap/>
            <w:vAlign w:val="center"/>
            <w:hideMark/>
          </w:tcPr>
          <w:p w14:paraId="0D926F4F"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18,561</w:t>
            </w:r>
          </w:p>
        </w:tc>
        <w:tc>
          <w:tcPr>
            <w:tcW w:w="1060" w:type="dxa"/>
            <w:tcBorders>
              <w:top w:val="single" w:sz="4" w:space="0" w:color="C7CFD8"/>
              <w:left w:val="nil"/>
              <w:bottom w:val="single" w:sz="8" w:space="0" w:color="C7CFD8"/>
              <w:right w:val="nil"/>
            </w:tcBorders>
            <w:shd w:val="clear" w:color="auto" w:fill="auto"/>
            <w:noWrap/>
            <w:vAlign w:val="center"/>
            <w:hideMark/>
          </w:tcPr>
          <w:p w14:paraId="45C4D53C"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1,918</w:t>
            </w:r>
          </w:p>
        </w:tc>
        <w:tc>
          <w:tcPr>
            <w:tcW w:w="1060" w:type="dxa"/>
            <w:tcBorders>
              <w:top w:val="single" w:sz="4" w:space="0" w:color="C7CFD8"/>
              <w:left w:val="nil"/>
              <w:bottom w:val="single" w:sz="8" w:space="0" w:color="C7CFD8"/>
              <w:right w:val="nil"/>
            </w:tcBorders>
            <w:shd w:val="clear" w:color="auto" w:fill="auto"/>
            <w:noWrap/>
            <w:vAlign w:val="center"/>
            <w:hideMark/>
          </w:tcPr>
          <w:p w14:paraId="2B3526BB"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10%</w:t>
            </w:r>
          </w:p>
        </w:tc>
      </w:tr>
      <w:tr w:rsidR="008C4654" w:rsidRPr="008C4654" w14:paraId="1952AA87" w14:textId="77777777" w:rsidTr="008A121C">
        <w:trPr>
          <w:divId w:val="1390297738"/>
          <w:trHeight w:hRule="exact" w:val="216"/>
          <w:jc w:val="center"/>
        </w:trPr>
        <w:tc>
          <w:tcPr>
            <w:tcW w:w="3705" w:type="dxa"/>
            <w:gridSpan w:val="4"/>
            <w:tcBorders>
              <w:top w:val="nil"/>
              <w:left w:val="nil"/>
              <w:bottom w:val="nil"/>
              <w:right w:val="nil"/>
            </w:tcBorders>
            <w:shd w:val="clear" w:color="auto" w:fill="auto"/>
            <w:noWrap/>
            <w:hideMark/>
          </w:tcPr>
          <w:p w14:paraId="0A4E7FFD" w14:textId="77777777" w:rsidR="008C4654" w:rsidRPr="008C4654" w:rsidRDefault="008C4654" w:rsidP="008C4654">
            <w:pPr>
              <w:spacing w:after="0" w:line="240" w:lineRule="auto"/>
              <w:rPr>
                <w:rFonts w:ascii="Arial Narrow" w:eastAsia="Times New Roman" w:hAnsi="Arial Narrow" w:cs="Times New Roman"/>
                <w:b/>
                <w:bCs/>
                <w:color w:val="005172"/>
                <w:sz w:val="16"/>
                <w:szCs w:val="16"/>
                <w:lang w:val="en-US"/>
              </w:rPr>
            </w:pPr>
            <w:r w:rsidRPr="008C4654">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0090CE54" w14:textId="77777777" w:rsidR="008C4654" w:rsidRPr="008C4654" w:rsidRDefault="008C4654" w:rsidP="008C4654">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4E480F95"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D8AA145"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A59A6B7"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C5D7B5F"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21FD7668"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364CDAB"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452" w:type="dxa"/>
            <w:gridSpan w:val="3"/>
            <w:tcBorders>
              <w:top w:val="nil"/>
              <w:left w:val="nil"/>
              <w:bottom w:val="nil"/>
              <w:right w:val="nil"/>
            </w:tcBorders>
            <w:shd w:val="clear" w:color="auto" w:fill="auto"/>
            <w:noWrap/>
            <w:hideMark/>
          </w:tcPr>
          <w:p w14:paraId="1D32DDAF"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436F3DC5"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1DA17514"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61530D1"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5FEB6BE"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7B55152"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2EF2FC00"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3B42F6D"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028C328E"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577C2FC6"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Internships</w:t>
            </w:r>
          </w:p>
        </w:tc>
        <w:tc>
          <w:tcPr>
            <w:tcW w:w="253" w:type="dxa"/>
            <w:tcBorders>
              <w:top w:val="nil"/>
              <w:left w:val="nil"/>
              <w:bottom w:val="nil"/>
              <w:right w:val="nil"/>
            </w:tcBorders>
            <w:shd w:val="clear" w:color="auto" w:fill="auto"/>
            <w:noWrap/>
            <w:hideMark/>
          </w:tcPr>
          <w:p w14:paraId="5241B5FE"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DEFB3C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339</w:t>
            </w:r>
          </w:p>
        </w:tc>
        <w:tc>
          <w:tcPr>
            <w:tcW w:w="1180" w:type="dxa"/>
            <w:tcBorders>
              <w:top w:val="nil"/>
              <w:left w:val="nil"/>
              <w:bottom w:val="nil"/>
              <w:right w:val="nil"/>
            </w:tcBorders>
            <w:shd w:val="clear" w:color="auto" w:fill="auto"/>
            <w:noWrap/>
            <w:hideMark/>
          </w:tcPr>
          <w:p w14:paraId="2FD1BA3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308</w:t>
            </w:r>
          </w:p>
        </w:tc>
        <w:tc>
          <w:tcPr>
            <w:tcW w:w="1180" w:type="dxa"/>
            <w:tcBorders>
              <w:top w:val="nil"/>
              <w:left w:val="nil"/>
              <w:bottom w:val="nil"/>
              <w:right w:val="nil"/>
            </w:tcBorders>
            <w:shd w:val="clear" w:color="auto" w:fill="auto"/>
            <w:noWrap/>
            <w:hideMark/>
          </w:tcPr>
          <w:p w14:paraId="1BE14AF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131</w:t>
            </w:r>
          </w:p>
        </w:tc>
        <w:tc>
          <w:tcPr>
            <w:tcW w:w="1060" w:type="dxa"/>
            <w:tcBorders>
              <w:top w:val="nil"/>
              <w:left w:val="nil"/>
              <w:bottom w:val="nil"/>
              <w:right w:val="nil"/>
            </w:tcBorders>
            <w:shd w:val="clear" w:color="auto" w:fill="auto"/>
            <w:noWrap/>
            <w:hideMark/>
          </w:tcPr>
          <w:p w14:paraId="2D0592B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31</w:t>
            </w:r>
          </w:p>
        </w:tc>
        <w:tc>
          <w:tcPr>
            <w:tcW w:w="1060" w:type="dxa"/>
            <w:tcBorders>
              <w:top w:val="nil"/>
              <w:left w:val="nil"/>
              <w:bottom w:val="nil"/>
              <w:right w:val="nil"/>
            </w:tcBorders>
            <w:shd w:val="clear" w:color="auto" w:fill="auto"/>
            <w:noWrap/>
            <w:hideMark/>
          </w:tcPr>
          <w:p w14:paraId="49D9432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w:t>
            </w:r>
          </w:p>
        </w:tc>
      </w:tr>
      <w:tr w:rsidR="008C4654" w:rsidRPr="008C4654" w14:paraId="3B1E6993"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3ABA5FF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1B0184DE"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452FA36"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WIPO Fellowships</w:t>
            </w:r>
          </w:p>
        </w:tc>
        <w:tc>
          <w:tcPr>
            <w:tcW w:w="253" w:type="dxa"/>
            <w:tcBorders>
              <w:top w:val="nil"/>
              <w:left w:val="nil"/>
              <w:bottom w:val="nil"/>
              <w:right w:val="nil"/>
            </w:tcBorders>
            <w:shd w:val="clear" w:color="auto" w:fill="auto"/>
            <w:noWrap/>
            <w:hideMark/>
          </w:tcPr>
          <w:p w14:paraId="1E55C0FC"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5AD9557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431</w:t>
            </w:r>
          </w:p>
        </w:tc>
        <w:tc>
          <w:tcPr>
            <w:tcW w:w="1180" w:type="dxa"/>
            <w:tcBorders>
              <w:top w:val="nil"/>
              <w:left w:val="nil"/>
              <w:bottom w:val="nil"/>
              <w:right w:val="nil"/>
            </w:tcBorders>
            <w:shd w:val="clear" w:color="auto" w:fill="auto"/>
            <w:noWrap/>
            <w:hideMark/>
          </w:tcPr>
          <w:p w14:paraId="5EAFBE5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164</w:t>
            </w:r>
          </w:p>
        </w:tc>
        <w:tc>
          <w:tcPr>
            <w:tcW w:w="1180" w:type="dxa"/>
            <w:tcBorders>
              <w:top w:val="nil"/>
              <w:left w:val="nil"/>
              <w:bottom w:val="nil"/>
              <w:right w:val="nil"/>
            </w:tcBorders>
            <w:shd w:val="clear" w:color="auto" w:fill="auto"/>
            <w:noWrap/>
            <w:hideMark/>
          </w:tcPr>
          <w:p w14:paraId="17261E3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516</w:t>
            </w:r>
          </w:p>
        </w:tc>
        <w:tc>
          <w:tcPr>
            <w:tcW w:w="1060" w:type="dxa"/>
            <w:tcBorders>
              <w:top w:val="nil"/>
              <w:left w:val="nil"/>
              <w:bottom w:val="nil"/>
              <w:right w:val="nil"/>
            </w:tcBorders>
            <w:shd w:val="clear" w:color="auto" w:fill="auto"/>
            <w:noWrap/>
            <w:hideMark/>
          </w:tcPr>
          <w:p w14:paraId="2C61310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267</w:t>
            </w:r>
          </w:p>
        </w:tc>
        <w:tc>
          <w:tcPr>
            <w:tcW w:w="1060" w:type="dxa"/>
            <w:tcBorders>
              <w:top w:val="nil"/>
              <w:left w:val="nil"/>
              <w:bottom w:val="nil"/>
              <w:right w:val="nil"/>
            </w:tcBorders>
            <w:shd w:val="clear" w:color="auto" w:fill="auto"/>
            <w:noWrap/>
            <w:hideMark/>
          </w:tcPr>
          <w:p w14:paraId="27A3346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+100%</w:t>
            </w:r>
          </w:p>
        </w:tc>
      </w:tr>
      <w:tr w:rsidR="008C4654" w:rsidRPr="008C4654" w14:paraId="2AC66C64"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18C5068B"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5998C9AD"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557DE11D"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59320B9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770</w:t>
            </w:r>
          </w:p>
        </w:tc>
        <w:tc>
          <w:tcPr>
            <w:tcW w:w="1180" w:type="dxa"/>
            <w:tcBorders>
              <w:top w:val="nil"/>
              <w:left w:val="nil"/>
              <w:bottom w:val="single" w:sz="4" w:space="0" w:color="C7CFD8"/>
              <w:right w:val="nil"/>
            </w:tcBorders>
            <w:shd w:val="clear" w:color="auto" w:fill="auto"/>
            <w:noWrap/>
            <w:hideMark/>
          </w:tcPr>
          <w:p w14:paraId="6FF4B6CA"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471</w:t>
            </w:r>
          </w:p>
        </w:tc>
        <w:tc>
          <w:tcPr>
            <w:tcW w:w="1180" w:type="dxa"/>
            <w:tcBorders>
              <w:top w:val="nil"/>
              <w:left w:val="nil"/>
              <w:bottom w:val="single" w:sz="4" w:space="0" w:color="C7CFD8"/>
              <w:right w:val="nil"/>
            </w:tcBorders>
            <w:shd w:val="clear" w:color="auto" w:fill="auto"/>
            <w:noWrap/>
            <w:hideMark/>
          </w:tcPr>
          <w:p w14:paraId="1A15500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648</w:t>
            </w:r>
          </w:p>
        </w:tc>
        <w:tc>
          <w:tcPr>
            <w:tcW w:w="1060" w:type="dxa"/>
            <w:tcBorders>
              <w:top w:val="nil"/>
              <w:left w:val="nil"/>
              <w:bottom w:val="single" w:sz="4" w:space="0" w:color="C7CFD8"/>
              <w:right w:val="nil"/>
            </w:tcBorders>
            <w:shd w:val="clear" w:color="auto" w:fill="auto"/>
            <w:noWrap/>
            <w:hideMark/>
          </w:tcPr>
          <w:p w14:paraId="3EAC051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298</w:t>
            </w:r>
          </w:p>
        </w:tc>
        <w:tc>
          <w:tcPr>
            <w:tcW w:w="1060" w:type="dxa"/>
            <w:tcBorders>
              <w:top w:val="nil"/>
              <w:left w:val="nil"/>
              <w:bottom w:val="single" w:sz="4" w:space="0" w:color="C7CFD8"/>
              <w:right w:val="nil"/>
            </w:tcBorders>
            <w:shd w:val="clear" w:color="auto" w:fill="auto"/>
            <w:noWrap/>
            <w:hideMark/>
          </w:tcPr>
          <w:p w14:paraId="684B45E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63%</w:t>
            </w:r>
          </w:p>
        </w:tc>
      </w:tr>
      <w:tr w:rsidR="008C4654" w:rsidRPr="008C4654" w14:paraId="2AD6D471"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939034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3452" w:type="dxa"/>
            <w:gridSpan w:val="3"/>
            <w:tcBorders>
              <w:top w:val="nil"/>
              <w:left w:val="nil"/>
              <w:bottom w:val="nil"/>
              <w:right w:val="nil"/>
            </w:tcBorders>
            <w:shd w:val="clear" w:color="auto" w:fill="auto"/>
            <w:noWrap/>
            <w:hideMark/>
          </w:tcPr>
          <w:p w14:paraId="3B3EC708"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72663F64"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579AD617"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A140672"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D48384E"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6A4C998"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17B3D3E4"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0EA0AF3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456ECBB7"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689F330"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Staff Missions</w:t>
            </w:r>
          </w:p>
        </w:tc>
        <w:tc>
          <w:tcPr>
            <w:tcW w:w="253" w:type="dxa"/>
            <w:tcBorders>
              <w:top w:val="nil"/>
              <w:left w:val="nil"/>
              <w:bottom w:val="nil"/>
              <w:right w:val="nil"/>
            </w:tcBorders>
            <w:shd w:val="clear" w:color="auto" w:fill="auto"/>
            <w:noWrap/>
            <w:hideMark/>
          </w:tcPr>
          <w:p w14:paraId="35434BC2"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1BE2AB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897</w:t>
            </w:r>
          </w:p>
        </w:tc>
        <w:tc>
          <w:tcPr>
            <w:tcW w:w="1180" w:type="dxa"/>
            <w:tcBorders>
              <w:top w:val="nil"/>
              <w:left w:val="nil"/>
              <w:bottom w:val="nil"/>
              <w:right w:val="nil"/>
            </w:tcBorders>
            <w:shd w:val="clear" w:color="auto" w:fill="auto"/>
            <w:noWrap/>
            <w:hideMark/>
          </w:tcPr>
          <w:p w14:paraId="2779952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1,089</w:t>
            </w:r>
          </w:p>
        </w:tc>
        <w:tc>
          <w:tcPr>
            <w:tcW w:w="1180" w:type="dxa"/>
            <w:tcBorders>
              <w:top w:val="nil"/>
              <w:left w:val="nil"/>
              <w:bottom w:val="nil"/>
              <w:right w:val="nil"/>
            </w:tcBorders>
            <w:shd w:val="clear" w:color="auto" w:fill="auto"/>
            <w:noWrap/>
            <w:hideMark/>
          </w:tcPr>
          <w:p w14:paraId="7E5B0D7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474</w:t>
            </w:r>
          </w:p>
        </w:tc>
        <w:tc>
          <w:tcPr>
            <w:tcW w:w="1060" w:type="dxa"/>
            <w:tcBorders>
              <w:top w:val="nil"/>
              <w:left w:val="nil"/>
              <w:bottom w:val="nil"/>
              <w:right w:val="nil"/>
            </w:tcBorders>
            <w:shd w:val="clear" w:color="auto" w:fill="auto"/>
            <w:noWrap/>
            <w:hideMark/>
          </w:tcPr>
          <w:p w14:paraId="06219A4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(192)</w:t>
            </w:r>
          </w:p>
        </w:tc>
        <w:tc>
          <w:tcPr>
            <w:tcW w:w="1060" w:type="dxa"/>
            <w:tcBorders>
              <w:top w:val="nil"/>
              <w:left w:val="nil"/>
              <w:bottom w:val="nil"/>
              <w:right w:val="nil"/>
            </w:tcBorders>
            <w:shd w:val="clear" w:color="auto" w:fill="auto"/>
            <w:noWrap/>
            <w:hideMark/>
          </w:tcPr>
          <w:p w14:paraId="52295BC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-18%</w:t>
            </w:r>
          </w:p>
        </w:tc>
      </w:tr>
      <w:tr w:rsidR="008C4654" w:rsidRPr="008C4654" w14:paraId="6B5313CB"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68D4947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3E4F78E2"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09DD5B09"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Third-party Travel</w:t>
            </w:r>
          </w:p>
        </w:tc>
        <w:tc>
          <w:tcPr>
            <w:tcW w:w="253" w:type="dxa"/>
            <w:tcBorders>
              <w:top w:val="nil"/>
              <w:left w:val="nil"/>
              <w:bottom w:val="nil"/>
              <w:right w:val="nil"/>
            </w:tcBorders>
            <w:shd w:val="clear" w:color="auto" w:fill="auto"/>
            <w:noWrap/>
            <w:hideMark/>
          </w:tcPr>
          <w:p w14:paraId="0BFA0F16"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132175E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2,357</w:t>
            </w:r>
          </w:p>
        </w:tc>
        <w:tc>
          <w:tcPr>
            <w:tcW w:w="1180" w:type="dxa"/>
            <w:tcBorders>
              <w:top w:val="nil"/>
              <w:left w:val="nil"/>
              <w:bottom w:val="nil"/>
              <w:right w:val="nil"/>
            </w:tcBorders>
            <w:shd w:val="clear" w:color="auto" w:fill="auto"/>
            <w:noWrap/>
            <w:hideMark/>
          </w:tcPr>
          <w:p w14:paraId="05B5715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1,450</w:t>
            </w:r>
          </w:p>
        </w:tc>
        <w:tc>
          <w:tcPr>
            <w:tcW w:w="1180" w:type="dxa"/>
            <w:tcBorders>
              <w:top w:val="nil"/>
              <w:left w:val="nil"/>
              <w:bottom w:val="nil"/>
              <w:right w:val="nil"/>
            </w:tcBorders>
            <w:shd w:val="clear" w:color="auto" w:fill="auto"/>
            <w:noWrap/>
            <w:hideMark/>
          </w:tcPr>
          <w:p w14:paraId="1CC90C1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1,178</w:t>
            </w:r>
          </w:p>
        </w:tc>
        <w:tc>
          <w:tcPr>
            <w:tcW w:w="1060" w:type="dxa"/>
            <w:tcBorders>
              <w:top w:val="nil"/>
              <w:left w:val="nil"/>
              <w:bottom w:val="nil"/>
              <w:right w:val="nil"/>
            </w:tcBorders>
            <w:shd w:val="clear" w:color="auto" w:fill="auto"/>
            <w:noWrap/>
            <w:hideMark/>
          </w:tcPr>
          <w:p w14:paraId="67E0A14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908</w:t>
            </w:r>
          </w:p>
        </w:tc>
        <w:tc>
          <w:tcPr>
            <w:tcW w:w="1060" w:type="dxa"/>
            <w:tcBorders>
              <w:top w:val="nil"/>
              <w:left w:val="nil"/>
              <w:bottom w:val="nil"/>
              <w:right w:val="nil"/>
            </w:tcBorders>
            <w:shd w:val="clear" w:color="auto" w:fill="auto"/>
            <w:noWrap/>
            <w:hideMark/>
          </w:tcPr>
          <w:p w14:paraId="2F97BDA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63%</w:t>
            </w:r>
          </w:p>
        </w:tc>
      </w:tr>
      <w:tr w:rsidR="008C4654" w:rsidRPr="008C4654" w14:paraId="63F0475C"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6D2B3D11"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2ED2ABCA"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63152C89"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3E5A80E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3,255</w:t>
            </w:r>
          </w:p>
        </w:tc>
        <w:tc>
          <w:tcPr>
            <w:tcW w:w="1180" w:type="dxa"/>
            <w:tcBorders>
              <w:top w:val="nil"/>
              <w:left w:val="nil"/>
              <w:bottom w:val="single" w:sz="4" w:space="0" w:color="C7CFD8"/>
              <w:right w:val="nil"/>
            </w:tcBorders>
            <w:shd w:val="clear" w:color="auto" w:fill="auto"/>
            <w:noWrap/>
            <w:hideMark/>
          </w:tcPr>
          <w:p w14:paraId="310FDE6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2,539</w:t>
            </w:r>
          </w:p>
        </w:tc>
        <w:tc>
          <w:tcPr>
            <w:tcW w:w="1180" w:type="dxa"/>
            <w:tcBorders>
              <w:top w:val="nil"/>
              <w:left w:val="nil"/>
              <w:bottom w:val="single" w:sz="4" w:space="0" w:color="C7CFD8"/>
              <w:right w:val="nil"/>
            </w:tcBorders>
            <w:shd w:val="clear" w:color="auto" w:fill="auto"/>
            <w:noWrap/>
            <w:hideMark/>
          </w:tcPr>
          <w:p w14:paraId="48D50AD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1,652</w:t>
            </w:r>
          </w:p>
        </w:tc>
        <w:tc>
          <w:tcPr>
            <w:tcW w:w="1060" w:type="dxa"/>
            <w:tcBorders>
              <w:top w:val="nil"/>
              <w:left w:val="nil"/>
              <w:bottom w:val="single" w:sz="4" w:space="0" w:color="C7CFD8"/>
              <w:right w:val="nil"/>
            </w:tcBorders>
            <w:shd w:val="clear" w:color="auto" w:fill="auto"/>
            <w:noWrap/>
            <w:hideMark/>
          </w:tcPr>
          <w:p w14:paraId="300E7F2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716</w:t>
            </w:r>
          </w:p>
        </w:tc>
        <w:tc>
          <w:tcPr>
            <w:tcW w:w="1060" w:type="dxa"/>
            <w:tcBorders>
              <w:top w:val="nil"/>
              <w:left w:val="nil"/>
              <w:bottom w:val="single" w:sz="4" w:space="0" w:color="C7CFD8"/>
              <w:right w:val="nil"/>
            </w:tcBorders>
            <w:shd w:val="clear" w:color="auto" w:fill="auto"/>
            <w:noWrap/>
            <w:hideMark/>
          </w:tcPr>
          <w:p w14:paraId="3730BDD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28%</w:t>
            </w:r>
          </w:p>
        </w:tc>
      </w:tr>
      <w:tr w:rsidR="008C4654" w:rsidRPr="008C4654" w14:paraId="31BA979F"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3EE753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3452" w:type="dxa"/>
            <w:gridSpan w:val="3"/>
            <w:tcBorders>
              <w:top w:val="nil"/>
              <w:left w:val="nil"/>
              <w:bottom w:val="nil"/>
              <w:right w:val="nil"/>
            </w:tcBorders>
            <w:shd w:val="clear" w:color="auto" w:fill="auto"/>
            <w:noWrap/>
            <w:hideMark/>
          </w:tcPr>
          <w:p w14:paraId="3E1425FC"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26020E50"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37EBDDC4"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EA785B6"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BC18B55"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3B0B0B3B"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5AE72C57"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5E5789A6"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5F488BCE"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D284A41"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Conferences</w:t>
            </w:r>
          </w:p>
        </w:tc>
        <w:tc>
          <w:tcPr>
            <w:tcW w:w="253" w:type="dxa"/>
            <w:tcBorders>
              <w:top w:val="nil"/>
              <w:left w:val="nil"/>
              <w:bottom w:val="nil"/>
              <w:right w:val="nil"/>
            </w:tcBorders>
            <w:shd w:val="clear" w:color="auto" w:fill="auto"/>
            <w:noWrap/>
            <w:hideMark/>
          </w:tcPr>
          <w:p w14:paraId="0DB59973"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ACC91B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1,697</w:t>
            </w:r>
          </w:p>
        </w:tc>
        <w:tc>
          <w:tcPr>
            <w:tcW w:w="1180" w:type="dxa"/>
            <w:tcBorders>
              <w:top w:val="nil"/>
              <w:left w:val="nil"/>
              <w:bottom w:val="nil"/>
              <w:right w:val="nil"/>
            </w:tcBorders>
            <w:shd w:val="clear" w:color="auto" w:fill="auto"/>
            <w:noWrap/>
            <w:hideMark/>
          </w:tcPr>
          <w:p w14:paraId="64FFEC0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1,053</w:t>
            </w:r>
          </w:p>
        </w:tc>
        <w:tc>
          <w:tcPr>
            <w:tcW w:w="1180" w:type="dxa"/>
            <w:tcBorders>
              <w:top w:val="nil"/>
              <w:left w:val="nil"/>
              <w:bottom w:val="nil"/>
              <w:right w:val="nil"/>
            </w:tcBorders>
            <w:shd w:val="clear" w:color="auto" w:fill="auto"/>
            <w:noWrap/>
            <w:hideMark/>
          </w:tcPr>
          <w:p w14:paraId="490DD53A"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1,266</w:t>
            </w:r>
          </w:p>
        </w:tc>
        <w:tc>
          <w:tcPr>
            <w:tcW w:w="1060" w:type="dxa"/>
            <w:tcBorders>
              <w:top w:val="nil"/>
              <w:left w:val="nil"/>
              <w:bottom w:val="nil"/>
              <w:right w:val="nil"/>
            </w:tcBorders>
            <w:shd w:val="clear" w:color="auto" w:fill="auto"/>
            <w:noWrap/>
            <w:hideMark/>
          </w:tcPr>
          <w:p w14:paraId="32B9FD5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644</w:t>
            </w:r>
          </w:p>
        </w:tc>
        <w:tc>
          <w:tcPr>
            <w:tcW w:w="1060" w:type="dxa"/>
            <w:tcBorders>
              <w:top w:val="nil"/>
              <w:left w:val="nil"/>
              <w:bottom w:val="nil"/>
              <w:right w:val="nil"/>
            </w:tcBorders>
            <w:shd w:val="clear" w:color="auto" w:fill="auto"/>
            <w:noWrap/>
            <w:hideMark/>
          </w:tcPr>
          <w:p w14:paraId="2439DD2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61%</w:t>
            </w:r>
          </w:p>
        </w:tc>
      </w:tr>
      <w:tr w:rsidR="008C4654" w:rsidRPr="008C4654" w14:paraId="71B11841"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719CDE6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2A0CABE6"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32B5CEA"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Publishing</w:t>
            </w:r>
          </w:p>
        </w:tc>
        <w:tc>
          <w:tcPr>
            <w:tcW w:w="253" w:type="dxa"/>
            <w:tcBorders>
              <w:top w:val="nil"/>
              <w:left w:val="nil"/>
              <w:bottom w:val="nil"/>
              <w:right w:val="nil"/>
            </w:tcBorders>
            <w:shd w:val="clear" w:color="auto" w:fill="auto"/>
            <w:noWrap/>
            <w:hideMark/>
          </w:tcPr>
          <w:p w14:paraId="719845FC"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9C1D19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18</w:t>
            </w:r>
          </w:p>
        </w:tc>
        <w:tc>
          <w:tcPr>
            <w:tcW w:w="1180" w:type="dxa"/>
            <w:tcBorders>
              <w:top w:val="nil"/>
              <w:left w:val="nil"/>
              <w:bottom w:val="nil"/>
              <w:right w:val="nil"/>
            </w:tcBorders>
            <w:shd w:val="clear" w:color="auto" w:fill="auto"/>
            <w:noWrap/>
            <w:hideMark/>
          </w:tcPr>
          <w:p w14:paraId="1B92E0E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CCBD82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330849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18</w:t>
            </w:r>
          </w:p>
        </w:tc>
        <w:tc>
          <w:tcPr>
            <w:tcW w:w="1060" w:type="dxa"/>
            <w:tcBorders>
              <w:top w:val="nil"/>
              <w:left w:val="nil"/>
              <w:bottom w:val="nil"/>
              <w:right w:val="nil"/>
            </w:tcBorders>
            <w:shd w:val="clear" w:color="auto" w:fill="auto"/>
            <w:noWrap/>
            <w:hideMark/>
          </w:tcPr>
          <w:p w14:paraId="575BA40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44C5E124"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31FC62C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3A668586"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noWrap/>
            <w:hideMark/>
          </w:tcPr>
          <w:p w14:paraId="0A1D2A9E"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1BF8A71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1,310</w:t>
            </w:r>
          </w:p>
        </w:tc>
        <w:tc>
          <w:tcPr>
            <w:tcW w:w="1180" w:type="dxa"/>
            <w:tcBorders>
              <w:top w:val="nil"/>
              <w:left w:val="nil"/>
              <w:bottom w:val="nil"/>
              <w:right w:val="nil"/>
            </w:tcBorders>
            <w:shd w:val="clear" w:color="auto" w:fill="auto"/>
            <w:noWrap/>
            <w:hideMark/>
          </w:tcPr>
          <w:p w14:paraId="2D2E35C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1,168</w:t>
            </w:r>
          </w:p>
        </w:tc>
        <w:tc>
          <w:tcPr>
            <w:tcW w:w="1180" w:type="dxa"/>
            <w:tcBorders>
              <w:top w:val="nil"/>
              <w:left w:val="nil"/>
              <w:bottom w:val="nil"/>
              <w:right w:val="nil"/>
            </w:tcBorders>
            <w:shd w:val="clear" w:color="auto" w:fill="auto"/>
            <w:noWrap/>
            <w:hideMark/>
          </w:tcPr>
          <w:p w14:paraId="60D2F8A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1,443</w:t>
            </w:r>
          </w:p>
        </w:tc>
        <w:tc>
          <w:tcPr>
            <w:tcW w:w="1060" w:type="dxa"/>
            <w:tcBorders>
              <w:top w:val="nil"/>
              <w:left w:val="nil"/>
              <w:bottom w:val="nil"/>
              <w:right w:val="nil"/>
            </w:tcBorders>
            <w:shd w:val="clear" w:color="auto" w:fill="auto"/>
            <w:noWrap/>
            <w:hideMark/>
          </w:tcPr>
          <w:p w14:paraId="1898F55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142</w:t>
            </w:r>
          </w:p>
        </w:tc>
        <w:tc>
          <w:tcPr>
            <w:tcW w:w="1060" w:type="dxa"/>
            <w:tcBorders>
              <w:top w:val="nil"/>
              <w:left w:val="nil"/>
              <w:bottom w:val="nil"/>
              <w:right w:val="nil"/>
            </w:tcBorders>
            <w:shd w:val="clear" w:color="auto" w:fill="auto"/>
            <w:noWrap/>
            <w:hideMark/>
          </w:tcPr>
          <w:p w14:paraId="3F08843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12%</w:t>
            </w:r>
          </w:p>
        </w:tc>
      </w:tr>
      <w:tr w:rsidR="008C4654" w:rsidRPr="008C4654" w14:paraId="2C46C7B6"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765AF8C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1B067D7A"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noWrap/>
            <w:hideMark/>
          </w:tcPr>
          <w:p w14:paraId="630877FA"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56EF96A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1,123</w:t>
            </w:r>
          </w:p>
        </w:tc>
        <w:tc>
          <w:tcPr>
            <w:tcW w:w="1180" w:type="dxa"/>
            <w:tcBorders>
              <w:top w:val="nil"/>
              <w:left w:val="nil"/>
              <w:bottom w:val="nil"/>
              <w:right w:val="nil"/>
            </w:tcBorders>
            <w:shd w:val="clear" w:color="auto" w:fill="auto"/>
            <w:noWrap/>
            <w:hideMark/>
          </w:tcPr>
          <w:p w14:paraId="4074310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1,161</w:t>
            </w:r>
          </w:p>
        </w:tc>
        <w:tc>
          <w:tcPr>
            <w:tcW w:w="1180" w:type="dxa"/>
            <w:tcBorders>
              <w:top w:val="nil"/>
              <w:left w:val="nil"/>
              <w:bottom w:val="nil"/>
              <w:right w:val="nil"/>
            </w:tcBorders>
            <w:shd w:val="clear" w:color="auto" w:fill="auto"/>
            <w:noWrap/>
            <w:hideMark/>
          </w:tcPr>
          <w:p w14:paraId="448AC77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1,986</w:t>
            </w:r>
          </w:p>
        </w:tc>
        <w:tc>
          <w:tcPr>
            <w:tcW w:w="1060" w:type="dxa"/>
            <w:tcBorders>
              <w:top w:val="nil"/>
              <w:left w:val="nil"/>
              <w:bottom w:val="nil"/>
              <w:right w:val="nil"/>
            </w:tcBorders>
            <w:shd w:val="clear" w:color="auto" w:fill="auto"/>
            <w:noWrap/>
            <w:hideMark/>
          </w:tcPr>
          <w:p w14:paraId="1B140BB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(38)</w:t>
            </w:r>
          </w:p>
        </w:tc>
        <w:tc>
          <w:tcPr>
            <w:tcW w:w="1060" w:type="dxa"/>
            <w:tcBorders>
              <w:top w:val="nil"/>
              <w:left w:val="nil"/>
              <w:bottom w:val="nil"/>
              <w:right w:val="nil"/>
            </w:tcBorders>
            <w:shd w:val="clear" w:color="auto" w:fill="auto"/>
            <w:noWrap/>
            <w:hideMark/>
          </w:tcPr>
          <w:p w14:paraId="6B11FDE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w:t>
            </w:r>
          </w:p>
        </w:tc>
      </w:tr>
      <w:tr w:rsidR="008C4654" w:rsidRPr="008C4654" w14:paraId="0FD7FE5D"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32685288"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6732F4D5"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28E78FE2"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5687984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4,149</w:t>
            </w:r>
          </w:p>
        </w:tc>
        <w:tc>
          <w:tcPr>
            <w:tcW w:w="1180" w:type="dxa"/>
            <w:tcBorders>
              <w:top w:val="nil"/>
              <w:left w:val="nil"/>
              <w:bottom w:val="single" w:sz="4" w:space="0" w:color="C7CFD8"/>
              <w:right w:val="nil"/>
            </w:tcBorders>
            <w:shd w:val="clear" w:color="auto" w:fill="auto"/>
            <w:noWrap/>
            <w:hideMark/>
          </w:tcPr>
          <w:p w14:paraId="2AE9F16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3,382</w:t>
            </w:r>
          </w:p>
        </w:tc>
        <w:tc>
          <w:tcPr>
            <w:tcW w:w="1180" w:type="dxa"/>
            <w:tcBorders>
              <w:top w:val="nil"/>
              <w:left w:val="nil"/>
              <w:bottom w:val="single" w:sz="4" w:space="0" w:color="C7CFD8"/>
              <w:right w:val="nil"/>
            </w:tcBorders>
            <w:shd w:val="clear" w:color="auto" w:fill="auto"/>
            <w:noWrap/>
            <w:hideMark/>
          </w:tcPr>
          <w:p w14:paraId="6BDFB25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4,696</w:t>
            </w:r>
          </w:p>
        </w:tc>
        <w:tc>
          <w:tcPr>
            <w:tcW w:w="1060" w:type="dxa"/>
            <w:tcBorders>
              <w:top w:val="nil"/>
              <w:left w:val="nil"/>
              <w:bottom w:val="single" w:sz="4" w:space="0" w:color="C7CFD8"/>
              <w:right w:val="nil"/>
            </w:tcBorders>
            <w:shd w:val="clear" w:color="auto" w:fill="auto"/>
            <w:noWrap/>
            <w:hideMark/>
          </w:tcPr>
          <w:p w14:paraId="7FC8D7D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767</w:t>
            </w:r>
          </w:p>
        </w:tc>
        <w:tc>
          <w:tcPr>
            <w:tcW w:w="1060" w:type="dxa"/>
            <w:tcBorders>
              <w:top w:val="nil"/>
              <w:left w:val="nil"/>
              <w:bottom w:val="single" w:sz="4" w:space="0" w:color="C7CFD8"/>
              <w:right w:val="nil"/>
            </w:tcBorders>
            <w:shd w:val="clear" w:color="auto" w:fill="auto"/>
            <w:noWrap/>
            <w:hideMark/>
          </w:tcPr>
          <w:p w14:paraId="570C59A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23%</w:t>
            </w:r>
          </w:p>
        </w:tc>
      </w:tr>
      <w:tr w:rsidR="008C4654" w:rsidRPr="008C4654" w14:paraId="6A443B0E"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6C45ED1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3199" w:type="dxa"/>
            <w:gridSpan w:val="2"/>
            <w:tcBorders>
              <w:top w:val="nil"/>
              <w:left w:val="nil"/>
              <w:bottom w:val="nil"/>
              <w:right w:val="nil"/>
            </w:tcBorders>
            <w:shd w:val="clear" w:color="auto" w:fill="auto"/>
            <w:noWrap/>
            <w:hideMark/>
          </w:tcPr>
          <w:p w14:paraId="51A51A6A"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Finance Costs</w:t>
            </w:r>
          </w:p>
        </w:tc>
        <w:tc>
          <w:tcPr>
            <w:tcW w:w="253" w:type="dxa"/>
            <w:tcBorders>
              <w:top w:val="nil"/>
              <w:left w:val="nil"/>
              <w:bottom w:val="nil"/>
              <w:right w:val="nil"/>
            </w:tcBorders>
            <w:shd w:val="clear" w:color="auto" w:fill="auto"/>
            <w:noWrap/>
            <w:hideMark/>
          </w:tcPr>
          <w:p w14:paraId="45F341FA"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2036FC1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7873051A"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6F97C07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2BBF5F3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7B372B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7F145B9A"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569A75DB"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7EA8305E"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15546FE0"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6354A33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4107443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4ED0986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337421A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093CDDC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5C916F4F"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4B0B140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3199" w:type="dxa"/>
            <w:gridSpan w:val="2"/>
            <w:tcBorders>
              <w:top w:val="nil"/>
              <w:left w:val="nil"/>
              <w:bottom w:val="nil"/>
              <w:right w:val="nil"/>
            </w:tcBorders>
            <w:shd w:val="clear" w:color="auto" w:fill="auto"/>
            <w:noWrap/>
            <w:hideMark/>
          </w:tcPr>
          <w:p w14:paraId="030B94AE"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Operating Expenses</w:t>
            </w:r>
          </w:p>
        </w:tc>
        <w:tc>
          <w:tcPr>
            <w:tcW w:w="253" w:type="dxa"/>
            <w:tcBorders>
              <w:top w:val="nil"/>
              <w:left w:val="nil"/>
              <w:bottom w:val="nil"/>
              <w:right w:val="nil"/>
            </w:tcBorders>
            <w:shd w:val="clear" w:color="auto" w:fill="auto"/>
            <w:noWrap/>
            <w:hideMark/>
          </w:tcPr>
          <w:p w14:paraId="6E5385AA"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153BBC48"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FB2C164"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77B1EBBF"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FADF718"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FED4589"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144A7115"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5268220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7FEE822A"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noWrap/>
            <w:hideMark/>
          </w:tcPr>
          <w:p w14:paraId="7C048FB9"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560A9FD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578</w:t>
            </w:r>
          </w:p>
        </w:tc>
        <w:tc>
          <w:tcPr>
            <w:tcW w:w="1180" w:type="dxa"/>
            <w:tcBorders>
              <w:top w:val="nil"/>
              <w:left w:val="nil"/>
              <w:bottom w:val="nil"/>
              <w:right w:val="nil"/>
            </w:tcBorders>
            <w:shd w:val="clear" w:color="auto" w:fill="auto"/>
            <w:noWrap/>
            <w:hideMark/>
          </w:tcPr>
          <w:p w14:paraId="70A21F9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593</w:t>
            </w:r>
          </w:p>
        </w:tc>
        <w:tc>
          <w:tcPr>
            <w:tcW w:w="1180" w:type="dxa"/>
            <w:tcBorders>
              <w:top w:val="nil"/>
              <w:left w:val="nil"/>
              <w:bottom w:val="nil"/>
              <w:right w:val="nil"/>
            </w:tcBorders>
            <w:shd w:val="clear" w:color="auto" w:fill="auto"/>
            <w:noWrap/>
            <w:hideMark/>
          </w:tcPr>
          <w:p w14:paraId="16A3D28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567</w:t>
            </w:r>
          </w:p>
        </w:tc>
        <w:tc>
          <w:tcPr>
            <w:tcW w:w="1060" w:type="dxa"/>
            <w:tcBorders>
              <w:top w:val="nil"/>
              <w:left w:val="nil"/>
              <w:bottom w:val="nil"/>
              <w:right w:val="nil"/>
            </w:tcBorders>
            <w:shd w:val="clear" w:color="auto" w:fill="auto"/>
            <w:noWrap/>
            <w:hideMark/>
          </w:tcPr>
          <w:p w14:paraId="25D169A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(15)</w:t>
            </w:r>
          </w:p>
        </w:tc>
        <w:tc>
          <w:tcPr>
            <w:tcW w:w="1060" w:type="dxa"/>
            <w:tcBorders>
              <w:top w:val="nil"/>
              <w:left w:val="nil"/>
              <w:bottom w:val="nil"/>
              <w:right w:val="nil"/>
            </w:tcBorders>
            <w:shd w:val="clear" w:color="auto" w:fill="auto"/>
            <w:noWrap/>
            <w:hideMark/>
          </w:tcPr>
          <w:p w14:paraId="6DCE095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w:t>
            </w:r>
          </w:p>
        </w:tc>
      </w:tr>
      <w:tr w:rsidR="008C4654" w:rsidRPr="008C4654" w14:paraId="197BDC68"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06E0F7F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7F948CB3"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00E6990E"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Communication</w:t>
            </w:r>
          </w:p>
        </w:tc>
        <w:tc>
          <w:tcPr>
            <w:tcW w:w="253" w:type="dxa"/>
            <w:tcBorders>
              <w:top w:val="nil"/>
              <w:left w:val="nil"/>
              <w:bottom w:val="nil"/>
              <w:right w:val="nil"/>
            </w:tcBorders>
            <w:shd w:val="clear" w:color="auto" w:fill="auto"/>
            <w:noWrap/>
            <w:hideMark/>
          </w:tcPr>
          <w:p w14:paraId="298A6276"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CF0216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22</w:t>
            </w:r>
          </w:p>
        </w:tc>
        <w:tc>
          <w:tcPr>
            <w:tcW w:w="1180" w:type="dxa"/>
            <w:tcBorders>
              <w:top w:val="nil"/>
              <w:left w:val="nil"/>
              <w:bottom w:val="nil"/>
              <w:right w:val="nil"/>
            </w:tcBorders>
            <w:shd w:val="clear" w:color="auto" w:fill="auto"/>
            <w:noWrap/>
            <w:hideMark/>
          </w:tcPr>
          <w:p w14:paraId="633F792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w:t>
            </w:r>
          </w:p>
        </w:tc>
        <w:tc>
          <w:tcPr>
            <w:tcW w:w="1180" w:type="dxa"/>
            <w:tcBorders>
              <w:top w:val="nil"/>
              <w:left w:val="nil"/>
              <w:bottom w:val="nil"/>
              <w:right w:val="nil"/>
            </w:tcBorders>
            <w:shd w:val="clear" w:color="auto" w:fill="auto"/>
            <w:noWrap/>
            <w:hideMark/>
          </w:tcPr>
          <w:p w14:paraId="1516A20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w:t>
            </w:r>
          </w:p>
        </w:tc>
        <w:tc>
          <w:tcPr>
            <w:tcW w:w="1060" w:type="dxa"/>
            <w:tcBorders>
              <w:top w:val="nil"/>
              <w:left w:val="nil"/>
              <w:bottom w:val="nil"/>
              <w:right w:val="nil"/>
            </w:tcBorders>
            <w:shd w:val="clear" w:color="auto" w:fill="auto"/>
            <w:noWrap/>
            <w:hideMark/>
          </w:tcPr>
          <w:p w14:paraId="2052EBD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12</w:t>
            </w:r>
          </w:p>
        </w:tc>
        <w:tc>
          <w:tcPr>
            <w:tcW w:w="1060" w:type="dxa"/>
            <w:tcBorders>
              <w:top w:val="nil"/>
              <w:left w:val="nil"/>
              <w:bottom w:val="nil"/>
              <w:right w:val="nil"/>
            </w:tcBorders>
            <w:shd w:val="clear" w:color="auto" w:fill="auto"/>
            <w:noWrap/>
            <w:hideMark/>
          </w:tcPr>
          <w:p w14:paraId="282E764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+100%</w:t>
            </w:r>
          </w:p>
        </w:tc>
      </w:tr>
      <w:tr w:rsidR="008C4654" w:rsidRPr="008C4654" w14:paraId="48196D6C"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3FC3431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40F2BEB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hideMark/>
          </w:tcPr>
          <w:p w14:paraId="3B8B9D78"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7624CB66"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90</w:t>
            </w:r>
          </w:p>
        </w:tc>
        <w:tc>
          <w:tcPr>
            <w:tcW w:w="1180" w:type="dxa"/>
            <w:tcBorders>
              <w:top w:val="nil"/>
              <w:left w:val="nil"/>
              <w:bottom w:val="nil"/>
              <w:right w:val="nil"/>
            </w:tcBorders>
            <w:shd w:val="clear" w:color="auto" w:fill="auto"/>
            <w:noWrap/>
            <w:hideMark/>
          </w:tcPr>
          <w:p w14:paraId="7C9BFAD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9</w:t>
            </w:r>
          </w:p>
        </w:tc>
        <w:tc>
          <w:tcPr>
            <w:tcW w:w="1180" w:type="dxa"/>
            <w:tcBorders>
              <w:top w:val="nil"/>
              <w:left w:val="nil"/>
              <w:bottom w:val="nil"/>
              <w:right w:val="nil"/>
            </w:tcBorders>
            <w:shd w:val="clear" w:color="auto" w:fill="auto"/>
            <w:noWrap/>
            <w:hideMark/>
          </w:tcPr>
          <w:p w14:paraId="06F314C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27</w:t>
            </w:r>
          </w:p>
        </w:tc>
        <w:tc>
          <w:tcPr>
            <w:tcW w:w="1060" w:type="dxa"/>
            <w:tcBorders>
              <w:top w:val="nil"/>
              <w:left w:val="nil"/>
              <w:bottom w:val="nil"/>
              <w:right w:val="nil"/>
            </w:tcBorders>
            <w:shd w:val="clear" w:color="auto" w:fill="auto"/>
            <w:noWrap/>
            <w:hideMark/>
          </w:tcPr>
          <w:p w14:paraId="3671B85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81</w:t>
            </w:r>
          </w:p>
        </w:tc>
        <w:tc>
          <w:tcPr>
            <w:tcW w:w="1060" w:type="dxa"/>
            <w:tcBorders>
              <w:top w:val="nil"/>
              <w:left w:val="nil"/>
              <w:bottom w:val="nil"/>
              <w:right w:val="nil"/>
            </w:tcBorders>
            <w:shd w:val="clear" w:color="auto" w:fill="auto"/>
            <w:noWrap/>
            <w:hideMark/>
          </w:tcPr>
          <w:p w14:paraId="43B9C07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+100%</w:t>
            </w:r>
          </w:p>
        </w:tc>
      </w:tr>
      <w:tr w:rsidR="008C4654" w:rsidRPr="008C4654" w14:paraId="7BEFC98A"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2879A0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772DF26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38B9927E"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UN Joint Services</w:t>
            </w:r>
          </w:p>
        </w:tc>
        <w:tc>
          <w:tcPr>
            <w:tcW w:w="253" w:type="dxa"/>
            <w:tcBorders>
              <w:top w:val="nil"/>
              <w:left w:val="nil"/>
              <w:bottom w:val="nil"/>
              <w:right w:val="nil"/>
            </w:tcBorders>
            <w:shd w:val="clear" w:color="auto" w:fill="auto"/>
            <w:noWrap/>
            <w:hideMark/>
          </w:tcPr>
          <w:p w14:paraId="4235B86D"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1F1007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5ABD16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B8C9BF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C48BDE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DAB33D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1B7C001F"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3913B390"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43DC5BAD"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77B5D6CF"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15FEB0A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690</w:t>
            </w:r>
          </w:p>
        </w:tc>
        <w:tc>
          <w:tcPr>
            <w:tcW w:w="1180" w:type="dxa"/>
            <w:tcBorders>
              <w:top w:val="nil"/>
              <w:left w:val="nil"/>
              <w:bottom w:val="single" w:sz="4" w:space="0" w:color="C7CFD8"/>
              <w:right w:val="nil"/>
            </w:tcBorders>
            <w:shd w:val="clear" w:color="auto" w:fill="auto"/>
            <w:noWrap/>
            <w:hideMark/>
          </w:tcPr>
          <w:p w14:paraId="66CC787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613</w:t>
            </w:r>
          </w:p>
        </w:tc>
        <w:tc>
          <w:tcPr>
            <w:tcW w:w="1180" w:type="dxa"/>
            <w:tcBorders>
              <w:top w:val="nil"/>
              <w:left w:val="nil"/>
              <w:bottom w:val="single" w:sz="4" w:space="0" w:color="C7CFD8"/>
              <w:right w:val="nil"/>
            </w:tcBorders>
            <w:shd w:val="clear" w:color="auto" w:fill="auto"/>
            <w:noWrap/>
            <w:hideMark/>
          </w:tcPr>
          <w:p w14:paraId="4D377AF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600</w:t>
            </w:r>
          </w:p>
        </w:tc>
        <w:tc>
          <w:tcPr>
            <w:tcW w:w="1060" w:type="dxa"/>
            <w:tcBorders>
              <w:top w:val="nil"/>
              <w:left w:val="nil"/>
              <w:bottom w:val="single" w:sz="4" w:space="0" w:color="C7CFD8"/>
              <w:right w:val="nil"/>
            </w:tcBorders>
            <w:shd w:val="clear" w:color="auto" w:fill="auto"/>
            <w:noWrap/>
            <w:hideMark/>
          </w:tcPr>
          <w:p w14:paraId="64749BC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77</w:t>
            </w:r>
          </w:p>
        </w:tc>
        <w:tc>
          <w:tcPr>
            <w:tcW w:w="1060" w:type="dxa"/>
            <w:tcBorders>
              <w:top w:val="nil"/>
              <w:left w:val="nil"/>
              <w:bottom w:val="single" w:sz="4" w:space="0" w:color="C7CFD8"/>
              <w:right w:val="nil"/>
            </w:tcBorders>
            <w:shd w:val="clear" w:color="auto" w:fill="auto"/>
            <w:noWrap/>
            <w:hideMark/>
          </w:tcPr>
          <w:p w14:paraId="688A44B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13%</w:t>
            </w:r>
          </w:p>
        </w:tc>
      </w:tr>
      <w:tr w:rsidR="008C4654" w:rsidRPr="008C4654" w14:paraId="3A680684"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7F1D6998"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3452" w:type="dxa"/>
            <w:gridSpan w:val="3"/>
            <w:tcBorders>
              <w:top w:val="nil"/>
              <w:left w:val="nil"/>
              <w:bottom w:val="nil"/>
              <w:right w:val="nil"/>
            </w:tcBorders>
            <w:shd w:val="clear" w:color="auto" w:fill="auto"/>
            <w:noWrap/>
            <w:hideMark/>
          </w:tcPr>
          <w:p w14:paraId="2668DF3C"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2048D3BF"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24EFFCC9"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25C17FEA"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B550622"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7D8FCD3"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2C64067F"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43CEC3F4"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222" w:type="dxa"/>
            <w:tcBorders>
              <w:top w:val="nil"/>
              <w:left w:val="nil"/>
              <w:bottom w:val="nil"/>
              <w:right w:val="nil"/>
            </w:tcBorders>
            <w:shd w:val="clear" w:color="auto" w:fill="auto"/>
            <w:noWrap/>
            <w:hideMark/>
          </w:tcPr>
          <w:p w14:paraId="6E4044D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noWrap/>
            <w:hideMark/>
          </w:tcPr>
          <w:p w14:paraId="329E3789"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7AC5629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w:t>
            </w:r>
          </w:p>
        </w:tc>
        <w:tc>
          <w:tcPr>
            <w:tcW w:w="1180" w:type="dxa"/>
            <w:tcBorders>
              <w:top w:val="nil"/>
              <w:left w:val="nil"/>
              <w:bottom w:val="nil"/>
              <w:right w:val="nil"/>
            </w:tcBorders>
            <w:shd w:val="clear" w:color="auto" w:fill="auto"/>
            <w:noWrap/>
            <w:hideMark/>
          </w:tcPr>
          <w:p w14:paraId="0164940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A8E86C4"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8</w:t>
            </w:r>
          </w:p>
        </w:tc>
        <w:tc>
          <w:tcPr>
            <w:tcW w:w="1060" w:type="dxa"/>
            <w:tcBorders>
              <w:top w:val="nil"/>
              <w:left w:val="nil"/>
              <w:bottom w:val="nil"/>
              <w:right w:val="nil"/>
            </w:tcBorders>
            <w:shd w:val="clear" w:color="auto" w:fill="auto"/>
            <w:noWrap/>
            <w:hideMark/>
          </w:tcPr>
          <w:p w14:paraId="18D4BA9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w:t>
            </w:r>
          </w:p>
        </w:tc>
        <w:tc>
          <w:tcPr>
            <w:tcW w:w="1060" w:type="dxa"/>
            <w:tcBorders>
              <w:top w:val="nil"/>
              <w:left w:val="nil"/>
              <w:bottom w:val="nil"/>
              <w:right w:val="nil"/>
            </w:tcBorders>
            <w:shd w:val="clear" w:color="auto" w:fill="auto"/>
            <w:noWrap/>
            <w:hideMark/>
          </w:tcPr>
          <w:p w14:paraId="3407DAD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n/a</w:t>
            </w:r>
          </w:p>
        </w:tc>
      </w:tr>
      <w:tr w:rsidR="008C4654" w:rsidRPr="008C4654" w14:paraId="24DABBB3"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145A0CC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p>
        </w:tc>
        <w:tc>
          <w:tcPr>
            <w:tcW w:w="222" w:type="dxa"/>
            <w:tcBorders>
              <w:top w:val="nil"/>
              <w:left w:val="nil"/>
              <w:bottom w:val="nil"/>
              <w:right w:val="nil"/>
            </w:tcBorders>
            <w:shd w:val="clear" w:color="auto" w:fill="auto"/>
            <w:noWrap/>
            <w:hideMark/>
          </w:tcPr>
          <w:p w14:paraId="5DA990FD"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3230" w:type="dxa"/>
            <w:gridSpan w:val="2"/>
            <w:tcBorders>
              <w:top w:val="nil"/>
              <w:left w:val="nil"/>
              <w:bottom w:val="nil"/>
              <w:right w:val="nil"/>
            </w:tcBorders>
            <w:shd w:val="clear" w:color="auto" w:fill="auto"/>
            <w:noWrap/>
            <w:hideMark/>
          </w:tcPr>
          <w:p w14:paraId="4D2C15CF"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2F4D8AE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66</w:t>
            </w:r>
          </w:p>
        </w:tc>
        <w:tc>
          <w:tcPr>
            <w:tcW w:w="1180" w:type="dxa"/>
            <w:tcBorders>
              <w:top w:val="nil"/>
              <w:left w:val="nil"/>
              <w:bottom w:val="nil"/>
              <w:right w:val="nil"/>
            </w:tcBorders>
            <w:shd w:val="clear" w:color="auto" w:fill="auto"/>
            <w:noWrap/>
            <w:hideMark/>
          </w:tcPr>
          <w:p w14:paraId="4CD69E8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54</w:t>
            </w:r>
          </w:p>
        </w:tc>
        <w:tc>
          <w:tcPr>
            <w:tcW w:w="1180" w:type="dxa"/>
            <w:tcBorders>
              <w:top w:val="nil"/>
              <w:left w:val="nil"/>
              <w:bottom w:val="nil"/>
              <w:right w:val="nil"/>
            </w:tcBorders>
            <w:shd w:val="clear" w:color="auto" w:fill="auto"/>
            <w:noWrap/>
            <w:hideMark/>
          </w:tcPr>
          <w:p w14:paraId="608D70D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48</w:t>
            </w:r>
          </w:p>
        </w:tc>
        <w:tc>
          <w:tcPr>
            <w:tcW w:w="1060" w:type="dxa"/>
            <w:tcBorders>
              <w:top w:val="nil"/>
              <w:left w:val="nil"/>
              <w:bottom w:val="nil"/>
              <w:right w:val="nil"/>
            </w:tcBorders>
            <w:shd w:val="clear" w:color="auto" w:fill="auto"/>
            <w:noWrap/>
            <w:hideMark/>
          </w:tcPr>
          <w:p w14:paraId="2D2FF93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12</w:t>
            </w:r>
          </w:p>
        </w:tc>
        <w:tc>
          <w:tcPr>
            <w:tcW w:w="1060" w:type="dxa"/>
            <w:tcBorders>
              <w:top w:val="nil"/>
              <w:left w:val="nil"/>
              <w:bottom w:val="nil"/>
              <w:right w:val="nil"/>
            </w:tcBorders>
            <w:shd w:val="clear" w:color="auto" w:fill="auto"/>
            <w:noWrap/>
            <w:hideMark/>
          </w:tcPr>
          <w:p w14:paraId="2477D95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22%</w:t>
            </w:r>
          </w:p>
        </w:tc>
      </w:tr>
      <w:tr w:rsidR="008C4654" w:rsidRPr="008C4654" w14:paraId="3823716A"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765F7F9E" w14:textId="77777777" w:rsidR="008C4654" w:rsidRPr="008C4654" w:rsidRDefault="008C4654" w:rsidP="008C4654">
            <w:pPr>
              <w:spacing w:after="0" w:line="240" w:lineRule="auto"/>
              <w:rPr>
                <w:rFonts w:ascii="Arial Narrow" w:eastAsia="Times New Roman" w:hAnsi="Arial Narrow" w:cs="Times New Roman"/>
                <w:b/>
                <w:bCs/>
                <w:i/>
                <w:iCs/>
                <w:sz w:val="16"/>
                <w:szCs w:val="16"/>
                <w:lang w:val="en-US"/>
              </w:rPr>
            </w:pPr>
            <w:r w:rsidRPr="008C4654">
              <w:rPr>
                <w:rFonts w:ascii="Arial Narrow" w:eastAsia="Times New Roman" w:hAnsi="Arial Narrow" w:cs="Times New Roman"/>
                <w:b/>
                <w:bCs/>
                <w:i/>
                <w:iCs/>
                <w:sz w:val="16"/>
                <w:szCs w:val="16"/>
                <w:lang w:val="en-US"/>
              </w:rPr>
              <w:t> </w:t>
            </w:r>
          </w:p>
        </w:tc>
        <w:tc>
          <w:tcPr>
            <w:tcW w:w="3199" w:type="dxa"/>
            <w:gridSpan w:val="2"/>
            <w:tcBorders>
              <w:top w:val="nil"/>
              <w:left w:val="nil"/>
              <w:bottom w:val="single" w:sz="4" w:space="0" w:color="C7CFD8"/>
              <w:right w:val="nil"/>
            </w:tcBorders>
            <w:shd w:val="clear" w:color="auto" w:fill="auto"/>
            <w:noWrap/>
            <w:hideMark/>
          </w:tcPr>
          <w:p w14:paraId="48AFB613"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Sub-total</w:t>
            </w:r>
          </w:p>
        </w:tc>
        <w:tc>
          <w:tcPr>
            <w:tcW w:w="253" w:type="dxa"/>
            <w:tcBorders>
              <w:top w:val="nil"/>
              <w:left w:val="nil"/>
              <w:bottom w:val="single" w:sz="4" w:space="0" w:color="C7CFD8"/>
              <w:right w:val="nil"/>
            </w:tcBorders>
            <w:shd w:val="clear" w:color="auto" w:fill="auto"/>
            <w:noWrap/>
            <w:hideMark/>
          </w:tcPr>
          <w:p w14:paraId="17E8E37A" w14:textId="77777777" w:rsidR="008C4654" w:rsidRPr="008C4654" w:rsidRDefault="008C4654" w:rsidP="008C4654">
            <w:pPr>
              <w:spacing w:after="0" w:line="240" w:lineRule="auto"/>
              <w:rPr>
                <w:rFonts w:ascii="Arial Narrow" w:eastAsia="Times New Roman" w:hAnsi="Arial Narrow" w:cs="Times New Roman"/>
                <w:i/>
                <w:iCs/>
                <w:sz w:val="16"/>
                <w:szCs w:val="16"/>
                <w:lang w:val="en-US"/>
              </w:rPr>
            </w:pPr>
            <w:r w:rsidRPr="008C4654">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5C6B7A5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80</w:t>
            </w:r>
          </w:p>
        </w:tc>
        <w:tc>
          <w:tcPr>
            <w:tcW w:w="1180" w:type="dxa"/>
            <w:tcBorders>
              <w:top w:val="nil"/>
              <w:left w:val="nil"/>
              <w:bottom w:val="single" w:sz="4" w:space="0" w:color="C7CFD8"/>
              <w:right w:val="nil"/>
            </w:tcBorders>
            <w:shd w:val="clear" w:color="auto" w:fill="auto"/>
            <w:noWrap/>
            <w:hideMark/>
          </w:tcPr>
          <w:p w14:paraId="224220B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54</w:t>
            </w:r>
          </w:p>
        </w:tc>
        <w:tc>
          <w:tcPr>
            <w:tcW w:w="1180" w:type="dxa"/>
            <w:tcBorders>
              <w:top w:val="nil"/>
              <w:left w:val="nil"/>
              <w:bottom w:val="single" w:sz="4" w:space="0" w:color="C7CFD8"/>
              <w:right w:val="nil"/>
            </w:tcBorders>
            <w:shd w:val="clear" w:color="auto" w:fill="auto"/>
            <w:noWrap/>
            <w:hideMark/>
          </w:tcPr>
          <w:p w14:paraId="5DEE120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56</w:t>
            </w:r>
          </w:p>
        </w:tc>
        <w:tc>
          <w:tcPr>
            <w:tcW w:w="1060" w:type="dxa"/>
            <w:tcBorders>
              <w:top w:val="nil"/>
              <w:left w:val="nil"/>
              <w:bottom w:val="single" w:sz="4" w:space="0" w:color="C7CFD8"/>
              <w:right w:val="nil"/>
            </w:tcBorders>
            <w:shd w:val="clear" w:color="auto" w:fill="auto"/>
            <w:noWrap/>
            <w:hideMark/>
          </w:tcPr>
          <w:p w14:paraId="11357E1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26</w:t>
            </w:r>
          </w:p>
        </w:tc>
        <w:tc>
          <w:tcPr>
            <w:tcW w:w="1060" w:type="dxa"/>
            <w:tcBorders>
              <w:top w:val="nil"/>
              <w:left w:val="nil"/>
              <w:bottom w:val="single" w:sz="4" w:space="0" w:color="C7CFD8"/>
              <w:right w:val="nil"/>
            </w:tcBorders>
            <w:shd w:val="clear" w:color="auto" w:fill="auto"/>
            <w:noWrap/>
            <w:hideMark/>
          </w:tcPr>
          <w:p w14:paraId="4C32138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48%</w:t>
            </w:r>
          </w:p>
        </w:tc>
      </w:tr>
      <w:tr w:rsidR="008C4654" w:rsidRPr="008C4654" w14:paraId="2F694AD7" w14:textId="77777777" w:rsidTr="008A121C">
        <w:trPr>
          <w:divId w:val="1390297738"/>
          <w:trHeight w:hRule="exact" w:val="216"/>
          <w:jc w:val="center"/>
        </w:trPr>
        <w:tc>
          <w:tcPr>
            <w:tcW w:w="253" w:type="dxa"/>
            <w:tcBorders>
              <w:top w:val="nil"/>
              <w:left w:val="nil"/>
              <w:bottom w:val="single" w:sz="8" w:space="0" w:color="C7CFD8"/>
              <w:right w:val="nil"/>
            </w:tcBorders>
            <w:shd w:val="clear" w:color="auto" w:fill="auto"/>
            <w:noWrap/>
            <w:hideMark/>
          </w:tcPr>
          <w:p w14:paraId="42C2CDC5"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3199" w:type="dxa"/>
            <w:gridSpan w:val="2"/>
            <w:tcBorders>
              <w:top w:val="single" w:sz="4" w:space="0" w:color="C7CFD8"/>
              <w:left w:val="nil"/>
              <w:bottom w:val="single" w:sz="8" w:space="0" w:color="C7CFD8"/>
              <w:right w:val="nil"/>
            </w:tcBorders>
            <w:shd w:val="clear" w:color="auto" w:fill="auto"/>
            <w:noWrap/>
            <w:vAlign w:val="center"/>
            <w:hideMark/>
          </w:tcPr>
          <w:p w14:paraId="465CC560"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Total B</w:t>
            </w:r>
          </w:p>
        </w:tc>
        <w:tc>
          <w:tcPr>
            <w:tcW w:w="253" w:type="dxa"/>
            <w:tcBorders>
              <w:top w:val="nil"/>
              <w:left w:val="nil"/>
              <w:bottom w:val="single" w:sz="8" w:space="0" w:color="C7CFD8"/>
              <w:right w:val="nil"/>
            </w:tcBorders>
            <w:shd w:val="clear" w:color="auto" w:fill="auto"/>
            <w:noWrap/>
            <w:hideMark/>
          </w:tcPr>
          <w:p w14:paraId="700CC04D"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343A2E4D"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8,943</w:t>
            </w:r>
          </w:p>
        </w:tc>
        <w:tc>
          <w:tcPr>
            <w:tcW w:w="1180" w:type="dxa"/>
            <w:tcBorders>
              <w:top w:val="nil"/>
              <w:left w:val="nil"/>
              <w:bottom w:val="single" w:sz="8" w:space="0" w:color="C7CFD8"/>
              <w:right w:val="nil"/>
            </w:tcBorders>
            <w:shd w:val="clear" w:color="auto" w:fill="auto"/>
            <w:noWrap/>
            <w:vAlign w:val="center"/>
            <w:hideMark/>
          </w:tcPr>
          <w:p w14:paraId="370F2234"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7,060</w:t>
            </w:r>
          </w:p>
        </w:tc>
        <w:tc>
          <w:tcPr>
            <w:tcW w:w="1180" w:type="dxa"/>
            <w:tcBorders>
              <w:top w:val="nil"/>
              <w:left w:val="nil"/>
              <w:bottom w:val="single" w:sz="8" w:space="0" w:color="C7CFD8"/>
              <w:right w:val="nil"/>
            </w:tcBorders>
            <w:shd w:val="clear" w:color="auto" w:fill="auto"/>
            <w:noWrap/>
            <w:vAlign w:val="center"/>
            <w:hideMark/>
          </w:tcPr>
          <w:p w14:paraId="5AA003C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7,652</w:t>
            </w:r>
          </w:p>
        </w:tc>
        <w:tc>
          <w:tcPr>
            <w:tcW w:w="1060" w:type="dxa"/>
            <w:tcBorders>
              <w:top w:val="nil"/>
              <w:left w:val="nil"/>
              <w:bottom w:val="single" w:sz="8" w:space="0" w:color="C7CFD8"/>
              <w:right w:val="nil"/>
            </w:tcBorders>
            <w:shd w:val="clear" w:color="auto" w:fill="auto"/>
            <w:noWrap/>
            <w:vAlign w:val="center"/>
            <w:hideMark/>
          </w:tcPr>
          <w:p w14:paraId="47BCB4F1"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1,883</w:t>
            </w:r>
          </w:p>
        </w:tc>
        <w:tc>
          <w:tcPr>
            <w:tcW w:w="1060" w:type="dxa"/>
            <w:tcBorders>
              <w:top w:val="nil"/>
              <w:left w:val="nil"/>
              <w:bottom w:val="single" w:sz="8" w:space="0" w:color="C7CFD8"/>
              <w:right w:val="nil"/>
            </w:tcBorders>
            <w:shd w:val="clear" w:color="auto" w:fill="auto"/>
            <w:noWrap/>
            <w:vAlign w:val="center"/>
            <w:hideMark/>
          </w:tcPr>
          <w:p w14:paraId="2D76536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27%</w:t>
            </w:r>
          </w:p>
        </w:tc>
      </w:tr>
      <w:tr w:rsidR="008C4654" w:rsidRPr="008C4654" w14:paraId="0F7CF301" w14:textId="77777777" w:rsidTr="008A121C">
        <w:trPr>
          <w:divId w:val="1390297738"/>
          <w:trHeight w:hRule="exact" w:val="216"/>
          <w:jc w:val="center"/>
        </w:trPr>
        <w:tc>
          <w:tcPr>
            <w:tcW w:w="253" w:type="dxa"/>
            <w:tcBorders>
              <w:top w:val="nil"/>
              <w:left w:val="nil"/>
              <w:bottom w:val="single" w:sz="8" w:space="0" w:color="C7CFD8"/>
              <w:right w:val="nil"/>
            </w:tcBorders>
            <w:shd w:val="clear" w:color="auto" w:fill="auto"/>
            <w:noWrap/>
            <w:hideMark/>
          </w:tcPr>
          <w:p w14:paraId="7568E016"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3199" w:type="dxa"/>
            <w:gridSpan w:val="2"/>
            <w:tcBorders>
              <w:top w:val="nil"/>
              <w:left w:val="nil"/>
              <w:bottom w:val="single" w:sz="8" w:space="0" w:color="C7CFD8"/>
              <w:right w:val="nil"/>
            </w:tcBorders>
            <w:shd w:val="clear" w:color="auto" w:fill="auto"/>
            <w:noWrap/>
            <w:vAlign w:val="center"/>
            <w:hideMark/>
          </w:tcPr>
          <w:p w14:paraId="53699EDB"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TOTAL</w:t>
            </w:r>
          </w:p>
        </w:tc>
        <w:tc>
          <w:tcPr>
            <w:tcW w:w="253" w:type="dxa"/>
            <w:tcBorders>
              <w:top w:val="nil"/>
              <w:left w:val="nil"/>
              <w:bottom w:val="single" w:sz="8" w:space="0" w:color="C7CFD8"/>
              <w:right w:val="nil"/>
            </w:tcBorders>
            <w:shd w:val="clear" w:color="auto" w:fill="auto"/>
            <w:noWrap/>
            <w:hideMark/>
          </w:tcPr>
          <w:p w14:paraId="160022EF" w14:textId="77777777" w:rsidR="008C4654" w:rsidRPr="008C4654" w:rsidRDefault="008C4654" w:rsidP="008C4654">
            <w:pPr>
              <w:spacing w:after="0" w:line="240" w:lineRule="auto"/>
              <w:jc w:val="center"/>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1E48E977"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29,281</w:t>
            </w:r>
          </w:p>
        </w:tc>
        <w:tc>
          <w:tcPr>
            <w:tcW w:w="1180" w:type="dxa"/>
            <w:tcBorders>
              <w:top w:val="nil"/>
              <w:left w:val="nil"/>
              <w:bottom w:val="single" w:sz="8" w:space="0" w:color="C7CFD8"/>
              <w:right w:val="nil"/>
            </w:tcBorders>
            <w:shd w:val="clear" w:color="auto" w:fill="auto"/>
            <w:noWrap/>
            <w:vAlign w:val="center"/>
            <w:hideMark/>
          </w:tcPr>
          <w:p w14:paraId="6E314E5F"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25,480</w:t>
            </w:r>
          </w:p>
        </w:tc>
        <w:tc>
          <w:tcPr>
            <w:tcW w:w="1180" w:type="dxa"/>
            <w:tcBorders>
              <w:top w:val="nil"/>
              <w:left w:val="nil"/>
              <w:bottom w:val="single" w:sz="8" w:space="0" w:color="C7CFD8"/>
              <w:right w:val="nil"/>
            </w:tcBorders>
            <w:shd w:val="clear" w:color="auto" w:fill="auto"/>
            <w:noWrap/>
            <w:vAlign w:val="center"/>
            <w:hideMark/>
          </w:tcPr>
          <w:p w14:paraId="74989209"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26,213</w:t>
            </w:r>
          </w:p>
        </w:tc>
        <w:tc>
          <w:tcPr>
            <w:tcW w:w="1060" w:type="dxa"/>
            <w:tcBorders>
              <w:top w:val="nil"/>
              <w:left w:val="nil"/>
              <w:bottom w:val="single" w:sz="8" w:space="0" w:color="C7CFD8"/>
              <w:right w:val="nil"/>
            </w:tcBorders>
            <w:shd w:val="clear" w:color="auto" w:fill="auto"/>
            <w:noWrap/>
            <w:vAlign w:val="center"/>
            <w:hideMark/>
          </w:tcPr>
          <w:p w14:paraId="1C276978"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3,801</w:t>
            </w:r>
          </w:p>
        </w:tc>
        <w:tc>
          <w:tcPr>
            <w:tcW w:w="1060" w:type="dxa"/>
            <w:tcBorders>
              <w:top w:val="nil"/>
              <w:left w:val="nil"/>
              <w:bottom w:val="single" w:sz="8" w:space="0" w:color="C7CFD8"/>
              <w:right w:val="nil"/>
            </w:tcBorders>
            <w:shd w:val="clear" w:color="auto" w:fill="auto"/>
            <w:noWrap/>
            <w:vAlign w:val="center"/>
            <w:hideMark/>
          </w:tcPr>
          <w:p w14:paraId="2F05E05C"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15%</w:t>
            </w:r>
          </w:p>
        </w:tc>
      </w:tr>
      <w:tr w:rsidR="008C4654" w:rsidRPr="008C4654" w14:paraId="13E9784F" w14:textId="77777777" w:rsidTr="008A121C">
        <w:trPr>
          <w:divId w:val="1390297738"/>
          <w:trHeight w:hRule="exact" w:val="216"/>
          <w:jc w:val="center"/>
        </w:trPr>
        <w:tc>
          <w:tcPr>
            <w:tcW w:w="253" w:type="dxa"/>
            <w:tcBorders>
              <w:top w:val="nil"/>
              <w:left w:val="nil"/>
              <w:bottom w:val="nil"/>
              <w:right w:val="nil"/>
            </w:tcBorders>
            <w:shd w:val="clear" w:color="auto" w:fill="auto"/>
            <w:noWrap/>
            <w:hideMark/>
          </w:tcPr>
          <w:p w14:paraId="47832F13"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p>
        </w:tc>
        <w:tc>
          <w:tcPr>
            <w:tcW w:w="3199" w:type="dxa"/>
            <w:gridSpan w:val="2"/>
            <w:tcBorders>
              <w:top w:val="nil"/>
              <w:left w:val="nil"/>
              <w:bottom w:val="nil"/>
              <w:right w:val="nil"/>
            </w:tcBorders>
            <w:shd w:val="clear" w:color="auto" w:fill="auto"/>
            <w:noWrap/>
            <w:hideMark/>
          </w:tcPr>
          <w:p w14:paraId="0EB1D135"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of which </w:t>
            </w:r>
          </w:p>
        </w:tc>
        <w:tc>
          <w:tcPr>
            <w:tcW w:w="253" w:type="dxa"/>
            <w:tcBorders>
              <w:top w:val="nil"/>
              <w:left w:val="nil"/>
              <w:bottom w:val="nil"/>
              <w:right w:val="nil"/>
            </w:tcBorders>
            <w:shd w:val="clear" w:color="auto" w:fill="auto"/>
            <w:noWrap/>
            <w:hideMark/>
          </w:tcPr>
          <w:p w14:paraId="56B3A7E8" w14:textId="77777777" w:rsidR="008C4654" w:rsidRPr="008C4654" w:rsidRDefault="008C4654" w:rsidP="008C4654">
            <w:pPr>
              <w:spacing w:after="0" w:line="240" w:lineRule="auto"/>
              <w:rPr>
                <w:rFonts w:ascii="Arial Narrow" w:eastAsia="Times New Roman" w:hAnsi="Arial Narrow" w:cs="Times New Roman"/>
                <w:sz w:val="16"/>
                <w:szCs w:val="16"/>
                <w:lang w:val="en-US"/>
              </w:rPr>
            </w:pPr>
          </w:p>
        </w:tc>
        <w:tc>
          <w:tcPr>
            <w:tcW w:w="1060" w:type="dxa"/>
            <w:tcBorders>
              <w:top w:val="nil"/>
              <w:left w:val="nil"/>
              <w:bottom w:val="nil"/>
              <w:right w:val="nil"/>
            </w:tcBorders>
            <w:shd w:val="clear" w:color="auto" w:fill="auto"/>
            <w:noWrap/>
            <w:hideMark/>
          </w:tcPr>
          <w:p w14:paraId="453D5E53"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E587755"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2E6E847"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F698A96"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3EF68F6F"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09EAE415" w14:textId="77777777" w:rsidTr="008A121C">
        <w:trPr>
          <w:divId w:val="1390297738"/>
          <w:trHeight w:hRule="exact" w:val="216"/>
          <w:jc w:val="center"/>
        </w:trPr>
        <w:tc>
          <w:tcPr>
            <w:tcW w:w="253" w:type="dxa"/>
            <w:tcBorders>
              <w:top w:val="nil"/>
              <w:left w:val="nil"/>
              <w:bottom w:val="single" w:sz="4" w:space="0" w:color="C7CFD8"/>
              <w:right w:val="nil"/>
            </w:tcBorders>
            <w:shd w:val="clear" w:color="auto" w:fill="auto"/>
            <w:noWrap/>
            <w:hideMark/>
          </w:tcPr>
          <w:p w14:paraId="7EB92026"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3452" w:type="dxa"/>
            <w:gridSpan w:val="3"/>
            <w:tcBorders>
              <w:top w:val="nil"/>
              <w:left w:val="nil"/>
              <w:bottom w:val="single" w:sz="4" w:space="0" w:color="C7CFD8"/>
              <w:right w:val="nil"/>
            </w:tcBorders>
            <w:shd w:val="clear" w:color="auto" w:fill="auto"/>
            <w:noWrap/>
            <w:hideMark/>
          </w:tcPr>
          <w:p w14:paraId="1F134D83"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Development Agenda Project</w:t>
            </w:r>
          </w:p>
        </w:tc>
        <w:tc>
          <w:tcPr>
            <w:tcW w:w="1060" w:type="dxa"/>
            <w:tcBorders>
              <w:top w:val="nil"/>
              <w:left w:val="nil"/>
              <w:bottom w:val="single" w:sz="4" w:space="0" w:color="C7CFD8"/>
              <w:right w:val="nil"/>
            </w:tcBorders>
            <w:shd w:val="clear" w:color="auto" w:fill="auto"/>
            <w:noWrap/>
            <w:hideMark/>
          </w:tcPr>
          <w:p w14:paraId="4291703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247</w:t>
            </w:r>
          </w:p>
        </w:tc>
        <w:tc>
          <w:tcPr>
            <w:tcW w:w="1180" w:type="dxa"/>
            <w:tcBorders>
              <w:top w:val="nil"/>
              <w:left w:val="nil"/>
              <w:bottom w:val="single" w:sz="4" w:space="0" w:color="C7CFD8"/>
              <w:right w:val="nil"/>
            </w:tcBorders>
            <w:shd w:val="clear" w:color="auto" w:fill="auto"/>
            <w:noWrap/>
            <w:hideMark/>
          </w:tcPr>
          <w:p w14:paraId="608B78E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w:t>
            </w:r>
          </w:p>
        </w:tc>
        <w:tc>
          <w:tcPr>
            <w:tcW w:w="1180" w:type="dxa"/>
            <w:tcBorders>
              <w:top w:val="nil"/>
              <w:left w:val="nil"/>
              <w:bottom w:val="single" w:sz="4" w:space="0" w:color="C7CFD8"/>
              <w:right w:val="nil"/>
            </w:tcBorders>
            <w:shd w:val="clear" w:color="auto" w:fill="auto"/>
            <w:noWrap/>
            <w:hideMark/>
          </w:tcPr>
          <w:p w14:paraId="61A9035D"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w:t>
            </w:r>
          </w:p>
        </w:tc>
        <w:tc>
          <w:tcPr>
            <w:tcW w:w="1060" w:type="dxa"/>
            <w:tcBorders>
              <w:top w:val="nil"/>
              <w:left w:val="nil"/>
              <w:bottom w:val="single" w:sz="4" w:space="0" w:color="C7CFD8"/>
              <w:right w:val="nil"/>
            </w:tcBorders>
            <w:shd w:val="clear" w:color="auto" w:fill="auto"/>
            <w:noWrap/>
            <w:hideMark/>
          </w:tcPr>
          <w:p w14:paraId="2BF2E665" w14:textId="77777777" w:rsidR="008C4654" w:rsidRPr="008C4654" w:rsidRDefault="008C4654" w:rsidP="008C4654">
            <w:pPr>
              <w:spacing w:after="0" w:line="240" w:lineRule="auto"/>
              <w:jc w:val="right"/>
              <w:rPr>
                <w:rFonts w:ascii="Arial Narrow" w:eastAsia="Times New Roman" w:hAnsi="Arial Narrow" w:cs="Times New Roman"/>
                <w:b/>
                <w:bCs/>
                <w:color w:val="FF0000"/>
                <w:sz w:val="16"/>
                <w:szCs w:val="16"/>
                <w:lang w:val="en-US"/>
              </w:rPr>
            </w:pPr>
            <w:r w:rsidRPr="008C4654">
              <w:rPr>
                <w:rFonts w:ascii="Arial Narrow" w:eastAsia="Times New Roman" w:hAnsi="Arial Narrow" w:cs="Times New Roman"/>
                <w:b/>
                <w:bCs/>
                <w:color w:val="FF0000"/>
                <w:sz w:val="16"/>
                <w:szCs w:val="16"/>
                <w:lang w:val="en-US"/>
              </w:rPr>
              <w:t> </w:t>
            </w:r>
          </w:p>
        </w:tc>
        <w:tc>
          <w:tcPr>
            <w:tcW w:w="1060" w:type="dxa"/>
            <w:tcBorders>
              <w:top w:val="nil"/>
              <w:left w:val="nil"/>
              <w:bottom w:val="single" w:sz="4" w:space="0" w:color="C7CFD8"/>
              <w:right w:val="nil"/>
            </w:tcBorders>
            <w:shd w:val="clear" w:color="auto" w:fill="auto"/>
            <w:noWrap/>
            <w:hideMark/>
          </w:tcPr>
          <w:p w14:paraId="207D81D7" w14:textId="77777777" w:rsidR="008C4654" w:rsidRPr="008C4654" w:rsidRDefault="008C4654" w:rsidP="008C4654">
            <w:pPr>
              <w:spacing w:after="0" w:line="240" w:lineRule="auto"/>
              <w:rPr>
                <w:rFonts w:ascii="Arial Narrow" w:eastAsia="Times New Roman" w:hAnsi="Arial Narrow" w:cs="Times New Roman"/>
                <w:b/>
                <w:bCs/>
                <w:color w:val="FF0000"/>
                <w:sz w:val="16"/>
                <w:szCs w:val="16"/>
                <w:lang w:val="en-US"/>
              </w:rPr>
            </w:pPr>
            <w:r w:rsidRPr="008C4654">
              <w:rPr>
                <w:rFonts w:ascii="Arial Narrow" w:eastAsia="Times New Roman" w:hAnsi="Arial Narrow" w:cs="Times New Roman"/>
                <w:b/>
                <w:bCs/>
                <w:color w:val="FF0000"/>
                <w:sz w:val="16"/>
                <w:szCs w:val="16"/>
                <w:lang w:val="en-US"/>
              </w:rPr>
              <w:t> </w:t>
            </w:r>
          </w:p>
        </w:tc>
      </w:tr>
    </w:tbl>
    <w:p w14:paraId="76587112" w14:textId="2AFCCDEE" w:rsidR="00A61ACF" w:rsidRDefault="00A61ACF" w:rsidP="00B2381D">
      <w:pPr>
        <w:rPr>
          <w:rFonts w:cs="Arial"/>
          <w:szCs w:val="18"/>
        </w:rPr>
      </w:pPr>
    </w:p>
    <w:p w14:paraId="39F6B6D3" w14:textId="77777777" w:rsidR="00A61ACF" w:rsidRDefault="00A61ACF" w:rsidP="00A61ACF">
      <w:pPr>
        <w:jc w:val="center"/>
        <w:rPr>
          <w:rFonts w:cs="Arial"/>
          <w:szCs w:val="18"/>
        </w:rPr>
      </w:pPr>
    </w:p>
    <w:p w14:paraId="48D09D16" w14:textId="77777777" w:rsidR="00A61ACF" w:rsidRDefault="00A61ACF" w:rsidP="00A61ACF">
      <w:pPr>
        <w:jc w:val="center"/>
        <w:rPr>
          <w:rFonts w:cs="Arial"/>
          <w:szCs w:val="18"/>
        </w:rPr>
      </w:pPr>
    </w:p>
    <w:p w14:paraId="06272612" w14:textId="6E3F4B88" w:rsidR="00A61ACF" w:rsidRDefault="00A61ACF">
      <w:pPr>
        <w:spacing w:after="200" w:line="276" w:lineRule="auto"/>
        <w:rPr>
          <w:rFonts w:cs="Arial"/>
          <w:szCs w:val="18"/>
        </w:rPr>
      </w:pPr>
      <w:r>
        <w:rPr>
          <w:rFonts w:cs="Arial"/>
          <w:szCs w:val="18"/>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A61ACF" w:rsidRPr="00034525" w14:paraId="2535E60A" w14:textId="77777777" w:rsidTr="00D34E67">
        <w:trPr>
          <w:trHeight w:val="72"/>
        </w:trPr>
        <w:tc>
          <w:tcPr>
            <w:tcW w:w="9540" w:type="dxa"/>
          </w:tcPr>
          <w:p w14:paraId="4BE82DE7" w14:textId="77777777" w:rsidR="00A61ACF" w:rsidRPr="00034525" w:rsidRDefault="00A61ACF" w:rsidP="001A3F3C">
            <w:pPr>
              <w:spacing w:after="60" w:line="240" w:lineRule="auto"/>
              <w:jc w:val="center"/>
              <w:rPr>
                <w:rFonts w:cs="Arial"/>
                <w:b/>
                <w:bCs/>
                <w:color w:val="005172"/>
                <w:sz w:val="16"/>
                <w:szCs w:val="16"/>
              </w:rPr>
            </w:pPr>
            <w:r w:rsidRPr="00F121B1">
              <w:rPr>
                <w:rFonts w:eastAsia="SimHei" w:cs="Arial"/>
                <w:b/>
                <w:bCs/>
                <w:color w:val="005172"/>
                <w:szCs w:val="18"/>
                <w:lang w:val="en-US" w:eastAsia="zh-CN"/>
              </w:rPr>
              <w:t>Global Challenges and Partnerships</w:t>
            </w:r>
            <w:r>
              <w:rPr>
                <w:rFonts w:cs="Arial"/>
                <w:b/>
                <w:bCs/>
                <w:color w:val="005172"/>
                <w:szCs w:val="16"/>
              </w:rPr>
              <w:t xml:space="preserve">: </w:t>
            </w:r>
            <w:r w:rsidRPr="00034525">
              <w:rPr>
                <w:rFonts w:cs="Arial"/>
                <w:b/>
                <w:bCs/>
                <w:color w:val="005172"/>
                <w:szCs w:val="16"/>
              </w:rPr>
              <w:t>Resources by Result</w:t>
            </w:r>
          </w:p>
        </w:tc>
      </w:tr>
      <w:tr w:rsidR="00A61ACF" w:rsidRPr="00034525" w14:paraId="6BE0D8F9" w14:textId="77777777" w:rsidTr="00D34E67">
        <w:trPr>
          <w:trHeight w:val="80"/>
        </w:trPr>
        <w:tc>
          <w:tcPr>
            <w:tcW w:w="9540" w:type="dxa"/>
          </w:tcPr>
          <w:p w14:paraId="29102825" w14:textId="363B3591" w:rsidR="00A61ACF" w:rsidRPr="00034525" w:rsidRDefault="00A61ACF"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5D8BA891" w14:textId="67BBCEE3" w:rsidR="008C4654" w:rsidRDefault="008C4654" w:rsidP="00792A58">
      <w:pPr>
        <w:spacing w:after="0"/>
        <w:rPr>
          <w:rFonts w:asciiTheme="minorHAnsi" w:hAnsiTheme="minorHAnsi"/>
          <w:sz w:val="22"/>
        </w:rPr>
      </w:pPr>
    </w:p>
    <w:tbl>
      <w:tblPr>
        <w:tblW w:w="9557" w:type="dxa"/>
        <w:tblLook w:val="04A0" w:firstRow="1" w:lastRow="0" w:firstColumn="1" w:lastColumn="0" w:noHBand="0" w:noVBand="1"/>
      </w:tblPr>
      <w:tblGrid>
        <w:gridCol w:w="399"/>
        <w:gridCol w:w="6106"/>
        <w:gridCol w:w="1026"/>
        <w:gridCol w:w="1026"/>
        <w:gridCol w:w="1026"/>
      </w:tblGrid>
      <w:tr w:rsidR="008C4654" w:rsidRPr="008C4654" w14:paraId="10CE2E83" w14:textId="77777777" w:rsidTr="008C4654">
        <w:trPr>
          <w:divId w:val="540437717"/>
          <w:trHeight w:val="579"/>
        </w:trPr>
        <w:tc>
          <w:tcPr>
            <w:tcW w:w="6479" w:type="dxa"/>
            <w:gridSpan w:val="2"/>
            <w:tcBorders>
              <w:top w:val="nil"/>
              <w:left w:val="nil"/>
              <w:bottom w:val="nil"/>
              <w:right w:val="nil"/>
            </w:tcBorders>
            <w:shd w:val="clear" w:color="000000" w:fill="C7CFD8"/>
            <w:noWrap/>
            <w:vAlign w:val="center"/>
            <w:hideMark/>
          </w:tcPr>
          <w:p w14:paraId="5DF7C845" w14:textId="5E758567" w:rsidR="008C4654" w:rsidRPr="008C4654" w:rsidRDefault="008C4654" w:rsidP="008C4654">
            <w:pPr>
              <w:spacing w:after="0" w:line="240" w:lineRule="auto"/>
              <w:ind w:firstLineChars="100" w:firstLine="160"/>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 xml:space="preserve">Expected Result </w:t>
            </w:r>
          </w:p>
        </w:tc>
        <w:tc>
          <w:tcPr>
            <w:tcW w:w="1026" w:type="dxa"/>
            <w:tcBorders>
              <w:top w:val="nil"/>
              <w:left w:val="nil"/>
              <w:bottom w:val="nil"/>
              <w:right w:val="nil"/>
            </w:tcBorders>
            <w:shd w:val="clear" w:color="000000" w:fill="C7CFD8"/>
            <w:vAlign w:val="center"/>
            <w:hideMark/>
          </w:tcPr>
          <w:p w14:paraId="05CAF8D4" w14:textId="77777777" w:rsidR="008C4654" w:rsidRPr="008C4654" w:rsidRDefault="008C4654" w:rsidP="008C4654">
            <w:pPr>
              <w:spacing w:after="0" w:line="240" w:lineRule="auto"/>
              <w:ind w:firstLineChars="100" w:firstLine="160"/>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 xml:space="preserve"> 2024/25 </w:t>
            </w:r>
            <w:r w:rsidRPr="008C4654">
              <w:rPr>
                <w:rFonts w:ascii="Arial Narrow" w:eastAsia="Times New Roman" w:hAnsi="Arial Narrow" w:cs="Arial"/>
                <w:b/>
                <w:bCs/>
                <w:sz w:val="16"/>
                <w:szCs w:val="16"/>
                <w:lang w:val="en-US"/>
              </w:rPr>
              <w:br/>
              <w:t>Proposed</w:t>
            </w:r>
            <w:r w:rsidRPr="008C4654">
              <w:rPr>
                <w:rFonts w:ascii="Arial Narrow" w:eastAsia="Times New Roman" w:hAnsi="Arial Narrow" w:cs="Arial"/>
                <w:b/>
                <w:bCs/>
                <w:sz w:val="16"/>
                <w:szCs w:val="16"/>
                <w:lang w:val="en-US"/>
              </w:rPr>
              <w:br/>
              <w:t xml:space="preserve"> Budget </w:t>
            </w:r>
          </w:p>
        </w:tc>
        <w:tc>
          <w:tcPr>
            <w:tcW w:w="1026" w:type="dxa"/>
            <w:tcBorders>
              <w:top w:val="nil"/>
              <w:left w:val="nil"/>
              <w:bottom w:val="nil"/>
              <w:right w:val="nil"/>
            </w:tcBorders>
            <w:shd w:val="clear" w:color="000000" w:fill="C7CFD8"/>
            <w:vAlign w:val="center"/>
            <w:hideMark/>
          </w:tcPr>
          <w:p w14:paraId="56B896DC" w14:textId="77777777" w:rsidR="008C4654" w:rsidRPr="008C4654" w:rsidRDefault="008C4654" w:rsidP="008C4654">
            <w:pPr>
              <w:spacing w:after="0" w:line="240" w:lineRule="auto"/>
              <w:ind w:firstLineChars="100" w:firstLine="160"/>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 xml:space="preserve"> 2022/23 </w:t>
            </w:r>
            <w:r w:rsidRPr="008C4654">
              <w:rPr>
                <w:rFonts w:ascii="Arial Narrow" w:eastAsia="Times New Roman" w:hAnsi="Arial Narrow" w:cs="Arial"/>
                <w:b/>
                <w:bCs/>
                <w:sz w:val="16"/>
                <w:szCs w:val="16"/>
                <w:lang w:val="en-US"/>
              </w:rPr>
              <w:br/>
              <w:t xml:space="preserve">PoW&amp;B </w:t>
            </w:r>
          </w:p>
        </w:tc>
        <w:tc>
          <w:tcPr>
            <w:tcW w:w="1026" w:type="dxa"/>
            <w:tcBorders>
              <w:top w:val="nil"/>
              <w:left w:val="nil"/>
              <w:bottom w:val="nil"/>
              <w:right w:val="nil"/>
            </w:tcBorders>
            <w:shd w:val="clear" w:color="000000" w:fill="C7CFD8"/>
            <w:vAlign w:val="center"/>
            <w:hideMark/>
          </w:tcPr>
          <w:p w14:paraId="02805875" w14:textId="77777777" w:rsidR="008C4654" w:rsidRPr="008C4654" w:rsidRDefault="008C4654" w:rsidP="008C4654">
            <w:pPr>
              <w:spacing w:after="0" w:line="240" w:lineRule="auto"/>
              <w:ind w:firstLineChars="100" w:firstLine="160"/>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 xml:space="preserve"> 2022/23 </w:t>
            </w:r>
            <w:r w:rsidRPr="008C4654">
              <w:rPr>
                <w:rFonts w:ascii="Arial Narrow" w:eastAsia="Times New Roman" w:hAnsi="Arial Narrow" w:cs="Arial"/>
                <w:b/>
                <w:bCs/>
                <w:sz w:val="16"/>
                <w:szCs w:val="16"/>
                <w:lang w:val="en-US"/>
              </w:rPr>
              <w:br/>
              <w:t xml:space="preserve">Budget after Transfers </w:t>
            </w:r>
          </w:p>
        </w:tc>
      </w:tr>
      <w:tr w:rsidR="008C4654" w:rsidRPr="008C4654" w14:paraId="3B4E12B8" w14:textId="77777777" w:rsidTr="008C4654">
        <w:trPr>
          <w:divId w:val="540437717"/>
          <w:trHeight w:val="37"/>
        </w:trPr>
        <w:tc>
          <w:tcPr>
            <w:tcW w:w="373" w:type="dxa"/>
            <w:tcBorders>
              <w:top w:val="nil"/>
              <w:left w:val="nil"/>
              <w:bottom w:val="nil"/>
              <w:right w:val="nil"/>
            </w:tcBorders>
            <w:shd w:val="clear" w:color="auto" w:fill="auto"/>
            <w:noWrap/>
            <w:vAlign w:val="center"/>
            <w:hideMark/>
          </w:tcPr>
          <w:p w14:paraId="50DB1F4C" w14:textId="77777777" w:rsidR="008C4654" w:rsidRPr="008C4654" w:rsidRDefault="008C4654" w:rsidP="008C4654">
            <w:pPr>
              <w:spacing w:after="0" w:line="240" w:lineRule="auto"/>
              <w:ind w:firstLineChars="100" w:firstLine="160"/>
              <w:jc w:val="right"/>
              <w:rPr>
                <w:rFonts w:ascii="Arial Narrow" w:eastAsia="Times New Roman" w:hAnsi="Arial Narrow" w:cs="Arial"/>
                <w:b/>
                <w:bCs/>
                <w:sz w:val="16"/>
                <w:szCs w:val="16"/>
                <w:lang w:val="en-US"/>
              </w:rPr>
            </w:pPr>
          </w:p>
        </w:tc>
        <w:tc>
          <w:tcPr>
            <w:tcW w:w="6106" w:type="dxa"/>
            <w:tcBorders>
              <w:top w:val="nil"/>
              <w:left w:val="nil"/>
              <w:bottom w:val="nil"/>
              <w:right w:val="nil"/>
            </w:tcBorders>
            <w:shd w:val="clear" w:color="auto" w:fill="auto"/>
            <w:noWrap/>
            <w:vAlign w:val="center"/>
            <w:hideMark/>
          </w:tcPr>
          <w:p w14:paraId="014C90F0" w14:textId="77777777" w:rsidR="008C4654" w:rsidRPr="008C4654" w:rsidRDefault="008C4654" w:rsidP="008C4654">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noWrap/>
            <w:vAlign w:val="center"/>
            <w:hideMark/>
          </w:tcPr>
          <w:p w14:paraId="7160F0FF" w14:textId="77777777" w:rsidR="008C4654" w:rsidRPr="008C4654" w:rsidRDefault="008C4654" w:rsidP="008C4654">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vAlign w:val="center"/>
            <w:hideMark/>
          </w:tcPr>
          <w:p w14:paraId="2F0A4E1D" w14:textId="77777777" w:rsidR="008C4654" w:rsidRPr="008C4654" w:rsidRDefault="008C4654" w:rsidP="008C4654">
            <w:pPr>
              <w:spacing w:after="0" w:line="240" w:lineRule="auto"/>
              <w:ind w:firstLineChars="100" w:firstLine="200"/>
              <w:rPr>
                <w:rFonts w:ascii="Times New Roman" w:eastAsia="Times New Roman" w:hAnsi="Times New Roman" w:cs="Times New Roman"/>
                <w:sz w:val="20"/>
                <w:szCs w:val="20"/>
                <w:lang w:val="en-US"/>
              </w:rPr>
            </w:pPr>
          </w:p>
        </w:tc>
        <w:tc>
          <w:tcPr>
            <w:tcW w:w="1026" w:type="dxa"/>
            <w:tcBorders>
              <w:top w:val="nil"/>
              <w:left w:val="nil"/>
              <w:bottom w:val="nil"/>
              <w:right w:val="nil"/>
            </w:tcBorders>
            <w:shd w:val="clear" w:color="auto" w:fill="auto"/>
            <w:vAlign w:val="center"/>
            <w:hideMark/>
          </w:tcPr>
          <w:p w14:paraId="39638E12" w14:textId="77777777" w:rsidR="008C4654" w:rsidRPr="008C4654" w:rsidRDefault="008C4654" w:rsidP="008C4654">
            <w:pPr>
              <w:spacing w:after="0" w:line="240" w:lineRule="auto"/>
              <w:ind w:firstLineChars="100" w:firstLine="200"/>
              <w:jc w:val="right"/>
              <w:rPr>
                <w:rFonts w:ascii="Times New Roman" w:eastAsia="Times New Roman" w:hAnsi="Times New Roman" w:cs="Times New Roman"/>
                <w:sz w:val="20"/>
                <w:szCs w:val="20"/>
                <w:lang w:val="en-US"/>
              </w:rPr>
            </w:pPr>
          </w:p>
        </w:tc>
      </w:tr>
      <w:tr w:rsidR="008C4654" w:rsidRPr="008C4654" w14:paraId="1ED75370" w14:textId="77777777" w:rsidTr="008C4654">
        <w:trPr>
          <w:divId w:val="540437717"/>
          <w:trHeight w:val="251"/>
        </w:trPr>
        <w:tc>
          <w:tcPr>
            <w:tcW w:w="373" w:type="dxa"/>
            <w:tcBorders>
              <w:top w:val="nil"/>
              <w:left w:val="nil"/>
              <w:bottom w:val="nil"/>
              <w:right w:val="nil"/>
            </w:tcBorders>
            <w:shd w:val="clear" w:color="auto" w:fill="auto"/>
            <w:noWrap/>
            <w:hideMark/>
          </w:tcPr>
          <w:p w14:paraId="3D30EFF1"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2.1</w:t>
            </w:r>
          </w:p>
        </w:tc>
        <w:tc>
          <w:tcPr>
            <w:tcW w:w="6106" w:type="dxa"/>
            <w:tcBorders>
              <w:top w:val="nil"/>
              <w:left w:val="nil"/>
              <w:bottom w:val="nil"/>
              <w:right w:val="nil"/>
            </w:tcBorders>
            <w:shd w:val="clear" w:color="auto" w:fill="auto"/>
            <w:hideMark/>
          </w:tcPr>
          <w:p w14:paraId="1971B4E3" w14:textId="6381AA4C"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 xml:space="preserve">Development of </w:t>
            </w:r>
            <w:r w:rsidRPr="0035699C">
              <w:rPr>
                <w:rFonts w:ascii="Arial Narrow" w:eastAsia="Times New Roman" w:hAnsi="Arial Narrow" w:cs="Arial"/>
                <w:sz w:val="16"/>
                <w:szCs w:val="16"/>
                <w:lang w:val="en-US"/>
              </w:rPr>
              <w:t>balanced</w:t>
            </w:r>
            <w:r w:rsidRPr="008C4654">
              <w:rPr>
                <w:rFonts w:ascii="Arial Narrow" w:eastAsia="Times New Roman" w:hAnsi="Arial Narrow" w:cs="Arial"/>
                <w:sz w:val="16"/>
                <w:szCs w:val="16"/>
                <w:lang w:val="en-US"/>
              </w:rPr>
              <w:t xml:space="preserve"> and effective international normative frameworks for IP</w:t>
            </w:r>
          </w:p>
        </w:tc>
        <w:tc>
          <w:tcPr>
            <w:tcW w:w="1026" w:type="dxa"/>
            <w:tcBorders>
              <w:top w:val="nil"/>
              <w:left w:val="nil"/>
              <w:bottom w:val="nil"/>
              <w:right w:val="nil"/>
            </w:tcBorders>
            <w:shd w:val="clear" w:color="auto" w:fill="auto"/>
            <w:noWrap/>
            <w:hideMark/>
          </w:tcPr>
          <w:p w14:paraId="3A35351E"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5,225</w:t>
            </w:r>
          </w:p>
        </w:tc>
        <w:tc>
          <w:tcPr>
            <w:tcW w:w="1026" w:type="dxa"/>
            <w:tcBorders>
              <w:top w:val="nil"/>
              <w:left w:val="nil"/>
              <w:bottom w:val="nil"/>
              <w:right w:val="nil"/>
            </w:tcBorders>
            <w:shd w:val="clear" w:color="auto" w:fill="auto"/>
            <w:noWrap/>
            <w:hideMark/>
          </w:tcPr>
          <w:p w14:paraId="264392C5"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3,644</w:t>
            </w:r>
          </w:p>
        </w:tc>
        <w:tc>
          <w:tcPr>
            <w:tcW w:w="1026" w:type="dxa"/>
            <w:tcBorders>
              <w:top w:val="nil"/>
              <w:left w:val="nil"/>
              <w:bottom w:val="nil"/>
              <w:right w:val="nil"/>
            </w:tcBorders>
            <w:shd w:val="clear" w:color="auto" w:fill="auto"/>
            <w:noWrap/>
            <w:hideMark/>
          </w:tcPr>
          <w:p w14:paraId="0962655D"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4,200</w:t>
            </w:r>
          </w:p>
        </w:tc>
      </w:tr>
      <w:tr w:rsidR="008C4654" w:rsidRPr="008C4654" w14:paraId="7281DAFA" w14:textId="77777777" w:rsidTr="008C4654">
        <w:trPr>
          <w:divId w:val="540437717"/>
          <w:trHeight w:val="390"/>
        </w:trPr>
        <w:tc>
          <w:tcPr>
            <w:tcW w:w="373" w:type="dxa"/>
            <w:tcBorders>
              <w:top w:val="nil"/>
              <w:left w:val="nil"/>
              <w:bottom w:val="nil"/>
              <w:right w:val="nil"/>
            </w:tcBorders>
            <w:shd w:val="clear" w:color="auto" w:fill="auto"/>
            <w:noWrap/>
            <w:hideMark/>
          </w:tcPr>
          <w:p w14:paraId="45A8C16F"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2.2</w:t>
            </w:r>
          </w:p>
        </w:tc>
        <w:tc>
          <w:tcPr>
            <w:tcW w:w="6106" w:type="dxa"/>
            <w:tcBorders>
              <w:top w:val="nil"/>
              <w:left w:val="nil"/>
              <w:bottom w:val="nil"/>
              <w:right w:val="nil"/>
            </w:tcBorders>
            <w:shd w:val="clear" w:color="auto" w:fill="auto"/>
            <w:hideMark/>
          </w:tcPr>
          <w:p w14:paraId="76119FAE"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tc>
        <w:tc>
          <w:tcPr>
            <w:tcW w:w="1026" w:type="dxa"/>
            <w:tcBorders>
              <w:top w:val="nil"/>
              <w:left w:val="nil"/>
              <w:bottom w:val="nil"/>
              <w:right w:val="nil"/>
            </w:tcBorders>
            <w:shd w:val="clear" w:color="auto" w:fill="auto"/>
            <w:noWrap/>
            <w:hideMark/>
          </w:tcPr>
          <w:p w14:paraId="1D27C6AE"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6,768</w:t>
            </w:r>
          </w:p>
        </w:tc>
        <w:tc>
          <w:tcPr>
            <w:tcW w:w="1026" w:type="dxa"/>
            <w:tcBorders>
              <w:top w:val="nil"/>
              <w:left w:val="nil"/>
              <w:bottom w:val="nil"/>
              <w:right w:val="nil"/>
            </w:tcBorders>
            <w:shd w:val="clear" w:color="auto" w:fill="auto"/>
            <w:noWrap/>
            <w:hideMark/>
          </w:tcPr>
          <w:p w14:paraId="19FDCD6A"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3,714</w:t>
            </w:r>
          </w:p>
        </w:tc>
        <w:tc>
          <w:tcPr>
            <w:tcW w:w="1026" w:type="dxa"/>
            <w:tcBorders>
              <w:top w:val="nil"/>
              <w:left w:val="nil"/>
              <w:bottom w:val="nil"/>
              <w:right w:val="nil"/>
            </w:tcBorders>
            <w:shd w:val="clear" w:color="auto" w:fill="auto"/>
            <w:noWrap/>
            <w:hideMark/>
          </w:tcPr>
          <w:p w14:paraId="38BE2AEF"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3,765</w:t>
            </w:r>
          </w:p>
        </w:tc>
      </w:tr>
      <w:tr w:rsidR="008C4654" w:rsidRPr="008C4654" w14:paraId="708C1F69" w14:textId="77777777" w:rsidTr="008C4654">
        <w:trPr>
          <w:divId w:val="540437717"/>
          <w:trHeight w:val="251"/>
        </w:trPr>
        <w:tc>
          <w:tcPr>
            <w:tcW w:w="373" w:type="dxa"/>
            <w:tcBorders>
              <w:top w:val="nil"/>
              <w:left w:val="nil"/>
              <w:bottom w:val="nil"/>
              <w:right w:val="nil"/>
            </w:tcBorders>
            <w:shd w:val="clear" w:color="auto" w:fill="auto"/>
            <w:noWrap/>
            <w:hideMark/>
          </w:tcPr>
          <w:p w14:paraId="7ABAA5F3"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2.3</w:t>
            </w:r>
          </w:p>
        </w:tc>
        <w:tc>
          <w:tcPr>
            <w:tcW w:w="6106" w:type="dxa"/>
            <w:tcBorders>
              <w:top w:val="nil"/>
              <w:left w:val="nil"/>
              <w:bottom w:val="nil"/>
              <w:right w:val="nil"/>
            </w:tcBorders>
            <w:shd w:val="clear" w:color="auto" w:fill="auto"/>
            <w:hideMark/>
          </w:tcPr>
          <w:p w14:paraId="657D424D"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International dialogue and cooperation on Building Respect for IP</w:t>
            </w:r>
          </w:p>
        </w:tc>
        <w:tc>
          <w:tcPr>
            <w:tcW w:w="1026" w:type="dxa"/>
            <w:tcBorders>
              <w:top w:val="nil"/>
              <w:left w:val="nil"/>
              <w:bottom w:val="nil"/>
              <w:right w:val="nil"/>
            </w:tcBorders>
            <w:shd w:val="clear" w:color="auto" w:fill="auto"/>
            <w:noWrap/>
            <w:hideMark/>
          </w:tcPr>
          <w:p w14:paraId="11657AE3"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3,444</w:t>
            </w:r>
          </w:p>
        </w:tc>
        <w:tc>
          <w:tcPr>
            <w:tcW w:w="1026" w:type="dxa"/>
            <w:tcBorders>
              <w:top w:val="nil"/>
              <w:left w:val="nil"/>
              <w:bottom w:val="nil"/>
              <w:right w:val="nil"/>
            </w:tcBorders>
            <w:shd w:val="clear" w:color="auto" w:fill="auto"/>
            <w:noWrap/>
            <w:hideMark/>
          </w:tcPr>
          <w:p w14:paraId="7D28140D"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3,805</w:t>
            </w:r>
          </w:p>
        </w:tc>
        <w:tc>
          <w:tcPr>
            <w:tcW w:w="1026" w:type="dxa"/>
            <w:tcBorders>
              <w:top w:val="nil"/>
              <w:left w:val="nil"/>
              <w:bottom w:val="nil"/>
              <w:right w:val="nil"/>
            </w:tcBorders>
            <w:shd w:val="clear" w:color="auto" w:fill="auto"/>
            <w:noWrap/>
            <w:hideMark/>
          </w:tcPr>
          <w:p w14:paraId="059642C4"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3,691</w:t>
            </w:r>
          </w:p>
        </w:tc>
      </w:tr>
      <w:tr w:rsidR="008C4654" w:rsidRPr="008C4654" w14:paraId="64774BDA" w14:textId="77777777" w:rsidTr="008C4654">
        <w:trPr>
          <w:divId w:val="540437717"/>
          <w:trHeight w:val="390"/>
        </w:trPr>
        <w:tc>
          <w:tcPr>
            <w:tcW w:w="373" w:type="dxa"/>
            <w:tcBorders>
              <w:top w:val="nil"/>
              <w:left w:val="nil"/>
              <w:bottom w:val="nil"/>
              <w:right w:val="nil"/>
            </w:tcBorders>
            <w:shd w:val="clear" w:color="auto" w:fill="auto"/>
            <w:noWrap/>
            <w:hideMark/>
          </w:tcPr>
          <w:p w14:paraId="4A9DE08D"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2.4</w:t>
            </w:r>
          </w:p>
        </w:tc>
        <w:tc>
          <w:tcPr>
            <w:tcW w:w="6106" w:type="dxa"/>
            <w:tcBorders>
              <w:top w:val="nil"/>
              <w:left w:val="nil"/>
              <w:bottom w:val="nil"/>
              <w:right w:val="nil"/>
            </w:tcBorders>
            <w:shd w:val="clear" w:color="auto" w:fill="auto"/>
            <w:hideMark/>
          </w:tcPr>
          <w:p w14:paraId="25BC6029"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Effective interaction and partnerships with the UN, IGOs and NGOs in support of global goals to which IP can contribute</w:t>
            </w:r>
          </w:p>
        </w:tc>
        <w:tc>
          <w:tcPr>
            <w:tcW w:w="1026" w:type="dxa"/>
            <w:tcBorders>
              <w:top w:val="nil"/>
              <w:left w:val="nil"/>
              <w:bottom w:val="nil"/>
              <w:right w:val="nil"/>
            </w:tcBorders>
            <w:shd w:val="clear" w:color="auto" w:fill="auto"/>
            <w:noWrap/>
            <w:hideMark/>
          </w:tcPr>
          <w:p w14:paraId="46C1BDB1"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5,864</w:t>
            </w:r>
          </w:p>
        </w:tc>
        <w:tc>
          <w:tcPr>
            <w:tcW w:w="1026" w:type="dxa"/>
            <w:tcBorders>
              <w:top w:val="nil"/>
              <w:left w:val="nil"/>
              <w:bottom w:val="nil"/>
              <w:right w:val="nil"/>
            </w:tcBorders>
            <w:shd w:val="clear" w:color="auto" w:fill="auto"/>
            <w:noWrap/>
            <w:hideMark/>
          </w:tcPr>
          <w:p w14:paraId="1196FD01"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6,505</w:t>
            </w:r>
          </w:p>
        </w:tc>
        <w:tc>
          <w:tcPr>
            <w:tcW w:w="1026" w:type="dxa"/>
            <w:tcBorders>
              <w:top w:val="nil"/>
              <w:left w:val="nil"/>
              <w:bottom w:val="nil"/>
              <w:right w:val="nil"/>
            </w:tcBorders>
            <w:shd w:val="clear" w:color="auto" w:fill="auto"/>
            <w:noWrap/>
            <w:hideMark/>
          </w:tcPr>
          <w:p w14:paraId="6874D0B3"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6,579</w:t>
            </w:r>
          </w:p>
        </w:tc>
      </w:tr>
      <w:tr w:rsidR="008C4654" w:rsidRPr="008C4654" w14:paraId="0C7878D2" w14:textId="77777777" w:rsidTr="008C4654">
        <w:trPr>
          <w:divId w:val="540437717"/>
          <w:trHeight w:val="390"/>
        </w:trPr>
        <w:tc>
          <w:tcPr>
            <w:tcW w:w="373" w:type="dxa"/>
            <w:tcBorders>
              <w:top w:val="nil"/>
              <w:left w:val="nil"/>
              <w:bottom w:val="nil"/>
              <w:right w:val="nil"/>
            </w:tcBorders>
            <w:shd w:val="clear" w:color="auto" w:fill="auto"/>
            <w:noWrap/>
            <w:hideMark/>
          </w:tcPr>
          <w:p w14:paraId="4FA5C874"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3.3</w:t>
            </w:r>
          </w:p>
        </w:tc>
        <w:tc>
          <w:tcPr>
            <w:tcW w:w="6106" w:type="dxa"/>
            <w:tcBorders>
              <w:top w:val="nil"/>
              <w:left w:val="nil"/>
              <w:bottom w:val="nil"/>
              <w:right w:val="nil"/>
            </w:tcBorders>
            <w:shd w:val="clear" w:color="auto" w:fill="auto"/>
            <w:hideMark/>
          </w:tcPr>
          <w:p w14:paraId="2607F750"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Knowledge transfer and technology adaptation is facilitated through WIPO’s IP-based platforms and tools to address global challenges</w:t>
            </w:r>
          </w:p>
        </w:tc>
        <w:tc>
          <w:tcPr>
            <w:tcW w:w="1026" w:type="dxa"/>
            <w:tcBorders>
              <w:top w:val="nil"/>
              <w:left w:val="nil"/>
              <w:bottom w:val="nil"/>
              <w:right w:val="nil"/>
            </w:tcBorders>
            <w:shd w:val="clear" w:color="auto" w:fill="auto"/>
            <w:noWrap/>
            <w:hideMark/>
          </w:tcPr>
          <w:p w14:paraId="1AA7847E"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1,632</w:t>
            </w:r>
          </w:p>
        </w:tc>
        <w:tc>
          <w:tcPr>
            <w:tcW w:w="1026" w:type="dxa"/>
            <w:tcBorders>
              <w:top w:val="nil"/>
              <w:left w:val="nil"/>
              <w:bottom w:val="nil"/>
              <w:right w:val="nil"/>
            </w:tcBorders>
            <w:shd w:val="clear" w:color="auto" w:fill="auto"/>
            <w:noWrap/>
            <w:hideMark/>
          </w:tcPr>
          <w:p w14:paraId="279293BE"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3,562</w:t>
            </w:r>
          </w:p>
        </w:tc>
        <w:tc>
          <w:tcPr>
            <w:tcW w:w="1026" w:type="dxa"/>
            <w:tcBorders>
              <w:top w:val="nil"/>
              <w:left w:val="nil"/>
              <w:bottom w:val="nil"/>
              <w:right w:val="nil"/>
            </w:tcBorders>
            <w:shd w:val="clear" w:color="auto" w:fill="auto"/>
            <w:noWrap/>
            <w:hideMark/>
          </w:tcPr>
          <w:p w14:paraId="3D3A9BD1"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2,760</w:t>
            </w:r>
          </w:p>
        </w:tc>
      </w:tr>
      <w:tr w:rsidR="008C4654" w:rsidRPr="008C4654" w14:paraId="3F0EC15F" w14:textId="77777777" w:rsidTr="008C4654">
        <w:trPr>
          <w:divId w:val="540437717"/>
          <w:trHeight w:val="251"/>
        </w:trPr>
        <w:tc>
          <w:tcPr>
            <w:tcW w:w="373" w:type="dxa"/>
            <w:tcBorders>
              <w:top w:val="nil"/>
              <w:left w:val="nil"/>
              <w:bottom w:val="nil"/>
              <w:right w:val="nil"/>
            </w:tcBorders>
            <w:shd w:val="clear" w:color="auto" w:fill="auto"/>
            <w:noWrap/>
            <w:hideMark/>
          </w:tcPr>
          <w:p w14:paraId="04BFC63E"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4.2</w:t>
            </w:r>
          </w:p>
        </w:tc>
        <w:tc>
          <w:tcPr>
            <w:tcW w:w="6106" w:type="dxa"/>
            <w:tcBorders>
              <w:top w:val="nil"/>
              <w:left w:val="nil"/>
              <w:bottom w:val="nil"/>
              <w:right w:val="nil"/>
            </w:tcBorders>
            <w:shd w:val="clear" w:color="auto" w:fill="auto"/>
            <w:hideMark/>
          </w:tcPr>
          <w:p w14:paraId="4C24E39B"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Development of balanced and effective IP, innovation and creative ecosystems in Member States</w:t>
            </w:r>
          </w:p>
        </w:tc>
        <w:tc>
          <w:tcPr>
            <w:tcW w:w="1026" w:type="dxa"/>
            <w:tcBorders>
              <w:top w:val="nil"/>
              <w:left w:val="nil"/>
              <w:bottom w:val="nil"/>
              <w:right w:val="nil"/>
            </w:tcBorders>
            <w:shd w:val="clear" w:color="auto" w:fill="auto"/>
            <w:noWrap/>
            <w:hideMark/>
          </w:tcPr>
          <w:p w14:paraId="3E3C9C28"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1,312</w:t>
            </w:r>
          </w:p>
        </w:tc>
        <w:tc>
          <w:tcPr>
            <w:tcW w:w="1026" w:type="dxa"/>
            <w:tcBorders>
              <w:top w:val="nil"/>
              <w:left w:val="nil"/>
              <w:bottom w:val="nil"/>
              <w:right w:val="nil"/>
            </w:tcBorders>
            <w:shd w:val="clear" w:color="auto" w:fill="auto"/>
            <w:noWrap/>
            <w:hideMark/>
          </w:tcPr>
          <w:p w14:paraId="363F851F"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644</w:t>
            </w:r>
          </w:p>
        </w:tc>
        <w:tc>
          <w:tcPr>
            <w:tcW w:w="1026" w:type="dxa"/>
            <w:tcBorders>
              <w:top w:val="nil"/>
              <w:left w:val="nil"/>
              <w:bottom w:val="nil"/>
              <w:right w:val="nil"/>
            </w:tcBorders>
            <w:shd w:val="clear" w:color="auto" w:fill="auto"/>
            <w:noWrap/>
            <w:hideMark/>
          </w:tcPr>
          <w:p w14:paraId="3DE2C0E4"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718</w:t>
            </w:r>
          </w:p>
        </w:tc>
      </w:tr>
      <w:tr w:rsidR="008C4654" w:rsidRPr="008C4654" w14:paraId="1D552627" w14:textId="77777777" w:rsidTr="008C4654">
        <w:trPr>
          <w:divId w:val="540437717"/>
          <w:trHeight w:val="251"/>
        </w:trPr>
        <w:tc>
          <w:tcPr>
            <w:tcW w:w="373" w:type="dxa"/>
            <w:tcBorders>
              <w:top w:val="nil"/>
              <w:left w:val="nil"/>
              <w:bottom w:val="nil"/>
              <w:right w:val="nil"/>
            </w:tcBorders>
            <w:shd w:val="clear" w:color="auto" w:fill="auto"/>
            <w:noWrap/>
            <w:hideMark/>
          </w:tcPr>
          <w:p w14:paraId="341D2B7C"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4.3</w:t>
            </w:r>
          </w:p>
        </w:tc>
        <w:tc>
          <w:tcPr>
            <w:tcW w:w="6106" w:type="dxa"/>
            <w:tcBorders>
              <w:top w:val="nil"/>
              <w:left w:val="nil"/>
              <w:bottom w:val="nil"/>
              <w:right w:val="nil"/>
            </w:tcBorders>
            <w:shd w:val="clear" w:color="auto" w:fill="auto"/>
            <w:hideMark/>
          </w:tcPr>
          <w:p w14:paraId="5E1A02F2"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Increased IP knowledge and skills in all Member States</w:t>
            </w:r>
          </w:p>
        </w:tc>
        <w:tc>
          <w:tcPr>
            <w:tcW w:w="1026" w:type="dxa"/>
            <w:tcBorders>
              <w:top w:val="nil"/>
              <w:left w:val="nil"/>
              <w:bottom w:val="nil"/>
              <w:right w:val="nil"/>
            </w:tcBorders>
            <w:shd w:val="clear" w:color="auto" w:fill="auto"/>
            <w:noWrap/>
            <w:hideMark/>
          </w:tcPr>
          <w:p w14:paraId="26EFE205"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2,221</w:t>
            </w:r>
          </w:p>
        </w:tc>
        <w:tc>
          <w:tcPr>
            <w:tcW w:w="1026" w:type="dxa"/>
            <w:tcBorders>
              <w:top w:val="nil"/>
              <w:left w:val="nil"/>
              <w:bottom w:val="nil"/>
              <w:right w:val="nil"/>
            </w:tcBorders>
            <w:shd w:val="clear" w:color="auto" w:fill="auto"/>
            <w:noWrap/>
            <w:hideMark/>
          </w:tcPr>
          <w:p w14:paraId="5BBEA711"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1,039</w:t>
            </w:r>
          </w:p>
        </w:tc>
        <w:tc>
          <w:tcPr>
            <w:tcW w:w="1026" w:type="dxa"/>
            <w:tcBorders>
              <w:top w:val="nil"/>
              <w:left w:val="nil"/>
              <w:bottom w:val="nil"/>
              <w:right w:val="nil"/>
            </w:tcBorders>
            <w:shd w:val="clear" w:color="auto" w:fill="auto"/>
            <w:noWrap/>
            <w:hideMark/>
          </w:tcPr>
          <w:p w14:paraId="3C1C1B6E"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1,117</w:t>
            </w:r>
          </w:p>
        </w:tc>
      </w:tr>
      <w:tr w:rsidR="008C4654" w:rsidRPr="008C4654" w14:paraId="358D86D4" w14:textId="77777777" w:rsidTr="008C4654">
        <w:trPr>
          <w:divId w:val="540437717"/>
          <w:trHeight w:val="390"/>
        </w:trPr>
        <w:tc>
          <w:tcPr>
            <w:tcW w:w="373" w:type="dxa"/>
            <w:tcBorders>
              <w:top w:val="nil"/>
              <w:left w:val="nil"/>
              <w:bottom w:val="nil"/>
              <w:right w:val="nil"/>
            </w:tcBorders>
            <w:shd w:val="clear" w:color="auto" w:fill="auto"/>
            <w:noWrap/>
            <w:hideMark/>
          </w:tcPr>
          <w:p w14:paraId="66A55BD1"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4.4</w:t>
            </w:r>
          </w:p>
        </w:tc>
        <w:tc>
          <w:tcPr>
            <w:tcW w:w="6106" w:type="dxa"/>
            <w:tcBorders>
              <w:top w:val="nil"/>
              <w:left w:val="nil"/>
              <w:bottom w:val="nil"/>
              <w:right w:val="nil"/>
            </w:tcBorders>
            <w:shd w:val="clear" w:color="auto" w:fill="auto"/>
            <w:hideMark/>
          </w:tcPr>
          <w:p w14:paraId="70C03CDC" w14:textId="77777777" w:rsidR="008C4654" w:rsidRPr="008C4654" w:rsidRDefault="008C4654" w:rsidP="008C4654">
            <w:pPr>
              <w:spacing w:after="0" w:line="240" w:lineRule="auto"/>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More innovators, creators, SMEs, universities, research institutions and communities leverage IP successfully</w:t>
            </w:r>
          </w:p>
        </w:tc>
        <w:tc>
          <w:tcPr>
            <w:tcW w:w="1026" w:type="dxa"/>
            <w:tcBorders>
              <w:top w:val="nil"/>
              <w:left w:val="nil"/>
              <w:bottom w:val="nil"/>
              <w:right w:val="nil"/>
            </w:tcBorders>
            <w:shd w:val="clear" w:color="auto" w:fill="auto"/>
            <w:noWrap/>
            <w:hideMark/>
          </w:tcPr>
          <w:p w14:paraId="19EBBF42"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2,815</w:t>
            </w:r>
          </w:p>
        </w:tc>
        <w:tc>
          <w:tcPr>
            <w:tcW w:w="1026" w:type="dxa"/>
            <w:tcBorders>
              <w:top w:val="nil"/>
              <w:left w:val="nil"/>
              <w:bottom w:val="nil"/>
              <w:right w:val="nil"/>
            </w:tcBorders>
            <w:shd w:val="clear" w:color="auto" w:fill="auto"/>
            <w:noWrap/>
            <w:hideMark/>
          </w:tcPr>
          <w:p w14:paraId="0414F9DB"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2,567</w:t>
            </w:r>
          </w:p>
        </w:tc>
        <w:tc>
          <w:tcPr>
            <w:tcW w:w="1026" w:type="dxa"/>
            <w:tcBorders>
              <w:top w:val="nil"/>
              <w:left w:val="nil"/>
              <w:bottom w:val="nil"/>
              <w:right w:val="nil"/>
            </w:tcBorders>
            <w:shd w:val="clear" w:color="auto" w:fill="auto"/>
            <w:noWrap/>
            <w:hideMark/>
          </w:tcPr>
          <w:p w14:paraId="33C206D9" w14:textId="77777777" w:rsidR="008C4654" w:rsidRPr="008C4654" w:rsidRDefault="008C4654" w:rsidP="008C4654">
            <w:pPr>
              <w:spacing w:after="0" w:line="240" w:lineRule="auto"/>
              <w:jc w:val="right"/>
              <w:rPr>
                <w:rFonts w:ascii="Arial Narrow" w:eastAsia="Times New Roman" w:hAnsi="Arial Narrow" w:cs="Arial"/>
                <w:sz w:val="16"/>
                <w:szCs w:val="16"/>
                <w:lang w:val="en-US"/>
              </w:rPr>
            </w:pPr>
            <w:r w:rsidRPr="008C4654">
              <w:rPr>
                <w:rFonts w:ascii="Arial Narrow" w:eastAsia="Times New Roman" w:hAnsi="Arial Narrow" w:cs="Arial"/>
                <w:sz w:val="16"/>
                <w:szCs w:val="16"/>
                <w:lang w:val="en-US"/>
              </w:rPr>
              <w:t>3,383</w:t>
            </w:r>
          </w:p>
        </w:tc>
      </w:tr>
      <w:tr w:rsidR="008C4654" w:rsidRPr="008C4654" w14:paraId="0DFDD8DE" w14:textId="77777777" w:rsidTr="008C4654">
        <w:trPr>
          <w:divId w:val="540437717"/>
          <w:trHeight w:val="251"/>
        </w:trPr>
        <w:tc>
          <w:tcPr>
            <w:tcW w:w="373" w:type="dxa"/>
            <w:tcBorders>
              <w:top w:val="single" w:sz="4" w:space="0" w:color="BFBFBF"/>
              <w:left w:val="nil"/>
              <w:bottom w:val="single" w:sz="8" w:space="0" w:color="C7CFD8"/>
              <w:right w:val="nil"/>
            </w:tcBorders>
            <w:shd w:val="clear" w:color="auto" w:fill="auto"/>
            <w:noWrap/>
            <w:vAlign w:val="center"/>
            <w:hideMark/>
          </w:tcPr>
          <w:p w14:paraId="117A3E3F" w14:textId="77777777" w:rsidR="008C4654" w:rsidRPr="008C4654" w:rsidRDefault="008C4654" w:rsidP="008C4654">
            <w:pPr>
              <w:spacing w:after="0" w:line="240" w:lineRule="auto"/>
              <w:rPr>
                <w:rFonts w:ascii="Arial Narrow" w:eastAsia="Times New Roman" w:hAnsi="Arial Narrow" w:cs="Arial"/>
                <w:color w:val="005172"/>
                <w:sz w:val="16"/>
                <w:szCs w:val="16"/>
                <w:lang w:val="en-US"/>
              </w:rPr>
            </w:pPr>
            <w:r w:rsidRPr="008C4654">
              <w:rPr>
                <w:rFonts w:ascii="Arial Narrow" w:eastAsia="Times New Roman" w:hAnsi="Arial Narrow" w:cs="Arial"/>
                <w:color w:val="005172"/>
                <w:sz w:val="16"/>
                <w:szCs w:val="16"/>
                <w:lang w:val="en-US"/>
              </w:rPr>
              <w:t> </w:t>
            </w:r>
          </w:p>
        </w:tc>
        <w:tc>
          <w:tcPr>
            <w:tcW w:w="6106" w:type="dxa"/>
            <w:tcBorders>
              <w:top w:val="single" w:sz="4" w:space="0" w:color="BFBFBF"/>
              <w:left w:val="nil"/>
              <w:bottom w:val="single" w:sz="8" w:space="0" w:color="C7CFD8"/>
              <w:right w:val="nil"/>
            </w:tcBorders>
            <w:shd w:val="clear" w:color="auto" w:fill="auto"/>
            <w:noWrap/>
            <w:vAlign w:val="center"/>
            <w:hideMark/>
          </w:tcPr>
          <w:p w14:paraId="19B2B874" w14:textId="77777777" w:rsidR="008C4654" w:rsidRPr="008C4654" w:rsidRDefault="008C4654" w:rsidP="008C4654">
            <w:pPr>
              <w:spacing w:after="0" w:line="240" w:lineRule="auto"/>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Total</w:t>
            </w:r>
          </w:p>
        </w:tc>
        <w:tc>
          <w:tcPr>
            <w:tcW w:w="1026" w:type="dxa"/>
            <w:tcBorders>
              <w:top w:val="single" w:sz="4" w:space="0" w:color="BFBFBF"/>
              <w:left w:val="nil"/>
              <w:bottom w:val="single" w:sz="8" w:space="0" w:color="C7CFD8"/>
              <w:right w:val="nil"/>
            </w:tcBorders>
            <w:shd w:val="clear" w:color="auto" w:fill="auto"/>
            <w:noWrap/>
            <w:vAlign w:val="center"/>
            <w:hideMark/>
          </w:tcPr>
          <w:p w14:paraId="785AEB24" w14:textId="77777777" w:rsidR="008C4654" w:rsidRPr="008C4654" w:rsidRDefault="008C4654" w:rsidP="008C4654">
            <w:pPr>
              <w:spacing w:after="0" w:line="240" w:lineRule="auto"/>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29,281</w:t>
            </w:r>
          </w:p>
        </w:tc>
        <w:tc>
          <w:tcPr>
            <w:tcW w:w="1026" w:type="dxa"/>
            <w:tcBorders>
              <w:top w:val="single" w:sz="4" w:space="0" w:color="BFBFBF"/>
              <w:left w:val="nil"/>
              <w:bottom w:val="single" w:sz="8" w:space="0" w:color="C7CFD8"/>
              <w:right w:val="nil"/>
            </w:tcBorders>
            <w:shd w:val="clear" w:color="auto" w:fill="auto"/>
            <w:noWrap/>
            <w:vAlign w:val="center"/>
            <w:hideMark/>
          </w:tcPr>
          <w:p w14:paraId="52FBBC56" w14:textId="77777777" w:rsidR="008C4654" w:rsidRPr="008C4654" w:rsidRDefault="008C4654" w:rsidP="008C4654">
            <w:pPr>
              <w:spacing w:after="0" w:line="240" w:lineRule="auto"/>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25,480</w:t>
            </w:r>
          </w:p>
        </w:tc>
        <w:tc>
          <w:tcPr>
            <w:tcW w:w="1026" w:type="dxa"/>
            <w:tcBorders>
              <w:top w:val="single" w:sz="4" w:space="0" w:color="BFBFBF"/>
              <w:left w:val="nil"/>
              <w:bottom w:val="single" w:sz="8" w:space="0" w:color="C7CFD8"/>
              <w:right w:val="nil"/>
            </w:tcBorders>
            <w:shd w:val="clear" w:color="auto" w:fill="auto"/>
            <w:noWrap/>
            <w:vAlign w:val="center"/>
            <w:hideMark/>
          </w:tcPr>
          <w:p w14:paraId="1E751D9D" w14:textId="77777777" w:rsidR="008C4654" w:rsidRPr="008C4654" w:rsidRDefault="008C4654" w:rsidP="008C4654">
            <w:pPr>
              <w:spacing w:after="0" w:line="240" w:lineRule="auto"/>
              <w:jc w:val="right"/>
              <w:rPr>
                <w:rFonts w:ascii="Arial Narrow" w:eastAsia="Times New Roman" w:hAnsi="Arial Narrow" w:cs="Arial"/>
                <w:b/>
                <w:bCs/>
                <w:sz w:val="16"/>
                <w:szCs w:val="16"/>
                <w:lang w:val="en-US"/>
              </w:rPr>
            </w:pPr>
            <w:r w:rsidRPr="008C4654">
              <w:rPr>
                <w:rFonts w:ascii="Arial Narrow" w:eastAsia="Times New Roman" w:hAnsi="Arial Narrow" w:cs="Arial"/>
                <w:b/>
                <w:bCs/>
                <w:sz w:val="16"/>
                <w:szCs w:val="16"/>
                <w:lang w:val="en-US"/>
              </w:rPr>
              <w:t>26,213</w:t>
            </w:r>
          </w:p>
        </w:tc>
      </w:tr>
    </w:tbl>
    <w:p w14:paraId="424EFB32" w14:textId="236B5580" w:rsidR="008C4654" w:rsidRDefault="008C4654" w:rsidP="00A61ACF">
      <w:pPr>
        <w:rPr>
          <w:rFonts w:cs="Arial"/>
          <w:szCs w:val="18"/>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A61ACF" w:rsidRPr="00034525" w14:paraId="3896C16A" w14:textId="77777777" w:rsidTr="00D34E67">
        <w:trPr>
          <w:trHeight w:val="72"/>
        </w:trPr>
        <w:tc>
          <w:tcPr>
            <w:tcW w:w="9540" w:type="dxa"/>
          </w:tcPr>
          <w:p w14:paraId="23456740" w14:textId="012E220D" w:rsidR="00A61ACF" w:rsidRPr="00034525" w:rsidRDefault="00A61ACF" w:rsidP="001A3F3C">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p>
        </w:tc>
      </w:tr>
      <w:tr w:rsidR="00A61ACF" w:rsidRPr="00034525" w14:paraId="31E6F7DE" w14:textId="77777777" w:rsidTr="00D34E67">
        <w:trPr>
          <w:trHeight w:val="80"/>
        </w:trPr>
        <w:tc>
          <w:tcPr>
            <w:tcW w:w="9540" w:type="dxa"/>
          </w:tcPr>
          <w:p w14:paraId="730214DB" w14:textId="14E90632" w:rsidR="00A61ACF" w:rsidRPr="00034525" w:rsidRDefault="00A61ACF"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52DB8FF7" w14:textId="09BC99F7" w:rsidR="008C4654" w:rsidRDefault="008C4654" w:rsidP="00792A58">
      <w:pPr>
        <w:spacing w:after="0" w:line="276" w:lineRule="auto"/>
        <w:rPr>
          <w:rFonts w:asciiTheme="minorHAnsi" w:hAnsiTheme="minorHAnsi"/>
          <w:sz w:val="22"/>
        </w:rPr>
      </w:pPr>
    </w:p>
    <w:tbl>
      <w:tblPr>
        <w:tblW w:w="9160" w:type="dxa"/>
        <w:jc w:val="center"/>
        <w:tblLook w:val="04A0" w:firstRow="1" w:lastRow="0" w:firstColumn="1" w:lastColumn="0" w:noHBand="0" w:noVBand="1"/>
      </w:tblPr>
      <w:tblGrid>
        <w:gridCol w:w="2620"/>
        <w:gridCol w:w="1080"/>
        <w:gridCol w:w="1080"/>
        <w:gridCol w:w="1080"/>
        <w:gridCol w:w="1080"/>
        <w:gridCol w:w="1080"/>
        <w:gridCol w:w="1140"/>
      </w:tblGrid>
      <w:tr w:rsidR="008C4654" w:rsidRPr="008C4654" w14:paraId="1167FE36" w14:textId="77777777" w:rsidTr="001A3F3C">
        <w:trPr>
          <w:divId w:val="383916967"/>
          <w:trHeight w:val="975"/>
          <w:jc w:val="center"/>
        </w:trPr>
        <w:tc>
          <w:tcPr>
            <w:tcW w:w="2620" w:type="dxa"/>
            <w:tcBorders>
              <w:top w:val="nil"/>
              <w:left w:val="nil"/>
              <w:bottom w:val="nil"/>
              <w:right w:val="nil"/>
            </w:tcBorders>
            <w:shd w:val="clear" w:color="000000" w:fill="C7CFD8"/>
            <w:vAlign w:val="center"/>
            <w:hideMark/>
          </w:tcPr>
          <w:p w14:paraId="73334D0F" w14:textId="6B5FBCD1" w:rsidR="008C4654" w:rsidRPr="008C4654" w:rsidRDefault="008C4654" w:rsidP="008C4654">
            <w:pPr>
              <w:spacing w:after="0" w:line="240" w:lineRule="auto"/>
              <w:ind w:firstLineChars="100" w:firstLine="160"/>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Fund-in-Trust (FIT)</w:t>
            </w:r>
          </w:p>
        </w:tc>
        <w:tc>
          <w:tcPr>
            <w:tcW w:w="1080" w:type="dxa"/>
            <w:tcBorders>
              <w:top w:val="nil"/>
              <w:left w:val="nil"/>
              <w:bottom w:val="nil"/>
              <w:right w:val="nil"/>
            </w:tcBorders>
            <w:shd w:val="clear" w:color="000000" w:fill="C7CFD8"/>
            <w:vAlign w:val="center"/>
            <w:hideMark/>
          </w:tcPr>
          <w:p w14:paraId="1220361B"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Balance as of December 31, 2022</w:t>
            </w:r>
          </w:p>
        </w:tc>
        <w:tc>
          <w:tcPr>
            <w:tcW w:w="1080" w:type="dxa"/>
            <w:tcBorders>
              <w:top w:val="nil"/>
              <w:left w:val="nil"/>
              <w:bottom w:val="nil"/>
              <w:right w:val="nil"/>
            </w:tcBorders>
            <w:shd w:val="clear" w:color="000000" w:fill="C7CFD8"/>
            <w:vAlign w:val="center"/>
            <w:hideMark/>
          </w:tcPr>
          <w:p w14:paraId="78C874CF" w14:textId="095D4410"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Estimated contributions </w:t>
            </w:r>
            <w:r w:rsidRPr="008C4654">
              <w:rPr>
                <w:rFonts w:ascii="Arial Narrow" w:eastAsia="Times New Roman" w:hAnsi="Arial Narrow" w:cs="Times New Roman"/>
                <w:b/>
                <w:bCs/>
                <w:sz w:val="16"/>
                <w:szCs w:val="16"/>
                <w:lang w:val="en-US"/>
              </w:rPr>
              <w:br/>
              <w:t xml:space="preserve">2023 </w:t>
            </w:r>
          </w:p>
        </w:tc>
        <w:tc>
          <w:tcPr>
            <w:tcW w:w="1080" w:type="dxa"/>
            <w:tcBorders>
              <w:top w:val="nil"/>
              <w:left w:val="nil"/>
              <w:bottom w:val="nil"/>
              <w:right w:val="nil"/>
            </w:tcBorders>
            <w:shd w:val="clear" w:color="000000" w:fill="C7CFD8"/>
            <w:vAlign w:val="center"/>
            <w:hideMark/>
          </w:tcPr>
          <w:p w14:paraId="3D362295" w14:textId="465A9C11"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Estimated expenditure end 2023 </w:t>
            </w:r>
            <w:r w:rsidRPr="008C4654">
              <w:rPr>
                <w:rFonts w:ascii="Arial Narrow" w:eastAsia="Times New Roman" w:hAnsi="Arial Narrow" w:cs="Times New Roman"/>
                <w:b/>
                <w:bCs/>
                <w:sz w:val="16"/>
                <w:szCs w:val="16"/>
                <w:vertAlign w:val="superscript"/>
                <w:lang w:val="en-US"/>
              </w:rPr>
              <w:t xml:space="preserve"> </w:t>
            </w:r>
          </w:p>
        </w:tc>
        <w:tc>
          <w:tcPr>
            <w:tcW w:w="1080" w:type="dxa"/>
            <w:tcBorders>
              <w:top w:val="nil"/>
              <w:left w:val="nil"/>
              <w:bottom w:val="nil"/>
              <w:right w:val="nil"/>
            </w:tcBorders>
            <w:shd w:val="clear" w:color="000000" w:fill="C7CFD8"/>
            <w:vAlign w:val="center"/>
            <w:hideMark/>
          </w:tcPr>
          <w:p w14:paraId="60D991DB"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Expected balance end 2023 </w:t>
            </w:r>
          </w:p>
        </w:tc>
        <w:tc>
          <w:tcPr>
            <w:tcW w:w="1080" w:type="dxa"/>
            <w:tcBorders>
              <w:top w:val="nil"/>
              <w:left w:val="nil"/>
              <w:bottom w:val="nil"/>
              <w:right w:val="nil"/>
            </w:tcBorders>
            <w:shd w:val="clear" w:color="000000" w:fill="C7CFD8"/>
            <w:vAlign w:val="center"/>
            <w:hideMark/>
          </w:tcPr>
          <w:p w14:paraId="15BD75B3" w14:textId="217DD4C2"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Estimated contributions 2024/25 </w:t>
            </w:r>
            <w:r w:rsidRPr="008C4654">
              <w:rPr>
                <w:rFonts w:ascii="Arial Narrow" w:eastAsia="Times New Roman" w:hAnsi="Arial Narrow" w:cs="Times New Roman"/>
                <w:b/>
                <w:bCs/>
                <w:sz w:val="16"/>
                <w:szCs w:val="16"/>
                <w:vertAlign w:val="superscript"/>
                <w:lang w:val="en-US"/>
              </w:rPr>
              <w:t xml:space="preserve"> </w:t>
            </w:r>
          </w:p>
        </w:tc>
        <w:tc>
          <w:tcPr>
            <w:tcW w:w="1140" w:type="dxa"/>
            <w:tcBorders>
              <w:top w:val="nil"/>
              <w:left w:val="nil"/>
              <w:bottom w:val="nil"/>
              <w:right w:val="nil"/>
            </w:tcBorders>
            <w:shd w:val="clear" w:color="000000" w:fill="C7CFD8"/>
            <w:vAlign w:val="center"/>
            <w:hideMark/>
          </w:tcPr>
          <w:p w14:paraId="2059002A"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 xml:space="preserve"> Estimated amount available for programming in 2024/25 </w:t>
            </w:r>
          </w:p>
        </w:tc>
      </w:tr>
      <w:tr w:rsidR="008C4654" w:rsidRPr="008C4654" w14:paraId="4ED32771" w14:textId="77777777" w:rsidTr="001A3F3C">
        <w:trPr>
          <w:divId w:val="383916967"/>
          <w:trHeight w:val="60"/>
          <w:jc w:val="center"/>
        </w:trPr>
        <w:tc>
          <w:tcPr>
            <w:tcW w:w="2620" w:type="dxa"/>
            <w:tcBorders>
              <w:top w:val="nil"/>
              <w:left w:val="nil"/>
              <w:bottom w:val="nil"/>
              <w:right w:val="nil"/>
            </w:tcBorders>
            <w:shd w:val="clear" w:color="auto" w:fill="auto"/>
            <w:vAlign w:val="center"/>
            <w:hideMark/>
          </w:tcPr>
          <w:p w14:paraId="5D9024DF"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p>
        </w:tc>
        <w:tc>
          <w:tcPr>
            <w:tcW w:w="1080" w:type="dxa"/>
            <w:tcBorders>
              <w:top w:val="nil"/>
              <w:left w:val="nil"/>
              <w:bottom w:val="nil"/>
              <w:right w:val="nil"/>
            </w:tcBorders>
            <w:shd w:val="clear" w:color="auto" w:fill="auto"/>
            <w:vAlign w:val="center"/>
            <w:hideMark/>
          </w:tcPr>
          <w:p w14:paraId="7DE3753F" w14:textId="77777777" w:rsidR="008C4654" w:rsidRPr="008C4654" w:rsidRDefault="008C4654" w:rsidP="008C4654">
            <w:pPr>
              <w:spacing w:after="0" w:line="240" w:lineRule="auto"/>
              <w:ind w:firstLineChars="100" w:firstLine="200"/>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vAlign w:val="center"/>
            <w:hideMark/>
          </w:tcPr>
          <w:p w14:paraId="1A15E3DB"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vAlign w:val="center"/>
            <w:hideMark/>
          </w:tcPr>
          <w:p w14:paraId="54D306AC"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vAlign w:val="center"/>
            <w:hideMark/>
          </w:tcPr>
          <w:p w14:paraId="3EB3E494"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vAlign w:val="center"/>
            <w:hideMark/>
          </w:tcPr>
          <w:p w14:paraId="1654D16B"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c>
          <w:tcPr>
            <w:tcW w:w="1140" w:type="dxa"/>
            <w:tcBorders>
              <w:top w:val="nil"/>
              <w:left w:val="nil"/>
              <w:bottom w:val="nil"/>
              <w:right w:val="nil"/>
            </w:tcBorders>
            <w:shd w:val="clear" w:color="auto" w:fill="auto"/>
            <w:vAlign w:val="center"/>
            <w:hideMark/>
          </w:tcPr>
          <w:p w14:paraId="4EF2AC91" w14:textId="77777777" w:rsidR="008C4654" w:rsidRPr="008C4654" w:rsidRDefault="008C4654" w:rsidP="008C4654">
            <w:pPr>
              <w:spacing w:after="0" w:line="240" w:lineRule="auto"/>
              <w:jc w:val="right"/>
              <w:rPr>
                <w:rFonts w:ascii="Times New Roman" w:eastAsia="Times New Roman" w:hAnsi="Times New Roman" w:cs="Times New Roman"/>
                <w:sz w:val="20"/>
                <w:szCs w:val="20"/>
                <w:lang w:val="en-US"/>
              </w:rPr>
            </w:pPr>
          </w:p>
        </w:tc>
      </w:tr>
      <w:tr w:rsidR="008C4654" w:rsidRPr="008C4654" w14:paraId="204EC0B9" w14:textId="77777777" w:rsidTr="001A3F3C">
        <w:trPr>
          <w:divId w:val="383916967"/>
          <w:trHeight w:val="465"/>
          <w:jc w:val="center"/>
        </w:trPr>
        <w:tc>
          <w:tcPr>
            <w:tcW w:w="2620" w:type="dxa"/>
            <w:tcBorders>
              <w:top w:val="nil"/>
              <w:left w:val="nil"/>
              <w:bottom w:val="nil"/>
              <w:right w:val="nil"/>
            </w:tcBorders>
            <w:shd w:val="clear" w:color="000000" w:fill="FFFFFF"/>
            <w:hideMark/>
          </w:tcPr>
          <w:p w14:paraId="159D020E"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Accredited indigenous and local communities</w:t>
            </w:r>
          </w:p>
        </w:tc>
        <w:tc>
          <w:tcPr>
            <w:tcW w:w="1080" w:type="dxa"/>
            <w:tcBorders>
              <w:top w:val="nil"/>
              <w:left w:val="nil"/>
              <w:bottom w:val="nil"/>
              <w:right w:val="nil"/>
            </w:tcBorders>
            <w:shd w:val="clear" w:color="000000" w:fill="FFFFFF"/>
            <w:noWrap/>
            <w:hideMark/>
          </w:tcPr>
          <w:p w14:paraId="43648B0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6</w:t>
            </w:r>
          </w:p>
        </w:tc>
        <w:tc>
          <w:tcPr>
            <w:tcW w:w="1080" w:type="dxa"/>
            <w:tcBorders>
              <w:top w:val="nil"/>
              <w:left w:val="nil"/>
              <w:bottom w:val="nil"/>
              <w:right w:val="nil"/>
            </w:tcBorders>
            <w:shd w:val="clear" w:color="000000" w:fill="FFFFFF"/>
            <w:noWrap/>
            <w:hideMark/>
          </w:tcPr>
          <w:p w14:paraId="03378C3B"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14</w:t>
            </w:r>
          </w:p>
        </w:tc>
        <w:tc>
          <w:tcPr>
            <w:tcW w:w="1080" w:type="dxa"/>
            <w:tcBorders>
              <w:top w:val="nil"/>
              <w:left w:val="nil"/>
              <w:bottom w:val="nil"/>
              <w:right w:val="nil"/>
            </w:tcBorders>
            <w:shd w:val="clear" w:color="000000" w:fill="FFFFFF"/>
            <w:noWrap/>
            <w:hideMark/>
          </w:tcPr>
          <w:p w14:paraId="050B5561"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21</w:t>
            </w:r>
          </w:p>
        </w:tc>
        <w:tc>
          <w:tcPr>
            <w:tcW w:w="1080" w:type="dxa"/>
            <w:tcBorders>
              <w:top w:val="nil"/>
              <w:left w:val="nil"/>
              <w:bottom w:val="nil"/>
              <w:right w:val="nil"/>
            </w:tcBorders>
            <w:shd w:val="clear" w:color="000000" w:fill="FFFFFF"/>
            <w:noWrap/>
            <w:hideMark/>
          </w:tcPr>
          <w:p w14:paraId="1ED7289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w:t>
            </w:r>
          </w:p>
        </w:tc>
        <w:tc>
          <w:tcPr>
            <w:tcW w:w="1080" w:type="dxa"/>
            <w:tcBorders>
              <w:top w:val="nil"/>
              <w:left w:val="nil"/>
              <w:bottom w:val="nil"/>
              <w:right w:val="nil"/>
            </w:tcBorders>
            <w:shd w:val="clear" w:color="000000" w:fill="FFFFFF"/>
            <w:noWrap/>
            <w:hideMark/>
          </w:tcPr>
          <w:p w14:paraId="3F3CAB6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28</w:t>
            </w:r>
          </w:p>
        </w:tc>
        <w:tc>
          <w:tcPr>
            <w:tcW w:w="1140" w:type="dxa"/>
            <w:tcBorders>
              <w:top w:val="nil"/>
              <w:left w:val="nil"/>
              <w:bottom w:val="nil"/>
              <w:right w:val="nil"/>
            </w:tcBorders>
            <w:shd w:val="clear" w:color="000000" w:fill="FFFFFF"/>
            <w:noWrap/>
            <w:hideMark/>
          </w:tcPr>
          <w:p w14:paraId="15881307"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28</w:t>
            </w:r>
          </w:p>
        </w:tc>
      </w:tr>
      <w:tr w:rsidR="008C4654" w:rsidRPr="008C4654" w14:paraId="6CA2EB39" w14:textId="77777777" w:rsidTr="001A3F3C">
        <w:trPr>
          <w:divId w:val="383916967"/>
          <w:trHeight w:val="270"/>
          <w:jc w:val="center"/>
        </w:trPr>
        <w:tc>
          <w:tcPr>
            <w:tcW w:w="2620" w:type="dxa"/>
            <w:tcBorders>
              <w:top w:val="nil"/>
              <w:left w:val="nil"/>
              <w:bottom w:val="nil"/>
              <w:right w:val="nil"/>
            </w:tcBorders>
            <w:shd w:val="clear" w:color="000000" w:fill="FFFFFF"/>
            <w:hideMark/>
          </w:tcPr>
          <w:p w14:paraId="08443022"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Italy</w:t>
            </w:r>
          </w:p>
        </w:tc>
        <w:tc>
          <w:tcPr>
            <w:tcW w:w="1080" w:type="dxa"/>
            <w:tcBorders>
              <w:top w:val="nil"/>
              <w:left w:val="nil"/>
              <w:bottom w:val="nil"/>
              <w:right w:val="nil"/>
            </w:tcBorders>
            <w:shd w:val="clear" w:color="000000" w:fill="FFFFFF"/>
            <w:noWrap/>
            <w:hideMark/>
          </w:tcPr>
          <w:p w14:paraId="3AF7414C"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44</w:t>
            </w:r>
          </w:p>
        </w:tc>
        <w:tc>
          <w:tcPr>
            <w:tcW w:w="1080" w:type="dxa"/>
            <w:tcBorders>
              <w:top w:val="nil"/>
              <w:left w:val="nil"/>
              <w:bottom w:val="nil"/>
              <w:right w:val="nil"/>
            </w:tcBorders>
            <w:shd w:val="clear" w:color="000000" w:fill="FFFFFF"/>
            <w:noWrap/>
            <w:hideMark/>
          </w:tcPr>
          <w:p w14:paraId="3A90DC3F"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                    - </w:t>
            </w:r>
          </w:p>
        </w:tc>
        <w:tc>
          <w:tcPr>
            <w:tcW w:w="1080" w:type="dxa"/>
            <w:tcBorders>
              <w:top w:val="nil"/>
              <w:left w:val="nil"/>
              <w:bottom w:val="nil"/>
              <w:right w:val="nil"/>
            </w:tcBorders>
            <w:shd w:val="clear" w:color="000000" w:fill="FFFFFF"/>
            <w:noWrap/>
            <w:hideMark/>
          </w:tcPr>
          <w:p w14:paraId="625E3C58"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                    - </w:t>
            </w:r>
          </w:p>
        </w:tc>
        <w:tc>
          <w:tcPr>
            <w:tcW w:w="1080" w:type="dxa"/>
            <w:tcBorders>
              <w:top w:val="nil"/>
              <w:left w:val="nil"/>
              <w:bottom w:val="nil"/>
              <w:right w:val="nil"/>
            </w:tcBorders>
            <w:shd w:val="clear" w:color="000000" w:fill="FFFFFF"/>
            <w:noWrap/>
            <w:hideMark/>
          </w:tcPr>
          <w:p w14:paraId="543DE58B"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                  44 </w:t>
            </w:r>
          </w:p>
        </w:tc>
        <w:tc>
          <w:tcPr>
            <w:tcW w:w="1080" w:type="dxa"/>
            <w:tcBorders>
              <w:top w:val="nil"/>
              <w:left w:val="nil"/>
              <w:bottom w:val="nil"/>
              <w:right w:val="nil"/>
            </w:tcBorders>
            <w:shd w:val="clear" w:color="000000" w:fill="FFFFFF"/>
            <w:noWrap/>
            <w:hideMark/>
          </w:tcPr>
          <w:p w14:paraId="659BDCB6"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                    - </w:t>
            </w:r>
          </w:p>
        </w:tc>
        <w:tc>
          <w:tcPr>
            <w:tcW w:w="1140" w:type="dxa"/>
            <w:tcBorders>
              <w:top w:val="nil"/>
              <w:left w:val="nil"/>
              <w:bottom w:val="nil"/>
              <w:right w:val="nil"/>
            </w:tcBorders>
            <w:shd w:val="clear" w:color="000000" w:fill="FFFFFF"/>
            <w:noWrap/>
            <w:hideMark/>
          </w:tcPr>
          <w:p w14:paraId="276F1C71"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 xml:space="preserve">                   44 </w:t>
            </w:r>
          </w:p>
        </w:tc>
      </w:tr>
      <w:tr w:rsidR="008C4654" w:rsidRPr="008C4654" w14:paraId="32B2FBEC" w14:textId="77777777" w:rsidTr="001A3F3C">
        <w:trPr>
          <w:divId w:val="383916967"/>
          <w:trHeight w:val="465"/>
          <w:jc w:val="center"/>
        </w:trPr>
        <w:tc>
          <w:tcPr>
            <w:tcW w:w="2620" w:type="dxa"/>
            <w:tcBorders>
              <w:top w:val="nil"/>
              <w:left w:val="nil"/>
              <w:bottom w:val="nil"/>
              <w:right w:val="nil"/>
            </w:tcBorders>
            <w:shd w:val="clear" w:color="000000" w:fill="FFFFFF"/>
            <w:hideMark/>
          </w:tcPr>
          <w:p w14:paraId="4126D12F" w14:textId="77777777" w:rsidR="008C4654" w:rsidRPr="008C4654" w:rsidRDefault="008C4654" w:rsidP="008C4654">
            <w:pPr>
              <w:spacing w:after="0" w:line="240" w:lineRule="auto"/>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Republic of Korea (Building Respect for Copyright and Related Rights)</w:t>
            </w:r>
          </w:p>
        </w:tc>
        <w:tc>
          <w:tcPr>
            <w:tcW w:w="1080" w:type="dxa"/>
            <w:tcBorders>
              <w:top w:val="nil"/>
              <w:left w:val="nil"/>
              <w:bottom w:val="nil"/>
              <w:right w:val="nil"/>
            </w:tcBorders>
            <w:shd w:val="clear" w:color="000000" w:fill="FFFFFF"/>
            <w:noWrap/>
            <w:hideMark/>
          </w:tcPr>
          <w:p w14:paraId="0933CC13"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802</w:t>
            </w:r>
          </w:p>
        </w:tc>
        <w:tc>
          <w:tcPr>
            <w:tcW w:w="1080" w:type="dxa"/>
            <w:tcBorders>
              <w:top w:val="nil"/>
              <w:left w:val="nil"/>
              <w:bottom w:val="nil"/>
              <w:right w:val="nil"/>
            </w:tcBorders>
            <w:shd w:val="clear" w:color="000000" w:fill="FFFFFF"/>
            <w:noWrap/>
            <w:hideMark/>
          </w:tcPr>
          <w:p w14:paraId="232899C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229</w:t>
            </w:r>
          </w:p>
        </w:tc>
        <w:tc>
          <w:tcPr>
            <w:tcW w:w="1080" w:type="dxa"/>
            <w:tcBorders>
              <w:top w:val="nil"/>
              <w:left w:val="nil"/>
              <w:bottom w:val="nil"/>
              <w:right w:val="nil"/>
            </w:tcBorders>
            <w:shd w:val="clear" w:color="000000" w:fill="FFFFFF"/>
            <w:noWrap/>
            <w:hideMark/>
          </w:tcPr>
          <w:p w14:paraId="679FDC20"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247</w:t>
            </w:r>
          </w:p>
        </w:tc>
        <w:tc>
          <w:tcPr>
            <w:tcW w:w="1080" w:type="dxa"/>
            <w:tcBorders>
              <w:top w:val="nil"/>
              <w:left w:val="nil"/>
              <w:bottom w:val="nil"/>
              <w:right w:val="nil"/>
            </w:tcBorders>
            <w:shd w:val="clear" w:color="000000" w:fill="FFFFFF"/>
            <w:noWrap/>
            <w:hideMark/>
          </w:tcPr>
          <w:p w14:paraId="7ACCB55A"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783</w:t>
            </w:r>
          </w:p>
        </w:tc>
        <w:tc>
          <w:tcPr>
            <w:tcW w:w="1080" w:type="dxa"/>
            <w:tcBorders>
              <w:top w:val="nil"/>
              <w:left w:val="nil"/>
              <w:bottom w:val="nil"/>
              <w:right w:val="nil"/>
            </w:tcBorders>
            <w:shd w:val="clear" w:color="000000" w:fill="FFFFFF"/>
            <w:noWrap/>
            <w:hideMark/>
          </w:tcPr>
          <w:p w14:paraId="1A5635F5"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458</w:t>
            </w:r>
          </w:p>
        </w:tc>
        <w:tc>
          <w:tcPr>
            <w:tcW w:w="1140" w:type="dxa"/>
            <w:tcBorders>
              <w:top w:val="nil"/>
              <w:left w:val="nil"/>
              <w:bottom w:val="nil"/>
              <w:right w:val="nil"/>
            </w:tcBorders>
            <w:shd w:val="clear" w:color="000000" w:fill="FFFFFF"/>
            <w:noWrap/>
            <w:hideMark/>
          </w:tcPr>
          <w:p w14:paraId="7860C002"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1,241</w:t>
            </w:r>
          </w:p>
        </w:tc>
      </w:tr>
      <w:tr w:rsidR="008C4654" w:rsidRPr="008C4654" w14:paraId="19ECF200" w14:textId="77777777" w:rsidTr="001A3F3C">
        <w:trPr>
          <w:divId w:val="383916967"/>
          <w:trHeight w:val="465"/>
          <w:jc w:val="center"/>
        </w:trPr>
        <w:tc>
          <w:tcPr>
            <w:tcW w:w="2620" w:type="dxa"/>
            <w:tcBorders>
              <w:top w:val="nil"/>
              <w:left w:val="nil"/>
              <w:bottom w:val="nil"/>
              <w:right w:val="nil"/>
            </w:tcBorders>
            <w:shd w:val="clear" w:color="000000" w:fill="FFFFFF"/>
            <w:hideMark/>
          </w:tcPr>
          <w:p w14:paraId="1777557E" w14:textId="77777777" w:rsidR="008C4654" w:rsidRPr="008C4654" w:rsidRDefault="008C4654" w:rsidP="008C4654">
            <w:pPr>
              <w:spacing w:after="0" w:line="240" w:lineRule="auto"/>
              <w:rPr>
                <w:rFonts w:ascii="Arial Narrow" w:eastAsia="Times New Roman" w:hAnsi="Arial Narrow" w:cs="Times New Roman"/>
                <w:color w:val="000000"/>
                <w:sz w:val="16"/>
                <w:szCs w:val="16"/>
                <w:lang w:val="en-US"/>
              </w:rPr>
            </w:pPr>
            <w:r w:rsidRPr="008C4654">
              <w:rPr>
                <w:rFonts w:ascii="Arial Narrow" w:eastAsia="Times New Roman" w:hAnsi="Arial Narrow" w:cs="Times New Roman"/>
                <w:color w:val="000000"/>
                <w:sz w:val="16"/>
                <w:szCs w:val="16"/>
                <w:lang w:val="en-US"/>
              </w:rPr>
              <w:t>Republic of Korea (Ministry of Justice - HR)</w:t>
            </w:r>
          </w:p>
        </w:tc>
        <w:tc>
          <w:tcPr>
            <w:tcW w:w="1080" w:type="dxa"/>
            <w:tcBorders>
              <w:top w:val="nil"/>
              <w:left w:val="nil"/>
              <w:bottom w:val="nil"/>
              <w:right w:val="nil"/>
            </w:tcBorders>
            <w:shd w:val="clear" w:color="000000" w:fill="FFFFFF"/>
            <w:noWrap/>
            <w:hideMark/>
          </w:tcPr>
          <w:p w14:paraId="5817848F"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138</w:t>
            </w:r>
          </w:p>
        </w:tc>
        <w:tc>
          <w:tcPr>
            <w:tcW w:w="1080" w:type="dxa"/>
            <w:tcBorders>
              <w:top w:val="nil"/>
              <w:left w:val="nil"/>
              <w:bottom w:val="nil"/>
              <w:right w:val="nil"/>
            </w:tcBorders>
            <w:shd w:val="clear" w:color="000000" w:fill="FFFFFF"/>
            <w:noWrap/>
            <w:hideMark/>
          </w:tcPr>
          <w:p w14:paraId="19454E39"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197</w:t>
            </w:r>
          </w:p>
        </w:tc>
        <w:tc>
          <w:tcPr>
            <w:tcW w:w="1080" w:type="dxa"/>
            <w:tcBorders>
              <w:top w:val="nil"/>
              <w:left w:val="nil"/>
              <w:bottom w:val="nil"/>
              <w:right w:val="nil"/>
            </w:tcBorders>
            <w:shd w:val="clear" w:color="000000" w:fill="FFFFFF"/>
            <w:noWrap/>
            <w:hideMark/>
          </w:tcPr>
          <w:p w14:paraId="12D6A63E"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232</w:t>
            </w:r>
          </w:p>
        </w:tc>
        <w:tc>
          <w:tcPr>
            <w:tcW w:w="1080" w:type="dxa"/>
            <w:tcBorders>
              <w:top w:val="nil"/>
              <w:left w:val="nil"/>
              <w:bottom w:val="nil"/>
              <w:right w:val="nil"/>
            </w:tcBorders>
            <w:shd w:val="clear" w:color="000000" w:fill="FFFFFF"/>
            <w:noWrap/>
            <w:hideMark/>
          </w:tcPr>
          <w:p w14:paraId="4FB46194" w14:textId="77777777" w:rsidR="008C4654" w:rsidRPr="008C4654" w:rsidRDefault="008C4654" w:rsidP="008C4654">
            <w:pPr>
              <w:spacing w:after="0" w:line="240" w:lineRule="auto"/>
              <w:jc w:val="right"/>
              <w:rPr>
                <w:rFonts w:ascii="Arial Narrow" w:eastAsia="Times New Roman" w:hAnsi="Arial Narrow" w:cs="Times New Roman"/>
                <w:color w:val="000000"/>
                <w:sz w:val="16"/>
                <w:szCs w:val="16"/>
                <w:lang w:val="en-US"/>
              </w:rPr>
            </w:pPr>
            <w:r w:rsidRPr="008C4654">
              <w:rPr>
                <w:rFonts w:ascii="Arial Narrow" w:eastAsia="Times New Roman" w:hAnsi="Arial Narrow" w:cs="Times New Roman"/>
                <w:color w:val="000000"/>
                <w:sz w:val="16"/>
                <w:szCs w:val="16"/>
                <w:lang w:val="en-US"/>
              </w:rPr>
              <w:t>103</w:t>
            </w:r>
          </w:p>
        </w:tc>
        <w:tc>
          <w:tcPr>
            <w:tcW w:w="1080" w:type="dxa"/>
            <w:tcBorders>
              <w:top w:val="nil"/>
              <w:left w:val="nil"/>
              <w:bottom w:val="nil"/>
              <w:right w:val="nil"/>
            </w:tcBorders>
            <w:shd w:val="clear" w:color="000000" w:fill="FFFFFF"/>
            <w:noWrap/>
            <w:hideMark/>
          </w:tcPr>
          <w:p w14:paraId="5610486D" w14:textId="77777777" w:rsidR="008C4654" w:rsidRPr="008C4654" w:rsidRDefault="008C4654" w:rsidP="008C4654">
            <w:pPr>
              <w:spacing w:after="0" w:line="240" w:lineRule="auto"/>
              <w:jc w:val="right"/>
              <w:rPr>
                <w:rFonts w:ascii="Arial Narrow" w:eastAsia="Times New Roman" w:hAnsi="Arial Narrow" w:cs="Times New Roman"/>
                <w:sz w:val="16"/>
                <w:szCs w:val="16"/>
                <w:lang w:val="en-US"/>
              </w:rPr>
            </w:pPr>
            <w:r w:rsidRPr="008C4654">
              <w:rPr>
                <w:rFonts w:ascii="Arial Narrow" w:eastAsia="Times New Roman" w:hAnsi="Arial Narrow" w:cs="Times New Roman"/>
                <w:sz w:val="16"/>
                <w:szCs w:val="16"/>
                <w:lang w:val="en-US"/>
              </w:rPr>
              <w:t>393</w:t>
            </w:r>
          </w:p>
        </w:tc>
        <w:tc>
          <w:tcPr>
            <w:tcW w:w="1140" w:type="dxa"/>
            <w:tcBorders>
              <w:top w:val="nil"/>
              <w:left w:val="nil"/>
              <w:bottom w:val="nil"/>
              <w:right w:val="nil"/>
            </w:tcBorders>
            <w:shd w:val="clear" w:color="000000" w:fill="FFFFFF"/>
            <w:noWrap/>
            <w:hideMark/>
          </w:tcPr>
          <w:p w14:paraId="49B75962" w14:textId="77777777" w:rsidR="008C4654" w:rsidRPr="008C4654" w:rsidRDefault="008C4654" w:rsidP="008C4654">
            <w:pPr>
              <w:spacing w:after="0" w:line="240" w:lineRule="auto"/>
              <w:jc w:val="right"/>
              <w:rPr>
                <w:rFonts w:ascii="Arial Narrow" w:eastAsia="Times New Roman" w:hAnsi="Arial Narrow" w:cs="Times New Roman"/>
                <w:color w:val="000000"/>
                <w:sz w:val="16"/>
                <w:szCs w:val="16"/>
                <w:lang w:val="en-US"/>
              </w:rPr>
            </w:pPr>
            <w:r w:rsidRPr="008C4654">
              <w:rPr>
                <w:rFonts w:ascii="Arial Narrow" w:eastAsia="Times New Roman" w:hAnsi="Arial Narrow" w:cs="Times New Roman"/>
                <w:color w:val="000000"/>
                <w:sz w:val="16"/>
                <w:szCs w:val="16"/>
                <w:lang w:val="en-US"/>
              </w:rPr>
              <w:t>496</w:t>
            </w:r>
          </w:p>
        </w:tc>
      </w:tr>
      <w:tr w:rsidR="008C4654" w:rsidRPr="008C4654" w14:paraId="60F7CB9E" w14:textId="77777777" w:rsidTr="001A3F3C">
        <w:trPr>
          <w:divId w:val="383916967"/>
          <w:trHeight w:val="270"/>
          <w:jc w:val="center"/>
        </w:trPr>
        <w:tc>
          <w:tcPr>
            <w:tcW w:w="2620" w:type="dxa"/>
            <w:tcBorders>
              <w:top w:val="single" w:sz="4" w:space="0" w:color="BFBFBF"/>
              <w:left w:val="nil"/>
              <w:bottom w:val="single" w:sz="4" w:space="0" w:color="BFBFBF"/>
              <w:right w:val="nil"/>
            </w:tcBorders>
            <w:shd w:val="clear" w:color="000000" w:fill="FFFFFF"/>
            <w:vAlign w:val="center"/>
            <w:hideMark/>
          </w:tcPr>
          <w:p w14:paraId="320CA4F8" w14:textId="77777777" w:rsidR="008C4654" w:rsidRPr="008C4654" w:rsidRDefault="008C4654" w:rsidP="008C4654">
            <w:pPr>
              <w:spacing w:after="0" w:line="240" w:lineRule="auto"/>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Total</w:t>
            </w:r>
          </w:p>
        </w:tc>
        <w:tc>
          <w:tcPr>
            <w:tcW w:w="1080" w:type="dxa"/>
            <w:tcBorders>
              <w:top w:val="single" w:sz="4" w:space="0" w:color="BFBFBF"/>
              <w:left w:val="nil"/>
              <w:bottom w:val="single" w:sz="4" w:space="0" w:color="BFBFBF"/>
              <w:right w:val="nil"/>
            </w:tcBorders>
            <w:shd w:val="clear" w:color="000000" w:fill="FFFFFF"/>
            <w:vAlign w:val="center"/>
            <w:hideMark/>
          </w:tcPr>
          <w:p w14:paraId="2A21961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990</w:t>
            </w:r>
          </w:p>
        </w:tc>
        <w:tc>
          <w:tcPr>
            <w:tcW w:w="1080" w:type="dxa"/>
            <w:tcBorders>
              <w:top w:val="single" w:sz="4" w:space="0" w:color="BFBFBF"/>
              <w:left w:val="nil"/>
              <w:bottom w:val="single" w:sz="4" w:space="0" w:color="BFBFBF"/>
              <w:right w:val="nil"/>
            </w:tcBorders>
            <w:shd w:val="clear" w:color="000000" w:fill="FFFFFF"/>
            <w:vAlign w:val="center"/>
            <w:hideMark/>
          </w:tcPr>
          <w:p w14:paraId="6586A0BA"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440</w:t>
            </w:r>
          </w:p>
        </w:tc>
        <w:tc>
          <w:tcPr>
            <w:tcW w:w="1080" w:type="dxa"/>
            <w:tcBorders>
              <w:top w:val="single" w:sz="4" w:space="0" w:color="BFBFBF"/>
              <w:left w:val="nil"/>
              <w:bottom w:val="single" w:sz="4" w:space="0" w:color="BFBFBF"/>
              <w:right w:val="nil"/>
            </w:tcBorders>
            <w:shd w:val="clear" w:color="000000" w:fill="FFFFFF"/>
            <w:vAlign w:val="center"/>
            <w:hideMark/>
          </w:tcPr>
          <w:p w14:paraId="78D0F342"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500</w:t>
            </w:r>
          </w:p>
        </w:tc>
        <w:tc>
          <w:tcPr>
            <w:tcW w:w="1080" w:type="dxa"/>
            <w:tcBorders>
              <w:top w:val="single" w:sz="4" w:space="0" w:color="BFBFBF"/>
              <w:left w:val="nil"/>
              <w:bottom w:val="single" w:sz="4" w:space="0" w:color="BFBFBF"/>
              <w:right w:val="nil"/>
            </w:tcBorders>
            <w:shd w:val="clear" w:color="000000" w:fill="FFFFFF"/>
            <w:vAlign w:val="center"/>
            <w:hideMark/>
          </w:tcPr>
          <w:p w14:paraId="03111634"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930</w:t>
            </w:r>
          </w:p>
        </w:tc>
        <w:tc>
          <w:tcPr>
            <w:tcW w:w="1080" w:type="dxa"/>
            <w:tcBorders>
              <w:top w:val="single" w:sz="4" w:space="0" w:color="BFBFBF"/>
              <w:left w:val="nil"/>
              <w:bottom w:val="single" w:sz="4" w:space="0" w:color="BFBFBF"/>
              <w:right w:val="nil"/>
            </w:tcBorders>
            <w:shd w:val="clear" w:color="000000" w:fill="FFFFFF"/>
            <w:vAlign w:val="center"/>
            <w:hideMark/>
          </w:tcPr>
          <w:p w14:paraId="418D79AB"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880</w:t>
            </w:r>
          </w:p>
        </w:tc>
        <w:tc>
          <w:tcPr>
            <w:tcW w:w="1140" w:type="dxa"/>
            <w:tcBorders>
              <w:top w:val="single" w:sz="4" w:space="0" w:color="BFBFBF"/>
              <w:left w:val="nil"/>
              <w:bottom w:val="single" w:sz="4" w:space="0" w:color="BFBFBF"/>
              <w:right w:val="nil"/>
            </w:tcBorders>
            <w:shd w:val="clear" w:color="000000" w:fill="FFFFFF"/>
            <w:vAlign w:val="center"/>
            <w:hideMark/>
          </w:tcPr>
          <w:p w14:paraId="6B81787A"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r w:rsidRPr="008C4654">
              <w:rPr>
                <w:rFonts w:ascii="Arial Narrow" w:eastAsia="Times New Roman" w:hAnsi="Arial Narrow" w:cs="Times New Roman"/>
                <w:b/>
                <w:bCs/>
                <w:sz w:val="16"/>
                <w:szCs w:val="16"/>
                <w:lang w:val="en-US"/>
              </w:rPr>
              <w:t>1,809</w:t>
            </w:r>
          </w:p>
        </w:tc>
      </w:tr>
      <w:tr w:rsidR="008C4654" w:rsidRPr="008C4654" w14:paraId="51586E79" w14:textId="77777777" w:rsidTr="001A3F3C">
        <w:trPr>
          <w:divId w:val="383916967"/>
          <w:trHeight w:val="90"/>
          <w:jc w:val="center"/>
        </w:trPr>
        <w:tc>
          <w:tcPr>
            <w:tcW w:w="2620" w:type="dxa"/>
            <w:tcBorders>
              <w:top w:val="nil"/>
              <w:left w:val="nil"/>
              <w:bottom w:val="nil"/>
              <w:right w:val="nil"/>
            </w:tcBorders>
            <w:shd w:val="clear" w:color="auto" w:fill="auto"/>
            <w:noWrap/>
            <w:vAlign w:val="bottom"/>
            <w:hideMark/>
          </w:tcPr>
          <w:p w14:paraId="1D4B4A70" w14:textId="77777777" w:rsidR="008C4654" w:rsidRPr="008C4654" w:rsidRDefault="008C4654" w:rsidP="008C4654">
            <w:pPr>
              <w:spacing w:after="0" w:line="240" w:lineRule="auto"/>
              <w:jc w:val="right"/>
              <w:rPr>
                <w:rFonts w:ascii="Arial Narrow" w:eastAsia="Times New Roman" w:hAnsi="Arial Narrow" w:cs="Times New Roman"/>
                <w:b/>
                <w:bCs/>
                <w:sz w:val="16"/>
                <w:szCs w:val="16"/>
                <w:lang w:val="en-US"/>
              </w:rPr>
            </w:pPr>
          </w:p>
        </w:tc>
        <w:tc>
          <w:tcPr>
            <w:tcW w:w="1080" w:type="dxa"/>
            <w:tcBorders>
              <w:top w:val="nil"/>
              <w:left w:val="nil"/>
              <w:bottom w:val="nil"/>
              <w:right w:val="nil"/>
            </w:tcBorders>
            <w:shd w:val="clear" w:color="auto" w:fill="auto"/>
            <w:noWrap/>
            <w:vAlign w:val="bottom"/>
            <w:hideMark/>
          </w:tcPr>
          <w:p w14:paraId="6C735C96"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vAlign w:val="bottom"/>
            <w:hideMark/>
          </w:tcPr>
          <w:p w14:paraId="20B3E5A6"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vAlign w:val="bottom"/>
            <w:hideMark/>
          </w:tcPr>
          <w:p w14:paraId="307DCE39"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vAlign w:val="bottom"/>
            <w:hideMark/>
          </w:tcPr>
          <w:p w14:paraId="655D2E08"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080" w:type="dxa"/>
            <w:tcBorders>
              <w:top w:val="nil"/>
              <w:left w:val="nil"/>
              <w:bottom w:val="nil"/>
              <w:right w:val="nil"/>
            </w:tcBorders>
            <w:shd w:val="clear" w:color="auto" w:fill="auto"/>
            <w:noWrap/>
            <w:vAlign w:val="bottom"/>
            <w:hideMark/>
          </w:tcPr>
          <w:p w14:paraId="42BBD421"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c>
          <w:tcPr>
            <w:tcW w:w="1140" w:type="dxa"/>
            <w:tcBorders>
              <w:top w:val="nil"/>
              <w:left w:val="nil"/>
              <w:bottom w:val="nil"/>
              <w:right w:val="nil"/>
            </w:tcBorders>
            <w:shd w:val="clear" w:color="auto" w:fill="auto"/>
            <w:noWrap/>
            <w:vAlign w:val="bottom"/>
            <w:hideMark/>
          </w:tcPr>
          <w:p w14:paraId="3AC5CD0E" w14:textId="77777777" w:rsidR="008C4654" w:rsidRPr="008C4654" w:rsidRDefault="008C4654" w:rsidP="008C4654">
            <w:pPr>
              <w:spacing w:after="0" w:line="240" w:lineRule="auto"/>
              <w:rPr>
                <w:rFonts w:ascii="Times New Roman" w:eastAsia="Times New Roman" w:hAnsi="Times New Roman" w:cs="Times New Roman"/>
                <w:sz w:val="20"/>
                <w:szCs w:val="20"/>
                <w:lang w:val="en-US"/>
              </w:rPr>
            </w:pPr>
          </w:p>
        </w:tc>
      </w:tr>
    </w:tbl>
    <w:p w14:paraId="05C012E0" w14:textId="6D4EF93D" w:rsidR="001949B7" w:rsidRDefault="001949B7">
      <w:pPr>
        <w:spacing w:after="200" w:line="276" w:lineRule="auto"/>
        <w:rPr>
          <w:color w:val="005172" w:themeColor="text2"/>
          <w:sz w:val="32"/>
          <w:lang w:val="en-US"/>
        </w:rPr>
      </w:pPr>
      <w:r>
        <w:rPr>
          <w:lang w:val="en-US"/>
        </w:rPr>
        <w:br w:type="page"/>
      </w:r>
    </w:p>
    <w:p w14:paraId="0FE2D64C" w14:textId="54B70A92" w:rsidR="001232B3" w:rsidRPr="00D350B5" w:rsidRDefault="00972877" w:rsidP="005320C7">
      <w:pPr>
        <w:pStyle w:val="SectorTitle"/>
      </w:pPr>
      <w:bookmarkStart w:id="30" w:name="_Toc131175989"/>
      <w:r w:rsidRPr="00972877">
        <w:t>IP and Innovation Ecosystems</w:t>
      </w:r>
      <w:bookmarkEnd w:id="30"/>
      <w:r w:rsidRPr="00972877">
        <w:t> </w:t>
      </w:r>
    </w:p>
    <w:p w14:paraId="2F05DCF7" w14:textId="215BF7CF" w:rsidR="00786B3E" w:rsidRPr="00D350B5" w:rsidRDefault="00B22227" w:rsidP="0044491C">
      <w:pPr>
        <w:tabs>
          <w:tab w:val="left" w:pos="2700"/>
        </w:tabs>
        <w:rPr>
          <w:lang w:val="en-US"/>
        </w:rPr>
      </w:pPr>
      <w:r>
        <w:rPr>
          <w:noProof/>
          <w:lang w:val="en-US"/>
        </w:rPr>
        <w:drawing>
          <wp:inline distT="0" distB="0" distL="0" distR="0" wp14:anchorId="055BCDFF" wp14:editId="1C08E9B9">
            <wp:extent cx="1097280" cy="355877"/>
            <wp:effectExtent l="0" t="0" r="762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7280" cy="355877"/>
                    </a:xfrm>
                    <a:prstGeom prst="rect">
                      <a:avLst/>
                    </a:prstGeom>
                    <a:noFill/>
                  </pic:spPr>
                </pic:pic>
              </a:graphicData>
            </a:graphic>
          </wp:inline>
        </w:drawing>
      </w:r>
    </w:p>
    <w:p w14:paraId="3A39D322" w14:textId="77777777" w:rsidR="0044491C" w:rsidRDefault="0044491C" w:rsidP="0044491C">
      <w:pPr>
        <w:pStyle w:val="Heading1NoNumb"/>
        <w:rPr>
          <w:lang w:val="en-US"/>
        </w:rPr>
      </w:pPr>
      <w:r w:rsidRPr="00D350B5">
        <w:rPr>
          <w:lang w:val="en-US"/>
        </w:rPr>
        <w:t>Implementation Strategies</w:t>
      </w:r>
    </w:p>
    <w:p w14:paraId="57658D47" w14:textId="598DD843" w:rsidR="0044491C" w:rsidRDefault="0044491C" w:rsidP="0044491C">
      <w:pPr>
        <w:rPr>
          <w:rFonts w:cs="Arial"/>
          <w:szCs w:val="18"/>
        </w:rPr>
      </w:pPr>
      <w:r>
        <w:rPr>
          <w:rFonts w:cs="Arial"/>
          <w:noProof/>
          <w:szCs w:val="18"/>
          <w:lang w:val="en-US"/>
        </w:rPr>
        <w:drawing>
          <wp:anchor distT="0" distB="0" distL="114300" distR="114300" simplePos="0" relativeHeight="251833856" behindDoc="0" locked="0" layoutInCell="1" allowOverlap="1" wp14:anchorId="186B6A68" wp14:editId="6BDDCABB">
            <wp:simplePos x="0" y="0"/>
            <wp:positionH relativeFrom="margin">
              <wp:align>right</wp:align>
            </wp:positionH>
            <wp:positionV relativeFrom="paragraph">
              <wp:posOffset>6189</wp:posOffset>
            </wp:positionV>
            <wp:extent cx="1439545" cy="2286000"/>
            <wp:effectExtent l="0" t="0" r="8255" b="0"/>
            <wp:wrapSquare wrapText="bothSides"/>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39545" cy="2286000"/>
                    </a:xfrm>
                    <a:prstGeom prst="rect">
                      <a:avLst/>
                    </a:prstGeom>
                    <a:noFill/>
                  </pic:spPr>
                </pic:pic>
              </a:graphicData>
            </a:graphic>
          </wp:anchor>
        </w:drawing>
      </w:r>
      <w:r>
        <w:rPr>
          <w:rFonts w:cs="Arial"/>
          <w:szCs w:val="18"/>
        </w:rPr>
        <w:t xml:space="preserve">The work of the IP and Innovation Ecosystems Sector is focused on the development of a balanced and effective innovation ecosystem in Member States from all regions of the world, in line with </w:t>
      </w:r>
      <w:r w:rsidR="00B47A61">
        <w:rPr>
          <w:rFonts w:cs="Arial"/>
          <w:szCs w:val="18"/>
        </w:rPr>
        <w:t>Expected Result</w:t>
      </w:r>
      <w:r>
        <w:rPr>
          <w:rFonts w:cs="Arial"/>
          <w:szCs w:val="18"/>
        </w:rPr>
        <w:t xml:space="preserve"> 4.2.  A country’s capacity to</w:t>
      </w:r>
      <w:r w:rsidRPr="00967A38">
        <w:rPr>
          <w:sz w:val="28"/>
          <w:szCs w:val="28"/>
        </w:rPr>
        <w:t xml:space="preserve"> </w:t>
      </w:r>
      <w:r w:rsidRPr="00691EF8">
        <w:rPr>
          <w:rFonts w:cs="Arial"/>
          <w:szCs w:val="18"/>
        </w:rPr>
        <w:t xml:space="preserve">innovate depends on the </w:t>
      </w:r>
      <w:r>
        <w:rPr>
          <w:rFonts w:cs="Arial"/>
          <w:szCs w:val="18"/>
        </w:rPr>
        <w:t xml:space="preserve">strength of its </w:t>
      </w:r>
      <w:r w:rsidRPr="00691EF8">
        <w:rPr>
          <w:rFonts w:cs="Arial"/>
          <w:szCs w:val="18"/>
        </w:rPr>
        <w:t>innovation ecosystem</w:t>
      </w:r>
      <w:r>
        <w:rPr>
          <w:rFonts w:cs="Arial"/>
          <w:szCs w:val="18"/>
        </w:rPr>
        <w:t xml:space="preserve">, </w:t>
      </w:r>
      <w:r w:rsidRPr="00691EF8">
        <w:rPr>
          <w:rFonts w:cs="Arial"/>
          <w:szCs w:val="18"/>
        </w:rPr>
        <w:t xml:space="preserve">the diverse interest of stakeholders within the system, as well as the institutions that </w:t>
      </w:r>
      <w:r>
        <w:rPr>
          <w:rFonts w:cs="Arial"/>
          <w:szCs w:val="18"/>
        </w:rPr>
        <w:t xml:space="preserve">influence </w:t>
      </w:r>
      <w:r w:rsidRPr="00691EF8">
        <w:rPr>
          <w:rFonts w:cs="Arial"/>
          <w:szCs w:val="18"/>
        </w:rPr>
        <w:t>that environment.</w:t>
      </w:r>
      <w:r>
        <w:rPr>
          <w:rFonts w:cs="Arial"/>
          <w:szCs w:val="18"/>
        </w:rPr>
        <w:t xml:space="preserve">  </w:t>
      </w:r>
      <w:r w:rsidRPr="00691EF8">
        <w:rPr>
          <w:rFonts w:cs="Arial"/>
          <w:szCs w:val="18"/>
        </w:rPr>
        <w:t xml:space="preserve">Scientific institutions can </w:t>
      </w:r>
      <w:r>
        <w:rPr>
          <w:rFonts w:cs="Arial"/>
          <w:szCs w:val="18"/>
        </w:rPr>
        <w:t xml:space="preserve">shape </w:t>
      </w:r>
      <w:r w:rsidRPr="00691EF8">
        <w:rPr>
          <w:rFonts w:cs="Arial"/>
          <w:szCs w:val="18"/>
        </w:rPr>
        <w:t xml:space="preserve">the direction of innovation toward given fields by, for example, developing more applied programs to train specialized engineers or by transferring technology to specific industries. </w:t>
      </w:r>
      <w:r>
        <w:rPr>
          <w:rFonts w:cs="Arial"/>
          <w:szCs w:val="18"/>
        </w:rPr>
        <w:t xml:space="preserve"> </w:t>
      </w:r>
      <w:r w:rsidRPr="00691EF8">
        <w:rPr>
          <w:rFonts w:cs="Arial"/>
          <w:szCs w:val="18"/>
        </w:rPr>
        <w:t>Industries and companies can</w:t>
      </w:r>
      <w:r>
        <w:rPr>
          <w:rFonts w:cs="Arial"/>
          <w:szCs w:val="18"/>
        </w:rPr>
        <w:t xml:space="preserve"> </w:t>
      </w:r>
      <w:r w:rsidRPr="00691EF8">
        <w:rPr>
          <w:rFonts w:cs="Arial"/>
          <w:szCs w:val="18"/>
        </w:rPr>
        <w:t xml:space="preserve">invest more intensively in R&amp;D, to create new technologies or absorb existing ones from universities, suppliers or rival firms. </w:t>
      </w:r>
      <w:r>
        <w:rPr>
          <w:rFonts w:cs="Arial"/>
          <w:szCs w:val="18"/>
        </w:rPr>
        <w:t xml:space="preserve"> </w:t>
      </w:r>
      <w:r w:rsidRPr="00691EF8">
        <w:rPr>
          <w:rFonts w:cs="Arial"/>
          <w:szCs w:val="18"/>
        </w:rPr>
        <w:t>Governments can influence the direction of innovation by allocating human and financial resources through a diverse range of public policy instruments</w:t>
      </w:r>
      <w:r>
        <w:rPr>
          <w:rFonts w:cs="Arial"/>
          <w:szCs w:val="18"/>
        </w:rPr>
        <w:t>.</w:t>
      </w:r>
    </w:p>
    <w:p w14:paraId="6DE9B308" w14:textId="525D1FA1" w:rsidR="0044491C" w:rsidRDefault="0044491C" w:rsidP="0044491C">
      <w:pPr>
        <w:rPr>
          <w:rFonts w:cs="Arial"/>
          <w:szCs w:val="18"/>
        </w:rPr>
      </w:pPr>
      <w:r>
        <w:rPr>
          <w:rFonts w:cs="Arial"/>
          <w:szCs w:val="18"/>
        </w:rPr>
        <w:t>I</w:t>
      </w:r>
      <w:r w:rsidRPr="00BB35F1">
        <w:rPr>
          <w:rFonts w:cs="Arial"/>
          <w:szCs w:val="18"/>
        </w:rPr>
        <w:t>nvestments in global R&amp;D in 2020 grew at a rate of 3.3 per</w:t>
      </w:r>
      <w:r w:rsidR="00B47A61">
        <w:rPr>
          <w:rFonts w:cs="Arial"/>
          <w:szCs w:val="18"/>
        </w:rPr>
        <w:t xml:space="preserve"> </w:t>
      </w:r>
      <w:r w:rsidRPr="00BB35F1">
        <w:rPr>
          <w:rFonts w:cs="Arial"/>
          <w:szCs w:val="18"/>
        </w:rPr>
        <w:t xml:space="preserve">cent. </w:t>
      </w:r>
      <w:r>
        <w:rPr>
          <w:rFonts w:cs="Arial"/>
          <w:szCs w:val="18"/>
        </w:rPr>
        <w:t xml:space="preserve"> </w:t>
      </w:r>
      <w:r w:rsidRPr="00BB35F1">
        <w:rPr>
          <w:rFonts w:cs="Arial"/>
          <w:szCs w:val="18"/>
        </w:rPr>
        <w:t>Government budget allocations for the top R&amp;D spending economies showed strong growth in 2020, as governments vigorously sought to mitigate the economic effects of the</w:t>
      </w:r>
      <w:r>
        <w:rPr>
          <w:rFonts w:cs="Arial"/>
          <w:szCs w:val="18"/>
        </w:rPr>
        <w:t xml:space="preserve"> COVID-19</w:t>
      </w:r>
      <w:r w:rsidRPr="00BB35F1">
        <w:rPr>
          <w:rFonts w:cs="Arial"/>
          <w:szCs w:val="18"/>
        </w:rPr>
        <w:t xml:space="preserve"> </w:t>
      </w:r>
      <w:r>
        <w:rPr>
          <w:rFonts w:cs="Arial"/>
          <w:szCs w:val="18"/>
        </w:rPr>
        <w:t>pandemic</w:t>
      </w:r>
      <w:r w:rsidRPr="00BB35F1">
        <w:rPr>
          <w:rFonts w:cs="Arial"/>
          <w:szCs w:val="18"/>
        </w:rPr>
        <w:t xml:space="preserve">. </w:t>
      </w:r>
      <w:r>
        <w:rPr>
          <w:rFonts w:cs="Arial"/>
          <w:szCs w:val="18"/>
        </w:rPr>
        <w:t xml:space="preserve"> </w:t>
      </w:r>
      <w:r w:rsidRPr="00BB35F1">
        <w:rPr>
          <w:rFonts w:cs="Arial"/>
          <w:szCs w:val="18"/>
        </w:rPr>
        <w:t>In turn, top corporate R&amp;D spenders increased their R&amp;D expenditure in 2021 by almost 10</w:t>
      </w:r>
      <w:r w:rsidR="00B47A61">
        <w:rPr>
          <w:rFonts w:cs="Arial"/>
          <w:szCs w:val="18"/>
        </w:rPr>
        <w:t xml:space="preserve"> per cent</w:t>
      </w:r>
      <w:r>
        <w:rPr>
          <w:rFonts w:cs="Arial"/>
          <w:szCs w:val="18"/>
        </w:rPr>
        <w:t xml:space="preserve"> to over </w:t>
      </w:r>
      <w:r w:rsidRPr="00BB35F1">
        <w:rPr>
          <w:rFonts w:cs="Arial"/>
          <w:szCs w:val="18"/>
        </w:rPr>
        <w:t>900 billion</w:t>
      </w:r>
      <w:r>
        <w:rPr>
          <w:rFonts w:cs="Arial"/>
          <w:szCs w:val="18"/>
        </w:rPr>
        <w:t xml:space="preserve"> USD</w:t>
      </w:r>
      <w:r w:rsidRPr="00BB35F1">
        <w:rPr>
          <w:rFonts w:cs="Arial"/>
          <w:szCs w:val="18"/>
        </w:rPr>
        <w:t>.</w:t>
      </w:r>
      <w:r>
        <w:rPr>
          <w:rFonts w:cs="Arial"/>
          <w:szCs w:val="18"/>
        </w:rPr>
        <w:t xml:space="preserve">  Since innovation is very high on the political agenda of countries of different sizes and levels of development, the Sector is experiencing a steady growth in demand on key aspects of its work.  In particular, the analytical research on global innovation and technology trends are extensively utilized by policy makers to take informed decisions, including in support of developing national IP strategies and innovation policies.</w:t>
      </w:r>
    </w:p>
    <w:p w14:paraId="39863CBB" w14:textId="4A53C537" w:rsidR="0044491C" w:rsidRDefault="0044491C" w:rsidP="0044491C">
      <w:pPr>
        <w:rPr>
          <w:szCs w:val="18"/>
        </w:rPr>
      </w:pPr>
      <w:r>
        <w:rPr>
          <w:szCs w:val="18"/>
        </w:rPr>
        <w:t>Increasingly, the global economy is driven by intangible assets.</w:t>
      </w:r>
      <w:r w:rsidRPr="00691EF8">
        <w:rPr>
          <w:szCs w:val="18"/>
        </w:rPr>
        <w:t xml:space="preserve"> </w:t>
      </w:r>
      <w:r>
        <w:rPr>
          <w:szCs w:val="18"/>
        </w:rPr>
        <w:t xml:space="preserve"> E</w:t>
      </w:r>
      <w:r w:rsidRPr="00A167D2">
        <w:rPr>
          <w:szCs w:val="18"/>
        </w:rPr>
        <w:t>stimates of the g</w:t>
      </w:r>
      <w:r>
        <w:rPr>
          <w:szCs w:val="18"/>
        </w:rPr>
        <w:t>lobal value of intangibles show</w:t>
      </w:r>
      <w:r w:rsidRPr="00A167D2">
        <w:rPr>
          <w:szCs w:val="18"/>
        </w:rPr>
        <w:t xml:space="preserve"> a tenfold increase over the last 25 years, reach</w:t>
      </w:r>
      <w:r>
        <w:rPr>
          <w:szCs w:val="18"/>
        </w:rPr>
        <w:t>ing</w:t>
      </w:r>
      <w:r w:rsidRPr="00A167D2">
        <w:rPr>
          <w:szCs w:val="18"/>
        </w:rPr>
        <w:t xml:space="preserve"> around 74 trillion </w:t>
      </w:r>
      <w:r>
        <w:rPr>
          <w:szCs w:val="18"/>
        </w:rPr>
        <w:t xml:space="preserve">USD </w:t>
      </w:r>
      <w:r w:rsidRPr="00A167D2">
        <w:rPr>
          <w:szCs w:val="18"/>
        </w:rPr>
        <w:t>in 2021</w:t>
      </w:r>
      <w:r>
        <w:rPr>
          <w:szCs w:val="18"/>
        </w:rPr>
        <w:t xml:space="preserve">.  </w:t>
      </w:r>
      <w:r>
        <w:rPr>
          <w:rFonts w:cs="Arial"/>
          <w:szCs w:val="18"/>
        </w:rPr>
        <w:t xml:space="preserve">Intangible asset financing has emerged as a topic of great interest among Member States, international financial institutions and enterprises.  </w:t>
      </w:r>
      <w:r w:rsidRPr="00691EF8">
        <w:rPr>
          <w:szCs w:val="18"/>
        </w:rPr>
        <w:t>The IP and Innovation Ecosystem</w:t>
      </w:r>
      <w:r>
        <w:rPr>
          <w:szCs w:val="18"/>
        </w:rPr>
        <w:t>s</w:t>
      </w:r>
      <w:r w:rsidRPr="00691EF8">
        <w:rPr>
          <w:szCs w:val="18"/>
        </w:rPr>
        <w:t xml:space="preserve"> Sector is working with a variety of key sta</w:t>
      </w:r>
      <w:r>
        <w:rPr>
          <w:szCs w:val="18"/>
        </w:rPr>
        <w:t>ke</w:t>
      </w:r>
      <w:r w:rsidRPr="00691EF8">
        <w:rPr>
          <w:szCs w:val="18"/>
        </w:rPr>
        <w:t>holders to identify actions to improve the way intellectual property supports innovative and creative busines</w:t>
      </w:r>
      <w:r>
        <w:rPr>
          <w:szCs w:val="18"/>
        </w:rPr>
        <w:t xml:space="preserve">ses to bridge the finance gap </w:t>
      </w:r>
      <w:r>
        <w:rPr>
          <w:rFonts w:cs="Arial"/>
          <w:szCs w:val="18"/>
        </w:rPr>
        <w:t>(</w:t>
      </w:r>
      <w:r w:rsidR="00B47A61">
        <w:rPr>
          <w:rFonts w:cs="Arial"/>
          <w:szCs w:val="18"/>
        </w:rPr>
        <w:t>Expected Result</w:t>
      </w:r>
      <w:r>
        <w:rPr>
          <w:rFonts w:cs="Arial"/>
          <w:szCs w:val="18"/>
        </w:rPr>
        <w:t xml:space="preserve"> 4.4).</w:t>
      </w:r>
      <w:r w:rsidRPr="00691EF8">
        <w:rPr>
          <w:szCs w:val="18"/>
        </w:rPr>
        <w:t xml:space="preserve"> </w:t>
      </w:r>
    </w:p>
    <w:p w14:paraId="6DD4B177" w14:textId="333E61D4" w:rsidR="0044491C" w:rsidRPr="00F34851" w:rsidRDefault="0044491C" w:rsidP="0044491C">
      <w:pPr>
        <w:rPr>
          <w:rFonts w:cs="Arial"/>
          <w:sz w:val="36"/>
          <w:szCs w:val="36"/>
          <w:highlight w:val="yellow"/>
        </w:rPr>
      </w:pPr>
      <w:r>
        <w:rPr>
          <w:rFonts w:cs="Arial"/>
          <w:szCs w:val="18"/>
        </w:rPr>
        <w:t xml:space="preserve">The 2017 World Intellectual Property Report </w:t>
      </w:r>
      <w:r w:rsidRPr="00F34851">
        <w:rPr>
          <w:rFonts w:cs="Arial"/>
          <w:szCs w:val="18"/>
        </w:rPr>
        <w:t>(WIPR)</w:t>
      </w:r>
      <w:r>
        <w:rPr>
          <w:rFonts w:cs="Arial"/>
          <w:szCs w:val="18"/>
        </w:rPr>
        <w:t xml:space="preserve"> highlighted that </w:t>
      </w:r>
      <w:r w:rsidRPr="00F34851">
        <w:rPr>
          <w:rFonts w:cs="Arial"/>
          <w:szCs w:val="18"/>
        </w:rPr>
        <w:t>the contribution of IP and other intangible</w:t>
      </w:r>
      <w:r>
        <w:rPr>
          <w:rFonts w:cs="Arial"/>
          <w:szCs w:val="18"/>
        </w:rPr>
        <w:t xml:space="preserve"> assets is</w:t>
      </w:r>
      <w:r w:rsidRPr="00F34851">
        <w:rPr>
          <w:rFonts w:cs="Arial"/>
          <w:szCs w:val="18"/>
        </w:rPr>
        <w:t xml:space="preserve"> twice </w:t>
      </w:r>
      <w:r>
        <w:rPr>
          <w:rFonts w:cs="Arial"/>
          <w:szCs w:val="18"/>
        </w:rPr>
        <w:t xml:space="preserve">that </w:t>
      </w:r>
      <w:r w:rsidRPr="00F34851">
        <w:rPr>
          <w:rFonts w:cs="Arial"/>
          <w:szCs w:val="18"/>
        </w:rPr>
        <w:t xml:space="preserve">of tangible capital on the value of products. </w:t>
      </w:r>
      <w:r>
        <w:rPr>
          <w:rFonts w:cs="Arial"/>
          <w:szCs w:val="18"/>
        </w:rPr>
        <w:t xml:space="preserve"> </w:t>
      </w:r>
      <w:r w:rsidRPr="00F34851">
        <w:rPr>
          <w:rFonts w:cs="Arial"/>
          <w:szCs w:val="18"/>
        </w:rPr>
        <w:t xml:space="preserve">Thus, </w:t>
      </w:r>
      <w:r>
        <w:rPr>
          <w:rFonts w:cs="Arial"/>
          <w:szCs w:val="18"/>
        </w:rPr>
        <w:t>one third</w:t>
      </w:r>
      <w:r w:rsidRPr="00F34851">
        <w:rPr>
          <w:rFonts w:cs="Arial"/>
          <w:szCs w:val="18"/>
        </w:rPr>
        <w:t xml:space="preserve"> of the value of products we buy comes from intangibles.</w:t>
      </w:r>
      <w:r>
        <w:rPr>
          <w:rFonts w:cs="Arial"/>
          <w:szCs w:val="18"/>
        </w:rPr>
        <w:t xml:space="preserve">  Consequently, the Sector’s resources, tools and platforms are increasingly in demand across all regions of the world, with new collaborative frameworks established to support enterprises, especially small and medium enterprises (SMEs), business intermediaries, national and regional technology transfer structures, innovators, accelerators and start-ups (</w:t>
      </w:r>
      <w:r w:rsidR="00B47A61">
        <w:rPr>
          <w:rFonts w:cs="Arial"/>
          <w:szCs w:val="18"/>
        </w:rPr>
        <w:t>Expected Result</w:t>
      </w:r>
      <w:r>
        <w:rPr>
          <w:rFonts w:cs="Arial"/>
          <w:szCs w:val="18"/>
        </w:rPr>
        <w:t xml:space="preserve"> 4.4). </w:t>
      </w:r>
    </w:p>
    <w:p w14:paraId="13A912C7" w14:textId="1F93C63F" w:rsidR="0044491C" w:rsidRDefault="0044491C" w:rsidP="0044491C">
      <w:pPr>
        <w:rPr>
          <w:rFonts w:cs="Arial"/>
          <w:szCs w:val="18"/>
        </w:rPr>
      </w:pPr>
      <w:r>
        <w:rPr>
          <w:rFonts w:cs="Arial"/>
          <w:szCs w:val="18"/>
        </w:rPr>
        <w:t>In the same vein, the demand for assistance to the judiciary to manage a growing number of IP cases is leading to new collaborative activities with various national judiciaries (</w:t>
      </w:r>
      <w:r w:rsidR="00B47A61">
        <w:rPr>
          <w:rFonts w:cs="Arial"/>
          <w:szCs w:val="18"/>
        </w:rPr>
        <w:t>Expected Result</w:t>
      </w:r>
      <w:r>
        <w:rPr>
          <w:rFonts w:cs="Arial"/>
          <w:szCs w:val="18"/>
        </w:rPr>
        <w:t xml:space="preserve"> 4.3).  Also, there is increasing interest among SMEs to rely on arbitration and mediation services as an alternative to expensive court litigation.  Moreover, the increase in cases is due to more online transactions and the internationalization of business models (</w:t>
      </w:r>
      <w:r w:rsidR="00B47A61">
        <w:rPr>
          <w:rFonts w:cs="Arial"/>
          <w:szCs w:val="18"/>
        </w:rPr>
        <w:t>Expected Result</w:t>
      </w:r>
      <w:r>
        <w:rPr>
          <w:rFonts w:cs="Arial"/>
          <w:szCs w:val="18"/>
        </w:rPr>
        <w:t xml:space="preserve"> 4.2). </w:t>
      </w:r>
    </w:p>
    <w:p w14:paraId="5842092D" w14:textId="77777777" w:rsidR="0044491C" w:rsidRDefault="0044491C" w:rsidP="0044491C">
      <w:pPr>
        <w:rPr>
          <w:rFonts w:cs="Arial"/>
          <w:szCs w:val="18"/>
        </w:rPr>
      </w:pPr>
      <w:r>
        <w:rPr>
          <w:rFonts w:cs="Arial"/>
          <w:szCs w:val="18"/>
        </w:rPr>
        <w:t xml:space="preserve">Within this context, the IP and Innovation Ecosystems Sector supports WIPO’s work in the following aspects: </w:t>
      </w:r>
    </w:p>
    <w:p w14:paraId="7866D59E" w14:textId="77777777" w:rsidR="0044491C" w:rsidRDefault="0044491C" w:rsidP="0044491C">
      <w:r>
        <w:rPr>
          <w:rFonts w:cs="Arial"/>
          <w:szCs w:val="18"/>
        </w:rPr>
        <w:t>First, it provides</w:t>
      </w:r>
      <w:r>
        <w:t xml:space="preserve"> original insights on the performance of the global innovation economy, including the creative economy.  Through data provision and analysis, it seeks to inform decision-makers in the intellectual property and innovation communities, policymakers at large, researchers and the general public. </w:t>
      </w:r>
    </w:p>
    <w:p w14:paraId="1C1DF92C" w14:textId="77777777" w:rsidR="0044491C" w:rsidRDefault="0044491C" w:rsidP="0044491C">
      <w:pPr>
        <w:rPr>
          <w:rFonts w:cs="Arial"/>
          <w:szCs w:val="18"/>
        </w:rPr>
      </w:pPr>
      <w:r>
        <w:rPr>
          <w:rFonts w:cs="Arial"/>
          <w:szCs w:val="18"/>
        </w:rPr>
        <w:t xml:space="preserve">Second, it supports the business community and its intermediaries, including start-ups, entrepreneurs and SMEs, to leverage IP effectively </w:t>
      </w:r>
      <w:r w:rsidRPr="00543C57">
        <w:rPr>
          <w:rFonts w:cs="Arial"/>
          <w:szCs w:val="18"/>
        </w:rPr>
        <w:t>as a tool for economic growth and sustainable development</w:t>
      </w:r>
      <w:r>
        <w:rPr>
          <w:rFonts w:cs="Arial"/>
          <w:szCs w:val="18"/>
        </w:rPr>
        <w:t xml:space="preserve">, and as a catalyst for jobs and investments.  This work goes beyond the regulatory and registration aspects of IP to focus on IP management and commercialization.  The Sector continues to work on issues connected to the rise of IP and other forms of intangible assets such as data, know-how, etc. as an asset class, notably in areas relating to IP valuation, collateralization and financing. </w:t>
      </w:r>
    </w:p>
    <w:p w14:paraId="44ECE0AE" w14:textId="77777777" w:rsidR="0044491C" w:rsidRDefault="0044491C" w:rsidP="0044491C">
      <w:pPr>
        <w:rPr>
          <w:rFonts w:cs="Arial"/>
          <w:szCs w:val="18"/>
        </w:rPr>
      </w:pPr>
      <w:r>
        <w:rPr>
          <w:rFonts w:cs="Arial"/>
          <w:szCs w:val="18"/>
        </w:rPr>
        <w:t>Third, the Sector supports the R&amp;D community, including researchers, innovators, universities and research institutions, to better access IP and innovation data and information, and to build skills and create platforms that use IP to translate research into market outcomes.  In particular, work relating to the role of IP on Technology Transfer will continue to be deepened.</w:t>
      </w:r>
    </w:p>
    <w:p w14:paraId="4E7448EE" w14:textId="77777777" w:rsidR="0044491C" w:rsidRDefault="0044491C" w:rsidP="0044491C">
      <w:pPr>
        <w:rPr>
          <w:rFonts w:cs="Arial"/>
          <w:szCs w:val="18"/>
        </w:rPr>
      </w:pPr>
      <w:r>
        <w:rPr>
          <w:rFonts w:cs="Arial"/>
          <w:szCs w:val="18"/>
        </w:rPr>
        <w:t xml:space="preserve">Fourth, the Sector provides expert advice to assist Member States to develop National IP strategies and related innovation policies that contribute to the achievement of broader economic development goals and act positively on a country’s innovation and creative ecosystems.   </w:t>
      </w:r>
    </w:p>
    <w:p w14:paraId="5E1EA482" w14:textId="77777777" w:rsidR="0044491C" w:rsidRDefault="0044491C" w:rsidP="0044491C">
      <w:pPr>
        <w:rPr>
          <w:rFonts w:cs="Arial"/>
          <w:szCs w:val="18"/>
        </w:rPr>
      </w:pPr>
      <w:r>
        <w:rPr>
          <w:rFonts w:cs="Arial"/>
          <w:szCs w:val="18"/>
        </w:rPr>
        <w:t xml:space="preserve">Fifth, it assists Members States in their efforts to strengthen their judicial systems.  Through the WIPO Judicial Institute, it </w:t>
      </w:r>
      <w:r w:rsidRPr="006D7ED9">
        <w:rPr>
          <w:rFonts w:cs="Arial"/>
          <w:szCs w:val="18"/>
        </w:rPr>
        <w:t>support</w:t>
      </w:r>
      <w:r>
        <w:rPr>
          <w:rFonts w:cs="Arial"/>
          <w:szCs w:val="18"/>
        </w:rPr>
        <w:t>s</w:t>
      </w:r>
      <w:r w:rsidRPr="006D7ED9">
        <w:rPr>
          <w:rFonts w:cs="Arial"/>
          <w:szCs w:val="18"/>
        </w:rPr>
        <w:t xml:space="preserve"> national and regional judiciaries </w:t>
      </w:r>
      <w:r>
        <w:rPr>
          <w:rFonts w:cs="Arial"/>
          <w:szCs w:val="18"/>
        </w:rPr>
        <w:t>and quasi-judicial authorities</w:t>
      </w:r>
      <w:r w:rsidRPr="006D7ED9">
        <w:rPr>
          <w:rFonts w:cs="Arial"/>
          <w:szCs w:val="18"/>
        </w:rPr>
        <w:t>, by providing</w:t>
      </w:r>
      <w:r>
        <w:rPr>
          <w:rFonts w:cs="Arial"/>
          <w:szCs w:val="18"/>
        </w:rPr>
        <w:t xml:space="preserve"> modern and effective formats of dialogue and education, in addition to supporting the IP ecosystem through </w:t>
      </w:r>
      <w:r w:rsidRPr="006D7ED9">
        <w:rPr>
          <w:rFonts w:cs="Arial"/>
          <w:szCs w:val="18"/>
        </w:rPr>
        <w:t>services related to</w:t>
      </w:r>
      <w:r>
        <w:rPr>
          <w:rFonts w:cs="Arial"/>
          <w:szCs w:val="18"/>
        </w:rPr>
        <w:t xml:space="preserve"> IP</w:t>
      </w:r>
      <w:r w:rsidRPr="006D7ED9">
        <w:rPr>
          <w:rFonts w:cs="Arial"/>
          <w:szCs w:val="18"/>
        </w:rPr>
        <w:t xml:space="preserve"> </w:t>
      </w:r>
      <w:r>
        <w:rPr>
          <w:rFonts w:cs="Arial"/>
          <w:szCs w:val="18"/>
        </w:rPr>
        <w:t>legal data</w:t>
      </w:r>
      <w:r w:rsidRPr="006D7ED9">
        <w:rPr>
          <w:rFonts w:cs="Arial"/>
          <w:szCs w:val="18"/>
        </w:rPr>
        <w:t xml:space="preserve">. </w:t>
      </w:r>
    </w:p>
    <w:p w14:paraId="5899E518" w14:textId="77777777" w:rsidR="0044491C" w:rsidRDefault="0044491C" w:rsidP="0044491C">
      <w:pPr>
        <w:rPr>
          <w:rFonts w:cs="Arial"/>
          <w:szCs w:val="18"/>
        </w:rPr>
      </w:pPr>
      <w:r>
        <w:rPr>
          <w:rFonts w:cs="Arial"/>
          <w:szCs w:val="18"/>
        </w:rPr>
        <w:t>Sixth, the Sector supports Member States in implementing mechanisms for alternative dispute resolution (ADR) in the field of IP, technology, licensing and domain names.  Through the WIPO Arbitration and Mediation Center, it provides services to those seeking to resolve their IP disputes out of court.</w:t>
      </w:r>
    </w:p>
    <w:p w14:paraId="22F6A9B4" w14:textId="77777777" w:rsidR="0044491C" w:rsidRPr="00CE7001" w:rsidRDefault="0044491C" w:rsidP="00CE7001">
      <w:pPr>
        <w:pStyle w:val="NormalAbb"/>
        <w:rPr>
          <w:color w:val="005172" w:themeColor="text2"/>
          <w:sz w:val="22"/>
          <w:lang w:val="en-US"/>
        </w:rPr>
      </w:pPr>
      <w:r w:rsidRPr="00CE7001">
        <w:rPr>
          <w:color w:val="005172" w:themeColor="text2"/>
          <w:sz w:val="22"/>
          <w:lang w:val="en-US"/>
        </w:rPr>
        <w:t xml:space="preserve">Economics and Data Analytics </w:t>
      </w:r>
    </w:p>
    <w:p w14:paraId="6BD92C04" w14:textId="77777777" w:rsidR="0044491C" w:rsidRPr="001035FC" w:rsidRDefault="0044491C" w:rsidP="0044491C">
      <w:pPr>
        <w:rPr>
          <w:szCs w:val="18"/>
          <w:lang w:val="en-US"/>
        </w:rPr>
      </w:pPr>
      <w:r w:rsidRPr="001035FC">
        <w:rPr>
          <w:rFonts w:cs="Arial"/>
          <w:szCs w:val="18"/>
        </w:rPr>
        <w:t xml:space="preserve">The work </w:t>
      </w:r>
      <w:r>
        <w:rPr>
          <w:rFonts w:cs="Arial"/>
          <w:szCs w:val="18"/>
        </w:rPr>
        <w:t>related to e</w:t>
      </w:r>
      <w:r w:rsidRPr="001035FC">
        <w:rPr>
          <w:rFonts w:cs="Arial"/>
          <w:szCs w:val="18"/>
        </w:rPr>
        <w:t xml:space="preserve">conomics and </w:t>
      </w:r>
      <w:r>
        <w:rPr>
          <w:rFonts w:cs="Arial"/>
          <w:szCs w:val="18"/>
        </w:rPr>
        <w:t>d</w:t>
      </w:r>
      <w:r w:rsidRPr="001035FC">
        <w:rPr>
          <w:rFonts w:cs="Arial"/>
          <w:szCs w:val="18"/>
        </w:rPr>
        <w:t xml:space="preserve">ata </w:t>
      </w:r>
      <w:r>
        <w:rPr>
          <w:rFonts w:cs="Arial"/>
          <w:szCs w:val="18"/>
        </w:rPr>
        <w:t>a</w:t>
      </w:r>
      <w:r w:rsidRPr="001035FC">
        <w:rPr>
          <w:rFonts w:cs="Arial"/>
          <w:szCs w:val="18"/>
        </w:rPr>
        <w:t>nalytics</w:t>
      </w:r>
      <w:r>
        <w:rPr>
          <w:rFonts w:cs="Arial"/>
          <w:szCs w:val="18"/>
        </w:rPr>
        <w:t xml:space="preserve"> has two main pillars.  The first pillar</w:t>
      </w:r>
      <w:r w:rsidRPr="001035FC">
        <w:rPr>
          <w:rFonts w:cs="Arial"/>
          <w:szCs w:val="18"/>
        </w:rPr>
        <w:t xml:space="preserve"> seeks to provide accurate, comprehensive and timely data on the performance of IP </w:t>
      </w:r>
      <w:r>
        <w:rPr>
          <w:rFonts w:cs="Arial"/>
          <w:szCs w:val="18"/>
        </w:rPr>
        <w:t>and innovation eco</w:t>
      </w:r>
      <w:r w:rsidRPr="001035FC">
        <w:rPr>
          <w:rFonts w:cs="Arial"/>
          <w:szCs w:val="18"/>
        </w:rPr>
        <w:t>system</w:t>
      </w:r>
      <w:r>
        <w:rPr>
          <w:rFonts w:cs="Arial"/>
          <w:szCs w:val="18"/>
        </w:rPr>
        <w:t>s and promote their wider and more effective use</w:t>
      </w:r>
      <w:r w:rsidRPr="001035FC">
        <w:rPr>
          <w:rFonts w:cs="Arial"/>
          <w:szCs w:val="18"/>
        </w:rPr>
        <w:t xml:space="preserve"> </w:t>
      </w:r>
      <w:r>
        <w:rPr>
          <w:rFonts w:cs="Arial"/>
          <w:szCs w:val="18"/>
        </w:rPr>
        <w:t>that deliver value to users around the world.  Work in the next biennium will, in particular, focus on:</w:t>
      </w:r>
    </w:p>
    <w:p w14:paraId="057A7631"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sidRPr="001035FC">
        <w:rPr>
          <w:rFonts w:ascii="Arial" w:eastAsiaTheme="minorHAnsi" w:hAnsi="Arial" w:cstheme="minorBidi"/>
          <w:sz w:val="18"/>
          <w:lang w:eastAsia="en-US"/>
        </w:rPr>
        <w:t>Maintain</w:t>
      </w:r>
      <w:r>
        <w:rPr>
          <w:rFonts w:ascii="Arial" w:eastAsiaTheme="minorHAnsi" w:hAnsi="Arial" w:cstheme="minorBidi"/>
          <w:sz w:val="18"/>
          <w:lang w:eastAsia="en-US"/>
        </w:rPr>
        <w:t>ing</w:t>
      </w:r>
      <w:r w:rsidRPr="001035FC">
        <w:rPr>
          <w:rFonts w:ascii="Arial" w:eastAsiaTheme="minorHAnsi" w:hAnsi="Arial" w:cstheme="minorBidi"/>
          <w:sz w:val="18"/>
          <w:lang w:eastAsia="en-US"/>
        </w:rPr>
        <w:t xml:space="preserve"> geographical coverage of </w:t>
      </w:r>
      <w:r>
        <w:rPr>
          <w:rFonts w:ascii="Arial" w:eastAsiaTheme="minorHAnsi" w:hAnsi="Arial" w:cstheme="minorBidi"/>
          <w:sz w:val="18"/>
          <w:lang w:eastAsia="en-US"/>
        </w:rPr>
        <w:t xml:space="preserve">IP statistics </w:t>
      </w:r>
      <w:r w:rsidRPr="001035FC">
        <w:rPr>
          <w:rFonts w:ascii="Arial" w:eastAsiaTheme="minorHAnsi" w:hAnsi="Arial" w:cstheme="minorBidi"/>
          <w:sz w:val="18"/>
          <w:lang w:eastAsia="en-US"/>
        </w:rPr>
        <w:t>collected through WIPO’s various annual statistic</w:t>
      </w:r>
      <w:r>
        <w:rPr>
          <w:rFonts w:ascii="Arial" w:eastAsiaTheme="minorHAnsi" w:hAnsi="Arial" w:cstheme="minorBidi"/>
          <w:sz w:val="18"/>
          <w:lang w:eastAsia="en-US"/>
        </w:rPr>
        <w:t>s</w:t>
      </w:r>
      <w:r w:rsidRPr="001035FC">
        <w:rPr>
          <w:rFonts w:ascii="Arial" w:eastAsiaTheme="minorHAnsi" w:hAnsi="Arial" w:cstheme="minorBidi"/>
          <w:sz w:val="18"/>
          <w:lang w:eastAsia="en-US"/>
        </w:rPr>
        <w:t xml:space="preserve"> survey</w:t>
      </w:r>
      <w:r>
        <w:rPr>
          <w:rFonts w:ascii="Arial" w:eastAsiaTheme="minorHAnsi" w:hAnsi="Arial" w:cstheme="minorBidi"/>
          <w:sz w:val="18"/>
          <w:lang w:eastAsia="en-US"/>
        </w:rPr>
        <w:t>s to ensure accurate and comprehensive statistical reporting that bring value to decision makers everywhere;</w:t>
      </w:r>
    </w:p>
    <w:p w14:paraId="4614D618"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sidRPr="001035FC">
        <w:rPr>
          <w:rFonts w:ascii="Arial" w:eastAsiaTheme="minorHAnsi" w:hAnsi="Arial" w:cstheme="minorBidi"/>
          <w:sz w:val="18"/>
          <w:lang w:eastAsia="en-US"/>
        </w:rPr>
        <w:t>Report</w:t>
      </w:r>
      <w:r>
        <w:rPr>
          <w:rFonts w:ascii="Arial" w:eastAsiaTheme="minorHAnsi" w:hAnsi="Arial" w:cstheme="minorBidi"/>
          <w:sz w:val="18"/>
          <w:lang w:eastAsia="en-US"/>
        </w:rPr>
        <w:t>ing</w:t>
      </w:r>
      <w:r w:rsidRPr="001035FC">
        <w:rPr>
          <w:rFonts w:ascii="Arial" w:eastAsiaTheme="minorHAnsi" w:hAnsi="Arial" w:cstheme="minorBidi"/>
          <w:sz w:val="18"/>
          <w:lang w:eastAsia="en-US"/>
        </w:rPr>
        <w:t xml:space="preserve"> IP statistics through statistical publications and web tools, seeking to satisfy the needs of different user communities, including policymakers, IP </w:t>
      </w:r>
      <w:r>
        <w:rPr>
          <w:rFonts w:ascii="Arial" w:eastAsiaTheme="minorHAnsi" w:hAnsi="Arial" w:cstheme="minorBidi"/>
          <w:sz w:val="18"/>
          <w:lang w:eastAsia="en-US"/>
        </w:rPr>
        <w:t>O</w:t>
      </w:r>
      <w:r w:rsidRPr="001035FC">
        <w:rPr>
          <w:rFonts w:ascii="Arial" w:eastAsiaTheme="minorHAnsi" w:hAnsi="Arial" w:cstheme="minorBidi"/>
          <w:sz w:val="18"/>
          <w:lang w:eastAsia="en-US"/>
        </w:rPr>
        <w:t>ffices, users of WIPO’s filing systems, researchers, and the general public</w:t>
      </w:r>
      <w:r>
        <w:rPr>
          <w:rFonts w:ascii="Arial" w:eastAsiaTheme="minorHAnsi" w:hAnsi="Arial" w:cstheme="minorBidi"/>
          <w:sz w:val="18"/>
          <w:lang w:eastAsia="en-US"/>
        </w:rPr>
        <w:t>;</w:t>
      </w:r>
    </w:p>
    <w:p w14:paraId="28663B93"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Collecting and reporting original data on intangible asset investments, covering a widening set of economies.</w:t>
      </w:r>
    </w:p>
    <w:p w14:paraId="75083C9B" w14:textId="77777777" w:rsidR="0044491C" w:rsidRPr="001813CF" w:rsidRDefault="0044491C" w:rsidP="0044491C">
      <w:pPr>
        <w:rPr>
          <w:szCs w:val="18"/>
        </w:rPr>
      </w:pPr>
      <w:r>
        <w:rPr>
          <w:rFonts w:cs="Arial"/>
          <w:szCs w:val="18"/>
        </w:rPr>
        <w:t xml:space="preserve">The second pillar seeks to </w:t>
      </w:r>
      <w:r w:rsidRPr="001035FC">
        <w:rPr>
          <w:rFonts w:cs="Arial"/>
          <w:szCs w:val="18"/>
        </w:rPr>
        <w:t>provide high-quality empirical analysis on economies’ innovation performance and the evolving nature of the creative economy</w:t>
      </w:r>
      <w:r>
        <w:rPr>
          <w:rFonts w:cs="Arial"/>
          <w:szCs w:val="18"/>
        </w:rPr>
        <w:t xml:space="preserve"> to</w:t>
      </w:r>
      <w:r w:rsidRPr="001035FC">
        <w:rPr>
          <w:rFonts w:cs="Arial"/>
          <w:szCs w:val="18"/>
        </w:rPr>
        <w:t xml:space="preserve"> </w:t>
      </w:r>
      <w:r>
        <w:rPr>
          <w:rFonts w:cs="Arial"/>
          <w:szCs w:val="18"/>
        </w:rPr>
        <w:t>support the development of balanced and effective IP, innovation and creative ecosystems in Member States.  Work in the next biennium will, in particular, focus on:</w:t>
      </w:r>
    </w:p>
    <w:p w14:paraId="580A0E14"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Continuing</w:t>
      </w:r>
      <w:r w:rsidRPr="001035FC">
        <w:rPr>
          <w:rFonts w:ascii="Arial" w:eastAsiaTheme="minorHAnsi" w:hAnsi="Arial" w:cstheme="minorBidi"/>
          <w:sz w:val="18"/>
          <w:lang w:eastAsia="en-US"/>
        </w:rPr>
        <w:t xml:space="preserve"> to benchmark innovation performance </w:t>
      </w:r>
      <w:r>
        <w:rPr>
          <w:rFonts w:ascii="Arial" w:eastAsiaTheme="minorHAnsi" w:hAnsi="Arial" w:cstheme="minorBidi"/>
          <w:sz w:val="18"/>
          <w:lang w:eastAsia="en-US"/>
        </w:rPr>
        <w:t xml:space="preserve">and monitoring the evolution of the global innovation economy </w:t>
      </w:r>
      <w:r w:rsidRPr="001035FC">
        <w:rPr>
          <w:rFonts w:ascii="Arial" w:eastAsiaTheme="minorHAnsi" w:hAnsi="Arial" w:cstheme="minorBidi"/>
          <w:sz w:val="18"/>
          <w:lang w:eastAsia="en-US"/>
        </w:rPr>
        <w:t xml:space="preserve">by publishing the </w:t>
      </w:r>
      <w:r>
        <w:rPr>
          <w:rFonts w:ascii="Arial" w:eastAsiaTheme="minorHAnsi" w:hAnsi="Arial" w:cstheme="minorBidi"/>
          <w:sz w:val="18"/>
          <w:lang w:eastAsia="en-US"/>
        </w:rPr>
        <w:t>GII</w:t>
      </w:r>
      <w:r w:rsidRPr="001035FC">
        <w:rPr>
          <w:rFonts w:ascii="Arial" w:eastAsiaTheme="minorHAnsi" w:hAnsi="Arial" w:cstheme="minorBidi"/>
          <w:sz w:val="18"/>
          <w:lang w:eastAsia="en-US"/>
        </w:rPr>
        <w:t xml:space="preserve"> and assisting Member States in making effective use of it in policy design</w:t>
      </w:r>
      <w:r>
        <w:rPr>
          <w:rFonts w:ascii="Arial" w:eastAsiaTheme="minorHAnsi" w:hAnsi="Arial" w:cstheme="minorBidi"/>
          <w:sz w:val="18"/>
          <w:lang w:eastAsia="en-US"/>
        </w:rPr>
        <w:t>;</w:t>
      </w:r>
    </w:p>
    <w:p w14:paraId="14CAF434"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Providing</w:t>
      </w:r>
      <w:r w:rsidRPr="001035FC">
        <w:rPr>
          <w:rFonts w:ascii="Arial" w:eastAsiaTheme="minorHAnsi" w:hAnsi="Arial" w:cstheme="minorBidi"/>
          <w:sz w:val="18"/>
          <w:lang w:eastAsia="en-US"/>
        </w:rPr>
        <w:t xml:space="preserve"> in-depth analysis on the role the IP system plays in the global economy by publishing thematic World Intellectual Property Reports</w:t>
      </w:r>
      <w:r>
        <w:rPr>
          <w:rFonts w:ascii="Arial" w:eastAsiaTheme="minorHAnsi" w:hAnsi="Arial" w:cstheme="minorBidi"/>
          <w:sz w:val="18"/>
          <w:lang w:eastAsia="en-US"/>
        </w:rPr>
        <w:t>;</w:t>
      </w:r>
    </w:p>
    <w:p w14:paraId="490727B0"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Engaging</w:t>
      </w:r>
      <w:r w:rsidRPr="001035FC">
        <w:rPr>
          <w:rFonts w:ascii="Arial" w:eastAsiaTheme="minorHAnsi" w:hAnsi="Arial" w:cstheme="minorBidi"/>
          <w:sz w:val="18"/>
          <w:lang w:eastAsia="en-US"/>
        </w:rPr>
        <w:t xml:space="preserve"> in economic study work in developing economies, including study work requested by the CDIP</w:t>
      </w:r>
      <w:r>
        <w:rPr>
          <w:rFonts w:ascii="Arial" w:eastAsiaTheme="minorHAnsi" w:hAnsi="Arial" w:cstheme="minorBidi"/>
          <w:sz w:val="18"/>
          <w:lang w:eastAsia="en-US"/>
        </w:rPr>
        <w:t>;</w:t>
      </w:r>
    </w:p>
    <w:p w14:paraId="328A58A4"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Mobilizing</w:t>
      </w:r>
      <w:r w:rsidRPr="001035FC">
        <w:rPr>
          <w:rFonts w:ascii="Arial" w:eastAsiaTheme="minorHAnsi" w:hAnsi="Arial" w:cstheme="minorBidi"/>
          <w:sz w:val="18"/>
          <w:lang w:eastAsia="en-US"/>
        </w:rPr>
        <w:t xml:space="preserve"> original data </w:t>
      </w:r>
      <w:r>
        <w:rPr>
          <w:rFonts w:ascii="Arial" w:eastAsiaTheme="minorHAnsi" w:hAnsi="Arial" w:cstheme="minorBidi"/>
          <w:sz w:val="18"/>
          <w:lang w:eastAsia="en-US"/>
        </w:rPr>
        <w:t xml:space="preserve">relating to </w:t>
      </w:r>
      <w:r w:rsidRPr="001035FC">
        <w:rPr>
          <w:rFonts w:ascii="Arial" w:eastAsiaTheme="minorHAnsi" w:hAnsi="Arial" w:cstheme="minorBidi"/>
          <w:sz w:val="18"/>
          <w:lang w:eastAsia="en-US"/>
        </w:rPr>
        <w:t>the creative economy and conduct</w:t>
      </w:r>
      <w:r>
        <w:rPr>
          <w:rFonts w:ascii="Arial" w:eastAsiaTheme="minorHAnsi" w:hAnsi="Arial" w:cstheme="minorBidi"/>
          <w:sz w:val="18"/>
          <w:lang w:eastAsia="en-US"/>
        </w:rPr>
        <w:t>ing</w:t>
      </w:r>
      <w:r w:rsidRPr="001035FC">
        <w:rPr>
          <w:rFonts w:ascii="Arial" w:eastAsiaTheme="minorHAnsi" w:hAnsi="Arial" w:cstheme="minorBidi"/>
          <w:sz w:val="18"/>
          <w:lang w:eastAsia="en-US"/>
        </w:rPr>
        <w:t xml:space="preserve"> studies enabling </w:t>
      </w:r>
      <w:r>
        <w:rPr>
          <w:rFonts w:ascii="Arial" w:eastAsiaTheme="minorHAnsi" w:hAnsi="Arial" w:cstheme="minorBidi"/>
          <w:sz w:val="18"/>
          <w:lang w:eastAsia="en-US"/>
        </w:rPr>
        <w:t xml:space="preserve">data-driven </w:t>
      </w:r>
      <w:r w:rsidRPr="001035FC">
        <w:rPr>
          <w:rFonts w:ascii="Arial" w:eastAsiaTheme="minorHAnsi" w:hAnsi="Arial" w:cstheme="minorBidi"/>
          <w:sz w:val="18"/>
          <w:lang w:eastAsia="en-US"/>
        </w:rPr>
        <w:t xml:space="preserve">insights into </w:t>
      </w:r>
      <w:r>
        <w:rPr>
          <w:rFonts w:ascii="Arial" w:eastAsiaTheme="minorHAnsi" w:hAnsi="Arial" w:cstheme="minorBidi"/>
          <w:sz w:val="18"/>
          <w:lang w:eastAsia="en-US"/>
        </w:rPr>
        <w:t xml:space="preserve">the relevant drivers </w:t>
      </w:r>
      <w:r w:rsidRPr="001035FC">
        <w:rPr>
          <w:rFonts w:ascii="Arial" w:eastAsiaTheme="minorHAnsi" w:hAnsi="Arial" w:cstheme="minorBidi"/>
          <w:sz w:val="18"/>
          <w:lang w:eastAsia="en-US"/>
        </w:rPr>
        <w:t xml:space="preserve">of </w:t>
      </w:r>
      <w:r>
        <w:rPr>
          <w:rFonts w:ascii="Arial" w:eastAsiaTheme="minorHAnsi" w:hAnsi="Arial" w:cstheme="minorBidi"/>
          <w:sz w:val="18"/>
          <w:lang w:eastAsia="en-US"/>
        </w:rPr>
        <w:t>the creative economy, including the role of IP-backed finance, so as to assist policy-makers and other stakeholders;</w:t>
      </w:r>
    </w:p>
    <w:p w14:paraId="00774CEB" w14:textId="77777777" w:rsidR="0044491C" w:rsidRPr="001035F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sidRPr="001035FC">
        <w:rPr>
          <w:rFonts w:ascii="Arial" w:eastAsiaTheme="minorHAnsi" w:hAnsi="Arial" w:cstheme="minorBidi"/>
          <w:sz w:val="18"/>
          <w:lang w:eastAsia="en-US"/>
        </w:rPr>
        <w:t>Maximiz</w:t>
      </w:r>
      <w:r>
        <w:rPr>
          <w:rFonts w:ascii="Arial" w:eastAsiaTheme="minorHAnsi" w:hAnsi="Arial" w:cstheme="minorBidi"/>
          <w:sz w:val="18"/>
          <w:lang w:eastAsia="en-US"/>
        </w:rPr>
        <w:t>ing</w:t>
      </w:r>
      <w:r w:rsidRPr="001035FC">
        <w:rPr>
          <w:rFonts w:ascii="Arial" w:eastAsiaTheme="minorHAnsi" w:hAnsi="Arial" w:cstheme="minorBidi"/>
          <w:sz w:val="18"/>
          <w:lang w:eastAsia="en-US"/>
        </w:rPr>
        <w:t xml:space="preserve"> institutional synergies and promoting research quality by continuing to coordinate the global network of IP </w:t>
      </w:r>
      <w:r>
        <w:rPr>
          <w:rFonts w:ascii="Arial" w:eastAsiaTheme="minorHAnsi" w:hAnsi="Arial" w:cstheme="minorBidi"/>
          <w:sz w:val="18"/>
          <w:lang w:eastAsia="en-US"/>
        </w:rPr>
        <w:t>O</w:t>
      </w:r>
      <w:r w:rsidRPr="001035FC">
        <w:rPr>
          <w:rFonts w:ascii="Arial" w:eastAsiaTheme="minorHAnsi" w:hAnsi="Arial" w:cstheme="minorBidi"/>
          <w:sz w:val="18"/>
          <w:lang w:eastAsia="en-US"/>
        </w:rPr>
        <w:t>ffice economists</w:t>
      </w:r>
      <w:r>
        <w:rPr>
          <w:rFonts w:ascii="Arial" w:eastAsiaTheme="minorHAnsi" w:hAnsi="Arial" w:cstheme="minorBidi"/>
          <w:sz w:val="18"/>
          <w:lang w:eastAsia="en-US"/>
        </w:rPr>
        <w:t>.</w:t>
      </w:r>
    </w:p>
    <w:p w14:paraId="7BCE95D4" w14:textId="77777777" w:rsidR="0044491C" w:rsidRPr="00CE7001" w:rsidRDefault="0044491C" w:rsidP="00CE7001">
      <w:pPr>
        <w:pStyle w:val="NormalAbb"/>
        <w:rPr>
          <w:color w:val="005172" w:themeColor="text2"/>
          <w:sz w:val="22"/>
          <w:lang w:val="en-US"/>
        </w:rPr>
      </w:pPr>
      <w:r w:rsidRPr="00CE7001">
        <w:rPr>
          <w:color w:val="005172" w:themeColor="text2"/>
          <w:sz w:val="22"/>
          <w:lang w:val="en-US"/>
        </w:rPr>
        <w:t xml:space="preserve">IP for Business </w:t>
      </w:r>
    </w:p>
    <w:p w14:paraId="3F56EAA4" w14:textId="6B2C1CD0" w:rsidR="0044491C" w:rsidRPr="00FA7C78" w:rsidRDefault="0044491C" w:rsidP="0044491C">
      <w:pPr>
        <w:pStyle w:val="xxheading1nonumb"/>
        <w:spacing w:before="0"/>
        <w:rPr>
          <w:bCs/>
          <w:color w:val="auto"/>
          <w:sz w:val="18"/>
          <w:szCs w:val="18"/>
        </w:rPr>
      </w:pPr>
      <w:r w:rsidRPr="00FA7C78">
        <w:rPr>
          <w:bCs/>
          <w:color w:val="auto"/>
          <w:sz w:val="18"/>
          <w:szCs w:val="18"/>
        </w:rPr>
        <w:t xml:space="preserve">The IP </w:t>
      </w:r>
      <w:r w:rsidR="00847544">
        <w:rPr>
          <w:bCs/>
          <w:color w:val="auto"/>
          <w:sz w:val="18"/>
          <w:szCs w:val="18"/>
        </w:rPr>
        <w:t>for</w:t>
      </w:r>
      <w:r w:rsidRPr="00FA7C78">
        <w:rPr>
          <w:bCs/>
          <w:color w:val="auto"/>
          <w:sz w:val="18"/>
          <w:szCs w:val="18"/>
        </w:rPr>
        <w:t xml:space="preserve"> Business Division </w:t>
      </w:r>
      <w:r w:rsidR="00847544">
        <w:rPr>
          <w:bCs/>
          <w:color w:val="auto"/>
          <w:sz w:val="18"/>
          <w:szCs w:val="18"/>
        </w:rPr>
        <w:t>seeks</w:t>
      </w:r>
      <w:r w:rsidRPr="00FA7C78">
        <w:rPr>
          <w:bCs/>
          <w:color w:val="auto"/>
          <w:sz w:val="18"/>
          <w:szCs w:val="18"/>
        </w:rPr>
        <w:t xml:space="preserve"> </w:t>
      </w:r>
      <w:r>
        <w:rPr>
          <w:bCs/>
          <w:color w:val="auto"/>
          <w:sz w:val="18"/>
          <w:szCs w:val="18"/>
        </w:rPr>
        <w:t>to</w:t>
      </w:r>
      <w:r w:rsidRPr="00FA7C78">
        <w:rPr>
          <w:bCs/>
          <w:color w:val="auto"/>
          <w:sz w:val="18"/>
          <w:szCs w:val="18"/>
        </w:rPr>
        <w:t xml:space="preserve"> deploy tools, programs and </w:t>
      </w:r>
      <w:r w:rsidR="0026419C" w:rsidRPr="00FA7C78">
        <w:rPr>
          <w:bCs/>
          <w:color w:val="auto"/>
          <w:sz w:val="18"/>
          <w:szCs w:val="18"/>
        </w:rPr>
        <w:t>materials to</w:t>
      </w:r>
      <w:r w:rsidRPr="00FA7C78">
        <w:rPr>
          <w:bCs/>
          <w:color w:val="auto"/>
          <w:sz w:val="18"/>
          <w:szCs w:val="18"/>
        </w:rPr>
        <w:t xml:space="preserve"> support businesses and entrepreneurs in interested Member States to access and use the IP system</w:t>
      </w:r>
      <w:r>
        <w:rPr>
          <w:bCs/>
          <w:color w:val="auto"/>
          <w:sz w:val="18"/>
          <w:szCs w:val="18"/>
        </w:rPr>
        <w:t xml:space="preserve">.  This will be done through </w:t>
      </w:r>
      <w:r w:rsidRPr="00FA7C78">
        <w:rPr>
          <w:bCs/>
          <w:color w:val="auto"/>
          <w:sz w:val="18"/>
          <w:szCs w:val="18"/>
        </w:rPr>
        <w:t>collaboration programs with IPOs, intermediaries and external partners.</w:t>
      </w:r>
      <w:r>
        <w:rPr>
          <w:bCs/>
          <w:color w:val="auto"/>
          <w:sz w:val="18"/>
          <w:szCs w:val="18"/>
        </w:rPr>
        <w:t xml:space="preserve">  The program of work will particularly focus on:</w:t>
      </w:r>
    </w:p>
    <w:p w14:paraId="047467EE"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sidRPr="00462C66">
        <w:rPr>
          <w:rFonts w:ascii="Arial" w:eastAsiaTheme="minorHAnsi" w:hAnsi="Arial" w:cstheme="minorBidi"/>
          <w:sz w:val="18"/>
          <w:lang w:eastAsia="en-US"/>
        </w:rPr>
        <w:t xml:space="preserve">Creating </w:t>
      </w:r>
      <w:r>
        <w:rPr>
          <w:rFonts w:ascii="Arial" w:eastAsiaTheme="minorHAnsi" w:hAnsi="Arial" w:cstheme="minorBidi"/>
          <w:sz w:val="18"/>
          <w:lang w:eastAsia="en-US"/>
        </w:rPr>
        <w:t xml:space="preserve">business friendly </w:t>
      </w:r>
      <w:r w:rsidRPr="00462C66">
        <w:rPr>
          <w:rFonts w:ascii="Arial" w:eastAsiaTheme="minorHAnsi" w:hAnsi="Arial" w:cstheme="minorBidi"/>
          <w:sz w:val="18"/>
          <w:lang w:eastAsia="en-US"/>
        </w:rPr>
        <w:t>tools and services that facilitate the awareness, understanding and use of the IP system</w:t>
      </w:r>
      <w:r>
        <w:rPr>
          <w:rFonts w:ascii="Arial" w:eastAsiaTheme="minorHAnsi" w:hAnsi="Arial" w:cstheme="minorBidi"/>
          <w:sz w:val="18"/>
          <w:lang w:eastAsia="en-US"/>
        </w:rPr>
        <w:t xml:space="preserve"> by entrepreneurs and enterprises, so that IP becomes a core part of their business strategy;</w:t>
      </w:r>
    </w:p>
    <w:p w14:paraId="00C3BA7B" w14:textId="3F20C9E5" w:rsidR="0044491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sidRPr="000A30C6">
        <w:rPr>
          <w:rFonts w:ascii="Arial" w:eastAsiaTheme="minorHAnsi" w:hAnsi="Arial" w:cstheme="minorBidi"/>
          <w:sz w:val="18"/>
          <w:lang w:eastAsia="en-US"/>
        </w:rPr>
        <w:t>Assisting national IP Offices and SME i</w:t>
      </w:r>
      <w:r>
        <w:rPr>
          <w:rFonts w:ascii="Arial" w:eastAsiaTheme="minorHAnsi" w:hAnsi="Arial" w:cstheme="minorBidi"/>
          <w:sz w:val="18"/>
          <w:lang w:eastAsia="en-US"/>
        </w:rPr>
        <w:t>ntermediaries in integrating IP-</w:t>
      </w:r>
      <w:r w:rsidRPr="000A30C6">
        <w:rPr>
          <w:rFonts w:ascii="Arial" w:eastAsiaTheme="minorHAnsi" w:hAnsi="Arial" w:cstheme="minorBidi"/>
          <w:sz w:val="18"/>
          <w:lang w:eastAsia="en-US"/>
        </w:rPr>
        <w:t xml:space="preserve">related support </w:t>
      </w:r>
      <w:r>
        <w:rPr>
          <w:rFonts w:ascii="Arial" w:eastAsiaTheme="minorHAnsi" w:hAnsi="Arial" w:cstheme="minorBidi"/>
          <w:sz w:val="18"/>
          <w:lang w:eastAsia="en-US"/>
        </w:rPr>
        <w:t>in</w:t>
      </w:r>
      <w:r w:rsidRPr="000A30C6">
        <w:rPr>
          <w:rFonts w:ascii="Arial" w:eastAsiaTheme="minorHAnsi" w:hAnsi="Arial" w:cstheme="minorBidi"/>
          <w:sz w:val="18"/>
          <w:lang w:eastAsia="en-US"/>
        </w:rPr>
        <w:t xml:space="preserve"> their existing menu of services for businesses</w:t>
      </w:r>
      <w:r>
        <w:rPr>
          <w:rFonts w:ascii="Arial" w:eastAsiaTheme="minorHAnsi" w:hAnsi="Arial" w:cstheme="minorBidi"/>
          <w:sz w:val="18"/>
          <w:lang w:eastAsia="en-US"/>
        </w:rPr>
        <w:t>, and through this, to allow SMEs all over the world to use IP effectively;</w:t>
      </w:r>
      <w:r w:rsidRPr="000A30C6">
        <w:rPr>
          <w:rFonts w:ascii="Arial" w:eastAsiaTheme="minorHAnsi" w:hAnsi="Arial" w:cstheme="minorBidi"/>
          <w:sz w:val="18"/>
          <w:lang w:eastAsia="en-US"/>
        </w:rPr>
        <w:t> </w:t>
      </w:r>
    </w:p>
    <w:p w14:paraId="67EE2FBB" w14:textId="73635AE3" w:rsidR="00D97431" w:rsidRPr="000A30C6" w:rsidRDefault="00D97431"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 xml:space="preserve">Facilitating </w:t>
      </w:r>
      <w:r w:rsidR="000F6A2A">
        <w:rPr>
          <w:rFonts w:ascii="Arial" w:eastAsiaTheme="minorHAnsi" w:hAnsi="Arial" w:cstheme="minorBidi"/>
          <w:sz w:val="18"/>
          <w:lang w:eastAsia="en-US"/>
        </w:rPr>
        <w:t>d</w:t>
      </w:r>
      <w:r>
        <w:rPr>
          <w:rFonts w:ascii="Arial" w:eastAsiaTheme="minorHAnsi" w:hAnsi="Arial" w:cstheme="minorBidi"/>
          <w:sz w:val="18"/>
          <w:lang w:eastAsia="en-US"/>
        </w:rPr>
        <w:t>ialogue and knowledge sharing among Member States and other stakeholders on IP and SMEs</w:t>
      </w:r>
      <w:r w:rsidR="00D620B0">
        <w:rPr>
          <w:rFonts w:ascii="Arial" w:eastAsiaTheme="minorHAnsi" w:hAnsi="Arial" w:cstheme="minorBidi"/>
          <w:sz w:val="18"/>
          <w:lang w:eastAsia="en-US"/>
        </w:rPr>
        <w:t>;</w:t>
      </w:r>
    </w:p>
    <w:p w14:paraId="6FD5A9D1"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 xml:space="preserve">Providing technical assistance and </w:t>
      </w:r>
      <w:r w:rsidRPr="000A30C6">
        <w:rPr>
          <w:rFonts w:ascii="Arial" w:eastAsiaTheme="minorHAnsi" w:hAnsi="Arial" w:cstheme="minorBidi"/>
          <w:sz w:val="18"/>
          <w:lang w:eastAsia="en-US"/>
        </w:rPr>
        <w:t xml:space="preserve">building </w:t>
      </w:r>
      <w:r>
        <w:rPr>
          <w:rFonts w:ascii="Arial" w:eastAsiaTheme="minorHAnsi" w:hAnsi="Arial" w:cstheme="minorBidi"/>
          <w:sz w:val="18"/>
          <w:lang w:eastAsia="en-US"/>
        </w:rPr>
        <w:t>local capacities</w:t>
      </w:r>
      <w:r w:rsidRPr="000A30C6">
        <w:rPr>
          <w:rFonts w:ascii="Arial" w:eastAsiaTheme="minorHAnsi" w:hAnsi="Arial" w:cstheme="minorBidi"/>
          <w:sz w:val="18"/>
          <w:lang w:eastAsia="en-US"/>
        </w:rPr>
        <w:t xml:space="preserve"> on IP management, IP valuation, </w:t>
      </w:r>
      <w:r>
        <w:rPr>
          <w:rFonts w:ascii="Arial" w:eastAsiaTheme="minorHAnsi" w:hAnsi="Arial" w:cstheme="minorBidi"/>
          <w:sz w:val="18"/>
          <w:lang w:eastAsia="en-US"/>
        </w:rPr>
        <w:t xml:space="preserve">IP backed financing, </w:t>
      </w:r>
      <w:r w:rsidRPr="000A30C6">
        <w:rPr>
          <w:rFonts w:ascii="Arial" w:eastAsiaTheme="minorHAnsi" w:hAnsi="Arial" w:cstheme="minorBidi"/>
          <w:sz w:val="18"/>
          <w:lang w:eastAsia="en-US"/>
        </w:rPr>
        <w:t xml:space="preserve">IP commercialization and other </w:t>
      </w:r>
      <w:r>
        <w:rPr>
          <w:rFonts w:ascii="Arial" w:eastAsiaTheme="minorHAnsi" w:hAnsi="Arial" w:cstheme="minorBidi"/>
          <w:sz w:val="18"/>
          <w:lang w:eastAsia="en-US"/>
        </w:rPr>
        <w:t xml:space="preserve">related </w:t>
      </w:r>
      <w:r w:rsidRPr="001035FC">
        <w:rPr>
          <w:rFonts w:ascii="Arial" w:eastAsiaTheme="minorHAnsi" w:hAnsi="Arial" w:cstheme="minorBidi"/>
          <w:sz w:val="18"/>
          <w:lang w:eastAsia="en-US"/>
        </w:rPr>
        <w:t xml:space="preserve">areas </w:t>
      </w:r>
      <w:r>
        <w:rPr>
          <w:rFonts w:ascii="Arial" w:eastAsiaTheme="minorHAnsi" w:hAnsi="Arial" w:cstheme="minorBidi"/>
          <w:sz w:val="18"/>
          <w:lang w:eastAsia="en-US"/>
        </w:rPr>
        <w:t>to support business</w:t>
      </w:r>
      <w:r w:rsidRPr="001035FC">
        <w:rPr>
          <w:rFonts w:ascii="Arial" w:eastAsiaTheme="minorHAnsi" w:hAnsi="Arial" w:cstheme="minorBidi"/>
          <w:sz w:val="18"/>
          <w:lang w:eastAsia="en-US"/>
        </w:rPr>
        <w:t xml:space="preserve"> grow</w:t>
      </w:r>
      <w:r>
        <w:rPr>
          <w:rFonts w:ascii="Arial" w:eastAsiaTheme="minorHAnsi" w:hAnsi="Arial" w:cstheme="minorBidi"/>
          <w:sz w:val="18"/>
          <w:lang w:eastAsia="en-US"/>
        </w:rPr>
        <w:t>th</w:t>
      </w:r>
      <w:r w:rsidRPr="001035FC">
        <w:rPr>
          <w:rFonts w:ascii="Arial" w:eastAsiaTheme="minorHAnsi" w:hAnsi="Arial" w:cstheme="minorBidi"/>
          <w:sz w:val="18"/>
          <w:lang w:eastAsia="en-US"/>
        </w:rPr>
        <w:t xml:space="preserve"> through the</w:t>
      </w:r>
      <w:r>
        <w:rPr>
          <w:rFonts w:ascii="Arial" w:eastAsiaTheme="minorHAnsi" w:hAnsi="Arial" w:cstheme="minorBidi"/>
          <w:sz w:val="18"/>
          <w:lang w:eastAsia="en-US"/>
        </w:rPr>
        <w:t xml:space="preserve"> effective</w:t>
      </w:r>
      <w:r w:rsidRPr="001035FC">
        <w:rPr>
          <w:rFonts w:ascii="Arial" w:eastAsiaTheme="minorHAnsi" w:hAnsi="Arial" w:cstheme="minorBidi"/>
          <w:sz w:val="18"/>
          <w:lang w:eastAsia="en-US"/>
        </w:rPr>
        <w:t xml:space="preserve"> use of </w:t>
      </w:r>
      <w:r>
        <w:rPr>
          <w:rFonts w:ascii="Arial" w:eastAsiaTheme="minorHAnsi" w:hAnsi="Arial" w:cstheme="minorBidi"/>
          <w:sz w:val="18"/>
          <w:lang w:eastAsia="en-US"/>
        </w:rPr>
        <w:t>intangible assets;</w:t>
      </w:r>
      <w:r w:rsidRPr="001035FC">
        <w:rPr>
          <w:rFonts w:ascii="Arial" w:eastAsiaTheme="minorHAnsi" w:hAnsi="Arial" w:cstheme="minorBidi"/>
          <w:sz w:val="18"/>
          <w:lang w:eastAsia="en-US"/>
        </w:rPr>
        <w:t> </w:t>
      </w:r>
    </w:p>
    <w:p w14:paraId="72E0AC69" w14:textId="77777777" w:rsidR="0044491C" w:rsidRDefault="0044491C" w:rsidP="008407D7">
      <w:pPr>
        <w:pStyle w:val="ListParagraph"/>
        <w:numPr>
          <w:ilvl w:val="0"/>
          <w:numId w:val="31"/>
        </w:numPr>
        <w:shd w:val="clear" w:color="auto" w:fill="FFFFFF" w:themeFill="background1"/>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Improving the access of different stakeholders to the IP system via amplifier programs such as the national, regional and international patent drafting training and the Inventor Assistance Program (IAP);</w:t>
      </w:r>
    </w:p>
    <w:p w14:paraId="30433CB2" w14:textId="77777777" w:rsidR="0044491C" w:rsidRDefault="0044491C" w:rsidP="008407D7">
      <w:pPr>
        <w:pStyle w:val="ListParagraph"/>
        <w:numPr>
          <w:ilvl w:val="0"/>
          <w:numId w:val="31"/>
        </w:numPr>
        <w:shd w:val="clear" w:color="auto" w:fill="FFFFFF" w:themeFill="background1"/>
        <w:spacing w:after="180"/>
        <w:contextualSpacing w:val="0"/>
        <w:rPr>
          <w:rFonts w:ascii="Arial" w:eastAsiaTheme="minorHAnsi" w:hAnsi="Arial" w:cstheme="minorBidi"/>
          <w:sz w:val="18"/>
          <w:lang w:eastAsia="en-US"/>
        </w:rPr>
      </w:pPr>
      <w:r>
        <w:rPr>
          <w:rFonts w:ascii="Arial" w:eastAsiaTheme="minorHAnsi" w:hAnsi="Arial" w:cstheme="minorBidi"/>
          <w:sz w:val="18"/>
          <w:lang w:eastAsia="en-US"/>
        </w:rPr>
        <w:t>Supporting businesses to effectively use IP for the commercialization of public sector innovation and bringing it to market for the benefit of society</w:t>
      </w:r>
      <w:r w:rsidRPr="000A30C6">
        <w:rPr>
          <w:rFonts w:ascii="Arial" w:eastAsiaTheme="minorHAnsi" w:hAnsi="Arial" w:cstheme="minorBidi"/>
          <w:sz w:val="18"/>
          <w:lang w:eastAsia="en-US"/>
        </w:rPr>
        <w:t>.</w:t>
      </w:r>
    </w:p>
    <w:p w14:paraId="1E7C3895" w14:textId="77777777" w:rsidR="0044491C" w:rsidRPr="00CE7001" w:rsidRDefault="0044491C" w:rsidP="00CE7001">
      <w:pPr>
        <w:pStyle w:val="NormalAbb"/>
        <w:rPr>
          <w:color w:val="005172" w:themeColor="text2"/>
          <w:sz w:val="22"/>
          <w:lang w:val="en-US"/>
        </w:rPr>
      </w:pPr>
      <w:r w:rsidRPr="00CE7001">
        <w:rPr>
          <w:color w:val="005172" w:themeColor="text2"/>
          <w:sz w:val="22"/>
          <w:lang w:val="en-US"/>
        </w:rPr>
        <w:t xml:space="preserve">IP for Innovators </w:t>
      </w:r>
    </w:p>
    <w:p w14:paraId="1E935D49" w14:textId="77777777" w:rsidR="0044491C" w:rsidRPr="000A30C6" w:rsidRDefault="0044491C" w:rsidP="0044491C">
      <w:pPr>
        <w:rPr>
          <w:rFonts w:cs="Arial"/>
          <w:szCs w:val="18"/>
        </w:rPr>
      </w:pPr>
      <w:r w:rsidRPr="000A30C6">
        <w:rPr>
          <w:rFonts w:cs="Arial"/>
          <w:szCs w:val="18"/>
        </w:rPr>
        <w:t xml:space="preserve">IP for Innovators supports </w:t>
      </w:r>
      <w:r>
        <w:rPr>
          <w:rFonts w:cs="Arial"/>
          <w:szCs w:val="18"/>
        </w:rPr>
        <w:t xml:space="preserve">local researchers, </w:t>
      </w:r>
      <w:r w:rsidRPr="000A30C6">
        <w:rPr>
          <w:rFonts w:cs="Arial"/>
          <w:szCs w:val="18"/>
        </w:rPr>
        <w:t>innovators</w:t>
      </w:r>
      <w:r>
        <w:rPr>
          <w:rFonts w:cs="Arial"/>
          <w:szCs w:val="18"/>
        </w:rPr>
        <w:t>,</w:t>
      </w:r>
      <w:r w:rsidRPr="000A30C6">
        <w:rPr>
          <w:rFonts w:cs="Arial"/>
          <w:szCs w:val="18"/>
        </w:rPr>
        <w:t xml:space="preserve"> </w:t>
      </w:r>
      <w:r>
        <w:rPr>
          <w:rFonts w:cs="Arial"/>
          <w:szCs w:val="18"/>
        </w:rPr>
        <w:t xml:space="preserve">universities and research institutions </w:t>
      </w:r>
      <w:r w:rsidRPr="000A30C6">
        <w:rPr>
          <w:rFonts w:cs="Arial"/>
          <w:szCs w:val="18"/>
        </w:rPr>
        <w:t xml:space="preserve">to use </w:t>
      </w:r>
      <w:r>
        <w:rPr>
          <w:rFonts w:cs="Arial"/>
          <w:szCs w:val="18"/>
          <w:lang w:val="en-US"/>
        </w:rPr>
        <w:t>IP</w:t>
      </w:r>
      <w:r w:rsidRPr="000A30C6">
        <w:rPr>
          <w:rFonts w:cs="Arial"/>
          <w:szCs w:val="18"/>
        </w:rPr>
        <w:t xml:space="preserve"> as a tool for growth and sustainable development</w:t>
      </w:r>
      <w:r>
        <w:rPr>
          <w:rFonts w:cs="Arial"/>
          <w:szCs w:val="18"/>
        </w:rPr>
        <w:t>, in particular, through services</w:t>
      </w:r>
      <w:r w:rsidRPr="00A83536">
        <w:t xml:space="preserve"> </w:t>
      </w:r>
      <w:r>
        <w:rPr>
          <w:rFonts w:cs="Arial"/>
          <w:szCs w:val="18"/>
        </w:rPr>
        <w:t xml:space="preserve">providing </w:t>
      </w:r>
      <w:r w:rsidRPr="000A30C6">
        <w:rPr>
          <w:rFonts w:cs="Arial"/>
          <w:szCs w:val="18"/>
          <w:lang w:val="en-US"/>
        </w:rPr>
        <w:t>IP informatio</w:t>
      </w:r>
      <w:r>
        <w:rPr>
          <w:rFonts w:cs="Arial"/>
          <w:szCs w:val="18"/>
          <w:lang w:val="en-US"/>
        </w:rPr>
        <w:t>n,</w:t>
      </w:r>
      <w:r w:rsidRPr="000A30C6">
        <w:rPr>
          <w:rFonts w:cs="Arial"/>
          <w:szCs w:val="18"/>
          <w:lang w:val="en-US"/>
        </w:rPr>
        <w:t xml:space="preserve"> </w:t>
      </w:r>
      <w:r>
        <w:rPr>
          <w:rFonts w:cs="Arial"/>
          <w:szCs w:val="18"/>
          <w:lang w:val="en-US"/>
        </w:rPr>
        <w:t xml:space="preserve">supporting more effective </w:t>
      </w:r>
      <w:r w:rsidRPr="000A30C6">
        <w:rPr>
          <w:rFonts w:cs="Arial"/>
          <w:szCs w:val="18"/>
          <w:lang w:val="en-US"/>
        </w:rPr>
        <w:t>IP rights management</w:t>
      </w:r>
      <w:r>
        <w:rPr>
          <w:rFonts w:cs="Arial"/>
          <w:szCs w:val="18"/>
          <w:lang w:val="en-US"/>
        </w:rPr>
        <w:t xml:space="preserve"> </w:t>
      </w:r>
      <w:r w:rsidRPr="000A30C6">
        <w:rPr>
          <w:rFonts w:cs="Arial"/>
          <w:szCs w:val="18"/>
          <w:lang w:val="en-US"/>
        </w:rPr>
        <w:t xml:space="preserve">and </w:t>
      </w:r>
      <w:r>
        <w:rPr>
          <w:rFonts w:cs="Arial"/>
          <w:szCs w:val="18"/>
          <w:lang w:val="en-US"/>
        </w:rPr>
        <w:t xml:space="preserve">in facilitating more efficient </w:t>
      </w:r>
      <w:r w:rsidRPr="000A30C6">
        <w:rPr>
          <w:rFonts w:cs="Arial"/>
          <w:szCs w:val="18"/>
          <w:lang w:val="en-US"/>
        </w:rPr>
        <w:t>technology transfer.</w:t>
      </w:r>
      <w:r>
        <w:rPr>
          <w:rFonts w:cs="Arial"/>
          <w:szCs w:val="18"/>
          <w:lang w:val="en-US"/>
        </w:rPr>
        <w:t xml:space="preserve"> </w:t>
      </w:r>
      <w:r w:rsidRPr="000A30C6">
        <w:rPr>
          <w:rFonts w:cs="Arial"/>
          <w:szCs w:val="18"/>
          <w:lang w:val="en-US"/>
        </w:rPr>
        <w:t xml:space="preserve"> </w:t>
      </w:r>
      <w:r>
        <w:rPr>
          <w:rFonts w:cs="Arial"/>
          <w:szCs w:val="18"/>
          <w:lang w:val="en-US"/>
        </w:rPr>
        <w:t>These services are underpinned by building individual and institutional capabilities, as well as forging networks among research institutions</w:t>
      </w:r>
      <w:r w:rsidRPr="00A83536">
        <w:t xml:space="preserve"> </w:t>
      </w:r>
      <w:r>
        <w:t xml:space="preserve">and </w:t>
      </w:r>
      <w:r w:rsidRPr="00642CCA">
        <w:rPr>
          <w:rFonts w:cs="Arial"/>
          <w:szCs w:val="18"/>
          <w:lang w:val="en-US"/>
        </w:rPr>
        <w:t>intermediary structures</w:t>
      </w:r>
      <w:r>
        <w:rPr>
          <w:rFonts w:cs="Arial"/>
          <w:szCs w:val="18"/>
          <w:lang w:val="en-US"/>
        </w:rPr>
        <w:t xml:space="preserve"> at the national, regional and international levels. </w:t>
      </w:r>
    </w:p>
    <w:p w14:paraId="166E72FE" w14:textId="77777777" w:rsidR="0044491C" w:rsidRPr="000A30C6" w:rsidRDefault="0044491C" w:rsidP="0044491C">
      <w:pPr>
        <w:rPr>
          <w:rFonts w:cs="Arial"/>
          <w:szCs w:val="18"/>
        </w:rPr>
      </w:pPr>
      <w:r w:rsidRPr="000A30C6">
        <w:rPr>
          <w:rFonts w:cs="Arial"/>
          <w:szCs w:val="18"/>
          <w:lang w:val="en-US"/>
        </w:rPr>
        <w:t xml:space="preserve">The </w:t>
      </w:r>
      <w:r>
        <w:rPr>
          <w:rFonts w:cs="Arial"/>
          <w:szCs w:val="18"/>
          <w:lang w:val="en-US"/>
        </w:rPr>
        <w:t xml:space="preserve">program of work in the next biennium </w:t>
      </w:r>
      <w:r w:rsidRPr="000A30C6">
        <w:rPr>
          <w:rFonts w:cs="Arial"/>
          <w:szCs w:val="18"/>
          <w:lang w:val="en-US"/>
        </w:rPr>
        <w:t xml:space="preserve">will </w:t>
      </w:r>
      <w:r>
        <w:rPr>
          <w:rFonts w:cs="Arial"/>
          <w:szCs w:val="18"/>
          <w:lang w:val="en-US"/>
        </w:rPr>
        <w:t>focus on</w:t>
      </w:r>
      <w:r w:rsidRPr="000A30C6">
        <w:rPr>
          <w:rFonts w:cs="Arial"/>
          <w:szCs w:val="18"/>
          <w:lang w:val="en-US"/>
        </w:rPr>
        <w:t>:</w:t>
      </w:r>
    </w:p>
    <w:p w14:paraId="263E39F7" w14:textId="77777777" w:rsidR="0044491C" w:rsidRPr="000A30C6"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sidRPr="000A30C6">
        <w:rPr>
          <w:rFonts w:ascii="Arial" w:hAnsi="Arial"/>
          <w:sz w:val="18"/>
          <w:szCs w:val="18"/>
        </w:rPr>
        <w:t xml:space="preserve">Building vibrant innovation ecosystems, underpinned by effective legislative frameworks and institutional IP policies to </w:t>
      </w:r>
      <w:r w:rsidRPr="000A30C6">
        <w:rPr>
          <w:rFonts w:ascii="Arial" w:eastAsiaTheme="minorHAnsi" w:hAnsi="Arial"/>
          <w:sz w:val="18"/>
          <w:szCs w:val="18"/>
          <w:lang w:val="en-GB" w:eastAsia="en-US"/>
        </w:rPr>
        <w:t>accelerate the translation of research into innovative products and services for the benefit of society;</w:t>
      </w:r>
    </w:p>
    <w:p w14:paraId="3C427B58" w14:textId="77777777" w:rsidR="0044491C"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Pr>
          <w:rFonts w:ascii="Arial" w:eastAsiaTheme="minorHAnsi" w:hAnsi="Arial"/>
          <w:sz w:val="18"/>
          <w:szCs w:val="18"/>
          <w:lang w:val="en-GB" w:eastAsia="en-US"/>
        </w:rPr>
        <w:t>Building institutional capacity for technology transfer and innovation support, in particular through establishing and d</w:t>
      </w:r>
      <w:r w:rsidRPr="000A30C6">
        <w:rPr>
          <w:rFonts w:ascii="Arial" w:eastAsiaTheme="minorHAnsi" w:hAnsi="Arial"/>
          <w:sz w:val="18"/>
          <w:szCs w:val="18"/>
          <w:lang w:val="en-GB" w:eastAsia="en-US"/>
        </w:rPr>
        <w:t>eveloping Technology and Innovation Support Centres (TISCs)</w:t>
      </w:r>
      <w:r>
        <w:rPr>
          <w:rFonts w:ascii="Arial" w:eastAsiaTheme="minorHAnsi" w:hAnsi="Arial"/>
          <w:sz w:val="18"/>
          <w:szCs w:val="18"/>
          <w:lang w:val="en-GB" w:eastAsia="en-US"/>
        </w:rPr>
        <w:t>, TTOs</w:t>
      </w:r>
      <w:r w:rsidRPr="000A30C6">
        <w:rPr>
          <w:rFonts w:ascii="Arial" w:eastAsiaTheme="minorHAnsi" w:hAnsi="Arial"/>
          <w:sz w:val="18"/>
          <w:szCs w:val="18"/>
          <w:lang w:val="en-GB" w:eastAsia="en-US"/>
        </w:rPr>
        <w:t xml:space="preserve"> and other</w:t>
      </w:r>
      <w:r>
        <w:rPr>
          <w:rFonts w:ascii="Arial" w:eastAsiaTheme="minorHAnsi" w:hAnsi="Arial"/>
          <w:sz w:val="18"/>
          <w:szCs w:val="18"/>
          <w:lang w:val="en-GB" w:eastAsia="en-US"/>
        </w:rPr>
        <w:t xml:space="preserve"> TT structures, such as </w:t>
      </w:r>
      <w:r w:rsidRPr="000A30C6">
        <w:rPr>
          <w:rFonts w:ascii="Arial" w:eastAsiaTheme="minorHAnsi" w:hAnsi="Arial"/>
          <w:sz w:val="18"/>
          <w:szCs w:val="18"/>
          <w:lang w:val="en-GB" w:eastAsia="en-US"/>
        </w:rPr>
        <w:t>techno</w:t>
      </w:r>
      <w:r>
        <w:rPr>
          <w:rFonts w:ascii="Arial" w:eastAsiaTheme="minorHAnsi" w:hAnsi="Arial"/>
          <w:sz w:val="18"/>
          <w:szCs w:val="18"/>
          <w:lang w:val="en-GB" w:eastAsia="en-US"/>
        </w:rPr>
        <w:t>-</w:t>
      </w:r>
      <w:r w:rsidRPr="000A30C6">
        <w:rPr>
          <w:rFonts w:ascii="Arial" w:eastAsiaTheme="minorHAnsi" w:hAnsi="Arial"/>
          <w:sz w:val="18"/>
          <w:szCs w:val="18"/>
          <w:lang w:val="en-GB" w:eastAsia="en-US"/>
        </w:rPr>
        <w:t>parks, incubators, IP hubs, etc.</w:t>
      </w:r>
      <w:r>
        <w:rPr>
          <w:rFonts w:ascii="Arial" w:eastAsiaTheme="minorHAnsi" w:hAnsi="Arial"/>
          <w:sz w:val="18"/>
          <w:szCs w:val="18"/>
          <w:lang w:val="en-GB" w:eastAsia="en-US"/>
        </w:rPr>
        <w:t xml:space="preserve">, </w:t>
      </w:r>
      <w:r w:rsidRPr="000A30C6">
        <w:rPr>
          <w:rFonts w:ascii="Arial" w:eastAsiaTheme="minorHAnsi" w:hAnsi="Arial"/>
          <w:sz w:val="18"/>
          <w:szCs w:val="18"/>
          <w:lang w:val="en-GB" w:eastAsia="en-US"/>
        </w:rPr>
        <w:t xml:space="preserve">as gateways to high quality IP services, </w:t>
      </w:r>
      <w:r>
        <w:rPr>
          <w:rFonts w:ascii="Arial" w:eastAsiaTheme="minorHAnsi" w:hAnsi="Arial"/>
          <w:sz w:val="18"/>
          <w:szCs w:val="18"/>
          <w:lang w:val="en-GB" w:eastAsia="en-US"/>
        </w:rPr>
        <w:t xml:space="preserve">which </w:t>
      </w:r>
      <w:r w:rsidRPr="000A30C6">
        <w:rPr>
          <w:rFonts w:ascii="Arial" w:eastAsiaTheme="minorHAnsi" w:hAnsi="Arial"/>
          <w:sz w:val="18"/>
          <w:szCs w:val="18"/>
          <w:lang w:val="en-GB" w:eastAsia="en-US"/>
        </w:rPr>
        <w:t>includ</w:t>
      </w:r>
      <w:r>
        <w:rPr>
          <w:rFonts w:ascii="Arial" w:eastAsiaTheme="minorHAnsi" w:hAnsi="Arial"/>
          <w:sz w:val="18"/>
          <w:szCs w:val="18"/>
          <w:lang w:val="en-GB" w:eastAsia="en-US"/>
        </w:rPr>
        <w:t>e</w:t>
      </w:r>
      <w:r w:rsidRPr="000A30C6">
        <w:rPr>
          <w:rFonts w:ascii="Arial" w:eastAsiaTheme="minorHAnsi" w:hAnsi="Arial"/>
          <w:sz w:val="18"/>
          <w:szCs w:val="18"/>
          <w:lang w:val="en-GB" w:eastAsia="en-US"/>
        </w:rPr>
        <w:t xml:space="preserve"> patent search and analytics</w:t>
      </w:r>
      <w:r>
        <w:rPr>
          <w:rFonts w:ascii="Arial" w:eastAsiaTheme="minorHAnsi" w:hAnsi="Arial"/>
          <w:sz w:val="18"/>
          <w:szCs w:val="18"/>
          <w:lang w:val="en-GB" w:eastAsia="en-US"/>
        </w:rPr>
        <w:t xml:space="preserve">, </w:t>
      </w:r>
      <w:r w:rsidRPr="000A30C6">
        <w:rPr>
          <w:rFonts w:ascii="Arial" w:eastAsiaTheme="minorHAnsi" w:hAnsi="Arial"/>
          <w:sz w:val="18"/>
          <w:szCs w:val="18"/>
          <w:lang w:val="en-GB" w:eastAsia="en-US"/>
        </w:rPr>
        <w:t>IP rights management services</w:t>
      </w:r>
      <w:r>
        <w:rPr>
          <w:rFonts w:ascii="Arial" w:eastAsiaTheme="minorHAnsi" w:hAnsi="Arial"/>
          <w:sz w:val="18"/>
          <w:szCs w:val="18"/>
          <w:lang w:val="en-GB" w:eastAsia="en-US"/>
        </w:rPr>
        <w:t>, brands and designs, and with a focus on specific sectors such as life sciences</w:t>
      </w:r>
      <w:r w:rsidRPr="000A30C6">
        <w:rPr>
          <w:rFonts w:ascii="Arial" w:eastAsiaTheme="minorHAnsi" w:hAnsi="Arial"/>
          <w:sz w:val="18"/>
          <w:szCs w:val="18"/>
          <w:lang w:val="en-GB" w:eastAsia="en-US"/>
        </w:rPr>
        <w:t>;</w:t>
      </w:r>
    </w:p>
    <w:p w14:paraId="5D82A4CD" w14:textId="77777777" w:rsidR="0044491C" w:rsidRPr="00EA2A7D"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sidRPr="00EA2A7D">
        <w:rPr>
          <w:rFonts w:ascii="Arial" w:eastAsiaTheme="minorHAnsi" w:hAnsi="Arial"/>
          <w:sz w:val="18"/>
          <w:szCs w:val="18"/>
          <w:lang w:val="en-GB" w:eastAsia="en-US"/>
        </w:rPr>
        <w:t xml:space="preserve">Fostering awareness-raising, </w:t>
      </w:r>
      <w:r>
        <w:rPr>
          <w:rFonts w:ascii="Arial" w:eastAsiaTheme="minorHAnsi" w:hAnsi="Arial"/>
          <w:sz w:val="18"/>
          <w:szCs w:val="18"/>
          <w:lang w:val="en-GB" w:eastAsia="en-US"/>
        </w:rPr>
        <w:t>developing skills and knowledge,</w:t>
      </w:r>
      <w:r w:rsidRPr="00EA2A7D">
        <w:rPr>
          <w:rFonts w:ascii="Arial" w:eastAsiaTheme="minorHAnsi" w:hAnsi="Arial"/>
          <w:sz w:val="18"/>
          <w:szCs w:val="18"/>
          <w:lang w:val="en-GB" w:eastAsia="en-US"/>
        </w:rPr>
        <w:t xml:space="preserve"> expert communities, partnerships and reference sources</w:t>
      </w:r>
      <w:r>
        <w:rPr>
          <w:rFonts w:ascii="Arial" w:eastAsiaTheme="minorHAnsi" w:hAnsi="Arial"/>
          <w:sz w:val="18"/>
          <w:szCs w:val="18"/>
          <w:lang w:val="en-GB" w:eastAsia="en-US"/>
        </w:rPr>
        <w:t>.</w:t>
      </w:r>
      <w:r w:rsidRPr="00EA2A7D">
        <w:rPr>
          <w:rFonts w:ascii="Arial" w:eastAsiaTheme="minorHAnsi" w:hAnsi="Arial"/>
          <w:sz w:val="18"/>
          <w:szCs w:val="18"/>
          <w:lang w:val="en-GB" w:eastAsia="en-US"/>
        </w:rPr>
        <w:t xml:space="preserve"> </w:t>
      </w:r>
      <w:r>
        <w:rPr>
          <w:rFonts w:ascii="Arial" w:eastAsiaTheme="minorHAnsi" w:hAnsi="Arial"/>
          <w:sz w:val="18"/>
          <w:szCs w:val="18"/>
          <w:lang w:val="en-GB" w:eastAsia="en-US"/>
        </w:rPr>
        <w:t xml:space="preserve"> B</w:t>
      </w:r>
      <w:r w:rsidRPr="00EA2A7D">
        <w:rPr>
          <w:rFonts w:ascii="Arial" w:eastAsiaTheme="minorHAnsi" w:hAnsi="Arial"/>
          <w:sz w:val="18"/>
          <w:szCs w:val="18"/>
          <w:lang w:val="en-GB" w:eastAsia="en-US"/>
        </w:rPr>
        <w:t>uilding WIPO’s global thought leadership in the areas of IP management, valuation and commercialization and technology transfer</w:t>
      </w:r>
      <w:r>
        <w:rPr>
          <w:rFonts w:ascii="Arial" w:eastAsiaTheme="minorHAnsi" w:hAnsi="Arial"/>
          <w:sz w:val="18"/>
          <w:szCs w:val="18"/>
          <w:lang w:val="en-GB" w:eastAsia="en-US"/>
        </w:rPr>
        <w:t>,</w:t>
      </w:r>
      <w:r w:rsidRPr="00EA2A7D">
        <w:rPr>
          <w:rFonts w:ascii="Arial" w:eastAsiaTheme="minorHAnsi" w:hAnsi="Arial"/>
          <w:sz w:val="18"/>
          <w:szCs w:val="18"/>
          <w:lang w:val="en-GB" w:eastAsia="en-US"/>
        </w:rPr>
        <w:t xml:space="preserve"> including in specific sectors, such as life sciences;</w:t>
      </w:r>
    </w:p>
    <w:p w14:paraId="77F93166" w14:textId="7445C7A1" w:rsidR="0044491C" w:rsidRPr="000A30C6"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sidRPr="000A30C6">
        <w:rPr>
          <w:rFonts w:ascii="Arial" w:eastAsiaTheme="minorHAnsi" w:hAnsi="Arial"/>
          <w:sz w:val="18"/>
          <w:szCs w:val="18"/>
          <w:lang w:val="en-GB" w:eastAsia="en-US"/>
        </w:rPr>
        <w:t>Enabling the provision of high quality IP services through new and upgraded information and knowledge platforms, tools, and resources</w:t>
      </w:r>
      <w:r>
        <w:rPr>
          <w:rFonts w:ascii="Arial" w:eastAsiaTheme="minorHAnsi" w:hAnsi="Arial"/>
          <w:sz w:val="18"/>
          <w:szCs w:val="18"/>
          <w:lang w:val="en-GB" w:eastAsia="en-US"/>
        </w:rPr>
        <w:t xml:space="preserve"> with a focus on specific sectors, such as life sciences</w:t>
      </w:r>
      <w:r w:rsidRPr="000A30C6">
        <w:rPr>
          <w:rFonts w:ascii="Arial" w:eastAsiaTheme="minorHAnsi" w:hAnsi="Arial"/>
          <w:sz w:val="18"/>
          <w:szCs w:val="18"/>
          <w:lang w:val="en-GB" w:eastAsia="en-US"/>
        </w:rPr>
        <w:t xml:space="preserve">, including the University IP Policies </w:t>
      </w:r>
      <w:r>
        <w:rPr>
          <w:rFonts w:ascii="Arial" w:eastAsiaTheme="minorHAnsi" w:hAnsi="Arial"/>
          <w:sz w:val="18"/>
          <w:szCs w:val="18"/>
          <w:lang w:val="en-GB" w:eastAsia="en-US"/>
        </w:rPr>
        <w:t xml:space="preserve">Toolkit and </w:t>
      </w:r>
      <w:r w:rsidRPr="000A30C6">
        <w:rPr>
          <w:rFonts w:ascii="Arial" w:eastAsiaTheme="minorHAnsi" w:hAnsi="Arial"/>
          <w:sz w:val="18"/>
          <w:szCs w:val="18"/>
          <w:lang w:val="en-GB" w:eastAsia="en-US"/>
        </w:rPr>
        <w:t xml:space="preserve">database, WIPO INSPIRE, the WIPO Patent Register Portal, </w:t>
      </w:r>
      <w:r>
        <w:rPr>
          <w:rFonts w:ascii="Arial" w:eastAsiaTheme="minorHAnsi" w:hAnsi="Arial"/>
          <w:sz w:val="18"/>
          <w:szCs w:val="18"/>
          <w:lang w:val="en-GB" w:eastAsia="en-US"/>
        </w:rPr>
        <w:t xml:space="preserve">TISC Project and Performance Management (TPPM) Platform, </w:t>
      </w:r>
      <w:r w:rsidRPr="000A30C6">
        <w:rPr>
          <w:rFonts w:ascii="Arial" w:eastAsiaTheme="minorHAnsi" w:hAnsi="Arial"/>
          <w:sz w:val="18"/>
          <w:szCs w:val="18"/>
          <w:lang w:val="en-GB" w:eastAsia="en-US"/>
        </w:rPr>
        <w:t xml:space="preserve">Successful Technology Licensing (STL) </w:t>
      </w:r>
      <w:r>
        <w:rPr>
          <w:rFonts w:ascii="Arial" w:eastAsiaTheme="minorHAnsi" w:hAnsi="Arial"/>
          <w:sz w:val="18"/>
          <w:szCs w:val="18"/>
          <w:lang w:val="en-GB" w:eastAsia="en-US"/>
        </w:rPr>
        <w:t>Toolkit, IP Valuation General Guide</w:t>
      </w:r>
      <w:r w:rsidR="00FC621E">
        <w:rPr>
          <w:rFonts w:ascii="Arial" w:eastAsiaTheme="minorHAnsi" w:hAnsi="Arial"/>
          <w:sz w:val="18"/>
          <w:szCs w:val="18"/>
          <w:lang w:val="en-GB" w:eastAsia="en-US"/>
        </w:rPr>
        <w:t>,</w:t>
      </w:r>
      <w:r>
        <w:rPr>
          <w:rFonts w:ascii="Arial" w:eastAsiaTheme="minorHAnsi" w:hAnsi="Arial"/>
          <w:sz w:val="18"/>
          <w:szCs w:val="18"/>
          <w:lang w:val="en-GB" w:eastAsia="en-US"/>
        </w:rPr>
        <w:t xml:space="preserve"> with a corresponding series of reference booklets for specific IP valuation contexts, </w:t>
      </w:r>
      <w:r w:rsidRPr="000A30C6">
        <w:rPr>
          <w:rFonts w:ascii="Arial" w:eastAsiaTheme="minorHAnsi" w:hAnsi="Arial"/>
          <w:sz w:val="18"/>
          <w:szCs w:val="18"/>
          <w:lang w:val="en-GB" w:eastAsia="en-US"/>
        </w:rPr>
        <w:t xml:space="preserve">a technology transfer literature compilation </w:t>
      </w:r>
      <w:r>
        <w:rPr>
          <w:rFonts w:ascii="Arial" w:eastAsiaTheme="minorHAnsi" w:hAnsi="Arial"/>
          <w:sz w:val="18"/>
          <w:szCs w:val="18"/>
          <w:lang w:val="en-GB" w:eastAsia="en-US"/>
        </w:rPr>
        <w:t>a</w:t>
      </w:r>
      <w:r w:rsidRPr="000A30C6">
        <w:rPr>
          <w:rFonts w:ascii="Arial" w:eastAsiaTheme="minorHAnsi" w:hAnsi="Arial"/>
          <w:sz w:val="18"/>
          <w:szCs w:val="18"/>
          <w:lang w:val="en-GB" w:eastAsia="en-US"/>
        </w:rPr>
        <w:t xml:space="preserve">nd </w:t>
      </w:r>
      <w:r>
        <w:rPr>
          <w:rFonts w:ascii="Arial" w:eastAsiaTheme="minorHAnsi" w:hAnsi="Arial"/>
          <w:sz w:val="18"/>
          <w:szCs w:val="18"/>
          <w:lang w:val="en-GB" w:eastAsia="en-US"/>
        </w:rPr>
        <w:t xml:space="preserve">the </w:t>
      </w:r>
      <w:r w:rsidRPr="000A30C6">
        <w:rPr>
          <w:rFonts w:ascii="Arial" w:eastAsiaTheme="minorHAnsi" w:hAnsi="Arial"/>
          <w:sz w:val="18"/>
          <w:szCs w:val="18"/>
          <w:lang w:val="en-GB" w:eastAsia="en-US"/>
        </w:rPr>
        <w:t xml:space="preserve">eTISC </w:t>
      </w:r>
      <w:r>
        <w:rPr>
          <w:rFonts w:ascii="Arial" w:eastAsiaTheme="minorHAnsi" w:hAnsi="Arial"/>
          <w:sz w:val="18"/>
          <w:szCs w:val="18"/>
          <w:lang w:val="en-GB" w:eastAsia="en-US"/>
        </w:rPr>
        <w:t>platform</w:t>
      </w:r>
      <w:r w:rsidRPr="000A30C6">
        <w:rPr>
          <w:rFonts w:ascii="Arial" w:eastAsiaTheme="minorHAnsi" w:hAnsi="Arial"/>
          <w:sz w:val="18"/>
          <w:szCs w:val="18"/>
          <w:lang w:val="en-GB" w:eastAsia="en-US"/>
        </w:rPr>
        <w:t>, all integrated into a harmonized system to provide a fluid user experience;</w:t>
      </w:r>
    </w:p>
    <w:p w14:paraId="2DE90998" w14:textId="77777777" w:rsidR="0044491C" w:rsidRPr="000A30C6"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sidRPr="000A30C6">
        <w:rPr>
          <w:rFonts w:ascii="Arial" w:eastAsiaTheme="minorHAnsi" w:hAnsi="Arial"/>
          <w:sz w:val="18"/>
          <w:szCs w:val="18"/>
          <w:lang w:val="en-GB" w:eastAsia="en-US"/>
        </w:rPr>
        <w:t>Assuring long-term sustainability of TISC</w:t>
      </w:r>
      <w:r>
        <w:rPr>
          <w:rFonts w:ascii="Arial" w:eastAsiaTheme="minorHAnsi" w:hAnsi="Arial"/>
          <w:sz w:val="18"/>
          <w:szCs w:val="18"/>
          <w:lang w:val="en-GB" w:eastAsia="en-US"/>
        </w:rPr>
        <w:t>/TTO</w:t>
      </w:r>
      <w:r w:rsidRPr="000A30C6">
        <w:rPr>
          <w:rFonts w:ascii="Arial" w:eastAsiaTheme="minorHAnsi" w:hAnsi="Arial"/>
          <w:sz w:val="18"/>
          <w:szCs w:val="18"/>
          <w:lang w:val="en-GB" w:eastAsia="en-US"/>
        </w:rPr>
        <w:t xml:space="preserve"> networks and technology transfer structures by encouraging knowledge-sharing through effectively coordinated national, regional, and global networks and the online eTISC community</w:t>
      </w:r>
      <w:r w:rsidRPr="00054C9F">
        <w:t xml:space="preserve"> </w:t>
      </w:r>
      <w:r w:rsidRPr="00054C9F">
        <w:rPr>
          <w:rFonts w:ascii="Arial" w:eastAsiaTheme="minorHAnsi" w:hAnsi="Arial"/>
          <w:sz w:val="18"/>
          <w:szCs w:val="18"/>
          <w:lang w:val="en-GB" w:eastAsia="en-US"/>
        </w:rPr>
        <w:t>and by reinforcing their retention of skilled staff through TISC staff certification</w:t>
      </w:r>
      <w:r w:rsidRPr="004C1F9E">
        <w:t xml:space="preserve"> </w:t>
      </w:r>
      <w:r w:rsidRPr="004C1F9E">
        <w:rPr>
          <w:rFonts w:ascii="Arial" w:eastAsiaTheme="minorHAnsi" w:hAnsi="Arial"/>
          <w:sz w:val="18"/>
          <w:szCs w:val="18"/>
          <w:lang w:val="en-GB" w:eastAsia="en-US"/>
        </w:rPr>
        <w:t xml:space="preserve">and </w:t>
      </w:r>
      <w:r>
        <w:rPr>
          <w:rFonts w:ascii="Arial" w:eastAsiaTheme="minorHAnsi" w:hAnsi="Arial"/>
          <w:sz w:val="18"/>
          <w:szCs w:val="18"/>
          <w:lang w:val="en-GB" w:eastAsia="en-US"/>
        </w:rPr>
        <w:t xml:space="preserve">the </w:t>
      </w:r>
      <w:r w:rsidRPr="004C1F9E">
        <w:rPr>
          <w:rFonts w:ascii="Arial" w:eastAsiaTheme="minorHAnsi" w:hAnsi="Arial"/>
          <w:sz w:val="18"/>
          <w:szCs w:val="18"/>
          <w:lang w:val="en-GB" w:eastAsia="en-US"/>
        </w:rPr>
        <w:t>TT Mentoring Program for Technology Managers in TTOs</w:t>
      </w:r>
      <w:r w:rsidRPr="000A30C6">
        <w:rPr>
          <w:rFonts w:ascii="Arial" w:eastAsiaTheme="minorHAnsi" w:hAnsi="Arial"/>
          <w:sz w:val="18"/>
          <w:szCs w:val="18"/>
          <w:lang w:val="en-GB" w:eastAsia="en-US"/>
        </w:rPr>
        <w:t>;</w:t>
      </w:r>
    </w:p>
    <w:p w14:paraId="6021E9A7" w14:textId="77777777" w:rsidR="0044491C" w:rsidRPr="000A30C6"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Pr>
          <w:rFonts w:ascii="Arial" w:hAnsi="Arial"/>
          <w:sz w:val="18"/>
          <w:szCs w:val="18"/>
        </w:rPr>
        <w:t>Fostering awareness-raising, developing skills and knowledge, expert communities, partnerships and reference sources, such as</w:t>
      </w:r>
      <w:r w:rsidRPr="00A83536">
        <w:t xml:space="preserve"> </w:t>
      </w:r>
      <w:r w:rsidRPr="000A30C6">
        <w:rPr>
          <w:rFonts w:ascii="Arial" w:eastAsiaTheme="minorHAnsi" w:hAnsi="Arial"/>
          <w:sz w:val="18"/>
          <w:szCs w:val="18"/>
          <w:lang w:val="en-GB" w:eastAsia="en-US"/>
        </w:rPr>
        <w:t>patent landscape reports and the WIPO Technology Trends (WITT) report</w:t>
      </w:r>
      <w:r>
        <w:rPr>
          <w:rFonts w:ascii="Arial" w:eastAsiaTheme="minorHAnsi" w:hAnsi="Arial"/>
          <w:sz w:val="18"/>
          <w:szCs w:val="18"/>
          <w:lang w:val="en-GB" w:eastAsia="en-US"/>
        </w:rPr>
        <w:t>s,</w:t>
      </w:r>
      <w:r w:rsidRPr="00A83536">
        <w:rPr>
          <w:rFonts w:ascii="Arial" w:eastAsiaTheme="minorHAnsi" w:hAnsi="Arial"/>
          <w:sz w:val="18"/>
          <w:lang w:val="en-GB"/>
        </w:rPr>
        <w:t xml:space="preserve"> and </w:t>
      </w:r>
      <w:r>
        <w:rPr>
          <w:rFonts w:ascii="Arial" w:eastAsiaTheme="minorHAnsi" w:hAnsi="Arial"/>
          <w:sz w:val="18"/>
          <w:szCs w:val="18"/>
          <w:lang w:val="en-GB" w:eastAsia="en-US"/>
        </w:rPr>
        <w:t>building WIPO’s global thought leadership</w:t>
      </w:r>
      <w:r w:rsidRPr="00A83536">
        <w:rPr>
          <w:rFonts w:ascii="Arial" w:eastAsiaTheme="minorHAnsi" w:hAnsi="Arial"/>
          <w:sz w:val="18"/>
          <w:lang w:val="en-GB"/>
        </w:rPr>
        <w:t xml:space="preserve"> in the </w:t>
      </w:r>
      <w:r>
        <w:rPr>
          <w:rFonts w:ascii="Arial" w:eastAsiaTheme="minorHAnsi" w:hAnsi="Arial"/>
          <w:sz w:val="18"/>
          <w:szCs w:val="18"/>
          <w:lang w:val="en-GB" w:eastAsia="en-US"/>
        </w:rPr>
        <w:t>area</w:t>
      </w:r>
      <w:r w:rsidRPr="00A83536">
        <w:rPr>
          <w:rFonts w:ascii="Arial" w:eastAsiaTheme="minorHAnsi" w:hAnsi="Arial"/>
          <w:sz w:val="18"/>
          <w:lang w:val="en-GB"/>
        </w:rPr>
        <w:t xml:space="preserve"> of </w:t>
      </w:r>
      <w:r>
        <w:rPr>
          <w:rFonts w:ascii="Arial" w:eastAsiaTheme="minorHAnsi" w:hAnsi="Arial"/>
          <w:sz w:val="18"/>
          <w:szCs w:val="18"/>
          <w:lang w:val="en-GB" w:eastAsia="en-US"/>
        </w:rPr>
        <w:t>IP</w:t>
      </w:r>
      <w:r w:rsidRPr="00A83536">
        <w:rPr>
          <w:rFonts w:ascii="Arial" w:eastAsiaTheme="minorHAnsi" w:hAnsi="Arial"/>
          <w:sz w:val="18"/>
          <w:lang w:val="en-GB"/>
        </w:rPr>
        <w:t xml:space="preserve"> analytics</w:t>
      </w:r>
      <w:r w:rsidRPr="000A30C6">
        <w:rPr>
          <w:rFonts w:ascii="Arial" w:eastAsiaTheme="minorHAnsi" w:hAnsi="Arial"/>
          <w:sz w:val="18"/>
          <w:szCs w:val="18"/>
          <w:lang w:val="en-GB" w:eastAsia="en-US"/>
        </w:rPr>
        <w:t>;</w:t>
      </w:r>
    </w:p>
    <w:p w14:paraId="100D98EB" w14:textId="77777777" w:rsidR="0044491C" w:rsidRPr="00EA25F4" w:rsidRDefault="0044491C" w:rsidP="008407D7">
      <w:pPr>
        <w:pStyle w:val="ListParagraph"/>
        <w:numPr>
          <w:ilvl w:val="0"/>
          <w:numId w:val="31"/>
        </w:numPr>
        <w:spacing w:after="180"/>
        <w:contextualSpacing w:val="0"/>
        <w:rPr>
          <w:rFonts w:ascii="Arial" w:eastAsiaTheme="minorHAnsi" w:hAnsi="Arial"/>
          <w:sz w:val="18"/>
          <w:szCs w:val="18"/>
          <w:lang w:val="en-GB" w:eastAsia="en-US"/>
        </w:rPr>
      </w:pPr>
      <w:r w:rsidRPr="000A30C6">
        <w:rPr>
          <w:rFonts w:ascii="Arial" w:hAnsi="Arial"/>
          <w:sz w:val="18"/>
          <w:szCs w:val="18"/>
        </w:rPr>
        <w:t xml:space="preserve">Multiplying the impact of activities and services to support innovators in using </w:t>
      </w:r>
      <w:r>
        <w:rPr>
          <w:rFonts w:ascii="Arial" w:hAnsi="Arial"/>
          <w:sz w:val="18"/>
          <w:szCs w:val="18"/>
        </w:rPr>
        <w:t>IP</w:t>
      </w:r>
      <w:r w:rsidRPr="000A30C6">
        <w:rPr>
          <w:rFonts w:ascii="Arial" w:hAnsi="Arial"/>
          <w:sz w:val="18"/>
          <w:szCs w:val="18"/>
        </w:rPr>
        <w:t xml:space="preserve"> as a tool for growth and sustainable development by increasing awareness and appreciation of these activities and services and their benefits within the framework of a focused communications strategy.</w:t>
      </w:r>
    </w:p>
    <w:p w14:paraId="74B01C66" w14:textId="77777777" w:rsidR="0044491C" w:rsidRPr="00CE7001" w:rsidRDefault="0044491C" w:rsidP="00CE7001">
      <w:pPr>
        <w:pStyle w:val="NormalAbb"/>
        <w:rPr>
          <w:color w:val="005172" w:themeColor="text2"/>
          <w:sz w:val="22"/>
          <w:lang w:val="en-US"/>
        </w:rPr>
      </w:pPr>
      <w:r w:rsidRPr="00CE7001">
        <w:rPr>
          <w:color w:val="005172" w:themeColor="text2"/>
          <w:sz w:val="22"/>
          <w:lang w:val="en-US"/>
        </w:rPr>
        <w:t>WIPO Judicial Institute</w:t>
      </w:r>
    </w:p>
    <w:p w14:paraId="233E7BA1" w14:textId="77777777" w:rsidR="0044491C" w:rsidRDefault="0044491C" w:rsidP="0044491C">
      <w:pPr>
        <w:rPr>
          <w:rFonts w:cs="Arial"/>
          <w:szCs w:val="18"/>
        </w:rPr>
      </w:pPr>
      <w:r>
        <w:rPr>
          <w:rFonts w:cs="Arial"/>
          <w:szCs w:val="18"/>
        </w:rPr>
        <w:t>The WIPO Judicial Institute</w:t>
      </w:r>
      <w:r w:rsidRPr="001035FC">
        <w:rPr>
          <w:rFonts w:cs="Arial"/>
          <w:szCs w:val="18"/>
        </w:rPr>
        <w:t xml:space="preserve"> </w:t>
      </w:r>
      <w:r>
        <w:rPr>
          <w:rFonts w:cs="Arial"/>
          <w:szCs w:val="18"/>
        </w:rPr>
        <w:t>works to strengthen</w:t>
      </w:r>
      <w:r w:rsidRPr="001035FC">
        <w:rPr>
          <w:rFonts w:cs="Arial"/>
          <w:szCs w:val="18"/>
        </w:rPr>
        <w:t xml:space="preserve"> judiciaries </w:t>
      </w:r>
      <w:r>
        <w:rPr>
          <w:rFonts w:cs="Arial"/>
          <w:szCs w:val="18"/>
        </w:rPr>
        <w:t>as part of the</w:t>
      </w:r>
      <w:r w:rsidRPr="001035FC">
        <w:rPr>
          <w:rFonts w:cs="Arial"/>
          <w:szCs w:val="18"/>
        </w:rPr>
        <w:t xml:space="preserve"> IP, innovation and creative ecosystems in Member States</w:t>
      </w:r>
      <w:r>
        <w:rPr>
          <w:rFonts w:cs="Arial"/>
          <w:szCs w:val="18"/>
        </w:rPr>
        <w:t xml:space="preserve">.  It provides education and resources for IP judges, complementing the work of the WIPO Arbitration and Mediation Center, as together these encompass the full range of options for the resolution of IP disputes.  It also contributes to wider availability of legal knowledge and data through the WIPO Lex database. </w:t>
      </w:r>
    </w:p>
    <w:p w14:paraId="2F198BA8" w14:textId="77777777" w:rsidR="0044491C" w:rsidRPr="001035FC" w:rsidRDefault="0044491C" w:rsidP="0044491C">
      <w:pPr>
        <w:rPr>
          <w:rFonts w:cs="Arial"/>
          <w:szCs w:val="18"/>
        </w:rPr>
      </w:pPr>
      <w:r w:rsidRPr="0058004A">
        <w:rPr>
          <w:rFonts w:cs="Arial"/>
          <w:szCs w:val="18"/>
        </w:rPr>
        <w:t xml:space="preserve">Having established itself as a convener of a global community of IP judges, </w:t>
      </w:r>
      <w:r>
        <w:rPr>
          <w:rFonts w:cs="Arial"/>
          <w:szCs w:val="18"/>
        </w:rPr>
        <w:t xml:space="preserve">in the next biennium, the </w:t>
      </w:r>
      <w:r w:rsidRPr="0058004A">
        <w:rPr>
          <w:rFonts w:cs="Arial"/>
          <w:szCs w:val="18"/>
        </w:rPr>
        <w:t xml:space="preserve">WIPO Judicial Institute will grow further into its leadership potential as the premier provider of IP judicial education and resources, and through WIPO Lex, as the authoritative </w:t>
      </w:r>
      <w:r>
        <w:rPr>
          <w:rFonts w:cs="Arial"/>
          <w:szCs w:val="18"/>
        </w:rPr>
        <w:t xml:space="preserve">and global </w:t>
      </w:r>
      <w:r w:rsidRPr="0058004A">
        <w:rPr>
          <w:rFonts w:cs="Arial"/>
          <w:szCs w:val="18"/>
        </w:rPr>
        <w:t>source o</w:t>
      </w:r>
      <w:r>
        <w:rPr>
          <w:rFonts w:cs="Arial"/>
          <w:szCs w:val="18"/>
        </w:rPr>
        <w:t>f information on IP laws, treaties and judgments.  The Institute’s work will focus on:</w:t>
      </w:r>
    </w:p>
    <w:p w14:paraId="020F8068"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val="en-GB" w:eastAsia="en-US"/>
        </w:rPr>
      </w:pPr>
      <w:r>
        <w:rPr>
          <w:rFonts w:ascii="Arial" w:eastAsiaTheme="minorHAnsi" w:hAnsi="Arial" w:cstheme="minorBidi"/>
          <w:sz w:val="18"/>
          <w:lang w:val="en-GB" w:eastAsia="en-US"/>
        </w:rPr>
        <w:t xml:space="preserve">Fostering </w:t>
      </w:r>
      <w:r w:rsidRPr="007D0EED">
        <w:rPr>
          <w:rFonts w:ascii="Arial" w:eastAsiaTheme="minorHAnsi" w:hAnsi="Arial" w:cstheme="minorBidi"/>
          <w:sz w:val="18"/>
          <w:lang w:val="en-GB" w:eastAsia="en-US"/>
        </w:rPr>
        <w:t>increased transnational dialogue</w:t>
      </w:r>
      <w:r>
        <w:rPr>
          <w:rFonts w:ascii="Arial" w:eastAsiaTheme="minorHAnsi" w:hAnsi="Arial" w:cstheme="minorBidi"/>
          <w:sz w:val="18"/>
          <w:lang w:val="en-GB" w:eastAsia="en-US"/>
        </w:rPr>
        <w:t xml:space="preserve"> for the judicial community</w:t>
      </w:r>
      <w:r w:rsidRPr="007D0EED">
        <w:rPr>
          <w:rFonts w:ascii="Arial" w:eastAsiaTheme="minorHAnsi" w:hAnsi="Arial" w:cstheme="minorBidi"/>
          <w:sz w:val="18"/>
          <w:lang w:val="en-GB" w:eastAsia="en-US"/>
        </w:rPr>
        <w:t xml:space="preserve"> </w:t>
      </w:r>
      <w:r>
        <w:rPr>
          <w:rFonts w:ascii="Arial" w:eastAsiaTheme="minorHAnsi" w:hAnsi="Arial" w:cstheme="minorBidi"/>
          <w:sz w:val="18"/>
          <w:lang w:val="en-GB" w:eastAsia="en-US"/>
        </w:rPr>
        <w:t>t</w:t>
      </w:r>
      <w:r w:rsidRPr="007D0EED">
        <w:rPr>
          <w:rFonts w:ascii="Arial" w:eastAsiaTheme="minorHAnsi" w:hAnsi="Arial" w:cstheme="minorBidi"/>
          <w:sz w:val="18"/>
          <w:lang w:val="en-GB" w:eastAsia="en-US"/>
        </w:rPr>
        <w:t xml:space="preserve">hrough the annual WIPO IP Judges Forum and other </w:t>
      </w:r>
      <w:r>
        <w:rPr>
          <w:rFonts w:ascii="Arial" w:eastAsiaTheme="minorHAnsi" w:hAnsi="Arial" w:cstheme="minorBidi"/>
          <w:sz w:val="18"/>
          <w:lang w:val="en-GB" w:eastAsia="en-US"/>
        </w:rPr>
        <w:t xml:space="preserve">innovative formats of </w:t>
      </w:r>
      <w:r w:rsidRPr="007D0EED">
        <w:rPr>
          <w:rFonts w:ascii="Arial" w:eastAsiaTheme="minorHAnsi" w:hAnsi="Arial" w:cstheme="minorBidi"/>
          <w:sz w:val="18"/>
          <w:lang w:val="en-GB" w:eastAsia="en-US"/>
        </w:rPr>
        <w:t xml:space="preserve">judicial </w:t>
      </w:r>
      <w:r>
        <w:rPr>
          <w:rFonts w:ascii="Arial" w:eastAsiaTheme="minorHAnsi" w:hAnsi="Arial" w:cstheme="minorBidi"/>
          <w:sz w:val="18"/>
          <w:lang w:val="en-GB" w:eastAsia="en-US"/>
        </w:rPr>
        <w:t>conversations</w:t>
      </w:r>
      <w:r w:rsidRPr="007D0EED">
        <w:rPr>
          <w:rFonts w:ascii="Arial" w:eastAsiaTheme="minorHAnsi" w:hAnsi="Arial" w:cstheme="minorBidi"/>
          <w:sz w:val="18"/>
          <w:lang w:val="en-GB" w:eastAsia="en-US"/>
        </w:rPr>
        <w:t>, to exchange expertise on the most pressing IP challenges, to observe judicial approaches of other countries and to gain insight to strengthen courts’ own analyses</w:t>
      </w:r>
      <w:r>
        <w:rPr>
          <w:rFonts w:ascii="Arial" w:eastAsiaTheme="minorHAnsi" w:hAnsi="Arial" w:cstheme="minorBidi"/>
          <w:sz w:val="18"/>
          <w:lang w:val="en-GB" w:eastAsia="en-US"/>
        </w:rPr>
        <w:t>;</w:t>
      </w:r>
    </w:p>
    <w:p w14:paraId="27BDB720" w14:textId="77777777" w:rsidR="0044491C" w:rsidRPr="007D0EED" w:rsidRDefault="0044491C" w:rsidP="008407D7">
      <w:pPr>
        <w:pStyle w:val="ListParagraph"/>
        <w:numPr>
          <w:ilvl w:val="0"/>
          <w:numId w:val="31"/>
        </w:numPr>
        <w:spacing w:after="180"/>
        <w:contextualSpacing w:val="0"/>
        <w:rPr>
          <w:rFonts w:ascii="Arial" w:eastAsiaTheme="minorHAnsi" w:hAnsi="Arial" w:cstheme="minorBidi"/>
          <w:sz w:val="18"/>
          <w:lang w:val="en-GB" w:eastAsia="en-US"/>
        </w:rPr>
      </w:pPr>
      <w:r>
        <w:rPr>
          <w:rFonts w:ascii="Arial" w:eastAsiaTheme="minorHAnsi" w:hAnsi="Arial" w:cstheme="minorBidi"/>
          <w:sz w:val="18"/>
          <w:lang w:val="en-GB" w:eastAsia="en-US"/>
        </w:rPr>
        <w:t>Conducting t</w:t>
      </w:r>
      <w:r w:rsidRPr="007D0EED">
        <w:rPr>
          <w:rFonts w:ascii="Arial" w:eastAsiaTheme="minorHAnsi" w:hAnsi="Arial" w:cstheme="minorBidi"/>
          <w:sz w:val="18"/>
          <w:lang w:val="en-GB" w:eastAsia="en-US"/>
        </w:rPr>
        <w:t>argeted studies to promote in</w:t>
      </w:r>
      <w:r w:rsidRPr="007D0EED">
        <w:rPr>
          <w:rFonts w:ascii="Arial" w:eastAsiaTheme="minorHAnsi" w:hAnsi="Arial" w:cstheme="minorBidi"/>
          <w:sz w:val="18"/>
          <w:lang w:val="en-GB" w:eastAsia="en-US"/>
        </w:rPr>
        <w:noBreakHyphen/>
        <w:t>depth understanding of topics of relevance to the global</w:t>
      </w:r>
      <w:r>
        <w:rPr>
          <w:rFonts w:ascii="Arial" w:eastAsiaTheme="minorHAnsi" w:hAnsi="Arial" w:cstheme="minorBidi"/>
          <w:sz w:val="18"/>
          <w:lang w:val="en-GB" w:eastAsia="en-US"/>
        </w:rPr>
        <w:t xml:space="preserve"> IP</w:t>
      </w:r>
      <w:r w:rsidRPr="007D0EED">
        <w:rPr>
          <w:rFonts w:ascii="Arial" w:eastAsiaTheme="minorHAnsi" w:hAnsi="Arial" w:cstheme="minorBidi"/>
          <w:sz w:val="18"/>
          <w:lang w:val="en-GB" w:eastAsia="en-US"/>
        </w:rPr>
        <w:t xml:space="preserve"> judiciary, and to support </w:t>
      </w:r>
      <w:r>
        <w:rPr>
          <w:rFonts w:ascii="Arial" w:eastAsiaTheme="minorHAnsi" w:hAnsi="Arial" w:cstheme="minorBidi"/>
          <w:sz w:val="18"/>
          <w:lang w:val="en-GB" w:eastAsia="en-US"/>
        </w:rPr>
        <w:t>the development of road maps for establishing effective systems of IP adjudication</w:t>
      </w:r>
      <w:r w:rsidRPr="007D0EED">
        <w:rPr>
          <w:rFonts w:ascii="Arial" w:eastAsiaTheme="minorHAnsi" w:hAnsi="Arial" w:cstheme="minorBidi"/>
          <w:sz w:val="18"/>
          <w:lang w:val="en-GB" w:eastAsia="en-US"/>
        </w:rPr>
        <w:t>, which may encompass legislative, court administration and procedural reform</w:t>
      </w:r>
      <w:r>
        <w:rPr>
          <w:rFonts w:ascii="Arial" w:eastAsiaTheme="minorHAnsi" w:hAnsi="Arial" w:cstheme="minorBidi"/>
          <w:sz w:val="18"/>
          <w:lang w:val="en-GB" w:eastAsia="en-US"/>
        </w:rPr>
        <w:t>;</w:t>
      </w:r>
    </w:p>
    <w:p w14:paraId="342719F3" w14:textId="77777777" w:rsidR="0044491C" w:rsidRDefault="0044491C" w:rsidP="008407D7">
      <w:pPr>
        <w:pStyle w:val="ListParagraph"/>
        <w:numPr>
          <w:ilvl w:val="0"/>
          <w:numId w:val="31"/>
        </w:numPr>
        <w:spacing w:after="180"/>
        <w:contextualSpacing w:val="0"/>
        <w:rPr>
          <w:rFonts w:ascii="Arial" w:eastAsiaTheme="minorHAnsi" w:hAnsi="Arial" w:cstheme="minorBidi"/>
          <w:sz w:val="18"/>
          <w:lang w:val="en-GB" w:eastAsia="en-US"/>
        </w:rPr>
      </w:pPr>
      <w:r>
        <w:rPr>
          <w:rFonts w:ascii="Arial" w:eastAsiaTheme="minorHAnsi" w:hAnsi="Arial" w:cstheme="minorBidi"/>
          <w:sz w:val="18"/>
          <w:lang w:val="en-GB" w:eastAsia="en-US"/>
        </w:rPr>
        <w:t xml:space="preserve">Contributing to increased IP knowledge and skills in all Member States by </w:t>
      </w:r>
      <w:r w:rsidRPr="007D0EED">
        <w:rPr>
          <w:rFonts w:ascii="Arial" w:eastAsiaTheme="minorHAnsi" w:hAnsi="Arial" w:cstheme="minorBidi"/>
          <w:sz w:val="18"/>
          <w:lang w:val="en-GB" w:eastAsia="en-US"/>
        </w:rPr>
        <w:t>work</w:t>
      </w:r>
      <w:r>
        <w:rPr>
          <w:rFonts w:ascii="Arial" w:eastAsiaTheme="minorHAnsi" w:hAnsi="Arial" w:cstheme="minorBidi"/>
          <w:sz w:val="18"/>
          <w:lang w:val="en-GB" w:eastAsia="en-US"/>
        </w:rPr>
        <w:t>ing</w:t>
      </w:r>
      <w:r w:rsidRPr="007D0EED">
        <w:rPr>
          <w:rFonts w:ascii="Arial" w:eastAsiaTheme="minorHAnsi" w:hAnsi="Arial" w:cstheme="minorBidi"/>
          <w:sz w:val="18"/>
          <w:lang w:val="en-GB" w:eastAsia="en-US"/>
        </w:rPr>
        <w:t xml:space="preserve"> with national and regional judicial authorities to provide a holistic suite of tailored capacity building support and resources for judiciaries, premised on national ownership and sustainability and aligned with the legal traditions, and economic and social circumstances of Member States</w:t>
      </w:r>
      <w:r>
        <w:rPr>
          <w:rFonts w:ascii="Arial" w:eastAsiaTheme="minorHAnsi" w:hAnsi="Arial" w:cstheme="minorBidi"/>
          <w:sz w:val="18"/>
          <w:lang w:val="en-GB" w:eastAsia="en-US"/>
        </w:rPr>
        <w:t>;</w:t>
      </w:r>
      <w:r w:rsidRPr="007D0EED">
        <w:rPr>
          <w:rFonts w:ascii="Arial" w:eastAsiaTheme="minorHAnsi" w:hAnsi="Arial" w:cstheme="minorBidi"/>
          <w:sz w:val="18"/>
          <w:lang w:val="en-GB" w:eastAsia="en-US"/>
        </w:rPr>
        <w:t xml:space="preserve">  </w:t>
      </w:r>
    </w:p>
    <w:p w14:paraId="5B1B4928" w14:textId="77777777" w:rsidR="0044491C" w:rsidRPr="00032F29" w:rsidRDefault="0044491C" w:rsidP="008407D7">
      <w:pPr>
        <w:pStyle w:val="ListParagraph"/>
        <w:numPr>
          <w:ilvl w:val="0"/>
          <w:numId w:val="31"/>
        </w:numPr>
        <w:spacing w:after="180"/>
        <w:contextualSpacing w:val="0"/>
        <w:rPr>
          <w:rFonts w:ascii="Arial" w:eastAsiaTheme="minorHAnsi" w:hAnsi="Arial" w:cstheme="minorBidi"/>
          <w:sz w:val="18"/>
          <w:lang w:val="en-GB" w:eastAsia="en-US"/>
        </w:rPr>
      </w:pPr>
      <w:r>
        <w:rPr>
          <w:rFonts w:ascii="Arial" w:eastAsiaTheme="minorHAnsi" w:hAnsi="Arial" w:cstheme="minorBidi"/>
          <w:sz w:val="18"/>
          <w:lang w:val="en-GB" w:eastAsia="en-US"/>
        </w:rPr>
        <w:t>Supporting the significant role of administrative bodies performing quasi-judicial functions in IP disputes, such as trial and appeal boards in IP Offices;</w:t>
      </w:r>
    </w:p>
    <w:p w14:paraId="40D2611E" w14:textId="77777777" w:rsidR="0044491C" w:rsidRPr="007D0EED" w:rsidRDefault="0044491C" w:rsidP="008407D7">
      <w:pPr>
        <w:pStyle w:val="ListParagraph"/>
        <w:numPr>
          <w:ilvl w:val="0"/>
          <w:numId w:val="31"/>
        </w:numPr>
        <w:spacing w:after="180"/>
        <w:contextualSpacing w:val="0"/>
        <w:rPr>
          <w:rFonts w:ascii="Arial" w:eastAsiaTheme="minorHAnsi" w:hAnsi="Arial" w:cstheme="minorBidi"/>
          <w:sz w:val="18"/>
          <w:lang w:val="en-GB" w:eastAsia="en-US"/>
        </w:rPr>
      </w:pPr>
      <w:r>
        <w:rPr>
          <w:rFonts w:ascii="Arial" w:eastAsiaTheme="minorHAnsi" w:hAnsi="Arial" w:cstheme="minorBidi"/>
          <w:sz w:val="18"/>
          <w:lang w:val="en-GB" w:eastAsia="en-US"/>
        </w:rPr>
        <w:t>T</w:t>
      </w:r>
      <w:r w:rsidRPr="007D0EED">
        <w:rPr>
          <w:rFonts w:ascii="Arial" w:eastAsiaTheme="minorHAnsi" w:hAnsi="Arial" w:cstheme="minorBidi"/>
          <w:sz w:val="18"/>
          <w:lang w:val="en-GB" w:eastAsia="en-US"/>
        </w:rPr>
        <w:t>hrough refined data collections and an improved user interface</w:t>
      </w:r>
      <w:r>
        <w:rPr>
          <w:rFonts w:ascii="Arial" w:eastAsiaTheme="minorHAnsi" w:hAnsi="Arial" w:cstheme="minorBidi"/>
          <w:sz w:val="18"/>
          <w:lang w:val="en-GB" w:eastAsia="en-US"/>
        </w:rPr>
        <w:t xml:space="preserve"> and functionality</w:t>
      </w:r>
      <w:r w:rsidRPr="007D0EED">
        <w:rPr>
          <w:rFonts w:ascii="Arial" w:eastAsiaTheme="minorHAnsi" w:hAnsi="Arial" w:cstheme="minorBidi"/>
          <w:sz w:val="18"/>
          <w:lang w:val="en-GB" w:eastAsia="en-US"/>
        </w:rPr>
        <w:t xml:space="preserve">, </w:t>
      </w:r>
      <w:r>
        <w:rPr>
          <w:rFonts w:ascii="Arial" w:eastAsiaTheme="minorHAnsi" w:hAnsi="Arial" w:cstheme="minorBidi"/>
          <w:sz w:val="18"/>
          <w:lang w:val="en-GB" w:eastAsia="en-US"/>
        </w:rPr>
        <w:t xml:space="preserve">facilitating use of </w:t>
      </w:r>
      <w:r w:rsidRPr="007D0EED">
        <w:rPr>
          <w:rFonts w:ascii="Arial" w:eastAsiaTheme="minorHAnsi" w:hAnsi="Arial" w:cstheme="minorBidi"/>
          <w:sz w:val="18"/>
          <w:lang w:val="en-GB" w:eastAsia="en-US"/>
        </w:rPr>
        <w:t>the rich offerings of WIPO</w:t>
      </w:r>
      <w:r>
        <w:rPr>
          <w:rFonts w:ascii="Arial" w:eastAsiaTheme="minorHAnsi" w:hAnsi="Arial" w:cstheme="minorBidi"/>
          <w:sz w:val="18"/>
          <w:lang w:val="en-GB" w:eastAsia="en-US"/>
        </w:rPr>
        <w:t> </w:t>
      </w:r>
      <w:r w:rsidRPr="007D0EED">
        <w:rPr>
          <w:rFonts w:ascii="Arial" w:eastAsiaTheme="minorHAnsi" w:hAnsi="Arial" w:cstheme="minorBidi"/>
          <w:sz w:val="18"/>
          <w:lang w:val="en-GB" w:eastAsia="en-US"/>
        </w:rPr>
        <w:t>Lex as the global knowledge base for IP-related treaties, national and regional laws, and judicial decisions and judicial systems information, for a wider, general audience</w:t>
      </w:r>
      <w:r>
        <w:rPr>
          <w:rFonts w:ascii="Arial" w:eastAsiaTheme="minorHAnsi" w:hAnsi="Arial" w:cstheme="minorBidi"/>
          <w:sz w:val="18"/>
          <w:lang w:val="en-GB" w:eastAsia="en-US"/>
        </w:rPr>
        <w:t>.</w:t>
      </w:r>
    </w:p>
    <w:p w14:paraId="61E490B7" w14:textId="77777777" w:rsidR="0044491C" w:rsidRPr="00CE7001" w:rsidRDefault="0044491C" w:rsidP="00CE7001">
      <w:pPr>
        <w:pStyle w:val="NormalAbb"/>
        <w:rPr>
          <w:color w:val="005172" w:themeColor="text2"/>
          <w:sz w:val="22"/>
          <w:lang w:val="en-US"/>
        </w:rPr>
      </w:pPr>
      <w:r w:rsidRPr="00CE7001">
        <w:rPr>
          <w:color w:val="005172" w:themeColor="text2"/>
          <w:sz w:val="22"/>
          <w:lang w:val="en-US"/>
        </w:rPr>
        <w:t xml:space="preserve">WIPO Arbitration and Mediation Center </w:t>
      </w:r>
    </w:p>
    <w:p w14:paraId="1890AE00" w14:textId="5D05ADE4" w:rsidR="0044491C" w:rsidRPr="00E40FC0" w:rsidRDefault="0044491C" w:rsidP="0044491C">
      <w:pPr>
        <w:rPr>
          <w:rFonts w:cs="Arial"/>
          <w:szCs w:val="18"/>
        </w:rPr>
      </w:pPr>
      <w:r w:rsidRPr="00E40FC0">
        <w:rPr>
          <w:rFonts w:cs="Arial"/>
          <w:szCs w:val="18"/>
        </w:rPr>
        <w:t>WIPO </w:t>
      </w:r>
      <w:r w:rsidRPr="00B47A61">
        <w:rPr>
          <w:rFonts w:cs="Arial"/>
          <w:szCs w:val="18"/>
        </w:rPr>
        <w:t>mediation</w:t>
      </w:r>
      <w:r w:rsidRPr="00E40FC0">
        <w:rPr>
          <w:rFonts w:cs="Arial"/>
          <w:szCs w:val="18"/>
        </w:rPr>
        <w:t xml:space="preserve"> and </w:t>
      </w:r>
      <w:r w:rsidRPr="00B47A61">
        <w:rPr>
          <w:rFonts w:cs="Arial"/>
          <w:szCs w:val="18"/>
        </w:rPr>
        <w:t>arbitration</w:t>
      </w:r>
      <w:r w:rsidRPr="00E40FC0">
        <w:rPr>
          <w:rFonts w:cs="Arial"/>
          <w:szCs w:val="18"/>
        </w:rPr>
        <w:t xml:space="preserve"> enable private parties to efficiently settle their domestic or cross-border IP and technology disputes out of court, complementing the work of the WIPO Judicial Institute, and collectively providing WIPO’s support for the full range of options relating to IP dispute resolution.  The WIPO Center is also the global leader in the provision of </w:t>
      </w:r>
      <w:r w:rsidRPr="00B47A61">
        <w:rPr>
          <w:rFonts w:cs="Arial"/>
          <w:szCs w:val="18"/>
        </w:rPr>
        <w:t>services </w:t>
      </w:r>
      <w:r w:rsidRPr="00E40FC0">
        <w:rPr>
          <w:rFonts w:cs="Arial"/>
          <w:szCs w:val="18"/>
        </w:rPr>
        <w:t xml:space="preserve">for businesses under the WIPO-designed Uniform Domain Name Dispute Resolution Policy (UDRP). </w:t>
      </w:r>
    </w:p>
    <w:p w14:paraId="016FF099" w14:textId="77777777" w:rsidR="0044491C" w:rsidRPr="00E40FC0" w:rsidRDefault="0044491C" w:rsidP="0044491C">
      <w:pPr>
        <w:rPr>
          <w:rFonts w:cs="Arial"/>
          <w:szCs w:val="18"/>
          <w:lang w:val="en-US"/>
        </w:rPr>
      </w:pPr>
      <w:r w:rsidRPr="00E40FC0">
        <w:rPr>
          <w:rFonts w:cs="Arial"/>
          <w:szCs w:val="18"/>
          <w:shd w:val="clear" w:color="auto" w:fill="FFFFFF"/>
        </w:rPr>
        <w:t xml:space="preserve">Leveraging </w:t>
      </w:r>
      <w:r w:rsidRPr="00E40FC0">
        <w:rPr>
          <w:rFonts w:cs="Arial"/>
          <w:szCs w:val="18"/>
        </w:rPr>
        <w:t>WIPO’s global role and expertise and including WIPO-internal as well as external public and private partnering, the work of the WIPO Center in the next biennium will focus on:</w:t>
      </w:r>
    </w:p>
    <w:p w14:paraId="3E6DD2B5" w14:textId="77777777" w:rsidR="0044491C" w:rsidRPr="00E40FC0" w:rsidRDefault="0044491C" w:rsidP="008407D7">
      <w:pPr>
        <w:pStyle w:val="ListParagraph"/>
        <w:numPr>
          <w:ilvl w:val="0"/>
          <w:numId w:val="44"/>
        </w:numPr>
        <w:rPr>
          <w:rFonts w:ascii="Arial" w:hAnsi="Arial"/>
          <w:sz w:val="18"/>
          <w:szCs w:val="18"/>
        </w:rPr>
      </w:pPr>
      <w:r w:rsidRPr="00E40FC0">
        <w:rPr>
          <w:rFonts w:ascii="Arial" w:hAnsi="Arial"/>
          <w:sz w:val="18"/>
          <w:szCs w:val="18"/>
        </w:rPr>
        <w:t xml:space="preserve">Optimizing case administration services for IP and domain name disputes, notably by </w:t>
      </w:r>
      <w:r w:rsidRPr="00E40FC0">
        <w:rPr>
          <w:rFonts w:ascii="Arial" w:hAnsi="Arial"/>
          <w:sz w:val="18"/>
          <w:szCs w:val="18"/>
          <w:lang w:val="en-GB"/>
        </w:rPr>
        <w:t xml:space="preserve">enhancing the application of ICT to </w:t>
      </w:r>
      <w:r>
        <w:rPr>
          <w:rFonts w:ascii="Arial" w:hAnsi="Arial"/>
          <w:sz w:val="18"/>
          <w:szCs w:val="18"/>
          <w:lang w:val="en-GB"/>
        </w:rPr>
        <w:t>workflow</w:t>
      </w:r>
      <w:r w:rsidRPr="00E40FC0">
        <w:rPr>
          <w:rFonts w:ascii="Arial" w:hAnsi="Arial"/>
          <w:sz w:val="18"/>
          <w:szCs w:val="18"/>
          <w:lang w:val="en-GB"/>
        </w:rPr>
        <w:t xml:space="preserve"> management and client delivery;</w:t>
      </w:r>
    </w:p>
    <w:p w14:paraId="16393B48" w14:textId="77777777" w:rsidR="0044491C" w:rsidRPr="00E40FC0" w:rsidRDefault="0044491C" w:rsidP="0044491C">
      <w:pPr>
        <w:pStyle w:val="ListParagraph"/>
        <w:rPr>
          <w:rFonts w:ascii="Arial" w:hAnsi="Arial"/>
          <w:sz w:val="18"/>
          <w:szCs w:val="18"/>
        </w:rPr>
      </w:pPr>
    </w:p>
    <w:p w14:paraId="2CA3E9B6" w14:textId="77777777" w:rsidR="0044491C" w:rsidRPr="00E40FC0" w:rsidRDefault="0044491C" w:rsidP="008407D7">
      <w:pPr>
        <w:pStyle w:val="ListParagraph"/>
        <w:numPr>
          <w:ilvl w:val="0"/>
          <w:numId w:val="44"/>
        </w:numPr>
        <w:rPr>
          <w:rFonts w:ascii="Arial" w:hAnsi="Arial"/>
          <w:sz w:val="18"/>
          <w:szCs w:val="18"/>
        </w:rPr>
      </w:pPr>
      <w:r>
        <w:rPr>
          <w:rFonts w:ascii="Arial" w:hAnsi="Arial"/>
          <w:sz w:val="18"/>
          <w:szCs w:val="18"/>
        </w:rPr>
        <w:t>Upgrading</w:t>
      </w:r>
      <w:r w:rsidRPr="00E40FC0">
        <w:rPr>
          <w:rFonts w:ascii="Arial" w:hAnsi="Arial"/>
          <w:sz w:val="18"/>
          <w:szCs w:val="18"/>
        </w:rPr>
        <w:t xml:space="preserve"> the WIPO Center’s digital </w:t>
      </w:r>
      <w:r>
        <w:rPr>
          <w:rFonts w:ascii="Arial" w:hAnsi="Arial"/>
          <w:sz w:val="18"/>
          <w:szCs w:val="18"/>
        </w:rPr>
        <w:t xml:space="preserve">engagement with existing and </w:t>
      </w:r>
      <w:r w:rsidRPr="00E40FC0">
        <w:rPr>
          <w:rFonts w:ascii="Arial" w:hAnsi="Arial"/>
          <w:sz w:val="18"/>
          <w:szCs w:val="18"/>
        </w:rPr>
        <w:t>potential users</w:t>
      </w:r>
      <w:r>
        <w:rPr>
          <w:rFonts w:ascii="Arial" w:hAnsi="Arial"/>
          <w:sz w:val="18"/>
          <w:szCs w:val="18"/>
        </w:rPr>
        <w:t>, including SMEs</w:t>
      </w:r>
      <w:r w:rsidRPr="00E40FC0">
        <w:rPr>
          <w:rFonts w:ascii="Arial" w:hAnsi="Arial"/>
          <w:sz w:val="18"/>
          <w:szCs w:val="18"/>
        </w:rPr>
        <w:t xml:space="preserve">, in particular through the production of </w:t>
      </w:r>
      <w:r>
        <w:rPr>
          <w:rFonts w:ascii="Arial" w:hAnsi="Arial"/>
          <w:sz w:val="18"/>
          <w:szCs w:val="18"/>
        </w:rPr>
        <w:t xml:space="preserve">accessible </w:t>
      </w:r>
      <w:r w:rsidRPr="00E40FC0">
        <w:rPr>
          <w:rFonts w:ascii="Arial" w:hAnsi="Arial"/>
          <w:sz w:val="18"/>
          <w:szCs w:val="18"/>
        </w:rPr>
        <w:t>webinars</w:t>
      </w:r>
      <w:r>
        <w:rPr>
          <w:rFonts w:ascii="Arial" w:hAnsi="Arial"/>
          <w:sz w:val="18"/>
          <w:szCs w:val="18"/>
        </w:rPr>
        <w:t>, podcasts</w:t>
      </w:r>
      <w:r w:rsidRPr="00E40FC0">
        <w:rPr>
          <w:rFonts w:ascii="Arial" w:hAnsi="Arial"/>
          <w:sz w:val="18"/>
          <w:szCs w:val="18"/>
        </w:rPr>
        <w:t xml:space="preserve"> and use of </w:t>
      </w:r>
      <w:r>
        <w:rPr>
          <w:rFonts w:ascii="Arial" w:hAnsi="Arial"/>
          <w:sz w:val="18"/>
          <w:szCs w:val="18"/>
        </w:rPr>
        <w:t>online tools and platforms</w:t>
      </w:r>
      <w:r w:rsidRPr="00E40FC0">
        <w:rPr>
          <w:rFonts w:ascii="Arial" w:hAnsi="Arial"/>
          <w:sz w:val="18"/>
          <w:szCs w:val="18"/>
        </w:rPr>
        <w:t xml:space="preserve"> targeting specific market segments in terms of IP interest and location</w:t>
      </w:r>
      <w:r>
        <w:rPr>
          <w:rFonts w:ascii="Arial" w:hAnsi="Arial"/>
          <w:sz w:val="18"/>
          <w:szCs w:val="18"/>
        </w:rPr>
        <w:t>.  I</w:t>
      </w:r>
      <w:r w:rsidRPr="00E40FC0">
        <w:rPr>
          <w:rFonts w:ascii="Arial" w:hAnsi="Arial"/>
          <w:sz w:val="18"/>
          <w:szCs w:val="18"/>
        </w:rPr>
        <w:t>ncreased data analysis in support of outreach;</w:t>
      </w:r>
    </w:p>
    <w:p w14:paraId="2749B992" w14:textId="77777777" w:rsidR="0044491C" w:rsidRPr="00E40FC0" w:rsidRDefault="0044491C" w:rsidP="0044491C">
      <w:pPr>
        <w:pStyle w:val="ListParagraph"/>
        <w:rPr>
          <w:rFonts w:ascii="Arial" w:hAnsi="Arial"/>
          <w:sz w:val="18"/>
          <w:szCs w:val="18"/>
        </w:rPr>
      </w:pPr>
    </w:p>
    <w:p w14:paraId="5260D055" w14:textId="77777777" w:rsidR="0044491C" w:rsidRPr="00E40FC0" w:rsidRDefault="0044491C" w:rsidP="008407D7">
      <w:pPr>
        <w:pStyle w:val="ListParagraph"/>
        <w:numPr>
          <w:ilvl w:val="0"/>
          <w:numId w:val="44"/>
        </w:numPr>
        <w:rPr>
          <w:rFonts w:ascii="Arial" w:hAnsi="Arial"/>
          <w:sz w:val="18"/>
          <w:szCs w:val="18"/>
        </w:rPr>
      </w:pPr>
      <w:r w:rsidRPr="00E40FC0">
        <w:rPr>
          <w:rFonts w:ascii="Arial" w:hAnsi="Arial"/>
          <w:sz w:val="18"/>
          <w:szCs w:val="18"/>
        </w:rPr>
        <w:t xml:space="preserve">Exploring further </w:t>
      </w:r>
      <w:r>
        <w:rPr>
          <w:rFonts w:ascii="Arial" w:hAnsi="Arial"/>
          <w:sz w:val="18"/>
          <w:szCs w:val="18"/>
        </w:rPr>
        <w:t>application</w:t>
      </w:r>
      <w:r w:rsidRPr="00E40FC0">
        <w:rPr>
          <w:rFonts w:ascii="Arial" w:hAnsi="Arial"/>
          <w:sz w:val="18"/>
          <w:szCs w:val="18"/>
        </w:rPr>
        <w:t xml:space="preserve"> of Alternative Dispute Resolution (ADR) in emerging areas of innovation and creation, including life sciences, </w:t>
      </w:r>
      <w:r>
        <w:rPr>
          <w:rFonts w:ascii="Arial" w:hAnsi="Arial"/>
          <w:sz w:val="18"/>
          <w:szCs w:val="18"/>
        </w:rPr>
        <w:t xml:space="preserve">FRAND and </w:t>
      </w:r>
      <w:r w:rsidRPr="00E40FC0">
        <w:rPr>
          <w:rFonts w:ascii="Arial" w:hAnsi="Arial"/>
          <w:sz w:val="18"/>
          <w:szCs w:val="18"/>
        </w:rPr>
        <w:t xml:space="preserve">IOT, </w:t>
      </w:r>
      <w:r>
        <w:rPr>
          <w:rFonts w:ascii="Arial" w:hAnsi="Arial"/>
          <w:sz w:val="18"/>
          <w:szCs w:val="18"/>
        </w:rPr>
        <w:t xml:space="preserve">digital copyright, </w:t>
      </w:r>
      <w:r w:rsidRPr="00E40FC0">
        <w:rPr>
          <w:rFonts w:ascii="Arial" w:hAnsi="Arial"/>
          <w:sz w:val="18"/>
          <w:szCs w:val="18"/>
        </w:rPr>
        <w:t xml:space="preserve">smart contracts, and </w:t>
      </w:r>
      <w:r>
        <w:rPr>
          <w:rFonts w:ascii="Arial" w:hAnsi="Arial"/>
          <w:sz w:val="18"/>
          <w:szCs w:val="18"/>
        </w:rPr>
        <w:t>the metaverse</w:t>
      </w:r>
      <w:r w:rsidRPr="00E40FC0">
        <w:rPr>
          <w:rFonts w:ascii="Arial" w:hAnsi="Arial"/>
          <w:sz w:val="18"/>
          <w:szCs w:val="18"/>
        </w:rPr>
        <w:t xml:space="preserve">; </w:t>
      </w:r>
    </w:p>
    <w:p w14:paraId="672532DB" w14:textId="77777777" w:rsidR="0044491C" w:rsidRPr="00E40FC0" w:rsidRDefault="0044491C" w:rsidP="0044491C">
      <w:pPr>
        <w:pStyle w:val="ListParagraph"/>
        <w:rPr>
          <w:rFonts w:ascii="Arial" w:hAnsi="Arial"/>
          <w:sz w:val="18"/>
          <w:szCs w:val="18"/>
        </w:rPr>
      </w:pPr>
    </w:p>
    <w:p w14:paraId="191CDD91" w14:textId="77777777" w:rsidR="0044491C" w:rsidRPr="00E40FC0" w:rsidRDefault="0044491C" w:rsidP="008407D7">
      <w:pPr>
        <w:pStyle w:val="ListParagraph"/>
        <w:numPr>
          <w:ilvl w:val="0"/>
          <w:numId w:val="44"/>
        </w:numPr>
        <w:rPr>
          <w:rFonts w:ascii="Arial" w:hAnsi="Arial"/>
          <w:sz w:val="18"/>
          <w:szCs w:val="18"/>
        </w:rPr>
      </w:pPr>
      <w:r w:rsidRPr="00E40FC0">
        <w:rPr>
          <w:rFonts w:ascii="Arial" w:hAnsi="Arial"/>
          <w:sz w:val="18"/>
          <w:szCs w:val="18"/>
        </w:rPr>
        <w:t xml:space="preserve">Building out the WIPO Center’s program of collaboration with Member State IP authorities and courts to promote and adopt tailored ADR options, with a focus on the specific </w:t>
      </w:r>
      <w:r>
        <w:rPr>
          <w:rFonts w:ascii="Arial" w:hAnsi="Arial"/>
          <w:sz w:val="18"/>
          <w:szCs w:val="18"/>
        </w:rPr>
        <w:t>needs of partners</w:t>
      </w:r>
      <w:r w:rsidRPr="00E40FC0">
        <w:rPr>
          <w:rFonts w:ascii="Arial" w:hAnsi="Arial"/>
          <w:sz w:val="18"/>
          <w:szCs w:val="18"/>
        </w:rPr>
        <w:t xml:space="preserve">; </w:t>
      </w:r>
    </w:p>
    <w:p w14:paraId="036CCDA2" w14:textId="77777777" w:rsidR="0044491C" w:rsidRPr="00E40FC0" w:rsidRDefault="0044491C" w:rsidP="0044491C">
      <w:pPr>
        <w:pStyle w:val="ListParagraph"/>
        <w:rPr>
          <w:rFonts w:ascii="Arial" w:hAnsi="Arial"/>
          <w:sz w:val="18"/>
          <w:szCs w:val="18"/>
        </w:rPr>
      </w:pPr>
    </w:p>
    <w:p w14:paraId="00197E0C" w14:textId="77777777" w:rsidR="0044491C" w:rsidRPr="00E40FC0" w:rsidRDefault="0044491C" w:rsidP="008407D7">
      <w:pPr>
        <w:pStyle w:val="ListParagraph"/>
        <w:numPr>
          <w:ilvl w:val="0"/>
          <w:numId w:val="44"/>
        </w:numPr>
        <w:rPr>
          <w:rFonts w:ascii="Arial" w:hAnsi="Arial"/>
          <w:sz w:val="18"/>
          <w:szCs w:val="18"/>
        </w:rPr>
      </w:pPr>
      <w:r w:rsidRPr="00E40FC0">
        <w:rPr>
          <w:rFonts w:ascii="Arial" w:hAnsi="Arial"/>
          <w:sz w:val="18"/>
          <w:szCs w:val="18"/>
        </w:rPr>
        <w:t xml:space="preserve">Engaging with further country code Top-Level Domain registries to help adopt ADR mechanisms enabling IP right holders to efficiently resolve domain name disputes; </w:t>
      </w:r>
    </w:p>
    <w:p w14:paraId="6D053CB1" w14:textId="77777777" w:rsidR="0044491C" w:rsidRPr="00E40FC0" w:rsidRDefault="0044491C" w:rsidP="0044491C">
      <w:pPr>
        <w:pStyle w:val="ListParagraph"/>
        <w:rPr>
          <w:rFonts w:ascii="Arial" w:hAnsi="Arial"/>
          <w:sz w:val="18"/>
          <w:szCs w:val="18"/>
        </w:rPr>
      </w:pPr>
    </w:p>
    <w:p w14:paraId="7CF64431" w14:textId="77777777" w:rsidR="0044491C" w:rsidRDefault="0044491C" w:rsidP="008407D7">
      <w:pPr>
        <w:pStyle w:val="ListParagraph"/>
        <w:numPr>
          <w:ilvl w:val="0"/>
          <w:numId w:val="44"/>
        </w:numPr>
        <w:rPr>
          <w:rFonts w:ascii="Arial" w:hAnsi="Arial"/>
          <w:sz w:val="18"/>
          <w:szCs w:val="18"/>
        </w:rPr>
      </w:pPr>
      <w:r w:rsidRPr="00E40FC0">
        <w:rPr>
          <w:rFonts w:ascii="Arial" w:hAnsi="Arial"/>
          <w:sz w:val="18"/>
          <w:szCs w:val="18"/>
        </w:rPr>
        <w:t xml:space="preserve">Active policy advocacy with ICANN, Internet and trademark stakeholders </w:t>
      </w:r>
      <w:r>
        <w:rPr>
          <w:rFonts w:ascii="Arial" w:hAnsi="Arial"/>
          <w:sz w:val="18"/>
          <w:szCs w:val="18"/>
        </w:rPr>
        <w:t>for efficient options in</w:t>
      </w:r>
      <w:r w:rsidRPr="00E40FC0">
        <w:rPr>
          <w:rFonts w:ascii="Arial" w:hAnsi="Arial"/>
          <w:sz w:val="18"/>
          <w:szCs w:val="18"/>
        </w:rPr>
        <w:t xml:space="preserve"> ICANN’s review of rights protection mechanisms in the Domain Name System.</w:t>
      </w:r>
    </w:p>
    <w:p w14:paraId="0EA2F707" w14:textId="77777777" w:rsidR="0044491C" w:rsidRPr="00C60CAD" w:rsidRDefault="0044491C" w:rsidP="0044491C">
      <w:pPr>
        <w:pStyle w:val="ListParagraph"/>
        <w:rPr>
          <w:rFonts w:ascii="Arial" w:hAnsi="Arial"/>
          <w:sz w:val="18"/>
          <w:szCs w:val="18"/>
        </w:rPr>
      </w:pPr>
    </w:p>
    <w:p w14:paraId="1CEB7853" w14:textId="77777777" w:rsidR="0044491C" w:rsidRDefault="0044491C" w:rsidP="0044491C">
      <w:pPr>
        <w:spacing w:after="200" w:line="276" w:lineRule="auto"/>
        <w:rPr>
          <w:color w:val="005172" w:themeColor="text2"/>
          <w:sz w:val="32"/>
          <w:szCs w:val="32"/>
        </w:rPr>
      </w:pPr>
      <w:r>
        <w:rPr>
          <w:color w:val="005172" w:themeColor="text2"/>
          <w:sz w:val="32"/>
          <w:szCs w:val="32"/>
        </w:rPr>
        <w:br w:type="page"/>
      </w:r>
    </w:p>
    <w:p w14:paraId="1073C526" w14:textId="77777777" w:rsidR="0044491C" w:rsidRPr="006F1BC2" w:rsidRDefault="0044491C" w:rsidP="006F1BC2">
      <w:pPr>
        <w:keepNext/>
        <w:spacing w:before="320" w:after="240"/>
        <w:outlineLvl w:val="2"/>
        <w:rPr>
          <w:color w:val="005172" w:themeColor="text2"/>
          <w:sz w:val="32"/>
          <w:lang w:val="en-US"/>
        </w:rPr>
      </w:pPr>
      <w:r w:rsidRPr="006F1BC2">
        <w:rPr>
          <w:color w:val="005172" w:themeColor="text2"/>
          <w:sz w:val="32"/>
          <w:lang w:val="en-US"/>
        </w:rPr>
        <w:t>Risks</w:t>
      </w:r>
    </w:p>
    <w:tbl>
      <w:tblPr>
        <w:tblW w:w="0" w:type="auto"/>
        <w:tblInd w:w="10" w:type="dxa"/>
        <w:tblCellMar>
          <w:left w:w="0" w:type="dxa"/>
          <w:right w:w="0" w:type="dxa"/>
        </w:tblCellMar>
        <w:tblLook w:val="04A0" w:firstRow="1" w:lastRow="0" w:firstColumn="1" w:lastColumn="0" w:noHBand="0" w:noVBand="1"/>
      </w:tblPr>
      <w:tblGrid>
        <w:gridCol w:w="2337"/>
        <w:gridCol w:w="2863"/>
        <w:gridCol w:w="2620"/>
        <w:gridCol w:w="270"/>
        <w:gridCol w:w="1261"/>
      </w:tblGrid>
      <w:tr w:rsidR="0044491C" w:rsidRPr="00C60CAD" w14:paraId="6974162C" w14:textId="77777777" w:rsidTr="00EF3B0C">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445EF0BC" w14:textId="77777777" w:rsidR="0044491C" w:rsidRPr="00E93EB0" w:rsidRDefault="0044491C" w:rsidP="0044491C">
            <w:pPr>
              <w:autoSpaceDE w:val="0"/>
              <w:autoSpaceDN w:val="0"/>
              <w:spacing w:after="0" w:line="240" w:lineRule="auto"/>
              <w:outlineLvl w:val="2"/>
              <w:rPr>
                <w:rFonts w:ascii="Arial Narrow" w:eastAsia="Times New Roman" w:hAnsi="Arial Narrow" w:cs="Arial"/>
                <w:sz w:val="16"/>
                <w:szCs w:val="32"/>
                <w:lang w:val="en-US"/>
              </w:rPr>
            </w:pPr>
            <w:r w:rsidRPr="00E93EB0">
              <w:rPr>
                <w:rFonts w:ascii="Arial Narrow" w:eastAsia="Times New Roman" w:hAnsi="Arial Narrow" w:cs="Arial"/>
                <w:b/>
                <w:bCs/>
                <w:sz w:val="16"/>
                <w:szCs w:val="14"/>
                <w:lang w:val="en-US"/>
              </w:rPr>
              <w:t xml:space="preserve">Expected Result </w:t>
            </w:r>
          </w:p>
        </w:tc>
        <w:tc>
          <w:tcPr>
            <w:tcW w:w="2863" w:type="dxa"/>
            <w:tcBorders>
              <w:left w:val="nil"/>
              <w:right w:val="nil"/>
            </w:tcBorders>
            <w:shd w:val="clear" w:color="auto" w:fill="C6CFD7" w:themeFill="accent3" w:themeFillTint="66"/>
            <w:tcMar>
              <w:top w:w="0" w:type="dxa"/>
              <w:left w:w="108" w:type="dxa"/>
              <w:bottom w:w="0" w:type="dxa"/>
              <w:right w:w="108" w:type="dxa"/>
            </w:tcMar>
            <w:hideMark/>
          </w:tcPr>
          <w:p w14:paraId="09464367" w14:textId="77777777" w:rsidR="0044491C" w:rsidRPr="00E93EB0" w:rsidRDefault="0044491C" w:rsidP="0044491C">
            <w:pPr>
              <w:autoSpaceDE w:val="0"/>
              <w:autoSpaceDN w:val="0"/>
              <w:spacing w:after="0" w:line="240" w:lineRule="auto"/>
              <w:outlineLvl w:val="2"/>
              <w:rPr>
                <w:rFonts w:ascii="Arial Narrow" w:eastAsia="Times New Roman" w:hAnsi="Arial Narrow" w:cs="Arial"/>
                <w:sz w:val="16"/>
                <w:szCs w:val="32"/>
                <w:lang w:val="en-US"/>
              </w:rPr>
            </w:pPr>
            <w:r w:rsidRPr="00E93EB0">
              <w:rPr>
                <w:rFonts w:ascii="Arial Narrow" w:eastAsia="Times New Roman" w:hAnsi="Arial Narrow" w:cs="Arial"/>
                <w:b/>
                <w:bCs/>
                <w:sz w:val="16"/>
                <w:szCs w:val="14"/>
                <w:lang w:val="en-US"/>
              </w:rPr>
              <w:t>Risk</w:t>
            </w:r>
          </w:p>
        </w:tc>
        <w:tc>
          <w:tcPr>
            <w:tcW w:w="2620" w:type="dxa"/>
            <w:tcBorders>
              <w:left w:val="nil"/>
              <w:right w:val="nil"/>
            </w:tcBorders>
            <w:shd w:val="clear" w:color="auto" w:fill="C6CFD7" w:themeFill="accent3" w:themeFillTint="66"/>
            <w:tcMar>
              <w:top w:w="0" w:type="dxa"/>
              <w:left w:w="108" w:type="dxa"/>
              <w:bottom w:w="0" w:type="dxa"/>
              <w:right w:w="108" w:type="dxa"/>
            </w:tcMar>
            <w:hideMark/>
          </w:tcPr>
          <w:p w14:paraId="6794777E" w14:textId="77777777" w:rsidR="0044491C" w:rsidRPr="00E93EB0" w:rsidRDefault="0044491C" w:rsidP="0044491C">
            <w:pPr>
              <w:autoSpaceDE w:val="0"/>
              <w:autoSpaceDN w:val="0"/>
              <w:spacing w:after="0" w:line="240" w:lineRule="auto"/>
              <w:outlineLvl w:val="2"/>
              <w:rPr>
                <w:rFonts w:ascii="Arial Narrow" w:eastAsia="Times New Roman" w:hAnsi="Arial Narrow" w:cs="Arial"/>
                <w:sz w:val="16"/>
                <w:szCs w:val="32"/>
                <w:lang w:val="en-US"/>
              </w:rPr>
            </w:pPr>
            <w:r w:rsidRPr="00E93EB0">
              <w:rPr>
                <w:rFonts w:ascii="Arial Narrow" w:eastAsia="Times New Roman" w:hAnsi="Arial Narrow" w:cs="Arial"/>
                <w:b/>
                <w:bCs/>
                <w:sz w:val="16"/>
                <w:szCs w:val="14"/>
                <w:lang w:val="en-US"/>
              </w:rPr>
              <w:t>Risk Response</w:t>
            </w:r>
          </w:p>
        </w:tc>
        <w:tc>
          <w:tcPr>
            <w:tcW w:w="1531" w:type="dxa"/>
            <w:gridSpan w:val="2"/>
            <w:tcBorders>
              <w:left w:val="nil"/>
            </w:tcBorders>
            <w:shd w:val="clear" w:color="auto" w:fill="C6CFD7" w:themeFill="accent3" w:themeFillTint="66"/>
            <w:tcMar>
              <w:top w:w="0" w:type="dxa"/>
              <w:left w:w="108" w:type="dxa"/>
              <w:bottom w:w="0" w:type="dxa"/>
              <w:right w:w="108" w:type="dxa"/>
            </w:tcMar>
            <w:hideMark/>
          </w:tcPr>
          <w:p w14:paraId="45B91C00" w14:textId="77777777" w:rsidR="0044491C" w:rsidRPr="00E93EB0" w:rsidRDefault="0044491C" w:rsidP="0044491C">
            <w:pPr>
              <w:autoSpaceDE w:val="0"/>
              <w:autoSpaceDN w:val="0"/>
              <w:spacing w:after="0" w:line="240" w:lineRule="auto"/>
              <w:outlineLvl w:val="2"/>
              <w:rPr>
                <w:rFonts w:ascii="Arial Narrow" w:eastAsia="Times New Roman" w:hAnsi="Arial Narrow" w:cs="Arial"/>
                <w:sz w:val="16"/>
                <w:szCs w:val="32"/>
                <w:lang w:val="en-US"/>
              </w:rPr>
            </w:pPr>
            <w:r w:rsidRPr="00E93EB0">
              <w:rPr>
                <w:rFonts w:ascii="Arial Narrow" w:eastAsia="Times New Roman" w:hAnsi="Arial Narrow" w:cs="Arial"/>
                <w:b/>
                <w:bCs/>
                <w:color w:val="000000"/>
                <w:sz w:val="16"/>
                <w:szCs w:val="14"/>
                <w:lang w:val="en-US"/>
              </w:rPr>
              <w:t xml:space="preserve">Target Residual Risk </w:t>
            </w:r>
          </w:p>
        </w:tc>
      </w:tr>
      <w:tr w:rsidR="0044491C" w:rsidRPr="00C60CAD" w14:paraId="68463AA6" w14:textId="77777777" w:rsidTr="0044491C">
        <w:tc>
          <w:tcPr>
            <w:tcW w:w="9351" w:type="dxa"/>
            <w:gridSpan w:val="5"/>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44491C" w:rsidRPr="00C60CAD" w14:paraId="3D329D01" w14:textId="77777777" w:rsidTr="0044491C">
              <w:trPr>
                <w:trHeight w:val="134"/>
              </w:trPr>
              <w:tc>
                <w:tcPr>
                  <w:tcW w:w="1129" w:type="dxa"/>
                  <w:shd w:val="clear" w:color="auto" w:fill="EDF0F3" w:themeFill="accent4" w:themeFillTint="33"/>
                  <w:tcMar>
                    <w:top w:w="0" w:type="dxa"/>
                    <w:left w:w="108" w:type="dxa"/>
                    <w:bottom w:w="0" w:type="dxa"/>
                    <w:right w:w="108" w:type="dxa"/>
                  </w:tcMar>
                  <w:hideMark/>
                </w:tcPr>
                <w:p w14:paraId="25837E96" w14:textId="319564E0" w:rsidR="0044491C" w:rsidRPr="007C5188" w:rsidRDefault="007C5188" w:rsidP="0044491C">
                  <w:pPr>
                    <w:autoSpaceDE w:val="0"/>
                    <w:autoSpaceDN w:val="0"/>
                    <w:spacing w:after="0" w:line="240" w:lineRule="auto"/>
                    <w:ind w:hanging="360"/>
                    <w:jc w:val="right"/>
                    <w:rPr>
                      <w:rFonts w:ascii="Calibri" w:eastAsia="Calibri" w:hAnsi="Calibri" w:cs="Calibri"/>
                      <w:color w:val="005172" w:themeColor="text2"/>
                      <w:sz w:val="22"/>
                      <w:lang w:val="en-US"/>
                    </w:rPr>
                  </w:pPr>
                  <w:r w:rsidRPr="007C5188">
                    <w:rPr>
                      <w:rFonts w:ascii="Arial Narrow" w:eastAsia="Calibri" w:hAnsi="Arial Narrow" w:cs="Calibri"/>
                      <w:i/>
                      <w:iCs/>
                      <w:color w:val="005172" w:themeColor="text2"/>
                      <w:sz w:val="16"/>
                      <w:szCs w:val="16"/>
                      <w:lang w:val="en-US"/>
                    </w:rPr>
                    <w:t xml:space="preserve">Strategic Pillar 4 </w:t>
                  </w:r>
                  <w:r w:rsidR="0044491C" w:rsidRPr="007C5188">
                    <w:rPr>
                      <w:rFonts w:ascii="Arial Narrow" w:eastAsia="Calibri" w:hAnsi="Arial Narrow" w:cs="Calibri"/>
                      <w:i/>
                      <w:iCs/>
                      <w:color w:val="005172" w:themeColor="text2"/>
                      <w:sz w:val="16"/>
                      <w:szCs w:val="16"/>
                      <w:lang w:val="en-US"/>
                    </w:rPr>
                    <w:t xml:space="preserve">  </w:t>
                  </w:r>
                </w:p>
              </w:tc>
              <w:tc>
                <w:tcPr>
                  <w:tcW w:w="7571" w:type="dxa"/>
                  <w:shd w:val="clear" w:color="auto" w:fill="EDF0F3" w:themeFill="accent4" w:themeFillTint="33"/>
                  <w:tcMar>
                    <w:top w:w="0" w:type="dxa"/>
                    <w:left w:w="108" w:type="dxa"/>
                    <w:bottom w:w="0" w:type="dxa"/>
                    <w:right w:w="108" w:type="dxa"/>
                  </w:tcMar>
                  <w:hideMark/>
                </w:tcPr>
                <w:p w14:paraId="409C09D9" w14:textId="77777777" w:rsidR="0044491C" w:rsidRPr="007C5188" w:rsidRDefault="0044491C" w:rsidP="0044491C">
                  <w:pPr>
                    <w:autoSpaceDE w:val="0"/>
                    <w:autoSpaceDN w:val="0"/>
                    <w:spacing w:after="0" w:line="240" w:lineRule="auto"/>
                    <w:rPr>
                      <w:rFonts w:ascii="Calibri" w:eastAsia="Calibri" w:hAnsi="Calibri" w:cs="Calibri"/>
                      <w:color w:val="005172" w:themeColor="text2"/>
                      <w:sz w:val="22"/>
                      <w:lang w:val="en-US"/>
                    </w:rPr>
                  </w:pPr>
                  <w:r w:rsidRPr="007C5188">
                    <w:rPr>
                      <w:rFonts w:ascii="Arial Narrow" w:eastAsia="Calibri" w:hAnsi="Arial Narrow" w:cs="Calibri"/>
                      <w:i/>
                      <w:iCs/>
                      <w:color w:val="005172" w:themeColor="text2"/>
                      <w:sz w:val="16"/>
                      <w:szCs w:val="16"/>
                      <w:lang w:val="en-US"/>
                    </w:rPr>
                    <w:t>Support governments, enterprises, communities and individuals to use intellectual property as a tool for growth and sustainable development</w:t>
                  </w:r>
                </w:p>
              </w:tc>
            </w:tr>
          </w:tbl>
          <w:p w14:paraId="59BDFAAA" w14:textId="77777777" w:rsidR="0044491C" w:rsidRPr="00C60CAD" w:rsidRDefault="0044491C" w:rsidP="0044491C">
            <w:pPr>
              <w:widowControl w:val="0"/>
              <w:autoSpaceDE w:val="0"/>
              <w:autoSpaceDN w:val="0"/>
              <w:spacing w:after="0" w:line="240" w:lineRule="auto"/>
              <w:rPr>
                <w:rFonts w:ascii="Arial Narrow" w:eastAsia="Times New Roman" w:hAnsi="Arial Narrow" w:cs="Arial Narrow"/>
                <w:sz w:val="20"/>
                <w:szCs w:val="20"/>
                <w:lang w:val="en-US" w:bidi="en-US"/>
              </w:rPr>
            </w:pPr>
          </w:p>
        </w:tc>
      </w:tr>
      <w:tr w:rsidR="0044491C" w:rsidRPr="00C60CAD" w14:paraId="3F004959" w14:textId="77777777" w:rsidTr="00B14BAF">
        <w:trPr>
          <w:trHeight w:val="907"/>
        </w:trPr>
        <w:tc>
          <w:tcPr>
            <w:tcW w:w="2337" w:type="dxa"/>
            <w:shd w:val="clear" w:color="auto" w:fill="FFFFFF"/>
            <w:tcMar>
              <w:top w:w="0" w:type="dxa"/>
              <w:left w:w="108" w:type="dxa"/>
              <w:bottom w:w="0" w:type="dxa"/>
              <w:right w:w="108" w:type="dxa"/>
            </w:tcMar>
            <w:hideMark/>
          </w:tcPr>
          <w:p w14:paraId="6944EBE9" w14:textId="6272B89D" w:rsidR="0044491C" w:rsidRPr="00C60CAD" w:rsidRDefault="0044491C" w:rsidP="0044491C">
            <w:pPr>
              <w:autoSpaceDE w:val="0"/>
              <w:autoSpaceDN w:val="0"/>
              <w:spacing w:before="89" w:after="0" w:line="240" w:lineRule="auto"/>
              <w:outlineLvl w:val="2"/>
              <w:rPr>
                <w:rFonts w:eastAsia="Times New Roman" w:cs="Arial"/>
                <w:sz w:val="32"/>
                <w:szCs w:val="32"/>
                <w:lang w:val="en-US"/>
              </w:rPr>
            </w:pPr>
            <w:r w:rsidRPr="0025327B">
              <w:rPr>
                <w:rFonts w:ascii="Arial Narrow" w:eastAsia="Times New Roman" w:hAnsi="Arial Narrow" w:cs="Arial"/>
                <w:color w:val="005172" w:themeColor="accent1"/>
                <w:sz w:val="16"/>
                <w:szCs w:val="16"/>
                <w:lang w:val="en-US"/>
              </w:rPr>
              <w:t>4.4</w:t>
            </w:r>
            <w:r w:rsidRPr="00E93EB0">
              <w:rPr>
                <w:rFonts w:eastAsia="Times New Roman" w:cs="Arial"/>
                <w:color w:val="005172" w:themeColor="accent1"/>
                <w:sz w:val="16"/>
                <w:szCs w:val="16"/>
                <w:lang w:val="en-US"/>
              </w:rPr>
              <w:t xml:space="preserve"> </w:t>
            </w:r>
            <w:r w:rsidR="006D0039">
              <w:rPr>
                <w:rFonts w:eastAsia="Times New Roman" w:cs="Arial"/>
                <w:color w:val="005172" w:themeColor="accent1"/>
                <w:sz w:val="16"/>
                <w:szCs w:val="16"/>
                <w:lang w:val="en-US"/>
              </w:rPr>
              <w:t xml:space="preserve"> </w:t>
            </w:r>
            <w:r w:rsidRPr="00C60CAD">
              <w:rPr>
                <w:rFonts w:ascii="Arial Narrow" w:eastAsia="Times New Roman" w:hAnsi="Arial Narrow" w:cs="Arial"/>
                <w:sz w:val="16"/>
                <w:szCs w:val="16"/>
                <w:lang w:val="en-US"/>
              </w:rPr>
              <w:t xml:space="preserve">More innovators, creators, SMEs, universities, research institutions and communities leverage IP successfully  </w:t>
            </w:r>
          </w:p>
          <w:p w14:paraId="141B4248" w14:textId="77777777" w:rsidR="0044491C" w:rsidRPr="00C60CAD" w:rsidRDefault="0044491C" w:rsidP="0044491C">
            <w:pPr>
              <w:autoSpaceDE w:val="0"/>
              <w:autoSpaceDN w:val="0"/>
              <w:spacing w:after="0" w:line="240" w:lineRule="auto"/>
              <w:outlineLvl w:val="2"/>
              <w:rPr>
                <w:rFonts w:eastAsia="Times New Roman" w:cs="Arial"/>
                <w:sz w:val="32"/>
                <w:szCs w:val="32"/>
                <w:lang w:val="en-US"/>
              </w:rPr>
            </w:pPr>
            <w:r w:rsidRPr="00C60CAD">
              <w:rPr>
                <w:rFonts w:ascii="Arial Narrow" w:eastAsia="Times New Roman" w:hAnsi="Arial Narrow" w:cs="Arial"/>
                <w:b/>
                <w:bCs/>
                <w:i/>
                <w:iCs/>
                <w:sz w:val="16"/>
                <w:szCs w:val="16"/>
                <w:lang w:val="en-US"/>
              </w:rPr>
              <w:t>High risk appetite</w:t>
            </w:r>
          </w:p>
        </w:tc>
        <w:tc>
          <w:tcPr>
            <w:tcW w:w="2863" w:type="dxa"/>
            <w:shd w:val="clear" w:color="auto" w:fill="FFFFFF"/>
            <w:tcMar>
              <w:top w:w="0" w:type="dxa"/>
              <w:left w:w="108" w:type="dxa"/>
              <w:bottom w:w="0" w:type="dxa"/>
              <w:right w:w="108" w:type="dxa"/>
            </w:tcMar>
            <w:hideMark/>
          </w:tcPr>
          <w:p w14:paraId="74CA8890" w14:textId="2CB4D700" w:rsidR="0044491C" w:rsidRPr="00C60CAD" w:rsidRDefault="0044491C" w:rsidP="0044491C">
            <w:pPr>
              <w:autoSpaceDE w:val="0"/>
              <w:autoSpaceDN w:val="0"/>
              <w:spacing w:before="89" w:after="0" w:line="240" w:lineRule="auto"/>
              <w:outlineLvl w:val="2"/>
              <w:rPr>
                <w:rFonts w:eastAsia="Times New Roman" w:cs="Arial"/>
                <w:sz w:val="32"/>
                <w:szCs w:val="32"/>
                <w:lang w:val="en-US"/>
              </w:rPr>
            </w:pPr>
            <w:r w:rsidRPr="00C60CAD">
              <w:rPr>
                <w:rFonts w:ascii="Arial Narrow" w:eastAsia="Times New Roman" w:hAnsi="Arial Narrow" w:cs="Arial"/>
                <w:sz w:val="16"/>
                <w:szCs w:val="16"/>
                <w:lang w:val="en-US"/>
              </w:rPr>
              <w:t>Insufficient engagement or changes in priorities at national level could negatively impact the: i) establishment and sustainability of technology transfer networks and structures; ii) projects to support IP as a tool for business growth; or, iii) judicial programs.</w:t>
            </w:r>
          </w:p>
        </w:tc>
        <w:tc>
          <w:tcPr>
            <w:tcW w:w="2890" w:type="dxa"/>
            <w:gridSpan w:val="2"/>
            <w:shd w:val="clear" w:color="auto" w:fill="FFFFFF"/>
            <w:tcMar>
              <w:top w:w="0" w:type="dxa"/>
              <w:left w:w="108" w:type="dxa"/>
              <w:bottom w:w="0" w:type="dxa"/>
              <w:right w:w="108" w:type="dxa"/>
            </w:tcMar>
            <w:hideMark/>
          </w:tcPr>
          <w:p w14:paraId="18E5F64C" w14:textId="77777777" w:rsidR="0044491C" w:rsidRPr="00C60CAD" w:rsidRDefault="0044491C" w:rsidP="00B14BAF">
            <w:pPr>
              <w:autoSpaceDE w:val="0"/>
              <w:autoSpaceDN w:val="0"/>
              <w:spacing w:before="89" w:after="0" w:line="240" w:lineRule="auto"/>
              <w:outlineLvl w:val="2"/>
              <w:rPr>
                <w:rFonts w:eastAsia="Times New Roman" w:cs="Arial"/>
                <w:sz w:val="32"/>
                <w:szCs w:val="32"/>
                <w:lang w:val="en-US"/>
              </w:rPr>
            </w:pPr>
            <w:r w:rsidRPr="00C60CAD">
              <w:rPr>
                <w:rFonts w:ascii="Arial Narrow" w:eastAsia="Times New Roman" w:hAnsi="Arial Narrow" w:cs="Arial"/>
                <w:sz w:val="16"/>
                <w:szCs w:val="16"/>
                <w:lang w:val="en-US"/>
              </w:rPr>
              <w:t>Close collaboration with national authorities from the outset to ascertain mid to long term commitment; assist in the planning, monitoring and evaluation of national projects in accordance with best practices.</w:t>
            </w:r>
          </w:p>
        </w:tc>
        <w:tc>
          <w:tcPr>
            <w:tcW w:w="1261" w:type="dxa"/>
            <w:shd w:val="clear" w:color="auto" w:fill="FFFFFF"/>
            <w:tcMar>
              <w:top w:w="0" w:type="dxa"/>
              <w:left w:w="108" w:type="dxa"/>
              <w:bottom w:w="0" w:type="dxa"/>
              <w:right w:w="108" w:type="dxa"/>
            </w:tcMar>
            <w:hideMark/>
          </w:tcPr>
          <w:p w14:paraId="4926905C" w14:textId="1B413165" w:rsidR="0044491C" w:rsidRDefault="0044491C" w:rsidP="00EF3B0C">
            <w:pPr>
              <w:autoSpaceDE w:val="0"/>
              <w:autoSpaceDN w:val="0"/>
              <w:spacing w:before="89" w:after="0" w:line="240" w:lineRule="auto"/>
              <w:ind w:hanging="110"/>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Low</w:t>
            </w:r>
            <w:r w:rsidR="00EF3B0C">
              <w:rPr>
                <w:rFonts w:ascii="Arial Narrow" w:eastAsia="Times New Roman" w:hAnsi="Arial Narrow" w:cs="Arial"/>
                <w:sz w:val="16"/>
                <w:szCs w:val="16"/>
                <w:lang w:val="en-US"/>
              </w:rPr>
              <w:t xml:space="preserve"> –</w:t>
            </w:r>
          </w:p>
          <w:p w14:paraId="677CEF96" w14:textId="36D2E487" w:rsidR="0044491C" w:rsidRPr="00C60CAD" w:rsidRDefault="00EF3B0C" w:rsidP="00EF3B0C">
            <w:pPr>
              <w:autoSpaceDE w:val="0"/>
              <w:autoSpaceDN w:val="0"/>
              <w:spacing w:after="0" w:line="240" w:lineRule="auto"/>
              <w:ind w:hanging="110"/>
              <w:outlineLvl w:val="2"/>
              <w:rPr>
                <w:rFonts w:eastAsia="Times New Roman" w:cs="Arial"/>
                <w:sz w:val="32"/>
                <w:szCs w:val="32"/>
                <w:lang w:val="en-US"/>
              </w:rPr>
            </w:pPr>
            <w:r>
              <w:rPr>
                <w:rFonts w:ascii="Arial Narrow" w:eastAsia="Times New Roman" w:hAnsi="Arial Narrow" w:cs="Arial"/>
                <w:sz w:val="16"/>
                <w:szCs w:val="16"/>
                <w:lang w:val="en-US"/>
              </w:rPr>
              <w:t>b</w:t>
            </w:r>
            <w:r w:rsidR="0044491C" w:rsidRPr="00C60CAD">
              <w:rPr>
                <w:rFonts w:ascii="Arial Narrow" w:eastAsia="Times New Roman" w:hAnsi="Arial Narrow" w:cs="Arial"/>
                <w:sz w:val="16"/>
                <w:szCs w:val="16"/>
                <w:lang w:val="en-US"/>
              </w:rPr>
              <w:t>elow risk appetite</w:t>
            </w:r>
            <w:r w:rsidR="0044491C" w:rsidRPr="00C60CAD">
              <w:rPr>
                <w:rFonts w:eastAsia="Times New Roman" w:cs="Arial"/>
                <w:sz w:val="20"/>
                <w:szCs w:val="20"/>
                <w:lang w:val="en-US"/>
              </w:rPr>
              <w:t> </w:t>
            </w:r>
          </w:p>
        </w:tc>
      </w:tr>
      <w:tr w:rsidR="0044491C" w:rsidRPr="00C60CAD" w14:paraId="6B4537A2" w14:textId="77777777" w:rsidTr="00B14BAF">
        <w:trPr>
          <w:trHeight w:val="1078"/>
        </w:trPr>
        <w:tc>
          <w:tcPr>
            <w:tcW w:w="2337" w:type="dxa"/>
            <w:shd w:val="clear" w:color="auto" w:fill="FFFFFF"/>
            <w:tcMar>
              <w:top w:w="0" w:type="dxa"/>
              <w:left w:w="108" w:type="dxa"/>
              <w:bottom w:w="0" w:type="dxa"/>
              <w:right w:w="108" w:type="dxa"/>
            </w:tcMar>
          </w:tcPr>
          <w:p w14:paraId="090ABED7" w14:textId="77777777" w:rsidR="0044491C" w:rsidRPr="00C60CAD" w:rsidRDefault="0044491C" w:rsidP="0044491C">
            <w:pPr>
              <w:autoSpaceDE w:val="0"/>
              <w:autoSpaceDN w:val="0"/>
              <w:spacing w:after="0" w:line="240" w:lineRule="auto"/>
              <w:outlineLvl w:val="2"/>
              <w:rPr>
                <w:rFonts w:eastAsia="Times New Roman" w:cs="Arial"/>
                <w:color w:val="005171"/>
                <w:sz w:val="16"/>
                <w:szCs w:val="16"/>
                <w:lang w:val="en-US"/>
              </w:rPr>
            </w:pPr>
          </w:p>
        </w:tc>
        <w:tc>
          <w:tcPr>
            <w:tcW w:w="2863" w:type="dxa"/>
            <w:shd w:val="clear" w:color="auto" w:fill="FFFFFF"/>
            <w:tcMar>
              <w:top w:w="0" w:type="dxa"/>
              <w:left w:w="108" w:type="dxa"/>
              <w:bottom w:w="0" w:type="dxa"/>
              <w:right w:w="108" w:type="dxa"/>
            </w:tcMar>
          </w:tcPr>
          <w:p w14:paraId="7C47F9F8" w14:textId="09954D44" w:rsidR="0044491C" w:rsidRPr="00C60CAD" w:rsidRDefault="0044491C" w:rsidP="0044491C">
            <w:pPr>
              <w:autoSpaceDE w:val="0"/>
              <w:autoSpaceDN w:val="0"/>
              <w:spacing w:before="89" w:after="0" w:line="240" w:lineRule="auto"/>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User demand for our services, including IP ADR, domain name dispute resolution, analysis, advisory, tools</w:t>
            </w:r>
            <w:r w:rsidR="00FC621E">
              <w:rPr>
                <w:rFonts w:ascii="Arial Narrow" w:eastAsia="Times New Roman" w:hAnsi="Arial Narrow" w:cs="Arial"/>
                <w:sz w:val="16"/>
                <w:szCs w:val="16"/>
                <w:lang w:val="en-US"/>
              </w:rPr>
              <w:t xml:space="preserve"> and databases declines, resulting</w:t>
            </w:r>
            <w:r w:rsidRPr="00C60CAD">
              <w:rPr>
                <w:rFonts w:ascii="Arial Narrow" w:eastAsia="Times New Roman" w:hAnsi="Arial Narrow" w:cs="Arial"/>
                <w:sz w:val="16"/>
                <w:szCs w:val="16"/>
                <w:lang w:val="en-US"/>
              </w:rPr>
              <w:t xml:space="preserve"> in diminished market position, organizational reputation, or policy impact</w:t>
            </w:r>
          </w:p>
        </w:tc>
        <w:tc>
          <w:tcPr>
            <w:tcW w:w="2890" w:type="dxa"/>
            <w:gridSpan w:val="2"/>
            <w:shd w:val="clear" w:color="auto" w:fill="FFFFFF"/>
            <w:tcMar>
              <w:top w:w="0" w:type="dxa"/>
              <w:left w:w="108" w:type="dxa"/>
              <w:bottom w:w="0" w:type="dxa"/>
              <w:right w:w="108" w:type="dxa"/>
            </w:tcMar>
          </w:tcPr>
          <w:p w14:paraId="704DA450" w14:textId="75266451" w:rsidR="0044491C" w:rsidRPr="00C60CAD" w:rsidRDefault="0044491C" w:rsidP="00B14BAF">
            <w:pPr>
              <w:autoSpaceDE w:val="0"/>
              <w:autoSpaceDN w:val="0"/>
              <w:spacing w:before="89" w:after="0" w:line="240" w:lineRule="auto"/>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 xml:space="preserve">Leverage WIPO’s position as </w:t>
            </w:r>
            <w:r w:rsidR="00FC621E">
              <w:rPr>
                <w:rFonts w:ascii="Arial Narrow" w:eastAsia="Times New Roman" w:hAnsi="Arial Narrow" w:cs="Arial"/>
                <w:sz w:val="16"/>
                <w:szCs w:val="16"/>
                <w:lang w:val="en-US"/>
              </w:rPr>
              <w:t xml:space="preserve">a </w:t>
            </w:r>
            <w:r w:rsidRPr="00C60CAD">
              <w:rPr>
                <w:rFonts w:ascii="Arial Narrow" w:eastAsia="Times New Roman" w:hAnsi="Arial Narrow" w:cs="Arial"/>
                <w:sz w:val="16"/>
                <w:szCs w:val="16"/>
                <w:lang w:val="en-US"/>
              </w:rPr>
              <w:t>global, neutral and credible IP specialist, increase application of IT tools for improving user experience, and enhance digital tools and outreach</w:t>
            </w:r>
          </w:p>
        </w:tc>
        <w:tc>
          <w:tcPr>
            <w:tcW w:w="1261" w:type="dxa"/>
            <w:shd w:val="clear" w:color="auto" w:fill="FFFFFF"/>
            <w:tcMar>
              <w:top w:w="0" w:type="dxa"/>
              <w:left w:w="108" w:type="dxa"/>
              <w:bottom w:w="0" w:type="dxa"/>
              <w:right w:w="108" w:type="dxa"/>
            </w:tcMar>
          </w:tcPr>
          <w:p w14:paraId="6DA58FC4" w14:textId="3EC5129F" w:rsidR="0044491C" w:rsidRDefault="0044491C" w:rsidP="00EF3B0C">
            <w:pPr>
              <w:autoSpaceDE w:val="0"/>
              <w:autoSpaceDN w:val="0"/>
              <w:spacing w:after="0" w:line="240" w:lineRule="auto"/>
              <w:ind w:hanging="110"/>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Medium</w:t>
            </w:r>
            <w:r w:rsidR="00EF3B0C">
              <w:rPr>
                <w:rFonts w:ascii="Arial Narrow" w:eastAsia="Times New Roman" w:hAnsi="Arial Narrow" w:cs="Arial"/>
                <w:sz w:val="16"/>
                <w:szCs w:val="16"/>
                <w:lang w:val="en-US"/>
              </w:rPr>
              <w:t xml:space="preserve"> – </w:t>
            </w:r>
          </w:p>
          <w:p w14:paraId="0389320A" w14:textId="576C1697" w:rsidR="0044491C" w:rsidRPr="00C60CAD" w:rsidRDefault="00EF3B0C" w:rsidP="00EF3B0C">
            <w:pPr>
              <w:autoSpaceDE w:val="0"/>
              <w:autoSpaceDN w:val="0"/>
              <w:spacing w:after="0" w:line="240" w:lineRule="auto"/>
              <w:ind w:hanging="110"/>
              <w:outlineLvl w:val="2"/>
              <w:rPr>
                <w:rFonts w:eastAsia="Times New Roman" w:cs="Arial"/>
                <w:sz w:val="32"/>
                <w:szCs w:val="32"/>
                <w:lang w:val="en-US"/>
              </w:rPr>
            </w:pPr>
            <w:r>
              <w:rPr>
                <w:rFonts w:ascii="Arial Narrow" w:eastAsia="Times New Roman" w:hAnsi="Arial Narrow" w:cs="Arial"/>
                <w:sz w:val="16"/>
                <w:szCs w:val="16"/>
                <w:lang w:val="en-US"/>
              </w:rPr>
              <w:t>b</w:t>
            </w:r>
            <w:r w:rsidR="0044491C" w:rsidRPr="00C60CAD">
              <w:rPr>
                <w:rFonts w:ascii="Arial Narrow" w:eastAsia="Times New Roman" w:hAnsi="Arial Narrow" w:cs="Arial"/>
                <w:sz w:val="16"/>
                <w:szCs w:val="16"/>
                <w:lang w:val="en-US"/>
              </w:rPr>
              <w:t>elow risk appetite</w:t>
            </w:r>
          </w:p>
          <w:p w14:paraId="41516966" w14:textId="77777777" w:rsidR="0044491C" w:rsidRPr="00C60CAD" w:rsidRDefault="0044491C" w:rsidP="0044491C">
            <w:pPr>
              <w:autoSpaceDE w:val="0"/>
              <w:autoSpaceDN w:val="0"/>
              <w:spacing w:after="0" w:line="240" w:lineRule="auto"/>
              <w:outlineLvl w:val="2"/>
              <w:rPr>
                <w:rFonts w:ascii="Arial Narrow" w:eastAsia="Times New Roman" w:hAnsi="Arial Narrow" w:cs="Arial"/>
                <w:sz w:val="16"/>
                <w:szCs w:val="16"/>
                <w:lang w:val="en-US"/>
              </w:rPr>
            </w:pPr>
          </w:p>
        </w:tc>
      </w:tr>
      <w:tr w:rsidR="0044491C" w:rsidRPr="00C60CAD" w14:paraId="78041375" w14:textId="77777777" w:rsidTr="00B14BAF">
        <w:trPr>
          <w:trHeight w:val="907"/>
        </w:trPr>
        <w:tc>
          <w:tcPr>
            <w:tcW w:w="2337" w:type="dxa"/>
            <w:tcBorders>
              <w:bottom w:val="single" w:sz="8" w:space="0" w:color="CBD4DB" w:themeColor="accent4" w:themeTint="99"/>
            </w:tcBorders>
            <w:shd w:val="clear" w:color="auto" w:fill="FFFFFF"/>
            <w:tcMar>
              <w:top w:w="0" w:type="dxa"/>
              <w:left w:w="108" w:type="dxa"/>
              <w:bottom w:w="0" w:type="dxa"/>
              <w:right w:w="108" w:type="dxa"/>
            </w:tcMar>
          </w:tcPr>
          <w:p w14:paraId="597429ED" w14:textId="77777777" w:rsidR="0044491C" w:rsidRPr="00C60CAD" w:rsidRDefault="0044491C" w:rsidP="0044491C">
            <w:pPr>
              <w:autoSpaceDE w:val="0"/>
              <w:autoSpaceDN w:val="0"/>
              <w:spacing w:after="0" w:line="240" w:lineRule="auto"/>
              <w:outlineLvl w:val="2"/>
              <w:rPr>
                <w:rFonts w:eastAsia="Times New Roman" w:cs="Arial"/>
                <w:color w:val="005171"/>
                <w:sz w:val="16"/>
                <w:szCs w:val="16"/>
                <w:lang w:val="en-US"/>
              </w:rPr>
            </w:pPr>
          </w:p>
        </w:tc>
        <w:tc>
          <w:tcPr>
            <w:tcW w:w="2863" w:type="dxa"/>
            <w:tcBorders>
              <w:bottom w:val="single" w:sz="8" w:space="0" w:color="CBD4DB" w:themeColor="accent4" w:themeTint="99"/>
            </w:tcBorders>
            <w:shd w:val="clear" w:color="auto" w:fill="FFFFFF"/>
            <w:tcMar>
              <w:top w:w="0" w:type="dxa"/>
              <w:left w:w="108" w:type="dxa"/>
              <w:bottom w:w="0" w:type="dxa"/>
              <w:right w:w="108" w:type="dxa"/>
            </w:tcMar>
          </w:tcPr>
          <w:p w14:paraId="58794E79" w14:textId="77777777" w:rsidR="0044491C" w:rsidRPr="00C60CAD" w:rsidRDefault="0044491C" w:rsidP="0044491C">
            <w:pPr>
              <w:autoSpaceDE w:val="0"/>
              <w:autoSpaceDN w:val="0"/>
              <w:spacing w:before="89" w:after="0" w:line="240" w:lineRule="auto"/>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Information received is unreliable, leading to inaccurate statistical data, or analytical shortcomings in WIPO publications and reports.</w:t>
            </w:r>
          </w:p>
        </w:tc>
        <w:tc>
          <w:tcPr>
            <w:tcW w:w="2890" w:type="dxa"/>
            <w:gridSpan w:val="2"/>
            <w:tcBorders>
              <w:bottom w:val="single" w:sz="8" w:space="0" w:color="CBD4DB" w:themeColor="accent4" w:themeTint="99"/>
            </w:tcBorders>
            <w:shd w:val="clear" w:color="auto" w:fill="FFFFFF"/>
            <w:tcMar>
              <w:top w:w="0" w:type="dxa"/>
              <w:left w:w="108" w:type="dxa"/>
              <w:bottom w:w="0" w:type="dxa"/>
              <w:right w:w="108" w:type="dxa"/>
            </w:tcMar>
          </w:tcPr>
          <w:p w14:paraId="40C46EF2" w14:textId="77777777" w:rsidR="0044491C" w:rsidRPr="00C60CAD" w:rsidRDefault="0044491C" w:rsidP="00B14BAF">
            <w:pPr>
              <w:autoSpaceDE w:val="0"/>
              <w:autoSpaceDN w:val="0"/>
              <w:spacing w:before="89" w:after="0" w:line="240" w:lineRule="auto"/>
              <w:outlineLvl w:val="2"/>
              <w:rPr>
                <w:rFonts w:ascii="Arial Narrow" w:eastAsia="Times New Roman" w:hAnsi="Arial Narrow" w:cs="Arial"/>
                <w:sz w:val="16"/>
                <w:szCs w:val="16"/>
                <w:lang w:val="en-US"/>
              </w:rPr>
            </w:pPr>
            <w:r w:rsidRPr="00C60CAD">
              <w:rPr>
                <w:rFonts w:ascii="Arial Narrow" w:eastAsia="Times New Roman" w:hAnsi="Arial Narrow" w:cs="Arial"/>
                <w:sz w:val="16"/>
                <w:szCs w:val="16"/>
                <w:lang w:val="en-US"/>
              </w:rPr>
              <w:t>Control mechanisms designed to identify data inconsistencies; publications carefully reviewed by experts; analytical publications externally peer reviewed.</w:t>
            </w:r>
          </w:p>
        </w:tc>
        <w:tc>
          <w:tcPr>
            <w:tcW w:w="1261" w:type="dxa"/>
            <w:tcBorders>
              <w:bottom w:val="single" w:sz="8" w:space="0" w:color="CBD4DB" w:themeColor="accent4" w:themeTint="99"/>
            </w:tcBorders>
            <w:shd w:val="clear" w:color="auto" w:fill="FFFFFF"/>
            <w:tcMar>
              <w:top w:w="0" w:type="dxa"/>
              <w:left w:w="108" w:type="dxa"/>
              <w:bottom w:w="0" w:type="dxa"/>
              <w:right w:w="108" w:type="dxa"/>
            </w:tcMar>
          </w:tcPr>
          <w:p w14:paraId="4AE0FE79" w14:textId="5038AC7A" w:rsidR="0044491C" w:rsidRDefault="0044491C" w:rsidP="00EF3B0C">
            <w:pPr>
              <w:autoSpaceDE w:val="0"/>
              <w:autoSpaceDN w:val="0"/>
              <w:spacing w:after="0" w:line="240" w:lineRule="auto"/>
              <w:ind w:hanging="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Low</w:t>
            </w:r>
            <w:r w:rsidR="00EF3B0C">
              <w:rPr>
                <w:rFonts w:ascii="Arial Narrow" w:eastAsia="Times New Roman" w:hAnsi="Arial Narrow" w:cs="Arial"/>
                <w:sz w:val="16"/>
                <w:szCs w:val="16"/>
                <w:lang w:val="en-US"/>
              </w:rPr>
              <w:t xml:space="preserve"> – </w:t>
            </w:r>
          </w:p>
          <w:p w14:paraId="348F4984" w14:textId="2BACFD1F" w:rsidR="0044491C" w:rsidRPr="00C60CAD" w:rsidRDefault="00EF3B0C" w:rsidP="00EF3B0C">
            <w:pPr>
              <w:autoSpaceDE w:val="0"/>
              <w:autoSpaceDN w:val="0"/>
              <w:spacing w:after="0" w:line="240" w:lineRule="auto"/>
              <w:ind w:hanging="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b</w:t>
            </w:r>
            <w:r w:rsidR="0044491C" w:rsidRPr="00C60CAD">
              <w:rPr>
                <w:rFonts w:ascii="Arial Narrow" w:eastAsia="Times New Roman" w:hAnsi="Arial Narrow" w:cs="Arial"/>
                <w:sz w:val="16"/>
                <w:szCs w:val="16"/>
                <w:lang w:val="en-US"/>
              </w:rPr>
              <w:t>elow risk appetite</w:t>
            </w:r>
          </w:p>
        </w:tc>
      </w:tr>
    </w:tbl>
    <w:p w14:paraId="67392978" w14:textId="77777777" w:rsidR="0044491C" w:rsidRDefault="0044491C" w:rsidP="0044491C">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4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371"/>
        <w:gridCol w:w="2372"/>
        <w:gridCol w:w="2372"/>
        <w:gridCol w:w="2373"/>
      </w:tblGrid>
      <w:tr w:rsidR="0044491C" w:rsidRPr="00D350B5" w14:paraId="3CF3BAF9" w14:textId="77777777" w:rsidTr="0045683A">
        <w:trPr>
          <w:cantSplit/>
          <w:trHeight w:val="107"/>
          <w:tblHeader/>
        </w:trPr>
        <w:tc>
          <w:tcPr>
            <w:tcW w:w="2371" w:type="dxa"/>
            <w:shd w:val="clear" w:color="auto" w:fill="C6CFD7" w:themeFill="accent3" w:themeFillTint="66"/>
          </w:tcPr>
          <w:p w14:paraId="16F8C141" w14:textId="77777777" w:rsidR="0044491C" w:rsidRPr="00D350B5" w:rsidRDefault="0044491C" w:rsidP="0044491C">
            <w:pPr>
              <w:pStyle w:val="TableHeading"/>
              <w:rPr>
                <w:lang w:val="en-US"/>
              </w:rPr>
            </w:pPr>
            <w:r w:rsidRPr="00D350B5">
              <w:rPr>
                <w:lang w:val="en-US"/>
              </w:rPr>
              <w:t>Expected Result</w:t>
            </w:r>
          </w:p>
        </w:tc>
        <w:tc>
          <w:tcPr>
            <w:tcW w:w="2372" w:type="dxa"/>
            <w:shd w:val="clear" w:color="auto" w:fill="C6CFD7" w:themeFill="accent3" w:themeFillTint="66"/>
          </w:tcPr>
          <w:p w14:paraId="601A9A3A" w14:textId="77777777" w:rsidR="0044491C" w:rsidRPr="00D350B5" w:rsidRDefault="0044491C" w:rsidP="0044491C">
            <w:pPr>
              <w:pStyle w:val="TableHeading"/>
              <w:rPr>
                <w:lang w:val="en-US"/>
              </w:rPr>
            </w:pPr>
            <w:r w:rsidRPr="00D350B5">
              <w:rPr>
                <w:lang w:val="en-US"/>
              </w:rPr>
              <w:t>Performance Indicators</w:t>
            </w:r>
          </w:p>
        </w:tc>
        <w:tc>
          <w:tcPr>
            <w:tcW w:w="2372" w:type="dxa"/>
            <w:shd w:val="clear" w:color="auto" w:fill="C6CFD7" w:themeFill="accent3" w:themeFillTint="66"/>
          </w:tcPr>
          <w:p w14:paraId="779B8513" w14:textId="77777777" w:rsidR="0044491C" w:rsidRPr="00D350B5" w:rsidRDefault="0044491C" w:rsidP="0044491C">
            <w:pPr>
              <w:pStyle w:val="TableHeading"/>
              <w:rPr>
                <w:lang w:val="en-US"/>
              </w:rPr>
            </w:pPr>
            <w:r w:rsidRPr="00D350B5">
              <w:rPr>
                <w:lang w:val="en-US"/>
              </w:rPr>
              <w:t>Baselines</w:t>
            </w:r>
          </w:p>
        </w:tc>
        <w:tc>
          <w:tcPr>
            <w:tcW w:w="2373" w:type="dxa"/>
            <w:shd w:val="clear" w:color="auto" w:fill="C6CFD7" w:themeFill="accent3" w:themeFillTint="66"/>
          </w:tcPr>
          <w:p w14:paraId="244D1A39" w14:textId="77777777" w:rsidR="0044491C" w:rsidRPr="00D350B5" w:rsidRDefault="0044491C" w:rsidP="0044491C">
            <w:pPr>
              <w:pStyle w:val="TableHeading"/>
              <w:rPr>
                <w:lang w:val="en-US"/>
              </w:rPr>
            </w:pPr>
            <w:r w:rsidRPr="00D350B5">
              <w:rPr>
                <w:lang w:val="en-US"/>
              </w:rPr>
              <w:t>Targets</w:t>
            </w:r>
          </w:p>
        </w:tc>
      </w:tr>
      <w:tr w:rsidR="0044491C" w:rsidRPr="007B17FF" w14:paraId="2E3E81CB" w14:textId="77777777" w:rsidTr="0045683A">
        <w:trPr>
          <w:cantSplit/>
          <w:trHeight w:val="107"/>
        </w:trPr>
        <w:tc>
          <w:tcPr>
            <w:tcW w:w="2371" w:type="dxa"/>
            <w:shd w:val="clear" w:color="auto" w:fill="EDF0F3" w:themeFill="accent4" w:themeFillTint="33"/>
          </w:tcPr>
          <w:p w14:paraId="6D58BA1F" w14:textId="77777777" w:rsidR="0044491C" w:rsidRPr="007B17FF" w:rsidRDefault="0044491C" w:rsidP="0044491C">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3</w:t>
            </w:r>
          </w:p>
        </w:tc>
        <w:tc>
          <w:tcPr>
            <w:tcW w:w="7117" w:type="dxa"/>
            <w:gridSpan w:val="3"/>
            <w:shd w:val="clear" w:color="auto" w:fill="EDF0F3" w:themeFill="accent4" w:themeFillTint="33"/>
          </w:tcPr>
          <w:p w14:paraId="7FE92507" w14:textId="77777777" w:rsidR="0044491C" w:rsidRPr="007B17FF" w:rsidRDefault="0044491C" w:rsidP="0044491C">
            <w:pPr>
              <w:pStyle w:val="TableHeading"/>
              <w:rPr>
                <w:b w:val="0"/>
                <w:i/>
                <w:color w:val="005172" w:themeColor="text2"/>
                <w:lang w:val="en-US"/>
              </w:rPr>
            </w:pPr>
            <w:r w:rsidRPr="007B17FF">
              <w:rPr>
                <w:b w:val="0"/>
                <w:i/>
                <w:color w:val="005172" w:themeColor="text2"/>
                <w:lang w:val="en-US"/>
              </w:rPr>
              <w:t>Provide high quality intellectual property services, knowledge and data that deliver value to users around the world</w:t>
            </w:r>
          </w:p>
        </w:tc>
      </w:tr>
      <w:tr w:rsidR="0044491C" w:rsidRPr="00D350B5" w14:paraId="54939725" w14:textId="77777777" w:rsidTr="0045683A">
        <w:trPr>
          <w:cantSplit/>
          <w:trHeight w:val="134"/>
        </w:trPr>
        <w:tc>
          <w:tcPr>
            <w:tcW w:w="2371" w:type="dxa"/>
            <w:vMerge w:val="restart"/>
            <w:shd w:val="clear" w:color="auto" w:fill="auto"/>
          </w:tcPr>
          <w:p w14:paraId="2F061327" w14:textId="77777777" w:rsidR="0044491C" w:rsidRDefault="0044491C" w:rsidP="0044491C">
            <w:pPr>
              <w:pStyle w:val="TableTextBold"/>
              <w:rPr>
                <w:rStyle w:val="charColoured"/>
                <w:lang w:val="en-US"/>
              </w:rPr>
            </w:pPr>
            <w:r>
              <w:rPr>
                <w:rStyle w:val="charColoured"/>
                <w:lang w:val="en-US"/>
              </w:rPr>
              <w:t xml:space="preserve">3.1  </w:t>
            </w:r>
            <w:r w:rsidRPr="002F3D64">
              <w:rPr>
                <w:lang w:val="en-US"/>
              </w:rPr>
              <w:t>Wider and more effective use of WIPO’s global IP systems, services, knowledge and data</w:t>
            </w:r>
          </w:p>
        </w:tc>
        <w:tc>
          <w:tcPr>
            <w:tcW w:w="2372" w:type="dxa"/>
            <w:shd w:val="clear" w:color="auto" w:fill="auto"/>
          </w:tcPr>
          <w:p w14:paraId="171980CF" w14:textId="77777777" w:rsidR="0044491C" w:rsidRDefault="0044491C" w:rsidP="0044491C">
            <w:pPr>
              <w:pStyle w:val="TableText"/>
              <w:rPr>
                <w:lang w:val="en-US"/>
              </w:rPr>
            </w:pPr>
            <w:r w:rsidRPr="002F3D64">
              <w:rPr>
                <w:lang w:val="en-US"/>
              </w:rPr>
              <w:t>No. of unique visitors to the IP Statistics Data Center</w:t>
            </w:r>
          </w:p>
        </w:tc>
        <w:tc>
          <w:tcPr>
            <w:tcW w:w="2372" w:type="dxa"/>
            <w:shd w:val="clear" w:color="auto" w:fill="auto"/>
          </w:tcPr>
          <w:p w14:paraId="486F3D2C" w14:textId="77777777" w:rsidR="0044491C" w:rsidRDefault="0044491C" w:rsidP="0044491C">
            <w:pPr>
              <w:pStyle w:val="TableText"/>
              <w:rPr>
                <w:lang w:val="en-US"/>
              </w:rPr>
            </w:pPr>
            <w:r>
              <w:rPr>
                <w:szCs w:val="16"/>
              </w:rPr>
              <w:t>109,856</w:t>
            </w:r>
          </w:p>
        </w:tc>
        <w:tc>
          <w:tcPr>
            <w:tcW w:w="2373" w:type="dxa"/>
            <w:shd w:val="clear" w:color="auto" w:fill="auto"/>
          </w:tcPr>
          <w:p w14:paraId="6E8A8EC2" w14:textId="77777777" w:rsidR="0044491C" w:rsidRPr="0021395C" w:rsidRDefault="0044491C" w:rsidP="0044491C">
            <w:pPr>
              <w:pStyle w:val="TableText"/>
              <w:rPr>
                <w:szCs w:val="16"/>
              </w:rPr>
            </w:pPr>
            <w:r w:rsidRPr="00821671">
              <w:rPr>
                <w:szCs w:val="16"/>
              </w:rPr>
              <w:t>20% increase (biennium)</w:t>
            </w:r>
          </w:p>
        </w:tc>
      </w:tr>
      <w:tr w:rsidR="0044491C" w:rsidRPr="00D350B5" w14:paraId="475A9581" w14:textId="77777777" w:rsidTr="0045683A">
        <w:trPr>
          <w:cantSplit/>
          <w:trHeight w:val="66"/>
        </w:trPr>
        <w:tc>
          <w:tcPr>
            <w:tcW w:w="2371" w:type="dxa"/>
            <w:vMerge/>
            <w:shd w:val="clear" w:color="auto" w:fill="auto"/>
          </w:tcPr>
          <w:p w14:paraId="3D1A4B38" w14:textId="77777777" w:rsidR="0044491C" w:rsidRDefault="0044491C" w:rsidP="0044491C">
            <w:pPr>
              <w:pStyle w:val="TableTextBold"/>
              <w:rPr>
                <w:rStyle w:val="charColoured"/>
                <w:lang w:val="en-US"/>
              </w:rPr>
            </w:pPr>
          </w:p>
        </w:tc>
        <w:tc>
          <w:tcPr>
            <w:tcW w:w="2372" w:type="dxa"/>
            <w:shd w:val="clear" w:color="auto" w:fill="auto"/>
          </w:tcPr>
          <w:p w14:paraId="34C488F3" w14:textId="77777777" w:rsidR="0044491C" w:rsidRDefault="0044491C" w:rsidP="0044491C">
            <w:pPr>
              <w:pStyle w:val="TableText"/>
              <w:rPr>
                <w:lang w:val="en-US"/>
              </w:rPr>
            </w:pPr>
            <w:r w:rsidRPr="002F3D64">
              <w:rPr>
                <w:lang w:val="en-US"/>
              </w:rPr>
              <w:t>No. of unique visitors to WIPO Lex</w:t>
            </w:r>
          </w:p>
        </w:tc>
        <w:tc>
          <w:tcPr>
            <w:tcW w:w="2372" w:type="dxa"/>
            <w:shd w:val="clear" w:color="auto" w:fill="auto"/>
          </w:tcPr>
          <w:p w14:paraId="72C69170" w14:textId="77777777" w:rsidR="0044491C" w:rsidRDefault="0044491C" w:rsidP="0044491C">
            <w:pPr>
              <w:pStyle w:val="TableText"/>
              <w:rPr>
                <w:lang w:val="en-US"/>
              </w:rPr>
            </w:pPr>
            <w:r>
              <w:rPr>
                <w:szCs w:val="16"/>
              </w:rPr>
              <w:t>784,602</w:t>
            </w:r>
          </w:p>
        </w:tc>
        <w:tc>
          <w:tcPr>
            <w:tcW w:w="2373" w:type="dxa"/>
            <w:shd w:val="clear" w:color="auto" w:fill="auto"/>
          </w:tcPr>
          <w:p w14:paraId="46C67A9C" w14:textId="77777777" w:rsidR="0044491C" w:rsidRPr="0021395C" w:rsidRDefault="0044491C" w:rsidP="0044491C">
            <w:pPr>
              <w:pStyle w:val="TableText"/>
              <w:rPr>
                <w:szCs w:val="16"/>
              </w:rPr>
            </w:pPr>
            <w:r w:rsidRPr="00821671">
              <w:rPr>
                <w:szCs w:val="16"/>
              </w:rPr>
              <w:t>20% increase (biennium)</w:t>
            </w:r>
          </w:p>
        </w:tc>
      </w:tr>
      <w:tr w:rsidR="0044491C" w:rsidRPr="00D350B5" w14:paraId="0DA004F3" w14:textId="77777777" w:rsidTr="0045683A">
        <w:trPr>
          <w:cantSplit/>
          <w:trHeight w:val="66"/>
        </w:trPr>
        <w:tc>
          <w:tcPr>
            <w:tcW w:w="2371" w:type="dxa"/>
            <w:vMerge/>
            <w:shd w:val="clear" w:color="auto" w:fill="auto"/>
          </w:tcPr>
          <w:p w14:paraId="79263FBD" w14:textId="77777777" w:rsidR="0044491C" w:rsidRDefault="0044491C" w:rsidP="0044491C">
            <w:pPr>
              <w:pStyle w:val="TableTextBold"/>
              <w:rPr>
                <w:rStyle w:val="charColoured"/>
                <w:lang w:val="en-US"/>
              </w:rPr>
            </w:pPr>
          </w:p>
        </w:tc>
        <w:tc>
          <w:tcPr>
            <w:tcW w:w="2372" w:type="dxa"/>
            <w:vMerge w:val="restart"/>
            <w:shd w:val="clear" w:color="auto" w:fill="auto"/>
          </w:tcPr>
          <w:p w14:paraId="4B68399C" w14:textId="77777777" w:rsidR="0044491C" w:rsidRPr="002F3D64" w:rsidRDefault="0044491C" w:rsidP="0044491C">
            <w:pPr>
              <w:pStyle w:val="TableText"/>
              <w:rPr>
                <w:lang w:val="en-US"/>
              </w:rPr>
            </w:pPr>
            <w:r w:rsidRPr="002F3D64">
              <w:rPr>
                <w:lang w:val="en-US"/>
              </w:rPr>
              <w:t>Level of use of WIPO IP ADR and domain n</w:t>
            </w:r>
            <w:r>
              <w:rPr>
                <w:lang w:val="en-US"/>
              </w:rPr>
              <w:t>ame dispute resolution services</w:t>
            </w:r>
          </w:p>
        </w:tc>
        <w:tc>
          <w:tcPr>
            <w:tcW w:w="2372" w:type="dxa"/>
            <w:shd w:val="clear" w:color="auto" w:fill="auto"/>
          </w:tcPr>
          <w:p w14:paraId="7876EA90" w14:textId="77777777" w:rsidR="0044491C" w:rsidRDefault="0044491C" w:rsidP="0044491C">
            <w:pPr>
              <w:pStyle w:val="TableText"/>
              <w:rPr>
                <w:szCs w:val="16"/>
              </w:rPr>
            </w:pPr>
            <w:r>
              <w:rPr>
                <w:szCs w:val="16"/>
              </w:rPr>
              <w:t xml:space="preserve">1,349 </w:t>
            </w:r>
            <w:r w:rsidRPr="00821671">
              <w:rPr>
                <w:szCs w:val="16"/>
              </w:rPr>
              <w:t>disputes and 756 bon offices</w:t>
            </w:r>
          </w:p>
        </w:tc>
        <w:tc>
          <w:tcPr>
            <w:tcW w:w="2373" w:type="dxa"/>
            <w:shd w:val="clear" w:color="auto" w:fill="auto"/>
          </w:tcPr>
          <w:p w14:paraId="05118ECD" w14:textId="77777777" w:rsidR="0044491C" w:rsidRPr="00821671" w:rsidRDefault="0044491C" w:rsidP="0044491C">
            <w:pPr>
              <w:pStyle w:val="TableText"/>
              <w:rPr>
                <w:szCs w:val="16"/>
              </w:rPr>
            </w:pPr>
            <w:r>
              <w:rPr>
                <w:szCs w:val="16"/>
              </w:rPr>
              <w:t>300 additional disputes and bons offices</w:t>
            </w:r>
          </w:p>
        </w:tc>
      </w:tr>
      <w:tr w:rsidR="0044491C" w:rsidRPr="00D350B5" w14:paraId="5210AB3A" w14:textId="77777777" w:rsidTr="0045683A">
        <w:trPr>
          <w:cantSplit/>
          <w:trHeight w:val="106"/>
        </w:trPr>
        <w:tc>
          <w:tcPr>
            <w:tcW w:w="2371" w:type="dxa"/>
            <w:vMerge/>
            <w:shd w:val="clear" w:color="auto" w:fill="auto"/>
          </w:tcPr>
          <w:p w14:paraId="4EEA93C7" w14:textId="77777777" w:rsidR="0044491C" w:rsidRDefault="0044491C" w:rsidP="0044491C">
            <w:pPr>
              <w:pStyle w:val="TableTextBold"/>
              <w:rPr>
                <w:rStyle w:val="charColoured"/>
                <w:lang w:val="en-US"/>
              </w:rPr>
            </w:pPr>
          </w:p>
        </w:tc>
        <w:tc>
          <w:tcPr>
            <w:tcW w:w="2372" w:type="dxa"/>
            <w:vMerge/>
            <w:shd w:val="clear" w:color="auto" w:fill="auto"/>
          </w:tcPr>
          <w:p w14:paraId="1834074C" w14:textId="77777777" w:rsidR="0044491C" w:rsidRPr="002F3D64" w:rsidRDefault="0044491C" w:rsidP="0044491C">
            <w:pPr>
              <w:pStyle w:val="TableText"/>
              <w:rPr>
                <w:lang w:val="en-US"/>
              </w:rPr>
            </w:pPr>
          </w:p>
        </w:tc>
        <w:tc>
          <w:tcPr>
            <w:tcW w:w="2372" w:type="dxa"/>
            <w:shd w:val="clear" w:color="auto" w:fill="auto"/>
          </w:tcPr>
          <w:p w14:paraId="1F08A576" w14:textId="77777777" w:rsidR="0044491C" w:rsidRDefault="0044491C" w:rsidP="0044491C">
            <w:pPr>
              <w:pStyle w:val="TableText"/>
              <w:rPr>
                <w:szCs w:val="16"/>
              </w:rPr>
            </w:pPr>
            <w:r>
              <w:rPr>
                <w:szCs w:val="16"/>
              </w:rPr>
              <w:t>54,021 gTLD cases</w:t>
            </w:r>
          </w:p>
        </w:tc>
        <w:tc>
          <w:tcPr>
            <w:tcW w:w="2373" w:type="dxa"/>
            <w:shd w:val="clear" w:color="auto" w:fill="auto"/>
          </w:tcPr>
          <w:p w14:paraId="29C051D9" w14:textId="77777777" w:rsidR="0044491C" w:rsidRPr="00821671" w:rsidRDefault="0044491C" w:rsidP="0044491C">
            <w:pPr>
              <w:pStyle w:val="TableText"/>
              <w:rPr>
                <w:szCs w:val="16"/>
              </w:rPr>
            </w:pPr>
            <w:r>
              <w:rPr>
                <w:szCs w:val="16"/>
              </w:rPr>
              <w:t>6,000 additional gTLD cases</w:t>
            </w:r>
          </w:p>
        </w:tc>
      </w:tr>
      <w:tr w:rsidR="0044491C" w:rsidRPr="00D350B5" w14:paraId="757C130D" w14:textId="77777777" w:rsidTr="0045683A">
        <w:trPr>
          <w:cantSplit/>
          <w:trHeight w:val="71"/>
        </w:trPr>
        <w:tc>
          <w:tcPr>
            <w:tcW w:w="2371" w:type="dxa"/>
            <w:vMerge/>
            <w:tcBorders>
              <w:bottom w:val="single" w:sz="4" w:space="0" w:color="BFBFBF" w:themeColor="background1" w:themeShade="BF"/>
            </w:tcBorders>
            <w:shd w:val="clear" w:color="auto" w:fill="auto"/>
          </w:tcPr>
          <w:p w14:paraId="6485AF27" w14:textId="77777777" w:rsidR="0044491C" w:rsidRDefault="0044491C" w:rsidP="0044491C">
            <w:pPr>
              <w:pStyle w:val="TableTextBold"/>
              <w:rPr>
                <w:rStyle w:val="charColoured"/>
                <w:lang w:val="en-US"/>
              </w:rPr>
            </w:pPr>
          </w:p>
        </w:tc>
        <w:tc>
          <w:tcPr>
            <w:tcW w:w="2372" w:type="dxa"/>
            <w:vMerge/>
            <w:tcBorders>
              <w:bottom w:val="single" w:sz="4" w:space="0" w:color="BFBFBF" w:themeColor="background1" w:themeShade="BF"/>
            </w:tcBorders>
            <w:shd w:val="clear" w:color="auto" w:fill="auto"/>
          </w:tcPr>
          <w:p w14:paraId="779D5843" w14:textId="77777777" w:rsidR="0044491C" w:rsidRDefault="0044491C" w:rsidP="0044491C">
            <w:pPr>
              <w:pStyle w:val="TableText"/>
              <w:rPr>
                <w:lang w:val="en-US"/>
              </w:rPr>
            </w:pPr>
          </w:p>
        </w:tc>
        <w:tc>
          <w:tcPr>
            <w:tcW w:w="2372" w:type="dxa"/>
            <w:tcBorders>
              <w:bottom w:val="single" w:sz="4" w:space="0" w:color="BFBFBF" w:themeColor="background1" w:themeShade="BF"/>
            </w:tcBorders>
            <w:shd w:val="clear" w:color="auto" w:fill="auto"/>
          </w:tcPr>
          <w:p w14:paraId="6A4FEE29" w14:textId="77777777" w:rsidR="0044491C" w:rsidRPr="00821671" w:rsidRDefault="0044491C" w:rsidP="0044491C">
            <w:pPr>
              <w:pStyle w:val="TableText"/>
              <w:rPr>
                <w:szCs w:val="16"/>
              </w:rPr>
            </w:pPr>
            <w:r>
              <w:rPr>
                <w:szCs w:val="16"/>
              </w:rPr>
              <w:t>7,412</w:t>
            </w:r>
            <w:r w:rsidRPr="00821671">
              <w:rPr>
                <w:szCs w:val="16"/>
              </w:rPr>
              <w:t xml:space="preserve"> ccTLD-only cases</w:t>
            </w:r>
          </w:p>
          <w:p w14:paraId="1770836C" w14:textId="77777777" w:rsidR="0044491C" w:rsidRPr="009F49A3" w:rsidRDefault="0044491C" w:rsidP="0044491C">
            <w:pPr>
              <w:pStyle w:val="TableText"/>
              <w:rPr>
                <w:szCs w:val="16"/>
              </w:rPr>
            </w:pPr>
            <w:r>
              <w:rPr>
                <w:szCs w:val="16"/>
              </w:rPr>
              <w:t>(cumulative end 2022</w:t>
            </w:r>
            <w:r w:rsidRPr="00821671">
              <w:rPr>
                <w:szCs w:val="16"/>
              </w:rPr>
              <w:t>)</w:t>
            </w:r>
          </w:p>
        </w:tc>
        <w:tc>
          <w:tcPr>
            <w:tcW w:w="2373" w:type="dxa"/>
            <w:tcBorders>
              <w:bottom w:val="single" w:sz="4" w:space="0" w:color="BFBFBF" w:themeColor="background1" w:themeShade="BF"/>
            </w:tcBorders>
            <w:shd w:val="clear" w:color="auto" w:fill="auto"/>
          </w:tcPr>
          <w:p w14:paraId="526E889F" w14:textId="77777777" w:rsidR="0044491C" w:rsidRPr="0021395C" w:rsidRDefault="0044491C" w:rsidP="0044491C">
            <w:pPr>
              <w:pStyle w:val="TableText"/>
              <w:rPr>
                <w:szCs w:val="16"/>
              </w:rPr>
            </w:pPr>
            <w:r>
              <w:rPr>
                <w:szCs w:val="16"/>
              </w:rPr>
              <w:t>600 additional ccTLD-only cases</w:t>
            </w:r>
          </w:p>
        </w:tc>
      </w:tr>
      <w:tr w:rsidR="0044491C" w:rsidRPr="00D350B5" w14:paraId="6C3029C1" w14:textId="77777777" w:rsidTr="0045683A">
        <w:trPr>
          <w:cantSplit/>
          <w:trHeight w:val="320"/>
        </w:trPr>
        <w:tc>
          <w:tcPr>
            <w:tcW w:w="2371" w:type="dxa"/>
            <w:tcBorders>
              <w:top w:val="single" w:sz="4" w:space="0" w:color="BFBFBF" w:themeColor="background1" w:themeShade="BF"/>
            </w:tcBorders>
            <w:shd w:val="clear" w:color="auto" w:fill="auto"/>
          </w:tcPr>
          <w:p w14:paraId="33F3CB04" w14:textId="77777777" w:rsidR="0044491C" w:rsidRDefault="0044491C" w:rsidP="0044491C">
            <w:pPr>
              <w:pStyle w:val="TableTextBold"/>
              <w:rPr>
                <w:rStyle w:val="charColoured"/>
                <w:lang w:val="en-US"/>
              </w:rPr>
            </w:pPr>
            <w:r>
              <w:rPr>
                <w:rStyle w:val="charColoured"/>
                <w:lang w:val="en-US"/>
              </w:rPr>
              <w:t xml:space="preserve">3.3  </w:t>
            </w:r>
            <w:r w:rsidRPr="00F17212">
              <w:rPr>
                <w:lang w:val="en-US"/>
              </w:rPr>
              <w:t>Knowledge transfer and technology adaptation is facilitated through WIPO’s IP-based platforms and tools to address global challenges</w:t>
            </w:r>
          </w:p>
        </w:tc>
        <w:tc>
          <w:tcPr>
            <w:tcW w:w="2372" w:type="dxa"/>
            <w:tcBorders>
              <w:top w:val="single" w:sz="4" w:space="0" w:color="BFBFBF" w:themeColor="background1" w:themeShade="BF"/>
            </w:tcBorders>
            <w:shd w:val="clear" w:color="auto" w:fill="auto"/>
          </w:tcPr>
          <w:p w14:paraId="2AC02482" w14:textId="77777777" w:rsidR="0044491C" w:rsidRDefault="0044491C" w:rsidP="0044491C">
            <w:pPr>
              <w:pStyle w:val="TableText"/>
              <w:rPr>
                <w:lang w:val="en-US"/>
              </w:rPr>
            </w:pPr>
            <w:r w:rsidRPr="002F3D64">
              <w:rPr>
                <w:lang w:val="en-US"/>
              </w:rPr>
              <w:t>No. of unique visitors to the innovation support and technology transfer publications, tools and platforms, including no. of visitors downloading</w:t>
            </w:r>
          </w:p>
        </w:tc>
        <w:tc>
          <w:tcPr>
            <w:tcW w:w="2372" w:type="dxa"/>
            <w:tcBorders>
              <w:top w:val="single" w:sz="4" w:space="0" w:color="BFBFBF" w:themeColor="background1" w:themeShade="BF"/>
            </w:tcBorders>
            <w:shd w:val="clear" w:color="auto" w:fill="auto"/>
          </w:tcPr>
          <w:p w14:paraId="284550B7" w14:textId="77777777" w:rsidR="0044491C" w:rsidRDefault="0044491C" w:rsidP="0044491C">
            <w:pPr>
              <w:pStyle w:val="TableText"/>
              <w:rPr>
                <w:lang w:val="en-US"/>
              </w:rPr>
            </w:pPr>
            <w:r>
              <w:rPr>
                <w:szCs w:val="16"/>
              </w:rPr>
              <w:t>259,921</w:t>
            </w:r>
          </w:p>
        </w:tc>
        <w:tc>
          <w:tcPr>
            <w:tcW w:w="2373" w:type="dxa"/>
            <w:tcBorders>
              <w:top w:val="single" w:sz="4" w:space="0" w:color="BFBFBF" w:themeColor="background1" w:themeShade="BF"/>
            </w:tcBorders>
            <w:shd w:val="clear" w:color="auto" w:fill="auto"/>
          </w:tcPr>
          <w:p w14:paraId="06364CE2" w14:textId="77777777" w:rsidR="0044491C" w:rsidRPr="0021395C" w:rsidRDefault="0044491C" w:rsidP="0044491C">
            <w:pPr>
              <w:pStyle w:val="TableText"/>
              <w:rPr>
                <w:szCs w:val="16"/>
              </w:rPr>
            </w:pPr>
            <w:r w:rsidRPr="00821671">
              <w:rPr>
                <w:szCs w:val="16"/>
              </w:rPr>
              <w:t>20% increase (biennium)</w:t>
            </w:r>
          </w:p>
        </w:tc>
      </w:tr>
      <w:tr w:rsidR="0044491C" w:rsidRPr="007B17FF" w14:paraId="6F84A505" w14:textId="77777777" w:rsidTr="0045683A">
        <w:trPr>
          <w:cantSplit/>
          <w:trHeight w:val="161"/>
        </w:trPr>
        <w:tc>
          <w:tcPr>
            <w:tcW w:w="2371" w:type="dxa"/>
            <w:shd w:val="clear" w:color="auto" w:fill="EDF0F3" w:themeFill="accent4" w:themeFillTint="33"/>
          </w:tcPr>
          <w:p w14:paraId="0EBEBF09" w14:textId="77777777" w:rsidR="0044491C" w:rsidRPr="007B17FF" w:rsidRDefault="0044491C" w:rsidP="0044491C">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4</w:t>
            </w:r>
          </w:p>
        </w:tc>
        <w:tc>
          <w:tcPr>
            <w:tcW w:w="7117" w:type="dxa"/>
            <w:gridSpan w:val="3"/>
            <w:shd w:val="clear" w:color="auto" w:fill="EDF0F3" w:themeFill="accent4" w:themeFillTint="33"/>
          </w:tcPr>
          <w:p w14:paraId="46B381BA" w14:textId="77777777" w:rsidR="0044491C" w:rsidRPr="007B17FF" w:rsidRDefault="0044491C" w:rsidP="0044491C">
            <w:pPr>
              <w:pStyle w:val="TableHeading"/>
              <w:rPr>
                <w:b w:val="0"/>
                <w:i/>
                <w:color w:val="005172" w:themeColor="text2"/>
                <w:lang w:val="en-US"/>
              </w:rPr>
            </w:pPr>
            <w:r w:rsidRPr="007B17FF">
              <w:rPr>
                <w:b w:val="0"/>
                <w:i/>
                <w:color w:val="005172" w:themeColor="text2"/>
                <w:lang w:val="en-US"/>
              </w:rPr>
              <w:t>Support governments, enterprises, communities and individuals to use intellectual property as a tool for growth and sustainable development</w:t>
            </w:r>
          </w:p>
        </w:tc>
      </w:tr>
      <w:tr w:rsidR="0044491C" w:rsidRPr="002715E0" w14:paraId="071F972D" w14:textId="77777777" w:rsidTr="0045683A">
        <w:trPr>
          <w:cantSplit/>
          <w:trHeight w:val="171"/>
        </w:trPr>
        <w:tc>
          <w:tcPr>
            <w:tcW w:w="2371" w:type="dxa"/>
            <w:vMerge w:val="restart"/>
            <w:shd w:val="clear" w:color="auto" w:fill="auto"/>
          </w:tcPr>
          <w:p w14:paraId="4EBB9299" w14:textId="77777777" w:rsidR="0044491C" w:rsidRPr="00D350B5" w:rsidRDefault="0044491C" w:rsidP="0044491C">
            <w:pPr>
              <w:pStyle w:val="TableTextBold"/>
              <w:rPr>
                <w:lang w:val="en-US"/>
              </w:rPr>
            </w:pPr>
            <w:r>
              <w:rPr>
                <w:rStyle w:val="charColoured"/>
                <w:lang w:val="en-US"/>
              </w:rPr>
              <w:t xml:space="preserve">4.2  </w:t>
            </w:r>
            <w:r w:rsidRPr="00220454">
              <w:rPr>
                <w:lang w:val="en-US"/>
              </w:rPr>
              <w:t>Development of balanced and effective IP, innovation and creative ecosystems in Member States</w:t>
            </w:r>
          </w:p>
        </w:tc>
        <w:tc>
          <w:tcPr>
            <w:tcW w:w="2372" w:type="dxa"/>
            <w:shd w:val="clear" w:color="auto" w:fill="auto"/>
          </w:tcPr>
          <w:p w14:paraId="0CF3D313" w14:textId="77777777" w:rsidR="0044491C" w:rsidRPr="002715E0" w:rsidRDefault="0044491C" w:rsidP="0044491C">
            <w:pPr>
              <w:pStyle w:val="TableText"/>
              <w:rPr>
                <w:lang w:val="en-US"/>
              </w:rPr>
            </w:pPr>
            <w:r w:rsidRPr="00FF18A3">
              <w:rPr>
                <w:lang w:val="en-US"/>
              </w:rPr>
              <w:t>No. of unique visitors to the Global Innovation Index websites</w:t>
            </w:r>
          </w:p>
        </w:tc>
        <w:tc>
          <w:tcPr>
            <w:tcW w:w="2372" w:type="dxa"/>
            <w:shd w:val="clear" w:color="auto" w:fill="auto"/>
          </w:tcPr>
          <w:p w14:paraId="00F52B11" w14:textId="77777777" w:rsidR="0044491C" w:rsidRPr="002715E0" w:rsidRDefault="0044491C" w:rsidP="0044491C">
            <w:pPr>
              <w:pStyle w:val="TableText"/>
              <w:rPr>
                <w:lang w:val="en-US"/>
              </w:rPr>
            </w:pPr>
            <w:r>
              <w:rPr>
                <w:szCs w:val="16"/>
              </w:rPr>
              <w:t xml:space="preserve">1,002,852 </w:t>
            </w:r>
          </w:p>
        </w:tc>
        <w:tc>
          <w:tcPr>
            <w:tcW w:w="2373" w:type="dxa"/>
            <w:shd w:val="clear" w:color="auto" w:fill="auto"/>
          </w:tcPr>
          <w:p w14:paraId="5881D044" w14:textId="77777777" w:rsidR="0044491C" w:rsidRPr="002715E0" w:rsidRDefault="0044491C" w:rsidP="0044491C">
            <w:pPr>
              <w:pStyle w:val="TableText"/>
              <w:rPr>
                <w:lang w:val="en-US"/>
              </w:rPr>
            </w:pPr>
            <w:r w:rsidRPr="005D2F7A">
              <w:rPr>
                <w:szCs w:val="16"/>
              </w:rPr>
              <w:t>20% increase (biennium)</w:t>
            </w:r>
          </w:p>
        </w:tc>
      </w:tr>
      <w:tr w:rsidR="0064411B" w:rsidRPr="002715E0" w14:paraId="40FDAD05" w14:textId="77777777" w:rsidTr="0045683A">
        <w:trPr>
          <w:cantSplit/>
          <w:trHeight w:val="171"/>
        </w:trPr>
        <w:tc>
          <w:tcPr>
            <w:tcW w:w="2371" w:type="dxa"/>
            <w:vMerge/>
            <w:shd w:val="clear" w:color="auto" w:fill="auto"/>
          </w:tcPr>
          <w:p w14:paraId="359326EC" w14:textId="77777777" w:rsidR="0064411B" w:rsidRDefault="0064411B" w:rsidP="0044491C">
            <w:pPr>
              <w:pStyle w:val="TableTextBold"/>
              <w:rPr>
                <w:rStyle w:val="charColoured"/>
                <w:lang w:val="en-US"/>
              </w:rPr>
            </w:pPr>
          </w:p>
        </w:tc>
        <w:tc>
          <w:tcPr>
            <w:tcW w:w="2372" w:type="dxa"/>
            <w:shd w:val="clear" w:color="auto" w:fill="auto"/>
          </w:tcPr>
          <w:p w14:paraId="6948FEC1" w14:textId="67FF279E" w:rsidR="0064411B" w:rsidRPr="00FF18A3" w:rsidRDefault="00E751F6" w:rsidP="0044491C">
            <w:pPr>
              <w:pStyle w:val="TableText"/>
              <w:rPr>
                <w:lang w:val="en-US"/>
              </w:rPr>
            </w:pPr>
            <w:r w:rsidRPr="00E751F6">
              <w:rPr>
                <w:lang w:val="en-US"/>
              </w:rPr>
              <w:t>Outreach to relevant Member States concerning missing and outdated data sets</w:t>
            </w:r>
          </w:p>
        </w:tc>
        <w:tc>
          <w:tcPr>
            <w:tcW w:w="2372" w:type="dxa"/>
            <w:shd w:val="clear" w:color="auto" w:fill="auto"/>
          </w:tcPr>
          <w:p w14:paraId="306215D8" w14:textId="079BD222" w:rsidR="0064411B" w:rsidRPr="003925C8" w:rsidRDefault="0075425B" w:rsidP="0044491C">
            <w:pPr>
              <w:pStyle w:val="TableText"/>
              <w:rPr>
                <w:szCs w:val="16"/>
                <w:lang w:val="en-US"/>
              </w:rPr>
            </w:pPr>
            <w:r>
              <w:rPr>
                <w:szCs w:val="16"/>
                <w:lang w:val="en-US"/>
              </w:rPr>
              <w:t>tbd</w:t>
            </w:r>
          </w:p>
        </w:tc>
        <w:tc>
          <w:tcPr>
            <w:tcW w:w="2373" w:type="dxa"/>
            <w:shd w:val="clear" w:color="auto" w:fill="auto"/>
          </w:tcPr>
          <w:p w14:paraId="3DECD03E" w14:textId="05147955" w:rsidR="0064411B" w:rsidRPr="00847544" w:rsidRDefault="00C85555" w:rsidP="0044491C">
            <w:pPr>
              <w:pStyle w:val="TableText"/>
              <w:rPr>
                <w:lang w:val="en-US"/>
              </w:rPr>
            </w:pPr>
            <w:r>
              <w:rPr>
                <w:lang w:val="en-US"/>
              </w:rPr>
              <w:t>tbd</w:t>
            </w:r>
          </w:p>
        </w:tc>
      </w:tr>
      <w:tr w:rsidR="0044491C" w:rsidRPr="002715E0" w14:paraId="3CBD105B" w14:textId="77777777" w:rsidTr="0045683A">
        <w:trPr>
          <w:cantSplit/>
          <w:trHeight w:val="171"/>
        </w:trPr>
        <w:tc>
          <w:tcPr>
            <w:tcW w:w="2371" w:type="dxa"/>
            <w:vMerge/>
            <w:shd w:val="clear" w:color="auto" w:fill="auto"/>
          </w:tcPr>
          <w:p w14:paraId="61F74973" w14:textId="77777777" w:rsidR="0044491C" w:rsidRDefault="0044491C" w:rsidP="0044491C">
            <w:pPr>
              <w:pStyle w:val="TableTextBold"/>
              <w:rPr>
                <w:rStyle w:val="charColoured"/>
                <w:lang w:val="en-US"/>
              </w:rPr>
            </w:pPr>
          </w:p>
        </w:tc>
        <w:tc>
          <w:tcPr>
            <w:tcW w:w="2372" w:type="dxa"/>
            <w:shd w:val="clear" w:color="auto" w:fill="auto"/>
          </w:tcPr>
          <w:p w14:paraId="66C9B224" w14:textId="77777777" w:rsidR="0044491C" w:rsidRPr="00FF18A3" w:rsidRDefault="0044491C" w:rsidP="0044491C">
            <w:pPr>
              <w:pStyle w:val="TableText"/>
              <w:rPr>
                <w:lang w:val="en-US"/>
              </w:rPr>
            </w:pPr>
            <w:r w:rsidRPr="00FF18A3">
              <w:rPr>
                <w:lang w:val="en-US"/>
              </w:rPr>
              <w:t>No. of countries using the GII for the development of their innovation strategies and ecosystem</w:t>
            </w:r>
          </w:p>
        </w:tc>
        <w:tc>
          <w:tcPr>
            <w:tcW w:w="2372" w:type="dxa"/>
            <w:shd w:val="clear" w:color="auto" w:fill="auto"/>
          </w:tcPr>
          <w:p w14:paraId="62C40876" w14:textId="77777777" w:rsidR="0044491C" w:rsidRPr="002715E0" w:rsidRDefault="0044491C" w:rsidP="0044491C">
            <w:pPr>
              <w:pStyle w:val="TableText"/>
              <w:rPr>
                <w:lang w:val="en-US"/>
              </w:rPr>
            </w:pPr>
            <w:r w:rsidRPr="005D2F7A">
              <w:rPr>
                <w:szCs w:val="16"/>
              </w:rPr>
              <w:t>77 countries (out of 110 responding countries)</w:t>
            </w:r>
          </w:p>
        </w:tc>
        <w:tc>
          <w:tcPr>
            <w:tcW w:w="2373" w:type="dxa"/>
            <w:shd w:val="clear" w:color="auto" w:fill="auto"/>
          </w:tcPr>
          <w:p w14:paraId="15857A9A" w14:textId="77777777" w:rsidR="0044491C" w:rsidRPr="002715E0" w:rsidRDefault="0044491C" w:rsidP="0044491C">
            <w:pPr>
              <w:pStyle w:val="TableText"/>
              <w:rPr>
                <w:lang w:val="en-US"/>
              </w:rPr>
            </w:pPr>
            <w:r w:rsidRPr="00847544">
              <w:rPr>
                <w:lang w:val="en-US"/>
              </w:rPr>
              <w:t>10% increase</w:t>
            </w:r>
          </w:p>
        </w:tc>
      </w:tr>
      <w:tr w:rsidR="0044491C" w:rsidRPr="002715E0" w14:paraId="722A2E4F" w14:textId="77777777" w:rsidTr="0045683A">
        <w:trPr>
          <w:cantSplit/>
          <w:trHeight w:val="171"/>
        </w:trPr>
        <w:tc>
          <w:tcPr>
            <w:tcW w:w="2371" w:type="dxa"/>
            <w:vMerge/>
            <w:shd w:val="clear" w:color="auto" w:fill="auto"/>
          </w:tcPr>
          <w:p w14:paraId="3C29458E" w14:textId="77777777" w:rsidR="0044491C" w:rsidRDefault="0044491C" w:rsidP="0044491C">
            <w:pPr>
              <w:pStyle w:val="TableTextBold"/>
              <w:rPr>
                <w:rStyle w:val="charColoured"/>
                <w:lang w:val="en-US"/>
              </w:rPr>
            </w:pPr>
          </w:p>
        </w:tc>
        <w:tc>
          <w:tcPr>
            <w:tcW w:w="2372" w:type="dxa"/>
            <w:shd w:val="clear" w:color="auto" w:fill="auto"/>
          </w:tcPr>
          <w:p w14:paraId="165E31E7" w14:textId="77777777" w:rsidR="0044491C" w:rsidRPr="00FF18A3" w:rsidRDefault="0044491C" w:rsidP="0044491C">
            <w:pPr>
              <w:pStyle w:val="TableText"/>
              <w:rPr>
                <w:lang w:val="en-US"/>
              </w:rPr>
            </w:pPr>
            <w:r w:rsidRPr="00FF18A3">
              <w:rPr>
                <w:lang w:val="en-US"/>
              </w:rPr>
              <w:t>Level of sustained engagement by Member State judiciaries</w:t>
            </w:r>
          </w:p>
        </w:tc>
        <w:tc>
          <w:tcPr>
            <w:tcW w:w="2372" w:type="dxa"/>
            <w:shd w:val="clear" w:color="auto" w:fill="auto"/>
          </w:tcPr>
          <w:p w14:paraId="36AD322D" w14:textId="77777777" w:rsidR="0044491C" w:rsidRPr="002715E0" w:rsidRDefault="0044491C" w:rsidP="0044491C">
            <w:pPr>
              <w:pStyle w:val="TableText"/>
              <w:rPr>
                <w:lang w:val="en-US"/>
              </w:rPr>
            </w:pPr>
            <w:r w:rsidRPr="00F42CAF">
              <w:rPr>
                <w:szCs w:val="16"/>
              </w:rPr>
              <w:t xml:space="preserve">99 countries and 3 regional jurisdictions represented in the </w:t>
            </w:r>
            <w:r>
              <w:rPr>
                <w:szCs w:val="16"/>
              </w:rPr>
              <w:t>2022</w:t>
            </w:r>
            <w:r w:rsidRPr="00F42CAF">
              <w:rPr>
                <w:szCs w:val="16"/>
              </w:rPr>
              <w:t xml:space="preserve"> Judges Forum (face-to-face with hybrid option)</w:t>
            </w:r>
          </w:p>
        </w:tc>
        <w:tc>
          <w:tcPr>
            <w:tcW w:w="2373" w:type="dxa"/>
            <w:shd w:val="clear" w:color="auto" w:fill="auto"/>
          </w:tcPr>
          <w:p w14:paraId="2D6AB839" w14:textId="52462AC4" w:rsidR="0044491C" w:rsidRPr="00C408C7" w:rsidRDefault="00631E9D" w:rsidP="00847544">
            <w:pPr>
              <w:pStyle w:val="TableText"/>
            </w:pPr>
            <w:r>
              <w:rPr>
                <w:szCs w:val="16"/>
              </w:rPr>
              <w:t>8</w:t>
            </w:r>
            <w:r w:rsidR="00847544" w:rsidRPr="00847544">
              <w:rPr>
                <w:szCs w:val="16"/>
              </w:rPr>
              <w:t>5</w:t>
            </w:r>
            <w:r w:rsidR="0044491C" w:rsidRPr="00847544">
              <w:rPr>
                <w:szCs w:val="16"/>
              </w:rPr>
              <w:t xml:space="preserve"> countries and </w:t>
            </w:r>
            <w:r w:rsidR="00847544" w:rsidRPr="00847544">
              <w:rPr>
                <w:szCs w:val="16"/>
              </w:rPr>
              <w:t>3</w:t>
            </w:r>
            <w:r w:rsidR="0044491C" w:rsidRPr="00847544">
              <w:rPr>
                <w:szCs w:val="16"/>
              </w:rPr>
              <w:t xml:space="preserve"> regional</w:t>
            </w:r>
            <w:r w:rsidR="0044491C" w:rsidRPr="00C408C7">
              <w:rPr>
                <w:szCs w:val="16"/>
              </w:rPr>
              <w:t xml:space="preserve"> jurisdictions represented in the annual Judges Forum (face-to-face with hybrid option</w:t>
            </w:r>
            <w:r w:rsidR="0044491C">
              <w:rPr>
                <w:szCs w:val="16"/>
              </w:rPr>
              <w:t>)</w:t>
            </w:r>
          </w:p>
        </w:tc>
      </w:tr>
      <w:tr w:rsidR="0044491C" w:rsidRPr="002715E0" w14:paraId="0A2F2A65" w14:textId="77777777" w:rsidTr="0045683A">
        <w:trPr>
          <w:cantSplit/>
          <w:trHeight w:val="78"/>
        </w:trPr>
        <w:tc>
          <w:tcPr>
            <w:tcW w:w="2371" w:type="dxa"/>
            <w:vMerge/>
            <w:shd w:val="clear" w:color="auto" w:fill="auto"/>
          </w:tcPr>
          <w:p w14:paraId="573F711A" w14:textId="77777777" w:rsidR="0044491C" w:rsidRDefault="0044491C" w:rsidP="0044491C">
            <w:pPr>
              <w:pStyle w:val="TableTextBold"/>
              <w:rPr>
                <w:rStyle w:val="charColoured"/>
                <w:lang w:val="en-US"/>
              </w:rPr>
            </w:pPr>
          </w:p>
        </w:tc>
        <w:tc>
          <w:tcPr>
            <w:tcW w:w="2372" w:type="dxa"/>
            <w:vMerge w:val="restart"/>
            <w:shd w:val="clear" w:color="auto" w:fill="auto"/>
          </w:tcPr>
          <w:p w14:paraId="37E2DB92" w14:textId="77777777" w:rsidR="0044491C" w:rsidRPr="00FF18A3" w:rsidRDefault="0044491C" w:rsidP="0044491C">
            <w:pPr>
              <w:pStyle w:val="TableText"/>
              <w:rPr>
                <w:lang w:val="en-US"/>
              </w:rPr>
            </w:pPr>
            <w:r w:rsidRPr="00FF18A3">
              <w:rPr>
                <w:lang w:val="en-US"/>
              </w:rPr>
              <w:t>Level of adoption of IP ADR and domain name dispute resolution policies developed or supported by WIPO</w:t>
            </w:r>
          </w:p>
        </w:tc>
        <w:tc>
          <w:tcPr>
            <w:tcW w:w="2372" w:type="dxa"/>
            <w:shd w:val="clear" w:color="auto" w:fill="auto"/>
          </w:tcPr>
          <w:p w14:paraId="150E43D0" w14:textId="77777777" w:rsidR="0044491C" w:rsidRPr="002715E0" w:rsidRDefault="0044491C" w:rsidP="0044491C">
            <w:pPr>
              <w:pStyle w:val="TableText"/>
              <w:rPr>
                <w:lang w:val="en-US"/>
              </w:rPr>
            </w:pPr>
            <w:r>
              <w:rPr>
                <w:lang w:val="en-US"/>
              </w:rPr>
              <w:t>96 IP ADR schemes adopted</w:t>
            </w:r>
          </w:p>
        </w:tc>
        <w:tc>
          <w:tcPr>
            <w:tcW w:w="2373" w:type="dxa"/>
            <w:shd w:val="clear" w:color="auto" w:fill="auto"/>
          </w:tcPr>
          <w:p w14:paraId="5F4C38E2" w14:textId="77777777" w:rsidR="0044491C" w:rsidRPr="003A31B1" w:rsidRDefault="0044491C" w:rsidP="0044491C">
            <w:pPr>
              <w:pStyle w:val="TableText"/>
              <w:rPr>
                <w:lang w:val="en-US"/>
              </w:rPr>
            </w:pPr>
            <w:r w:rsidRPr="003A31B1">
              <w:rPr>
                <w:lang w:val="en-US"/>
              </w:rPr>
              <w:t>8 additional IP ADR schemes adopted</w:t>
            </w:r>
          </w:p>
        </w:tc>
      </w:tr>
      <w:tr w:rsidR="0044491C" w:rsidRPr="002715E0" w14:paraId="3672F518" w14:textId="77777777" w:rsidTr="0045683A">
        <w:trPr>
          <w:cantSplit/>
          <w:trHeight w:val="171"/>
        </w:trPr>
        <w:tc>
          <w:tcPr>
            <w:tcW w:w="2371" w:type="dxa"/>
            <w:shd w:val="clear" w:color="auto" w:fill="auto"/>
          </w:tcPr>
          <w:p w14:paraId="4E7A1492" w14:textId="77777777" w:rsidR="0044491C" w:rsidRDefault="0044491C" w:rsidP="0044491C">
            <w:pPr>
              <w:pStyle w:val="TableTextBold"/>
              <w:rPr>
                <w:rStyle w:val="charColoured"/>
                <w:lang w:val="en-US"/>
              </w:rPr>
            </w:pPr>
          </w:p>
        </w:tc>
        <w:tc>
          <w:tcPr>
            <w:tcW w:w="2372" w:type="dxa"/>
            <w:vMerge/>
            <w:shd w:val="clear" w:color="auto" w:fill="auto"/>
          </w:tcPr>
          <w:p w14:paraId="3C740180" w14:textId="77777777" w:rsidR="0044491C" w:rsidRPr="00FF18A3" w:rsidRDefault="0044491C" w:rsidP="0044491C">
            <w:pPr>
              <w:pStyle w:val="TableText"/>
              <w:rPr>
                <w:lang w:val="en-US"/>
              </w:rPr>
            </w:pPr>
          </w:p>
        </w:tc>
        <w:tc>
          <w:tcPr>
            <w:tcW w:w="2372" w:type="dxa"/>
            <w:shd w:val="clear" w:color="auto" w:fill="auto"/>
          </w:tcPr>
          <w:p w14:paraId="496A6AE2" w14:textId="77777777" w:rsidR="0044491C" w:rsidRPr="002715E0" w:rsidRDefault="0044491C" w:rsidP="0044491C">
            <w:pPr>
              <w:pStyle w:val="TableText"/>
              <w:rPr>
                <w:lang w:val="en-US"/>
              </w:rPr>
            </w:pPr>
            <w:r>
              <w:rPr>
                <w:lang w:val="en-US"/>
              </w:rPr>
              <w:t>47 IP ADR schemes supported</w:t>
            </w:r>
          </w:p>
        </w:tc>
        <w:tc>
          <w:tcPr>
            <w:tcW w:w="2373" w:type="dxa"/>
            <w:shd w:val="clear" w:color="auto" w:fill="auto"/>
          </w:tcPr>
          <w:p w14:paraId="129342B6" w14:textId="77777777" w:rsidR="0044491C" w:rsidRPr="003A31B1" w:rsidRDefault="0044491C" w:rsidP="0044491C">
            <w:pPr>
              <w:pStyle w:val="TableText"/>
              <w:rPr>
                <w:lang w:val="en-US"/>
              </w:rPr>
            </w:pPr>
            <w:r w:rsidRPr="003A31B1">
              <w:rPr>
                <w:lang w:val="en-US"/>
              </w:rPr>
              <w:t>12 additional IP ADR schemes supported</w:t>
            </w:r>
          </w:p>
        </w:tc>
      </w:tr>
      <w:tr w:rsidR="0044491C" w:rsidRPr="002715E0" w14:paraId="703EBCBE" w14:textId="77777777" w:rsidTr="0045683A">
        <w:trPr>
          <w:cantSplit/>
          <w:trHeight w:val="106"/>
        </w:trPr>
        <w:tc>
          <w:tcPr>
            <w:tcW w:w="2371" w:type="dxa"/>
            <w:shd w:val="clear" w:color="auto" w:fill="auto"/>
          </w:tcPr>
          <w:p w14:paraId="73315D4D" w14:textId="77777777" w:rsidR="0044491C" w:rsidRDefault="0044491C" w:rsidP="0044491C">
            <w:pPr>
              <w:pStyle w:val="TableTextBold"/>
              <w:rPr>
                <w:rStyle w:val="charColoured"/>
                <w:lang w:val="en-US"/>
              </w:rPr>
            </w:pPr>
          </w:p>
        </w:tc>
        <w:tc>
          <w:tcPr>
            <w:tcW w:w="2372" w:type="dxa"/>
            <w:vMerge/>
            <w:shd w:val="clear" w:color="auto" w:fill="auto"/>
          </w:tcPr>
          <w:p w14:paraId="47D54D08" w14:textId="77777777" w:rsidR="0044491C" w:rsidRPr="00FF18A3" w:rsidRDefault="0044491C" w:rsidP="0044491C">
            <w:pPr>
              <w:pStyle w:val="TableText"/>
              <w:rPr>
                <w:lang w:val="en-US"/>
              </w:rPr>
            </w:pPr>
          </w:p>
        </w:tc>
        <w:tc>
          <w:tcPr>
            <w:tcW w:w="2372" w:type="dxa"/>
            <w:shd w:val="clear" w:color="auto" w:fill="auto"/>
          </w:tcPr>
          <w:p w14:paraId="5CF901B3" w14:textId="77777777" w:rsidR="0044491C" w:rsidRPr="002715E0" w:rsidRDefault="0044491C" w:rsidP="0044491C">
            <w:pPr>
              <w:pStyle w:val="TableText"/>
              <w:rPr>
                <w:lang w:val="en-US"/>
              </w:rPr>
            </w:pPr>
            <w:r w:rsidRPr="00FA1866">
              <w:rPr>
                <w:szCs w:val="16"/>
                <w:lang w:val="en-US"/>
              </w:rPr>
              <w:t>4 gTLD policies adopted and supported</w:t>
            </w:r>
          </w:p>
        </w:tc>
        <w:tc>
          <w:tcPr>
            <w:tcW w:w="2373" w:type="dxa"/>
            <w:shd w:val="clear" w:color="auto" w:fill="auto"/>
          </w:tcPr>
          <w:p w14:paraId="57C3090B" w14:textId="77777777" w:rsidR="0044491C" w:rsidRPr="003A31B1" w:rsidRDefault="0044491C" w:rsidP="0044491C">
            <w:pPr>
              <w:pStyle w:val="TableText"/>
              <w:rPr>
                <w:lang w:val="en-US"/>
              </w:rPr>
            </w:pPr>
            <w:r w:rsidRPr="003A31B1">
              <w:rPr>
                <w:lang w:val="en-US"/>
              </w:rPr>
              <w:t>2 gTLD policies supported</w:t>
            </w:r>
          </w:p>
        </w:tc>
      </w:tr>
      <w:tr w:rsidR="0044491C" w:rsidRPr="002715E0" w14:paraId="7AEDBDB4" w14:textId="77777777" w:rsidTr="0045683A">
        <w:trPr>
          <w:cantSplit/>
          <w:trHeight w:val="78"/>
        </w:trPr>
        <w:tc>
          <w:tcPr>
            <w:tcW w:w="2371" w:type="dxa"/>
            <w:shd w:val="clear" w:color="auto" w:fill="auto"/>
          </w:tcPr>
          <w:p w14:paraId="31DBA562" w14:textId="77777777" w:rsidR="0044491C" w:rsidRDefault="0044491C" w:rsidP="0044491C">
            <w:pPr>
              <w:pStyle w:val="TableTextBold"/>
              <w:rPr>
                <w:rStyle w:val="charColoured"/>
                <w:lang w:val="en-US"/>
              </w:rPr>
            </w:pPr>
          </w:p>
        </w:tc>
        <w:tc>
          <w:tcPr>
            <w:tcW w:w="2372" w:type="dxa"/>
            <w:vMerge/>
            <w:shd w:val="clear" w:color="auto" w:fill="auto"/>
          </w:tcPr>
          <w:p w14:paraId="52646ADB" w14:textId="77777777" w:rsidR="0044491C" w:rsidRPr="00FF18A3" w:rsidRDefault="0044491C" w:rsidP="0044491C">
            <w:pPr>
              <w:pStyle w:val="TableText"/>
              <w:rPr>
                <w:lang w:val="en-US"/>
              </w:rPr>
            </w:pPr>
          </w:p>
        </w:tc>
        <w:tc>
          <w:tcPr>
            <w:tcW w:w="2372" w:type="dxa"/>
            <w:shd w:val="clear" w:color="auto" w:fill="auto"/>
          </w:tcPr>
          <w:p w14:paraId="71642D9F" w14:textId="77777777" w:rsidR="0044491C" w:rsidRPr="002715E0" w:rsidRDefault="0044491C" w:rsidP="0044491C">
            <w:pPr>
              <w:pStyle w:val="TableText"/>
              <w:rPr>
                <w:lang w:val="en-US"/>
              </w:rPr>
            </w:pPr>
            <w:r w:rsidRPr="00FA1866">
              <w:rPr>
                <w:szCs w:val="16"/>
                <w:lang w:val="en-US"/>
              </w:rPr>
              <w:t>8</w:t>
            </w:r>
            <w:r>
              <w:rPr>
                <w:szCs w:val="16"/>
                <w:lang w:val="en-US"/>
              </w:rPr>
              <w:t>1</w:t>
            </w:r>
            <w:r w:rsidRPr="00FA1866">
              <w:rPr>
                <w:szCs w:val="16"/>
                <w:lang w:val="en-US"/>
              </w:rPr>
              <w:t xml:space="preserve"> ccTLD policies adopted</w:t>
            </w:r>
          </w:p>
        </w:tc>
        <w:tc>
          <w:tcPr>
            <w:tcW w:w="2373" w:type="dxa"/>
            <w:shd w:val="clear" w:color="auto" w:fill="auto"/>
          </w:tcPr>
          <w:p w14:paraId="2B371357" w14:textId="2A5F9694" w:rsidR="0044491C" w:rsidRPr="003A31B1" w:rsidRDefault="0044491C" w:rsidP="00FC621E">
            <w:pPr>
              <w:pStyle w:val="TableText"/>
              <w:rPr>
                <w:lang w:val="en-US"/>
              </w:rPr>
            </w:pPr>
            <w:r w:rsidRPr="003A31B1">
              <w:rPr>
                <w:lang w:val="en-US"/>
              </w:rPr>
              <w:t>2 additio</w:t>
            </w:r>
            <w:r w:rsidR="00FC621E">
              <w:rPr>
                <w:lang w:val="en-US"/>
              </w:rPr>
              <w:t>nal</w:t>
            </w:r>
            <w:r w:rsidRPr="003A31B1">
              <w:rPr>
                <w:lang w:val="en-US"/>
              </w:rPr>
              <w:t xml:space="preserve"> ccTLD policies adopted</w:t>
            </w:r>
          </w:p>
        </w:tc>
      </w:tr>
      <w:tr w:rsidR="0044491C" w:rsidRPr="002715E0" w14:paraId="0787A70E" w14:textId="77777777" w:rsidTr="0045683A">
        <w:trPr>
          <w:cantSplit/>
          <w:trHeight w:val="82"/>
        </w:trPr>
        <w:tc>
          <w:tcPr>
            <w:tcW w:w="2371" w:type="dxa"/>
            <w:tcBorders>
              <w:bottom w:val="single" w:sz="4" w:space="0" w:color="C6CFD7" w:themeColor="accent3" w:themeTint="66"/>
            </w:tcBorders>
            <w:shd w:val="clear" w:color="auto" w:fill="auto"/>
          </w:tcPr>
          <w:p w14:paraId="0D939F13" w14:textId="77777777" w:rsidR="0044491C" w:rsidRDefault="0044491C" w:rsidP="0044491C">
            <w:pPr>
              <w:pStyle w:val="TableTextBold"/>
              <w:rPr>
                <w:rStyle w:val="charColoured"/>
                <w:lang w:val="en-US"/>
              </w:rPr>
            </w:pPr>
          </w:p>
        </w:tc>
        <w:tc>
          <w:tcPr>
            <w:tcW w:w="2372" w:type="dxa"/>
            <w:tcBorders>
              <w:bottom w:val="single" w:sz="4" w:space="0" w:color="C6CFD7" w:themeColor="accent3" w:themeTint="66"/>
            </w:tcBorders>
            <w:shd w:val="clear" w:color="auto" w:fill="auto"/>
          </w:tcPr>
          <w:p w14:paraId="734A58F7" w14:textId="77777777" w:rsidR="0044491C" w:rsidRPr="00FF18A3" w:rsidRDefault="0044491C" w:rsidP="0044491C">
            <w:pPr>
              <w:pStyle w:val="TableText"/>
              <w:rPr>
                <w:lang w:val="en-US"/>
              </w:rPr>
            </w:pPr>
          </w:p>
        </w:tc>
        <w:tc>
          <w:tcPr>
            <w:tcW w:w="2372" w:type="dxa"/>
            <w:tcBorders>
              <w:bottom w:val="single" w:sz="4" w:space="0" w:color="C6CFD7" w:themeColor="accent3" w:themeTint="66"/>
            </w:tcBorders>
            <w:shd w:val="clear" w:color="auto" w:fill="auto"/>
          </w:tcPr>
          <w:p w14:paraId="0643FD5C" w14:textId="77777777" w:rsidR="0044491C" w:rsidRDefault="0044491C" w:rsidP="0044491C">
            <w:pPr>
              <w:pStyle w:val="TableText"/>
              <w:rPr>
                <w:lang w:val="en-US"/>
              </w:rPr>
            </w:pPr>
            <w:r>
              <w:rPr>
                <w:lang w:val="en-US"/>
              </w:rPr>
              <w:t>40</w:t>
            </w:r>
            <w:r w:rsidRPr="00A41CEC">
              <w:rPr>
                <w:lang w:val="en-US"/>
              </w:rPr>
              <w:t xml:space="preserve"> ccTLD policies supported</w:t>
            </w:r>
          </w:p>
          <w:p w14:paraId="795B6F30" w14:textId="77777777" w:rsidR="0044491C" w:rsidRPr="002715E0" w:rsidRDefault="0044491C" w:rsidP="0044491C">
            <w:pPr>
              <w:pStyle w:val="TableText"/>
              <w:rPr>
                <w:lang w:val="en-US"/>
              </w:rPr>
            </w:pPr>
            <w:r>
              <w:rPr>
                <w:lang w:val="en-US"/>
              </w:rPr>
              <w:t>(cumulative end 2022)</w:t>
            </w:r>
          </w:p>
        </w:tc>
        <w:tc>
          <w:tcPr>
            <w:tcW w:w="2373" w:type="dxa"/>
            <w:tcBorders>
              <w:bottom w:val="single" w:sz="4" w:space="0" w:color="C6CFD7" w:themeColor="accent3" w:themeTint="66"/>
            </w:tcBorders>
            <w:shd w:val="clear" w:color="auto" w:fill="auto"/>
          </w:tcPr>
          <w:p w14:paraId="43C56A31" w14:textId="77777777" w:rsidR="0044491C" w:rsidRPr="003A31B1" w:rsidRDefault="0044491C" w:rsidP="0044491C">
            <w:pPr>
              <w:pStyle w:val="TableText"/>
              <w:rPr>
                <w:lang w:val="en-US"/>
              </w:rPr>
            </w:pPr>
            <w:r w:rsidRPr="003A31B1">
              <w:rPr>
                <w:lang w:val="en-US"/>
              </w:rPr>
              <w:t>6 additional ccTLD policies supported</w:t>
            </w:r>
          </w:p>
        </w:tc>
      </w:tr>
      <w:tr w:rsidR="0044491C" w:rsidRPr="00D350B5" w14:paraId="57EFDBE9" w14:textId="77777777" w:rsidTr="0045683A">
        <w:trPr>
          <w:cantSplit/>
          <w:trHeight w:val="191"/>
        </w:trPr>
        <w:tc>
          <w:tcPr>
            <w:tcW w:w="2371" w:type="dxa"/>
            <w:vMerge w:val="restart"/>
            <w:tcBorders>
              <w:top w:val="single" w:sz="4" w:space="0" w:color="C6CFD7" w:themeColor="accent3" w:themeTint="66"/>
            </w:tcBorders>
            <w:shd w:val="clear" w:color="auto" w:fill="auto"/>
          </w:tcPr>
          <w:p w14:paraId="7A2081F9" w14:textId="77777777" w:rsidR="0044491C" w:rsidRPr="00620068" w:rsidRDefault="0044491C" w:rsidP="0044491C">
            <w:pPr>
              <w:pStyle w:val="TableTextBold"/>
              <w:rPr>
                <w:rStyle w:val="charColoured"/>
              </w:rPr>
            </w:pPr>
            <w:r w:rsidRPr="00620068">
              <w:rPr>
                <w:rStyle w:val="charColoured"/>
              </w:rPr>
              <w:t xml:space="preserve">4.4  </w:t>
            </w:r>
            <w:r w:rsidRPr="00620068">
              <w:rPr>
                <w:rStyle w:val="charColoured"/>
                <w:color w:val="auto"/>
              </w:rPr>
              <w:t xml:space="preserve">More innovators, creators, SMEs, universities, research institutions and communities leverage IP successfully  </w:t>
            </w:r>
          </w:p>
        </w:tc>
        <w:tc>
          <w:tcPr>
            <w:tcW w:w="2372" w:type="dxa"/>
            <w:tcBorders>
              <w:top w:val="single" w:sz="4" w:space="0" w:color="C6CFD7" w:themeColor="accent3" w:themeTint="66"/>
            </w:tcBorders>
            <w:shd w:val="clear" w:color="auto" w:fill="auto"/>
          </w:tcPr>
          <w:p w14:paraId="4C272F02" w14:textId="77777777" w:rsidR="0044491C" w:rsidRPr="00620068" w:rsidRDefault="0044491C" w:rsidP="0044491C">
            <w:pPr>
              <w:pStyle w:val="TableText"/>
              <w:rPr>
                <w:lang w:val="en-US"/>
              </w:rPr>
            </w:pPr>
            <w:r w:rsidRPr="00620068">
              <w:rPr>
                <w:lang w:val="en-US"/>
              </w:rPr>
              <w:t>No. of sustainable national TISC networks</w:t>
            </w:r>
            <w:r w:rsidRPr="00824264" w:rsidDel="0029007A">
              <w:rPr>
                <w:lang w:val="en-US"/>
              </w:rPr>
              <w:t xml:space="preserve"> </w:t>
            </w:r>
          </w:p>
        </w:tc>
        <w:tc>
          <w:tcPr>
            <w:tcW w:w="2372" w:type="dxa"/>
            <w:tcBorders>
              <w:top w:val="single" w:sz="4" w:space="0" w:color="C6CFD7" w:themeColor="accent3" w:themeTint="66"/>
            </w:tcBorders>
            <w:shd w:val="clear" w:color="auto" w:fill="auto"/>
          </w:tcPr>
          <w:p w14:paraId="16433BD1" w14:textId="77777777" w:rsidR="0044491C" w:rsidRPr="002E1757" w:rsidRDefault="0044491C" w:rsidP="0044491C">
            <w:pPr>
              <w:pStyle w:val="TableText"/>
              <w:rPr>
                <w:lang w:val="en-US"/>
              </w:rPr>
            </w:pPr>
            <w:r w:rsidRPr="002E1757">
              <w:rPr>
                <w:lang w:val="en-US"/>
              </w:rPr>
              <w:t xml:space="preserve">46 sustainable national networks </w:t>
            </w:r>
          </w:p>
          <w:p w14:paraId="2C5A7D78" w14:textId="77777777" w:rsidR="0044491C" w:rsidRPr="002E1757" w:rsidRDefault="0044491C" w:rsidP="0044491C">
            <w:pPr>
              <w:pStyle w:val="TableText"/>
              <w:rPr>
                <w:lang w:val="en-US"/>
              </w:rPr>
            </w:pPr>
            <w:r w:rsidRPr="002E1757">
              <w:rPr>
                <w:lang w:val="en-US"/>
              </w:rPr>
              <w:t>(cumulative end 202</w:t>
            </w:r>
            <w:r>
              <w:rPr>
                <w:lang w:val="en-US"/>
              </w:rPr>
              <w:t>2</w:t>
            </w:r>
            <w:r w:rsidRPr="002E1757">
              <w:rPr>
                <w:lang w:val="en-US"/>
              </w:rPr>
              <w:t>)</w:t>
            </w:r>
          </w:p>
          <w:p w14:paraId="268C3571" w14:textId="68BB73A8" w:rsidR="0044491C" w:rsidRPr="002E1757" w:rsidRDefault="0044491C" w:rsidP="008407D7">
            <w:pPr>
              <w:pStyle w:val="TableText"/>
              <w:numPr>
                <w:ilvl w:val="0"/>
                <w:numId w:val="45"/>
              </w:numPr>
              <w:ind w:left="127" w:hanging="76"/>
              <w:rPr>
                <w:lang w:val="en-US"/>
              </w:rPr>
            </w:pPr>
            <w:r w:rsidRPr="002E1757">
              <w:rPr>
                <w:lang w:val="en-US"/>
              </w:rPr>
              <w:t xml:space="preserve">Maturity Level 1: 4 </w:t>
            </w:r>
            <w:r w:rsidR="00FC621E">
              <w:rPr>
                <w:lang w:val="en-US"/>
              </w:rPr>
              <w:t>in t</w:t>
            </w:r>
            <w:r w:rsidRPr="002E1757">
              <w:rPr>
                <w:lang w:val="en-US"/>
              </w:rPr>
              <w:t>otal</w:t>
            </w:r>
          </w:p>
          <w:p w14:paraId="6BEB0983" w14:textId="740C01E7" w:rsidR="0044491C" w:rsidRPr="002E1757" w:rsidRDefault="0044491C" w:rsidP="008407D7">
            <w:pPr>
              <w:pStyle w:val="TableText"/>
              <w:numPr>
                <w:ilvl w:val="0"/>
                <w:numId w:val="45"/>
              </w:numPr>
              <w:ind w:left="127" w:hanging="76"/>
              <w:rPr>
                <w:lang w:val="en-US"/>
              </w:rPr>
            </w:pPr>
            <w:r w:rsidRPr="002E1757">
              <w:rPr>
                <w:lang w:val="en-US"/>
              </w:rPr>
              <w:t xml:space="preserve">Maturity Level 2: 32 </w:t>
            </w:r>
            <w:r w:rsidR="00FC621E">
              <w:rPr>
                <w:lang w:val="en-US"/>
              </w:rPr>
              <w:t>in t</w:t>
            </w:r>
            <w:r w:rsidRPr="002E1757">
              <w:rPr>
                <w:lang w:val="en-US"/>
              </w:rPr>
              <w:t>otal</w:t>
            </w:r>
          </w:p>
          <w:p w14:paraId="32D8E226" w14:textId="594FC174" w:rsidR="0044491C" w:rsidRPr="00620068" w:rsidRDefault="0044491C" w:rsidP="008407D7">
            <w:pPr>
              <w:pStyle w:val="TableText"/>
              <w:numPr>
                <w:ilvl w:val="0"/>
                <w:numId w:val="45"/>
              </w:numPr>
              <w:ind w:left="127" w:hanging="76"/>
              <w:rPr>
                <w:lang w:val="en-US"/>
              </w:rPr>
            </w:pPr>
            <w:r w:rsidRPr="002E1757">
              <w:rPr>
                <w:lang w:val="en-US"/>
              </w:rPr>
              <w:t xml:space="preserve">Maturity Level 3, including the provision of value-added services: 10 </w:t>
            </w:r>
            <w:r w:rsidR="00FC621E">
              <w:rPr>
                <w:lang w:val="en-US"/>
              </w:rPr>
              <w:t>in t</w:t>
            </w:r>
            <w:r w:rsidRPr="002E1757">
              <w:rPr>
                <w:lang w:val="en-US"/>
              </w:rPr>
              <w:t>otal</w:t>
            </w:r>
          </w:p>
        </w:tc>
        <w:tc>
          <w:tcPr>
            <w:tcW w:w="2373" w:type="dxa"/>
            <w:tcBorders>
              <w:top w:val="single" w:sz="4" w:space="0" w:color="C6CFD7" w:themeColor="accent3" w:themeTint="66"/>
            </w:tcBorders>
            <w:shd w:val="clear" w:color="auto" w:fill="auto"/>
          </w:tcPr>
          <w:p w14:paraId="26180AAD" w14:textId="77777777" w:rsidR="0044491C" w:rsidRDefault="00631E9D" w:rsidP="0044491C">
            <w:pPr>
              <w:pStyle w:val="TableText"/>
              <w:rPr>
                <w:lang w:val="en-US"/>
              </w:rPr>
            </w:pPr>
            <w:r>
              <w:rPr>
                <w:lang w:val="en-US"/>
              </w:rPr>
              <w:t xml:space="preserve">50 </w:t>
            </w:r>
            <w:r w:rsidRPr="002E1757">
              <w:rPr>
                <w:lang w:val="en-US"/>
              </w:rPr>
              <w:t>sustainable national networks</w:t>
            </w:r>
          </w:p>
          <w:p w14:paraId="45689383" w14:textId="31847A1F" w:rsidR="00631E9D" w:rsidRPr="00620068" w:rsidRDefault="00631E9D" w:rsidP="0044491C">
            <w:pPr>
              <w:pStyle w:val="TableText"/>
              <w:rPr>
                <w:lang w:val="en-US"/>
              </w:rPr>
            </w:pPr>
            <w:r>
              <w:rPr>
                <w:lang w:val="en-US"/>
              </w:rPr>
              <w:t>(cumulative)</w:t>
            </w:r>
          </w:p>
        </w:tc>
      </w:tr>
      <w:tr w:rsidR="009719EF" w:rsidRPr="00D350B5" w14:paraId="1454D4AE" w14:textId="77777777" w:rsidTr="0045683A">
        <w:trPr>
          <w:cantSplit/>
          <w:trHeight w:val="191"/>
        </w:trPr>
        <w:tc>
          <w:tcPr>
            <w:tcW w:w="2371" w:type="dxa"/>
            <w:vMerge/>
            <w:tcBorders>
              <w:top w:val="single" w:sz="4" w:space="0" w:color="C6CFD7" w:themeColor="accent3" w:themeTint="66"/>
            </w:tcBorders>
            <w:shd w:val="clear" w:color="auto" w:fill="auto"/>
          </w:tcPr>
          <w:p w14:paraId="1D7116AE" w14:textId="77777777" w:rsidR="009719EF" w:rsidRDefault="009719EF" w:rsidP="0044491C">
            <w:pPr>
              <w:pStyle w:val="TableTextBold"/>
              <w:rPr>
                <w:rStyle w:val="charColoured"/>
              </w:rPr>
            </w:pPr>
          </w:p>
        </w:tc>
        <w:tc>
          <w:tcPr>
            <w:tcW w:w="2372" w:type="dxa"/>
            <w:shd w:val="clear" w:color="auto" w:fill="auto"/>
          </w:tcPr>
          <w:p w14:paraId="167FCB35" w14:textId="6193998A" w:rsidR="009719EF" w:rsidRPr="007D21B3" w:rsidRDefault="00793B5D" w:rsidP="0044491C">
            <w:pPr>
              <w:pStyle w:val="TableText"/>
              <w:rPr>
                <w:lang w:val="en-US"/>
              </w:rPr>
            </w:pPr>
            <w:r w:rsidRPr="00793B5D">
              <w:rPr>
                <w:lang w:val="en-US"/>
              </w:rPr>
              <w:t>No. of national TISC networks with the level of maturity upgraded</w:t>
            </w:r>
          </w:p>
        </w:tc>
        <w:tc>
          <w:tcPr>
            <w:tcW w:w="2372" w:type="dxa"/>
            <w:shd w:val="clear" w:color="auto" w:fill="auto"/>
          </w:tcPr>
          <w:p w14:paraId="3FA37A5C" w14:textId="06DA7236" w:rsidR="009719EF" w:rsidRDefault="00F34506" w:rsidP="0044491C">
            <w:pPr>
              <w:pStyle w:val="TableText"/>
              <w:spacing w:after="80"/>
              <w:rPr>
                <w:lang w:val="en-US"/>
              </w:rPr>
            </w:pPr>
            <w:r>
              <w:rPr>
                <w:lang w:val="en-US"/>
              </w:rPr>
              <w:t>tbd</w:t>
            </w:r>
          </w:p>
        </w:tc>
        <w:tc>
          <w:tcPr>
            <w:tcW w:w="2373" w:type="dxa"/>
            <w:shd w:val="clear" w:color="auto" w:fill="auto"/>
          </w:tcPr>
          <w:p w14:paraId="7D99E78C" w14:textId="00566385" w:rsidR="009719EF" w:rsidRPr="007D21B3" w:rsidRDefault="00F34506" w:rsidP="0044491C">
            <w:pPr>
              <w:pStyle w:val="TableText"/>
              <w:spacing w:after="80"/>
              <w:rPr>
                <w:lang w:val="en-US"/>
              </w:rPr>
            </w:pPr>
            <w:r>
              <w:rPr>
                <w:lang w:val="en-US"/>
              </w:rPr>
              <w:t>tbd</w:t>
            </w:r>
          </w:p>
        </w:tc>
      </w:tr>
      <w:tr w:rsidR="0044491C" w:rsidRPr="00D350B5" w14:paraId="2ABC9FFB" w14:textId="77777777" w:rsidTr="0045683A">
        <w:trPr>
          <w:cantSplit/>
          <w:trHeight w:val="191"/>
        </w:trPr>
        <w:tc>
          <w:tcPr>
            <w:tcW w:w="2371" w:type="dxa"/>
            <w:vMerge/>
            <w:tcBorders>
              <w:top w:val="single" w:sz="4" w:space="0" w:color="C6CFD7" w:themeColor="accent3" w:themeTint="66"/>
            </w:tcBorders>
            <w:shd w:val="clear" w:color="auto" w:fill="auto"/>
          </w:tcPr>
          <w:p w14:paraId="27D452E3" w14:textId="77777777" w:rsidR="0044491C" w:rsidRDefault="0044491C" w:rsidP="0044491C">
            <w:pPr>
              <w:pStyle w:val="TableTextBold"/>
              <w:rPr>
                <w:rStyle w:val="charColoured"/>
              </w:rPr>
            </w:pPr>
          </w:p>
        </w:tc>
        <w:tc>
          <w:tcPr>
            <w:tcW w:w="2372" w:type="dxa"/>
            <w:shd w:val="clear" w:color="auto" w:fill="auto"/>
          </w:tcPr>
          <w:p w14:paraId="177C8EC2" w14:textId="77777777" w:rsidR="0044491C" w:rsidRPr="007D21B3" w:rsidRDefault="0044491C" w:rsidP="0044491C">
            <w:pPr>
              <w:pStyle w:val="TableText"/>
              <w:rPr>
                <w:lang w:val="en-US"/>
              </w:rPr>
            </w:pPr>
            <w:r w:rsidRPr="007D21B3">
              <w:rPr>
                <w:lang w:val="en-US"/>
              </w:rPr>
              <w:t>Level of satisfaction of Technology Transfer entities and other bodies with the services provided by WIPO</w:t>
            </w:r>
            <w:r w:rsidRPr="00824264" w:rsidDel="0029007A">
              <w:rPr>
                <w:lang w:val="en-US"/>
              </w:rPr>
              <w:t xml:space="preserve"> </w:t>
            </w:r>
          </w:p>
        </w:tc>
        <w:tc>
          <w:tcPr>
            <w:tcW w:w="2372" w:type="dxa"/>
            <w:shd w:val="clear" w:color="auto" w:fill="auto"/>
          </w:tcPr>
          <w:p w14:paraId="207D561C" w14:textId="77777777" w:rsidR="0044491C" w:rsidRPr="002715E0" w:rsidRDefault="0044491C" w:rsidP="0044491C">
            <w:pPr>
              <w:pStyle w:val="TableText"/>
              <w:spacing w:after="80"/>
              <w:rPr>
                <w:lang w:val="en-US"/>
              </w:rPr>
            </w:pPr>
            <w:r>
              <w:rPr>
                <w:lang w:val="en-US"/>
              </w:rPr>
              <w:t>tbd</w:t>
            </w:r>
          </w:p>
        </w:tc>
        <w:tc>
          <w:tcPr>
            <w:tcW w:w="2373" w:type="dxa"/>
            <w:shd w:val="clear" w:color="auto" w:fill="auto"/>
          </w:tcPr>
          <w:p w14:paraId="035D3B67" w14:textId="77777777" w:rsidR="0044491C" w:rsidRPr="002715E0" w:rsidRDefault="0044491C" w:rsidP="0044491C">
            <w:pPr>
              <w:pStyle w:val="TableText"/>
              <w:spacing w:after="80"/>
              <w:rPr>
                <w:lang w:val="en-US"/>
              </w:rPr>
            </w:pPr>
            <w:r w:rsidRPr="007D21B3">
              <w:rPr>
                <w:lang w:val="en-US"/>
              </w:rPr>
              <w:t xml:space="preserve">≥ </w:t>
            </w:r>
            <w:r>
              <w:rPr>
                <w:lang w:val="en-US"/>
              </w:rPr>
              <w:t>90% satisfied or very satisfied</w:t>
            </w:r>
          </w:p>
        </w:tc>
      </w:tr>
      <w:tr w:rsidR="0044491C" w:rsidRPr="00D350B5" w14:paraId="62D2546B" w14:textId="77777777" w:rsidTr="0045683A">
        <w:trPr>
          <w:cantSplit/>
          <w:trHeight w:val="191"/>
        </w:trPr>
        <w:tc>
          <w:tcPr>
            <w:tcW w:w="2371" w:type="dxa"/>
            <w:vMerge/>
            <w:tcBorders>
              <w:top w:val="single" w:sz="4" w:space="0" w:color="C6CFD7" w:themeColor="accent3" w:themeTint="66"/>
            </w:tcBorders>
            <w:shd w:val="clear" w:color="auto" w:fill="auto"/>
          </w:tcPr>
          <w:p w14:paraId="2152378D" w14:textId="77777777" w:rsidR="0044491C" w:rsidRDefault="0044491C" w:rsidP="0044491C">
            <w:pPr>
              <w:pStyle w:val="TableTextBold"/>
              <w:rPr>
                <w:rStyle w:val="charColoured"/>
              </w:rPr>
            </w:pPr>
          </w:p>
        </w:tc>
        <w:tc>
          <w:tcPr>
            <w:tcW w:w="2372" w:type="dxa"/>
            <w:shd w:val="clear" w:color="auto" w:fill="auto"/>
          </w:tcPr>
          <w:p w14:paraId="6A29EE1E" w14:textId="77777777" w:rsidR="0044491C" w:rsidRPr="007D21B3" w:rsidRDefault="0044491C" w:rsidP="0044491C">
            <w:pPr>
              <w:pStyle w:val="TableText"/>
              <w:rPr>
                <w:lang w:val="en-US"/>
              </w:rPr>
            </w:pPr>
            <w:r w:rsidRPr="007D21B3">
              <w:rPr>
                <w:lang w:val="en-US"/>
              </w:rPr>
              <w:t>No. of unique visitors to the web-based services targeting inventors and SMEs, including no. of visitors downloading</w:t>
            </w:r>
            <w:r w:rsidRPr="00824264" w:rsidDel="0029007A">
              <w:rPr>
                <w:lang w:val="en-US"/>
              </w:rPr>
              <w:t xml:space="preserve"> </w:t>
            </w:r>
          </w:p>
        </w:tc>
        <w:tc>
          <w:tcPr>
            <w:tcW w:w="2372" w:type="dxa"/>
            <w:shd w:val="clear" w:color="auto" w:fill="auto"/>
          </w:tcPr>
          <w:p w14:paraId="65A0E331" w14:textId="77777777" w:rsidR="0044491C" w:rsidRPr="002715E0" w:rsidRDefault="0044491C" w:rsidP="0044491C">
            <w:pPr>
              <w:pStyle w:val="TableText"/>
              <w:spacing w:after="80"/>
              <w:rPr>
                <w:lang w:val="en-US"/>
              </w:rPr>
            </w:pPr>
            <w:r w:rsidRPr="00967654">
              <w:rPr>
                <w:szCs w:val="16"/>
              </w:rPr>
              <w:t>225,178</w:t>
            </w:r>
          </w:p>
        </w:tc>
        <w:tc>
          <w:tcPr>
            <w:tcW w:w="2373" w:type="dxa"/>
            <w:shd w:val="clear" w:color="auto" w:fill="auto"/>
          </w:tcPr>
          <w:p w14:paraId="6838B706" w14:textId="77777777" w:rsidR="0044491C" w:rsidRPr="002715E0" w:rsidRDefault="0044491C" w:rsidP="0044491C">
            <w:pPr>
              <w:pStyle w:val="TableText"/>
              <w:spacing w:after="80"/>
              <w:rPr>
                <w:lang w:val="en-US"/>
              </w:rPr>
            </w:pPr>
            <w:r w:rsidRPr="00821671">
              <w:rPr>
                <w:szCs w:val="16"/>
              </w:rPr>
              <w:t>20% increase (biennium)</w:t>
            </w:r>
          </w:p>
        </w:tc>
      </w:tr>
      <w:tr w:rsidR="0044491C" w:rsidRPr="00D350B5" w14:paraId="7F24DDEA" w14:textId="77777777" w:rsidTr="0045683A">
        <w:trPr>
          <w:cantSplit/>
          <w:trHeight w:val="191"/>
        </w:trPr>
        <w:tc>
          <w:tcPr>
            <w:tcW w:w="2371" w:type="dxa"/>
            <w:vMerge/>
            <w:tcBorders>
              <w:top w:val="single" w:sz="4" w:space="0" w:color="C6CFD7" w:themeColor="accent3" w:themeTint="66"/>
            </w:tcBorders>
            <w:shd w:val="clear" w:color="auto" w:fill="auto"/>
          </w:tcPr>
          <w:p w14:paraId="39FD74A6" w14:textId="77777777" w:rsidR="0044491C" w:rsidRDefault="0044491C" w:rsidP="0044491C">
            <w:pPr>
              <w:pStyle w:val="TableTextBold"/>
              <w:rPr>
                <w:rStyle w:val="charColoured"/>
              </w:rPr>
            </w:pPr>
          </w:p>
        </w:tc>
        <w:tc>
          <w:tcPr>
            <w:tcW w:w="2372" w:type="dxa"/>
            <w:shd w:val="clear" w:color="auto" w:fill="auto"/>
          </w:tcPr>
          <w:p w14:paraId="4B70CDBC" w14:textId="77777777" w:rsidR="0044491C" w:rsidRPr="007D21B3" w:rsidRDefault="0044491C" w:rsidP="0044491C">
            <w:pPr>
              <w:pStyle w:val="TableText"/>
              <w:rPr>
                <w:lang w:val="en-US"/>
              </w:rPr>
            </w:pPr>
            <w:r w:rsidRPr="007D21B3">
              <w:rPr>
                <w:lang w:val="en-US"/>
              </w:rPr>
              <w:t>No. of SME support institutions who are using WIPO materials and tools</w:t>
            </w:r>
          </w:p>
        </w:tc>
        <w:tc>
          <w:tcPr>
            <w:tcW w:w="2372" w:type="dxa"/>
            <w:shd w:val="clear" w:color="auto" w:fill="auto"/>
          </w:tcPr>
          <w:p w14:paraId="41917F70" w14:textId="77777777" w:rsidR="0044491C" w:rsidRPr="002715E0" w:rsidRDefault="0044491C" w:rsidP="0044491C">
            <w:pPr>
              <w:pStyle w:val="TableText"/>
              <w:spacing w:after="80"/>
              <w:rPr>
                <w:lang w:val="en-US"/>
              </w:rPr>
            </w:pPr>
            <w:r>
              <w:rPr>
                <w:lang w:val="en-US"/>
              </w:rPr>
              <w:t>14</w:t>
            </w:r>
          </w:p>
        </w:tc>
        <w:tc>
          <w:tcPr>
            <w:tcW w:w="2373" w:type="dxa"/>
            <w:shd w:val="clear" w:color="auto" w:fill="auto"/>
          </w:tcPr>
          <w:p w14:paraId="05D2B2E0" w14:textId="02DB738F" w:rsidR="0044491C" w:rsidRPr="00847544" w:rsidRDefault="00847544" w:rsidP="0044491C">
            <w:pPr>
              <w:pStyle w:val="TableText"/>
              <w:spacing w:after="80"/>
              <w:rPr>
                <w:lang w:val="en-US"/>
              </w:rPr>
            </w:pPr>
            <w:r w:rsidRPr="00847544">
              <w:rPr>
                <w:lang w:val="en-US"/>
              </w:rPr>
              <w:t>10</w:t>
            </w:r>
            <w:r w:rsidR="0044491C" w:rsidRPr="00847544">
              <w:rPr>
                <w:lang w:val="en-US"/>
              </w:rPr>
              <w:t xml:space="preserve"> additional </w:t>
            </w:r>
          </w:p>
        </w:tc>
      </w:tr>
      <w:tr w:rsidR="0044491C" w:rsidRPr="00D350B5" w14:paraId="79DA1BF7" w14:textId="77777777" w:rsidTr="0045683A">
        <w:trPr>
          <w:cantSplit/>
          <w:trHeight w:val="215"/>
        </w:trPr>
        <w:tc>
          <w:tcPr>
            <w:tcW w:w="2371" w:type="dxa"/>
            <w:vMerge/>
            <w:tcBorders>
              <w:bottom w:val="single" w:sz="4" w:space="0" w:color="BFBFBF" w:themeColor="background1" w:themeShade="BF"/>
            </w:tcBorders>
            <w:shd w:val="clear" w:color="auto" w:fill="auto"/>
          </w:tcPr>
          <w:p w14:paraId="44625018" w14:textId="77777777" w:rsidR="0044491C" w:rsidRPr="00EA4A26" w:rsidRDefault="0044491C" w:rsidP="0044491C">
            <w:pPr>
              <w:pStyle w:val="TableTextBold"/>
              <w:rPr>
                <w:rStyle w:val="charColoured"/>
              </w:rPr>
            </w:pPr>
          </w:p>
        </w:tc>
        <w:tc>
          <w:tcPr>
            <w:tcW w:w="2372" w:type="dxa"/>
            <w:tcBorders>
              <w:bottom w:val="single" w:sz="4" w:space="0" w:color="BFBFBF" w:themeColor="background1" w:themeShade="BF"/>
            </w:tcBorders>
            <w:shd w:val="clear" w:color="auto" w:fill="auto"/>
          </w:tcPr>
          <w:p w14:paraId="0AA78CC0" w14:textId="77777777" w:rsidR="0044491C" w:rsidRPr="00F17212" w:rsidRDefault="0044491C" w:rsidP="0044491C">
            <w:pPr>
              <w:pStyle w:val="TableText"/>
              <w:rPr>
                <w:lang w:val="en-US"/>
              </w:rPr>
            </w:pPr>
            <w:r w:rsidRPr="00C806D7">
              <w:rPr>
                <w:lang w:val="en-US"/>
              </w:rPr>
              <w:t>No. of SMEs assisted by support institutions that use WIPO materials or tools</w:t>
            </w:r>
          </w:p>
        </w:tc>
        <w:tc>
          <w:tcPr>
            <w:tcW w:w="2372" w:type="dxa"/>
            <w:tcBorders>
              <w:bottom w:val="single" w:sz="4" w:space="0" w:color="BFBFBF" w:themeColor="background1" w:themeShade="BF"/>
            </w:tcBorders>
            <w:shd w:val="clear" w:color="auto" w:fill="auto"/>
          </w:tcPr>
          <w:p w14:paraId="58CF6808" w14:textId="77777777" w:rsidR="0044491C" w:rsidRDefault="0044491C" w:rsidP="0044491C">
            <w:pPr>
              <w:pStyle w:val="TableText"/>
              <w:rPr>
                <w:lang w:val="en-US"/>
              </w:rPr>
            </w:pPr>
            <w:r>
              <w:rPr>
                <w:lang w:val="en-US"/>
              </w:rPr>
              <w:t>1,745</w:t>
            </w:r>
          </w:p>
        </w:tc>
        <w:tc>
          <w:tcPr>
            <w:tcW w:w="2373" w:type="dxa"/>
            <w:tcBorders>
              <w:bottom w:val="single" w:sz="4" w:space="0" w:color="BFBFBF" w:themeColor="background1" w:themeShade="BF"/>
            </w:tcBorders>
            <w:shd w:val="clear" w:color="auto" w:fill="auto"/>
          </w:tcPr>
          <w:p w14:paraId="27D6E348" w14:textId="0518067A" w:rsidR="0044491C" w:rsidRPr="00847544" w:rsidRDefault="006D25A6" w:rsidP="0044491C">
            <w:pPr>
              <w:pStyle w:val="TableText"/>
              <w:rPr>
                <w:lang w:val="en-US"/>
              </w:rPr>
            </w:pPr>
            <w:r w:rsidRPr="006D25A6">
              <w:rPr>
                <w:lang w:val="en-US"/>
              </w:rPr>
              <w:t>5</w:t>
            </w:r>
            <w:r w:rsidR="0044491C" w:rsidRPr="006D25A6">
              <w:rPr>
                <w:lang w:val="en-US"/>
              </w:rPr>
              <w:t>,000 additional</w:t>
            </w:r>
          </w:p>
        </w:tc>
      </w:tr>
    </w:tbl>
    <w:p w14:paraId="7B96ED15" w14:textId="4AD9791C" w:rsidR="0044491C" w:rsidRPr="00EF3B0C" w:rsidRDefault="0044491C" w:rsidP="00EF3B0C">
      <w:pPr>
        <w:pStyle w:val="Heading1NoNumb"/>
        <w:spacing w:before="300" w:after="120"/>
        <w:rPr>
          <w:lang w:val="en-US"/>
        </w:rPr>
      </w:pPr>
      <w:r>
        <w:rPr>
          <w:lang w:val="en-US"/>
        </w:rPr>
        <w:t>Resources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44491C" w:rsidRPr="00034525" w14:paraId="20E9ED24" w14:textId="77777777" w:rsidTr="0044491C">
        <w:trPr>
          <w:trHeight w:val="72"/>
        </w:trPr>
        <w:tc>
          <w:tcPr>
            <w:tcW w:w="9540" w:type="dxa"/>
          </w:tcPr>
          <w:p w14:paraId="68124B91" w14:textId="77777777" w:rsidR="0044491C" w:rsidRPr="00034525" w:rsidRDefault="0044491C" w:rsidP="001A3F3C">
            <w:pPr>
              <w:spacing w:after="60" w:line="240" w:lineRule="auto"/>
              <w:jc w:val="center"/>
              <w:rPr>
                <w:rFonts w:cs="Arial"/>
                <w:b/>
                <w:bCs/>
                <w:color w:val="005172"/>
                <w:sz w:val="16"/>
                <w:szCs w:val="16"/>
              </w:rPr>
            </w:pPr>
            <w:r w:rsidRPr="00E93EB0">
              <w:rPr>
                <w:rFonts w:eastAsia="SimHei" w:cs="Arial"/>
                <w:b/>
                <w:bCs/>
                <w:color w:val="005172"/>
                <w:szCs w:val="18"/>
                <w:lang w:val="en-US" w:eastAsia="zh-CN"/>
              </w:rPr>
              <w:t>IP and Innovation Ecosystems</w:t>
            </w:r>
            <w:r>
              <w:rPr>
                <w:rFonts w:cs="Arial"/>
                <w:b/>
                <w:bCs/>
                <w:color w:val="005172"/>
                <w:szCs w:val="16"/>
              </w:rPr>
              <w:t xml:space="preserve">: </w:t>
            </w:r>
            <w:r w:rsidRPr="00034525">
              <w:rPr>
                <w:rFonts w:cs="Arial"/>
                <w:b/>
                <w:bCs/>
                <w:color w:val="005172"/>
                <w:szCs w:val="16"/>
              </w:rPr>
              <w:t>Resources by Result</w:t>
            </w:r>
          </w:p>
        </w:tc>
      </w:tr>
      <w:tr w:rsidR="0044491C" w:rsidRPr="00034525" w14:paraId="15BCA287" w14:textId="77777777" w:rsidTr="0044491C">
        <w:trPr>
          <w:trHeight w:val="80"/>
        </w:trPr>
        <w:tc>
          <w:tcPr>
            <w:tcW w:w="9540" w:type="dxa"/>
          </w:tcPr>
          <w:p w14:paraId="04218A20" w14:textId="6D965E14" w:rsidR="0044491C" w:rsidRPr="00034525" w:rsidRDefault="0044491C"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32661DE3" w14:textId="5F1615CB" w:rsidR="009E5017" w:rsidRDefault="009E5017" w:rsidP="00792A58">
      <w:pPr>
        <w:spacing w:after="0"/>
        <w:rPr>
          <w:rFonts w:asciiTheme="minorHAnsi" w:hAnsiTheme="minorHAnsi"/>
          <w:sz w:val="22"/>
        </w:rPr>
      </w:pPr>
    </w:p>
    <w:tbl>
      <w:tblPr>
        <w:tblW w:w="9525" w:type="dxa"/>
        <w:tblLook w:val="04A0" w:firstRow="1" w:lastRow="0" w:firstColumn="1" w:lastColumn="0" w:noHBand="0" w:noVBand="1"/>
      </w:tblPr>
      <w:tblGrid>
        <w:gridCol w:w="399"/>
        <w:gridCol w:w="6089"/>
        <w:gridCol w:w="1021"/>
        <w:gridCol w:w="1021"/>
        <w:gridCol w:w="1022"/>
      </w:tblGrid>
      <w:tr w:rsidR="009E5017" w:rsidRPr="009E5017" w14:paraId="681EB0FF" w14:textId="77777777" w:rsidTr="009E5017">
        <w:trPr>
          <w:divId w:val="1122336000"/>
          <w:trHeight w:val="559"/>
        </w:trPr>
        <w:tc>
          <w:tcPr>
            <w:tcW w:w="6461" w:type="dxa"/>
            <w:gridSpan w:val="2"/>
            <w:tcBorders>
              <w:top w:val="nil"/>
              <w:left w:val="nil"/>
              <w:bottom w:val="nil"/>
              <w:right w:val="nil"/>
            </w:tcBorders>
            <w:shd w:val="clear" w:color="000000" w:fill="C7CFD8"/>
            <w:noWrap/>
            <w:vAlign w:val="center"/>
            <w:hideMark/>
          </w:tcPr>
          <w:p w14:paraId="0F673416" w14:textId="4EC9E514" w:rsidR="009E5017" w:rsidRPr="009E5017" w:rsidRDefault="009E5017" w:rsidP="009E5017">
            <w:pPr>
              <w:spacing w:after="0" w:line="240" w:lineRule="auto"/>
              <w:ind w:firstLineChars="100" w:firstLine="160"/>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 xml:space="preserve">Expected Result </w:t>
            </w:r>
          </w:p>
        </w:tc>
        <w:tc>
          <w:tcPr>
            <w:tcW w:w="1021" w:type="dxa"/>
            <w:tcBorders>
              <w:top w:val="nil"/>
              <w:left w:val="nil"/>
              <w:bottom w:val="nil"/>
              <w:right w:val="nil"/>
            </w:tcBorders>
            <w:shd w:val="clear" w:color="000000" w:fill="C7CFD8"/>
            <w:vAlign w:val="center"/>
            <w:hideMark/>
          </w:tcPr>
          <w:p w14:paraId="0545E4F8" w14:textId="77777777" w:rsidR="009E5017" w:rsidRPr="009E5017" w:rsidRDefault="009E5017" w:rsidP="009E5017">
            <w:pPr>
              <w:spacing w:after="0" w:line="240" w:lineRule="auto"/>
              <w:ind w:firstLineChars="100" w:firstLine="160"/>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 xml:space="preserve"> 2024/25 </w:t>
            </w:r>
            <w:r w:rsidRPr="009E5017">
              <w:rPr>
                <w:rFonts w:ascii="Arial Narrow" w:eastAsia="Times New Roman" w:hAnsi="Arial Narrow" w:cs="Arial"/>
                <w:b/>
                <w:bCs/>
                <w:sz w:val="16"/>
                <w:szCs w:val="16"/>
                <w:lang w:val="en-US"/>
              </w:rPr>
              <w:br/>
              <w:t>Proposed</w:t>
            </w:r>
            <w:r w:rsidRPr="009E5017">
              <w:rPr>
                <w:rFonts w:ascii="Arial Narrow" w:eastAsia="Times New Roman" w:hAnsi="Arial Narrow" w:cs="Arial"/>
                <w:b/>
                <w:bCs/>
                <w:sz w:val="16"/>
                <w:szCs w:val="16"/>
                <w:lang w:val="en-US"/>
              </w:rPr>
              <w:br/>
              <w:t xml:space="preserve"> Budget </w:t>
            </w:r>
          </w:p>
        </w:tc>
        <w:tc>
          <w:tcPr>
            <w:tcW w:w="1021" w:type="dxa"/>
            <w:tcBorders>
              <w:top w:val="nil"/>
              <w:left w:val="nil"/>
              <w:bottom w:val="nil"/>
              <w:right w:val="nil"/>
            </w:tcBorders>
            <w:shd w:val="clear" w:color="000000" w:fill="C7CFD8"/>
            <w:vAlign w:val="center"/>
            <w:hideMark/>
          </w:tcPr>
          <w:p w14:paraId="656DC1AD" w14:textId="77777777" w:rsidR="009E5017" w:rsidRPr="009E5017" w:rsidRDefault="009E5017" w:rsidP="009E5017">
            <w:pPr>
              <w:spacing w:after="0" w:line="240" w:lineRule="auto"/>
              <w:ind w:firstLineChars="100" w:firstLine="160"/>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 xml:space="preserve"> 2022/23 </w:t>
            </w:r>
            <w:r w:rsidRPr="009E5017">
              <w:rPr>
                <w:rFonts w:ascii="Arial Narrow" w:eastAsia="Times New Roman" w:hAnsi="Arial Narrow" w:cs="Arial"/>
                <w:b/>
                <w:bCs/>
                <w:sz w:val="16"/>
                <w:szCs w:val="16"/>
                <w:lang w:val="en-US"/>
              </w:rPr>
              <w:br/>
              <w:t xml:space="preserve">PoW&amp;B </w:t>
            </w:r>
          </w:p>
        </w:tc>
        <w:tc>
          <w:tcPr>
            <w:tcW w:w="1022" w:type="dxa"/>
            <w:tcBorders>
              <w:top w:val="nil"/>
              <w:left w:val="nil"/>
              <w:bottom w:val="nil"/>
              <w:right w:val="nil"/>
            </w:tcBorders>
            <w:shd w:val="clear" w:color="000000" w:fill="C7CFD8"/>
            <w:vAlign w:val="center"/>
            <w:hideMark/>
          </w:tcPr>
          <w:p w14:paraId="3EAC03E8" w14:textId="77777777" w:rsidR="009E5017" w:rsidRPr="009E5017" w:rsidRDefault="009E5017" w:rsidP="009E5017">
            <w:pPr>
              <w:spacing w:after="0" w:line="240" w:lineRule="auto"/>
              <w:ind w:firstLineChars="100" w:firstLine="160"/>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 xml:space="preserve"> 2022/23 </w:t>
            </w:r>
            <w:r w:rsidRPr="009E5017">
              <w:rPr>
                <w:rFonts w:ascii="Arial Narrow" w:eastAsia="Times New Roman" w:hAnsi="Arial Narrow" w:cs="Arial"/>
                <w:b/>
                <w:bCs/>
                <w:sz w:val="16"/>
                <w:szCs w:val="16"/>
                <w:lang w:val="en-US"/>
              </w:rPr>
              <w:br/>
              <w:t xml:space="preserve">Budget after Transfers </w:t>
            </w:r>
          </w:p>
        </w:tc>
      </w:tr>
      <w:tr w:rsidR="009E5017" w:rsidRPr="009E5017" w14:paraId="2C3A402F" w14:textId="77777777" w:rsidTr="009E5017">
        <w:trPr>
          <w:divId w:val="1122336000"/>
          <w:trHeight w:val="36"/>
        </w:trPr>
        <w:tc>
          <w:tcPr>
            <w:tcW w:w="371" w:type="dxa"/>
            <w:tcBorders>
              <w:top w:val="nil"/>
              <w:left w:val="nil"/>
              <w:bottom w:val="nil"/>
              <w:right w:val="nil"/>
            </w:tcBorders>
            <w:shd w:val="clear" w:color="auto" w:fill="auto"/>
            <w:noWrap/>
            <w:vAlign w:val="center"/>
            <w:hideMark/>
          </w:tcPr>
          <w:p w14:paraId="7C791F0B" w14:textId="77777777" w:rsidR="009E5017" w:rsidRPr="009E5017" w:rsidRDefault="009E5017" w:rsidP="009E5017">
            <w:pPr>
              <w:spacing w:after="0" w:line="240" w:lineRule="auto"/>
              <w:ind w:firstLineChars="100" w:firstLine="160"/>
              <w:jc w:val="right"/>
              <w:rPr>
                <w:rFonts w:ascii="Arial Narrow" w:eastAsia="Times New Roman" w:hAnsi="Arial Narrow" w:cs="Arial"/>
                <w:b/>
                <w:bCs/>
                <w:sz w:val="16"/>
                <w:szCs w:val="16"/>
                <w:lang w:val="en-US"/>
              </w:rPr>
            </w:pPr>
          </w:p>
        </w:tc>
        <w:tc>
          <w:tcPr>
            <w:tcW w:w="6089" w:type="dxa"/>
            <w:tcBorders>
              <w:top w:val="nil"/>
              <w:left w:val="nil"/>
              <w:bottom w:val="nil"/>
              <w:right w:val="nil"/>
            </w:tcBorders>
            <w:shd w:val="clear" w:color="auto" w:fill="auto"/>
            <w:noWrap/>
            <w:vAlign w:val="center"/>
            <w:hideMark/>
          </w:tcPr>
          <w:p w14:paraId="4DA8E53A" w14:textId="77777777" w:rsidR="009E5017" w:rsidRPr="009E5017" w:rsidRDefault="009E5017" w:rsidP="009E5017">
            <w:pPr>
              <w:spacing w:after="0" w:line="240" w:lineRule="auto"/>
              <w:ind w:firstLineChars="100" w:firstLine="200"/>
              <w:rPr>
                <w:rFonts w:ascii="Times New Roman" w:eastAsia="Times New Roman" w:hAnsi="Times New Roman" w:cs="Times New Roman"/>
                <w:sz w:val="20"/>
                <w:szCs w:val="20"/>
                <w:lang w:val="en-US"/>
              </w:rPr>
            </w:pPr>
          </w:p>
        </w:tc>
        <w:tc>
          <w:tcPr>
            <w:tcW w:w="1021" w:type="dxa"/>
            <w:tcBorders>
              <w:top w:val="nil"/>
              <w:left w:val="nil"/>
              <w:bottom w:val="nil"/>
              <w:right w:val="nil"/>
            </w:tcBorders>
            <w:shd w:val="clear" w:color="auto" w:fill="auto"/>
            <w:noWrap/>
            <w:vAlign w:val="center"/>
            <w:hideMark/>
          </w:tcPr>
          <w:p w14:paraId="636EC234" w14:textId="77777777" w:rsidR="009E5017" w:rsidRPr="009E5017" w:rsidRDefault="009E5017" w:rsidP="009E5017">
            <w:pPr>
              <w:spacing w:after="0" w:line="240" w:lineRule="auto"/>
              <w:ind w:firstLineChars="100" w:firstLine="200"/>
              <w:rPr>
                <w:rFonts w:ascii="Times New Roman" w:eastAsia="Times New Roman" w:hAnsi="Times New Roman" w:cs="Times New Roman"/>
                <w:sz w:val="20"/>
                <w:szCs w:val="20"/>
                <w:lang w:val="en-US"/>
              </w:rPr>
            </w:pPr>
          </w:p>
        </w:tc>
        <w:tc>
          <w:tcPr>
            <w:tcW w:w="1021" w:type="dxa"/>
            <w:tcBorders>
              <w:top w:val="nil"/>
              <w:left w:val="nil"/>
              <w:bottom w:val="nil"/>
              <w:right w:val="nil"/>
            </w:tcBorders>
            <w:shd w:val="clear" w:color="auto" w:fill="auto"/>
            <w:vAlign w:val="center"/>
            <w:hideMark/>
          </w:tcPr>
          <w:p w14:paraId="2B1D2074" w14:textId="77777777" w:rsidR="009E5017" w:rsidRPr="009E5017" w:rsidRDefault="009E5017" w:rsidP="009E5017">
            <w:pPr>
              <w:spacing w:after="0" w:line="240" w:lineRule="auto"/>
              <w:ind w:firstLineChars="100" w:firstLine="200"/>
              <w:rPr>
                <w:rFonts w:ascii="Times New Roman" w:eastAsia="Times New Roman" w:hAnsi="Times New Roman" w:cs="Times New Roman"/>
                <w:sz w:val="20"/>
                <w:szCs w:val="20"/>
                <w:lang w:val="en-US"/>
              </w:rPr>
            </w:pPr>
          </w:p>
        </w:tc>
        <w:tc>
          <w:tcPr>
            <w:tcW w:w="1022" w:type="dxa"/>
            <w:tcBorders>
              <w:top w:val="nil"/>
              <w:left w:val="nil"/>
              <w:bottom w:val="nil"/>
              <w:right w:val="nil"/>
            </w:tcBorders>
            <w:shd w:val="clear" w:color="auto" w:fill="auto"/>
            <w:vAlign w:val="center"/>
            <w:hideMark/>
          </w:tcPr>
          <w:p w14:paraId="1772DAA2" w14:textId="77777777" w:rsidR="009E5017" w:rsidRPr="009E5017" w:rsidRDefault="009E5017" w:rsidP="009E5017">
            <w:pPr>
              <w:spacing w:after="0" w:line="240" w:lineRule="auto"/>
              <w:ind w:firstLineChars="100" w:firstLine="200"/>
              <w:jc w:val="right"/>
              <w:rPr>
                <w:rFonts w:ascii="Times New Roman" w:eastAsia="Times New Roman" w:hAnsi="Times New Roman" w:cs="Times New Roman"/>
                <w:sz w:val="20"/>
                <w:szCs w:val="20"/>
                <w:lang w:val="en-US"/>
              </w:rPr>
            </w:pPr>
          </w:p>
        </w:tc>
      </w:tr>
      <w:tr w:rsidR="009E5017" w:rsidRPr="009E5017" w14:paraId="21A48562" w14:textId="77777777" w:rsidTr="009E5017">
        <w:trPr>
          <w:divId w:val="1122336000"/>
          <w:trHeight w:val="243"/>
        </w:trPr>
        <w:tc>
          <w:tcPr>
            <w:tcW w:w="371" w:type="dxa"/>
            <w:tcBorders>
              <w:top w:val="nil"/>
              <w:left w:val="nil"/>
              <w:bottom w:val="nil"/>
              <w:right w:val="nil"/>
            </w:tcBorders>
            <w:shd w:val="clear" w:color="auto" w:fill="auto"/>
            <w:noWrap/>
            <w:hideMark/>
          </w:tcPr>
          <w:p w14:paraId="51BD21EA"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3.1</w:t>
            </w:r>
          </w:p>
        </w:tc>
        <w:tc>
          <w:tcPr>
            <w:tcW w:w="6089" w:type="dxa"/>
            <w:tcBorders>
              <w:top w:val="nil"/>
              <w:left w:val="nil"/>
              <w:bottom w:val="nil"/>
              <w:right w:val="nil"/>
            </w:tcBorders>
            <w:shd w:val="clear" w:color="auto" w:fill="auto"/>
            <w:hideMark/>
          </w:tcPr>
          <w:p w14:paraId="192C39F3" w14:textId="77777777" w:rsid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Wider and more effective use of WIPO’s global IP systems, services, knowledge and data</w:t>
            </w:r>
          </w:p>
          <w:p w14:paraId="5FCAFBDA" w14:textId="0AF2A18C"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092CBEFA"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19,507</w:t>
            </w:r>
          </w:p>
        </w:tc>
        <w:tc>
          <w:tcPr>
            <w:tcW w:w="1021" w:type="dxa"/>
            <w:tcBorders>
              <w:top w:val="nil"/>
              <w:left w:val="nil"/>
              <w:bottom w:val="nil"/>
              <w:right w:val="nil"/>
            </w:tcBorders>
            <w:shd w:val="clear" w:color="auto" w:fill="auto"/>
            <w:noWrap/>
            <w:hideMark/>
          </w:tcPr>
          <w:p w14:paraId="14A73C10"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17,305</w:t>
            </w:r>
          </w:p>
        </w:tc>
        <w:tc>
          <w:tcPr>
            <w:tcW w:w="1022" w:type="dxa"/>
            <w:tcBorders>
              <w:top w:val="nil"/>
              <w:left w:val="nil"/>
              <w:bottom w:val="nil"/>
              <w:right w:val="nil"/>
            </w:tcBorders>
            <w:shd w:val="clear" w:color="auto" w:fill="auto"/>
            <w:noWrap/>
            <w:hideMark/>
          </w:tcPr>
          <w:p w14:paraId="6EB7F0F9"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17,572</w:t>
            </w:r>
          </w:p>
        </w:tc>
      </w:tr>
      <w:tr w:rsidR="009E5017" w:rsidRPr="009E5017" w14:paraId="7C21B84A" w14:textId="77777777" w:rsidTr="009E5017">
        <w:trPr>
          <w:divId w:val="1122336000"/>
          <w:trHeight w:val="243"/>
        </w:trPr>
        <w:tc>
          <w:tcPr>
            <w:tcW w:w="371" w:type="dxa"/>
            <w:tcBorders>
              <w:top w:val="nil"/>
              <w:left w:val="nil"/>
              <w:bottom w:val="nil"/>
              <w:right w:val="nil"/>
            </w:tcBorders>
            <w:shd w:val="clear" w:color="auto" w:fill="auto"/>
            <w:noWrap/>
            <w:hideMark/>
          </w:tcPr>
          <w:p w14:paraId="3F9DBD12"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3.2</w:t>
            </w:r>
          </w:p>
        </w:tc>
        <w:tc>
          <w:tcPr>
            <w:tcW w:w="6089" w:type="dxa"/>
            <w:tcBorders>
              <w:top w:val="nil"/>
              <w:left w:val="nil"/>
              <w:bottom w:val="nil"/>
              <w:right w:val="nil"/>
            </w:tcBorders>
            <w:shd w:val="clear" w:color="auto" w:fill="auto"/>
            <w:hideMark/>
          </w:tcPr>
          <w:p w14:paraId="019EFA7B" w14:textId="77777777" w:rsid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Improved productivity and service quality of WIPO’s global IP systems, services, knowledge and data</w:t>
            </w:r>
          </w:p>
          <w:p w14:paraId="216B256C" w14:textId="42DBB441"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26875775"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685</w:t>
            </w:r>
          </w:p>
        </w:tc>
        <w:tc>
          <w:tcPr>
            <w:tcW w:w="1021" w:type="dxa"/>
            <w:tcBorders>
              <w:top w:val="nil"/>
              <w:left w:val="nil"/>
              <w:bottom w:val="nil"/>
              <w:right w:val="nil"/>
            </w:tcBorders>
            <w:shd w:val="clear" w:color="auto" w:fill="auto"/>
            <w:noWrap/>
            <w:hideMark/>
          </w:tcPr>
          <w:p w14:paraId="3132F853"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191</w:t>
            </w:r>
          </w:p>
        </w:tc>
        <w:tc>
          <w:tcPr>
            <w:tcW w:w="1022" w:type="dxa"/>
            <w:tcBorders>
              <w:top w:val="nil"/>
              <w:left w:val="nil"/>
              <w:bottom w:val="nil"/>
              <w:right w:val="nil"/>
            </w:tcBorders>
            <w:shd w:val="clear" w:color="auto" w:fill="auto"/>
            <w:noWrap/>
            <w:hideMark/>
          </w:tcPr>
          <w:p w14:paraId="0B6D534F"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189</w:t>
            </w:r>
          </w:p>
        </w:tc>
      </w:tr>
      <w:tr w:rsidR="009E5017" w:rsidRPr="009E5017" w14:paraId="46C9EB8E" w14:textId="77777777" w:rsidTr="009E5017">
        <w:trPr>
          <w:divId w:val="1122336000"/>
          <w:trHeight w:val="377"/>
        </w:trPr>
        <w:tc>
          <w:tcPr>
            <w:tcW w:w="371" w:type="dxa"/>
            <w:tcBorders>
              <w:top w:val="nil"/>
              <w:left w:val="nil"/>
              <w:bottom w:val="nil"/>
              <w:right w:val="nil"/>
            </w:tcBorders>
            <w:shd w:val="clear" w:color="auto" w:fill="auto"/>
            <w:noWrap/>
            <w:hideMark/>
          </w:tcPr>
          <w:p w14:paraId="34A7F0BC"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3.3</w:t>
            </w:r>
          </w:p>
        </w:tc>
        <w:tc>
          <w:tcPr>
            <w:tcW w:w="6089" w:type="dxa"/>
            <w:tcBorders>
              <w:top w:val="nil"/>
              <w:left w:val="nil"/>
              <w:bottom w:val="nil"/>
              <w:right w:val="nil"/>
            </w:tcBorders>
            <w:shd w:val="clear" w:color="auto" w:fill="auto"/>
            <w:hideMark/>
          </w:tcPr>
          <w:p w14:paraId="4B096AE6" w14:textId="77777777" w:rsid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Knowledge transfer and technology adaptation is facilitated through WIPO’s IP-based platforms and tools to address global challenges</w:t>
            </w:r>
          </w:p>
          <w:p w14:paraId="29CB2DE5" w14:textId="714DA6EB"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72AC7C9C"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1,299</w:t>
            </w:r>
          </w:p>
        </w:tc>
        <w:tc>
          <w:tcPr>
            <w:tcW w:w="1021" w:type="dxa"/>
            <w:tcBorders>
              <w:top w:val="nil"/>
              <w:left w:val="nil"/>
              <w:bottom w:val="nil"/>
              <w:right w:val="nil"/>
            </w:tcBorders>
            <w:shd w:val="clear" w:color="auto" w:fill="auto"/>
            <w:noWrap/>
            <w:hideMark/>
          </w:tcPr>
          <w:p w14:paraId="5E356561"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2,444</w:t>
            </w:r>
          </w:p>
        </w:tc>
        <w:tc>
          <w:tcPr>
            <w:tcW w:w="1022" w:type="dxa"/>
            <w:tcBorders>
              <w:top w:val="nil"/>
              <w:left w:val="nil"/>
              <w:bottom w:val="nil"/>
              <w:right w:val="nil"/>
            </w:tcBorders>
            <w:shd w:val="clear" w:color="auto" w:fill="auto"/>
            <w:noWrap/>
            <w:hideMark/>
          </w:tcPr>
          <w:p w14:paraId="417F2C0E"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2,584</w:t>
            </w:r>
          </w:p>
        </w:tc>
      </w:tr>
      <w:tr w:rsidR="009E5017" w:rsidRPr="009E5017" w14:paraId="03E1D287" w14:textId="77777777" w:rsidTr="009E5017">
        <w:trPr>
          <w:divId w:val="1122336000"/>
          <w:trHeight w:val="377"/>
        </w:trPr>
        <w:tc>
          <w:tcPr>
            <w:tcW w:w="371" w:type="dxa"/>
            <w:tcBorders>
              <w:top w:val="nil"/>
              <w:left w:val="nil"/>
              <w:bottom w:val="nil"/>
              <w:right w:val="nil"/>
            </w:tcBorders>
            <w:shd w:val="clear" w:color="auto" w:fill="auto"/>
            <w:noWrap/>
            <w:hideMark/>
          </w:tcPr>
          <w:p w14:paraId="4B5E7197"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4.1</w:t>
            </w:r>
          </w:p>
        </w:tc>
        <w:tc>
          <w:tcPr>
            <w:tcW w:w="6089" w:type="dxa"/>
            <w:tcBorders>
              <w:top w:val="nil"/>
              <w:left w:val="nil"/>
              <w:bottom w:val="nil"/>
              <w:right w:val="nil"/>
            </w:tcBorders>
            <w:shd w:val="clear" w:color="auto" w:fill="auto"/>
            <w:hideMark/>
          </w:tcPr>
          <w:p w14:paraId="3D4344E1" w14:textId="6D2A8297" w:rsidR="009E5017" w:rsidRDefault="001048EB" w:rsidP="009E5017">
            <w:pPr>
              <w:spacing w:after="0" w:line="240" w:lineRule="auto"/>
              <w:rPr>
                <w:rFonts w:ascii="Arial Narrow" w:eastAsia="Times New Roman" w:hAnsi="Arial Narrow" w:cs="Arial"/>
                <w:sz w:val="16"/>
                <w:szCs w:val="16"/>
                <w:lang w:val="en-US"/>
              </w:rPr>
            </w:pPr>
            <w:r>
              <w:rPr>
                <w:rFonts w:ascii="Arial Narrow" w:eastAsia="Times New Roman" w:hAnsi="Arial Narrow" w:cs="Arial"/>
                <w:sz w:val="16"/>
                <w:szCs w:val="16"/>
                <w:lang w:val="en-US"/>
              </w:rPr>
              <w:t>More effective use of a balanced IP system to support growth</w:t>
            </w:r>
            <w:r w:rsidR="006367C5">
              <w:rPr>
                <w:rFonts w:ascii="Arial Narrow" w:eastAsia="Times New Roman" w:hAnsi="Arial Narrow" w:cs="Arial"/>
                <w:sz w:val="16"/>
                <w:szCs w:val="16"/>
                <w:lang w:val="en-US"/>
              </w:rPr>
              <w:t xml:space="preserve"> </w:t>
            </w:r>
            <w:r w:rsidR="009E5017" w:rsidRPr="009E5017">
              <w:rPr>
                <w:rFonts w:ascii="Arial Narrow" w:eastAsia="Times New Roman" w:hAnsi="Arial Narrow" w:cs="Arial"/>
                <w:sz w:val="16"/>
                <w:szCs w:val="16"/>
                <w:lang w:val="en-US"/>
              </w:rPr>
              <w:t>and development of all Member States and their relevant regions and sub-regions, including through the mainstreaming of the Development Agenda recommendations</w:t>
            </w:r>
          </w:p>
          <w:p w14:paraId="013880E1" w14:textId="002597F5"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6FB4F51A"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2,857</w:t>
            </w:r>
          </w:p>
        </w:tc>
        <w:tc>
          <w:tcPr>
            <w:tcW w:w="1021" w:type="dxa"/>
            <w:tcBorders>
              <w:top w:val="nil"/>
              <w:left w:val="nil"/>
              <w:bottom w:val="nil"/>
              <w:right w:val="nil"/>
            </w:tcBorders>
            <w:shd w:val="clear" w:color="auto" w:fill="auto"/>
            <w:noWrap/>
            <w:hideMark/>
          </w:tcPr>
          <w:p w14:paraId="0C2BDD96"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1,767</w:t>
            </w:r>
          </w:p>
        </w:tc>
        <w:tc>
          <w:tcPr>
            <w:tcW w:w="1022" w:type="dxa"/>
            <w:tcBorders>
              <w:top w:val="nil"/>
              <w:left w:val="nil"/>
              <w:bottom w:val="nil"/>
              <w:right w:val="nil"/>
            </w:tcBorders>
            <w:shd w:val="clear" w:color="auto" w:fill="auto"/>
            <w:noWrap/>
            <w:hideMark/>
          </w:tcPr>
          <w:p w14:paraId="09E07B2B"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1,862</w:t>
            </w:r>
          </w:p>
        </w:tc>
      </w:tr>
      <w:tr w:rsidR="009E5017" w:rsidRPr="009E5017" w14:paraId="0D7E4B72" w14:textId="77777777" w:rsidTr="009E5017">
        <w:trPr>
          <w:divId w:val="1122336000"/>
          <w:trHeight w:val="243"/>
        </w:trPr>
        <w:tc>
          <w:tcPr>
            <w:tcW w:w="371" w:type="dxa"/>
            <w:tcBorders>
              <w:top w:val="nil"/>
              <w:left w:val="nil"/>
              <w:bottom w:val="nil"/>
              <w:right w:val="nil"/>
            </w:tcBorders>
            <w:shd w:val="clear" w:color="auto" w:fill="auto"/>
            <w:noWrap/>
            <w:hideMark/>
          </w:tcPr>
          <w:p w14:paraId="09563779"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4.2</w:t>
            </w:r>
          </w:p>
        </w:tc>
        <w:tc>
          <w:tcPr>
            <w:tcW w:w="6089" w:type="dxa"/>
            <w:tcBorders>
              <w:top w:val="nil"/>
              <w:left w:val="nil"/>
              <w:bottom w:val="nil"/>
              <w:right w:val="nil"/>
            </w:tcBorders>
            <w:shd w:val="clear" w:color="auto" w:fill="auto"/>
            <w:hideMark/>
          </w:tcPr>
          <w:p w14:paraId="69C170A4" w14:textId="77777777" w:rsid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Development of balanced and effective IP, innovation and creative ecosystems in Member States</w:t>
            </w:r>
          </w:p>
          <w:p w14:paraId="4B9AD9CC" w14:textId="63F28411"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0EA253D5"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11,950</w:t>
            </w:r>
          </w:p>
        </w:tc>
        <w:tc>
          <w:tcPr>
            <w:tcW w:w="1021" w:type="dxa"/>
            <w:tcBorders>
              <w:top w:val="nil"/>
              <w:left w:val="nil"/>
              <w:bottom w:val="nil"/>
              <w:right w:val="nil"/>
            </w:tcBorders>
            <w:shd w:val="clear" w:color="auto" w:fill="auto"/>
            <w:noWrap/>
            <w:hideMark/>
          </w:tcPr>
          <w:p w14:paraId="0476DB5D"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10,630</w:t>
            </w:r>
          </w:p>
        </w:tc>
        <w:tc>
          <w:tcPr>
            <w:tcW w:w="1022" w:type="dxa"/>
            <w:tcBorders>
              <w:top w:val="nil"/>
              <w:left w:val="nil"/>
              <w:bottom w:val="nil"/>
              <w:right w:val="nil"/>
            </w:tcBorders>
            <w:shd w:val="clear" w:color="auto" w:fill="auto"/>
            <w:noWrap/>
            <w:hideMark/>
          </w:tcPr>
          <w:p w14:paraId="5ECA2F1D"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10,850</w:t>
            </w:r>
          </w:p>
        </w:tc>
      </w:tr>
      <w:tr w:rsidR="009E5017" w:rsidRPr="009E5017" w14:paraId="11F69B22" w14:textId="77777777" w:rsidTr="009E5017">
        <w:trPr>
          <w:divId w:val="1122336000"/>
          <w:trHeight w:val="243"/>
        </w:trPr>
        <w:tc>
          <w:tcPr>
            <w:tcW w:w="371" w:type="dxa"/>
            <w:tcBorders>
              <w:top w:val="nil"/>
              <w:left w:val="nil"/>
              <w:bottom w:val="nil"/>
              <w:right w:val="nil"/>
            </w:tcBorders>
            <w:shd w:val="clear" w:color="auto" w:fill="auto"/>
            <w:noWrap/>
            <w:hideMark/>
          </w:tcPr>
          <w:p w14:paraId="41211B12"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4.3</w:t>
            </w:r>
          </w:p>
        </w:tc>
        <w:tc>
          <w:tcPr>
            <w:tcW w:w="6089" w:type="dxa"/>
            <w:tcBorders>
              <w:top w:val="nil"/>
              <w:left w:val="nil"/>
              <w:bottom w:val="nil"/>
              <w:right w:val="nil"/>
            </w:tcBorders>
            <w:shd w:val="clear" w:color="auto" w:fill="auto"/>
            <w:hideMark/>
          </w:tcPr>
          <w:p w14:paraId="71EB0445" w14:textId="77777777" w:rsid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Increased IP knowledge and skills in all Member States</w:t>
            </w:r>
          </w:p>
          <w:p w14:paraId="2E186665" w14:textId="3A553550" w:rsidR="00D82A5F" w:rsidRPr="00D82A5F" w:rsidRDefault="00D82A5F" w:rsidP="009E5017">
            <w:pPr>
              <w:spacing w:after="0" w:line="240" w:lineRule="auto"/>
              <w:rPr>
                <w:rFonts w:ascii="Arial Narrow" w:eastAsia="Times New Roman" w:hAnsi="Arial Narrow" w:cs="Arial"/>
                <w:sz w:val="8"/>
                <w:szCs w:val="8"/>
                <w:lang w:val="en-US"/>
              </w:rPr>
            </w:pPr>
          </w:p>
        </w:tc>
        <w:tc>
          <w:tcPr>
            <w:tcW w:w="1021" w:type="dxa"/>
            <w:tcBorders>
              <w:top w:val="nil"/>
              <w:left w:val="nil"/>
              <w:bottom w:val="nil"/>
              <w:right w:val="nil"/>
            </w:tcBorders>
            <w:shd w:val="clear" w:color="auto" w:fill="auto"/>
            <w:noWrap/>
            <w:hideMark/>
          </w:tcPr>
          <w:p w14:paraId="791CF6E5"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703</w:t>
            </w:r>
          </w:p>
        </w:tc>
        <w:tc>
          <w:tcPr>
            <w:tcW w:w="1021" w:type="dxa"/>
            <w:tcBorders>
              <w:top w:val="nil"/>
              <w:left w:val="nil"/>
              <w:bottom w:val="nil"/>
              <w:right w:val="nil"/>
            </w:tcBorders>
            <w:shd w:val="clear" w:color="auto" w:fill="auto"/>
            <w:noWrap/>
            <w:hideMark/>
          </w:tcPr>
          <w:p w14:paraId="6738B6F6"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723</w:t>
            </w:r>
          </w:p>
        </w:tc>
        <w:tc>
          <w:tcPr>
            <w:tcW w:w="1022" w:type="dxa"/>
            <w:tcBorders>
              <w:top w:val="nil"/>
              <w:left w:val="nil"/>
              <w:bottom w:val="nil"/>
              <w:right w:val="nil"/>
            </w:tcBorders>
            <w:shd w:val="clear" w:color="auto" w:fill="auto"/>
            <w:noWrap/>
            <w:hideMark/>
          </w:tcPr>
          <w:p w14:paraId="05CFDA4E"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763</w:t>
            </w:r>
          </w:p>
        </w:tc>
      </w:tr>
      <w:tr w:rsidR="009E5017" w:rsidRPr="009E5017" w14:paraId="7E77B456" w14:textId="77777777" w:rsidTr="009E5017">
        <w:trPr>
          <w:divId w:val="1122336000"/>
          <w:trHeight w:val="364"/>
        </w:trPr>
        <w:tc>
          <w:tcPr>
            <w:tcW w:w="371" w:type="dxa"/>
            <w:tcBorders>
              <w:top w:val="nil"/>
              <w:left w:val="nil"/>
              <w:bottom w:val="nil"/>
              <w:right w:val="nil"/>
            </w:tcBorders>
            <w:shd w:val="clear" w:color="auto" w:fill="auto"/>
            <w:noWrap/>
            <w:hideMark/>
          </w:tcPr>
          <w:p w14:paraId="3CAA350D"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4.4</w:t>
            </w:r>
          </w:p>
        </w:tc>
        <w:tc>
          <w:tcPr>
            <w:tcW w:w="6089" w:type="dxa"/>
            <w:tcBorders>
              <w:top w:val="nil"/>
              <w:left w:val="nil"/>
              <w:bottom w:val="nil"/>
              <w:right w:val="nil"/>
            </w:tcBorders>
            <w:shd w:val="clear" w:color="auto" w:fill="auto"/>
            <w:hideMark/>
          </w:tcPr>
          <w:p w14:paraId="68C21B6C" w14:textId="77777777" w:rsidR="009E5017" w:rsidRPr="009E5017" w:rsidRDefault="009E5017" w:rsidP="009E5017">
            <w:pPr>
              <w:spacing w:after="0" w:line="240" w:lineRule="auto"/>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More innovators, creators, SMEs, universities, research institutions and communities leverage IP successfully</w:t>
            </w:r>
          </w:p>
        </w:tc>
        <w:tc>
          <w:tcPr>
            <w:tcW w:w="1021" w:type="dxa"/>
            <w:tcBorders>
              <w:top w:val="nil"/>
              <w:left w:val="nil"/>
              <w:bottom w:val="nil"/>
              <w:right w:val="nil"/>
            </w:tcBorders>
            <w:shd w:val="clear" w:color="auto" w:fill="auto"/>
            <w:noWrap/>
            <w:hideMark/>
          </w:tcPr>
          <w:p w14:paraId="79A2E70E"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13,769</w:t>
            </w:r>
          </w:p>
        </w:tc>
        <w:tc>
          <w:tcPr>
            <w:tcW w:w="1021" w:type="dxa"/>
            <w:tcBorders>
              <w:top w:val="nil"/>
              <w:left w:val="nil"/>
              <w:bottom w:val="nil"/>
              <w:right w:val="nil"/>
            </w:tcBorders>
            <w:shd w:val="clear" w:color="auto" w:fill="auto"/>
            <w:noWrap/>
            <w:hideMark/>
          </w:tcPr>
          <w:p w14:paraId="798708B5"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10,914</w:t>
            </w:r>
          </w:p>
        </w:tc>
        <w:tc>
          <w:tcPr>
            <w:tcW w:w="1022" w:type="dxa"/>
            <w:tcBorders>
              <w:top w:val="nil"/>
              <w:left w:val="nil"/>
              <w:bottom w:val="nil"/>
              <w:right w:val="nil"/>
            </w:tcBorders>
            <w:shd w:val="clear" w:color="auto" w:fill="auto"/>
            <w:noWrap/>
            <w:hideMark/>
          </w:tcPr>
          <w:p w14:paraId="4C65F513" w14:textId="77777777" w:rsidR="009E5017" w:rsidRPr="009E5017" w:rsidRDefault="009E5017" w:rsidP="009E5017">
            <w:pPr>
              <w:spacing w:after="0" w:line="240" w:lineRule="auto"/>
              <w:jc w:val="right"/>
              <w:rPr>
                <w:rFonts w:ascii="Arial Narrow" w:eastAsia="Times New Roman" w:hAnsi="Arial Narrow" w:cs="Arial"/>
                <w:sz w:val="16"/>
                <w:szCs w:val="16"/>
                <w:lang w:val="en-US"/>
              </w:rPr>
            </w:pPr>
            <w:r w:rsidRPr="009E5017">
              <w:rPr>
                <w:rFonts w:ascii="Arial Narrow" w:eastAsia="Times New Roman" w:hAnsi="Arial Narrow" w:cs="Arial"/>
                <w:sz w:val="16"/>
                <w:szCs w:val="16"/>
                <w:lang w:val="en-US"/>
              </w:rPr>
              <w:t>11,555</w:t>
            </w:r>
          </w:p>
        </w:tc>
      </w:tr>
      <w:tr w:rsidR="009E5017" w:rsidRPr="009E5017" w14:paraId="772E85A4" w14:textId="77777777" w:rsidTr="009E5017">
        <w:trPr>
          <w:divId w:val="1122336000"/>
          <w:trHeight w:val="243"/>
        </w:trPr>
        <w:tc>
          <w:tcPr>
            <w:tcW w:w="371" w:type="dxa"/>
            <w:tcBorders>
              <w:top w:val="single" w:sz="4" w:space="0" w:color="BFBFBF"/>
              <w:left w:val="nil"/>
              <w:bottom w:val="single" w:sz="8" w:space="0" w:color="C7CFD8"/>
              <w:right w:val="nil"/>
            </w:tcBorders>
            <w:shd w:val="clear" w:color="auto" w:fill="auto"/>
            <w:noWrap/>
            <w:vAlign w:val="center"/>
            <w:hideMark/>
          </w:tcPr>
          <w:p w14:paraId="514E50A9" w14:textId="77777777" w:rsidR="009E5017" w:rsidRPr="009E5017" w:rsidRDefault="009E5017" w:rsidP="009E5017">
            <w:pPr>
              <w:spacing w:after="0" w:line="240" w:lineRule="auto"/>
              <w:rPr>
                <w:rFonts w:ascii="Arial Narrow" w:eastAsia="Times New Roman" w:hAnsi="Arial Narrow" w:cs="Arial"/>
                <w:color w:val="005172"/>
                <w:sz w:val="16"/>
                <w:szCs w:val="16"/>
                <w:lang w:val="en-US"/>
              </w:rPr>
            </w:pPr>
            <w:r w:rsidRPr="009E5017">
              <w:rPr>
                <w:rFonts w:ascii="Arial Narrow" w:eastAsia="Times New Roman" w:hAnsi="Arial Narrow" w:cs="Arial"/>
                <w:color w:val="005172"/>
                <w:sz w:val="16"/>
                <w:szCs w:val="16"/>
                <w:lang w:val="en-US"/>
              </w:rPr>
              <w:t> </w:t>
            </w:r>
          </w:p>
        </w:tc>
        <w:tc>
          <w:tcPr>
            <w:tcW w:w="6089" w:type="dxa"/>
            <w:tcBorders>
              <w:top w:val="single" w:sz="4" w:space="0" w:color="BFBFBF"/>
              <w:left w:val="nil"/>
              <w:bottom w:val="single" w:sz="8" w:space="0" w:color="C7CFD8"/>
              <w:right w:val="nil"/>
            </w:tcBorders>
            <w:shd w:val="clear" w:color="auto" w:fill="auto"/>
            <w:noWrap/>
            <w:vAlign w:val="center"/>
            <w:hideMark/>
          </w:tcPr>
          <w:p w14:paraId="44794254" w14:textId="77777777" w:rsidR="009E5017" w:rsidRPr="009E5017" w:rsidRDefault="009E5017" w:rsidP="009E5017">
            <w:pPr>
              <w:spacing w:after="0" w:line="240" w:lineRule="auto"/>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Total</w:t>
            </w:r>
          </w:p>
        </w:tc>
        <w:tc>
          <w:tcPr>
            <w:tcW w:w="1021" w:type="dxa"/>
            <w:tcBorders>
              <w:top w:val="single" w:sz="4" w:space="0" w:color="BFBFBF"/>
              <w:left w:val="nil"/>
              <w:bottom w:val="single" w:sz="8" w:space="0" w:color="C7CFD8"/>
              <w:right w:val="nil"/>
            </w:tcBorders>
            <w:shd w:val="clear" w:color="auto" w:fill="auto"/>
            <w:noWrap/>
            <w:vAlign w:val="center"/>
            <w:hideMark/>
          </w:tcPr>
          <w:p w14:paraId="7AF26FAC" w14:textId="77777777" w:rsidR="009E5017" w:rsidRPr="009E5017" w:rsidRDefault="009E5017" w:rsidP="009E5017">
            <w:pPr>
              <w:spacing w:after="0" w:line="240" w:lineRule="auto"/>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50,771</w:t>
            </w:r>
          </w:p>
        </w:tc>
        <w:tc>
          <w:tcPr>
            <w:tcW w:w="1021" w:type="dxa"/>
            <w:tcBorders>
              <w:top w:val="single" w:sz="4" w:space="0" w:color="BFBFBF"/>
              <w:left w:val="nil"/>
              <w:bottom w:val="single" w:sz="8" w:space="0" w:color="C7CFD8"/>
              <w:right w:val="nil"/>
            </w:tcBorders>
            <w:shd w:val="clear" w:color="auto" w:fill="auto"/>
            <w:noWrap/>
            <w:vAlign w:val="center"/>
            <w:hideMark/>
          </w:tcPr>
          <w:p w14:paraId="41B30D8C" w14:textId="77777777" w:rsidR="009E5017" w:rsidRPr="009E5017" w:rsidRDefault="009E5017" w:rsidP="009E5017">
            <w:pPr>
              <w:spacing w:after="0" w:line="240" w:lineRule="auto"/>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43,975</w:t>
            </w:r>
          </w:p>
        </w:tc>
        <w:tc>
          <w:tcPr>
            <w:tcW w:w="1022" w:type="dxa"/>
            <w:tcBorders>
              <w:top w:val="single" w:sz="4" w:space="0" w:color="BFBFBF"/>
              <w:left w:val="nil"/>
              <w:bottom w:val="single" w:sz="8" w:space="0" w:color="C7CFD8"/>
              <w:right w:val="nil"/>
            </w:tcBorders>
            <w:shd w:val="clear" w:color="auto" w:fill="auto"/>
            <w:noWrap/>
            <w:vAlign w:val="center"/>
            <w:hideMark/>
          </w:tcPr>
          <w:p w14:paraId="0D1B9BA3" w14:textId="77777777" w:rsidR="009E5017" w:rsidRPr="009E5017" w:rsidRDefault="009E5017" w:rsidP="009E5017">
            <w:pPr>
              <w:spacing w:after="0" w:line="240" w:lineRule="auto"/>
              <w:jc w:val="right"/>
              <w:rPr>
                <w:rFonts w:ascii="Arial Narrow" w:eastAsia="Times New Roman" w:hAnsi="Arial Narrow" w:cs="Arial"/>
                <w:b/>
                <w:bCs/>
                <w:sz w:val="16"/>
                <w:szCs w:val="16"/>
                <w:lang w:val="en-US"/>
              </w:rPr>
            </w:pPr>
            <w:r w:rsidRPr="009E5017">
              <w:rPr>
                <w:rFonts w:ascii="Arial Narrow" w:eastAsia="Times New Roman" w:hAnsi="Arial Narrow" w:cs="Arial"/>
                <w:b/>
                <w:bCs/>
                <w:sz w:val="16"/>
                <w:szCs w:val="16"/>
                <w:lang w:val="en-US"/>
              </w:rPr>
              <w:t>45,374</w:t>
            </w:r>
          </w:p>
        </w:tc>
      </w:tr>
    </w:tbl>
    <w:p w14:paraId="16A92DEE" w14:textId="0FB2F2B7" w:rsidR="009E5017" w:rsidRDefault="009E5017"/>
    <w:p w14:paraId="26A2FA60" w14:textId="694FA9CE" w:rsidR="00A01421" w:rsidRDefault="00A01421">
      <w:r>
        <w:br w:type="page"/>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44491C" w:rsidRPr="00034525" w14:paraId="5C5A6CED" w14:textId="77777777" w:rsidTr="0044491C">
        <w:trPr>
          <w:trHeight w:val="80"/>
        </w:trPr>
        <w:tc>
          <w:tcPr>
            <w:tcW w:w="9540" w:type="dxa"/>
          </w:tcPr>
          <w:p w14:paraId="0527A10F" w14:textId="496AF0C1" w:rsidR="0044491C" w:rsidRPr="00034525" w:rsidRDefault="0044491C" w:rsidP="00EF3B0C">
            <w:pPr>
              <w:spacing w:after="60" w:line="240" w:lineRule="auto"/>
              <w:jc w:val="center"/>
              <w:rPr>
                <w:rFonts w:cs="Arial"/>
                <w:b/>
                <w:bCs/>
                <w:color w:val="005172"/>
                <w:sz w:val="16"/>
                <w:szCs w:val="16"/>
              </w:rPr>
            </w:pPr>
            <w:r w:rsidRPr="00E93EB0">
              <w:rPr>
                <w:rFonts w:eastAsia="SimHei" w:cs="Arial"/>
                <w:b/>
                <w:bCs/>
                <w:color w:val="005172"/>
                <w:szCs w:val="18"/>
                <w:lang w:val="en-US" w:eastAsia="zh-CN"/>
              </w:rPr>
              <w:t>IP and Innovation Ecosystems</w:t>
            </w:r>
            <w:r>
              <w:rPr>
                <w:rFonts w:eastAsia="SimHei" w:cs="Arial"/>
                <w:b/>
                <w:bCs/>
                <w:color w:val="005172"/>
                <w:szCs w:val="18"/>
                <w:lang w:val="en-US" w:eastAsia="zh-CN"/>
              </w:rPr>
              <w:t xml:space="preserve">: Resources </w:t>
            </w:r>
            <w:r w:rsidRPr="00034525">
              <w:rPr>
                <w:rFonts w:cs="Arial"/>
                <w:b/>
                <w:bCs/>
                <w:color w:val="005172"/>
                <w:szCs w:val="16"/>
              </w:rPr>
              <w:t>by Cost Category</w:t>
            </w:r>
          </w:p>
        </w:tc>
      </w:tr>
      <w:tr w:rsidR="0044491C" w:rsidRPr="00034525" w14:paraId="23CD0B1F" w14:textId="77777777" w:rsidTr="0044491C">
        <w:trPr>
          <w:trHeight w:val="15"/>
        </w:trPr>
        <w:tc>
          <w:tcPr>
            <w:tcW w:w="9540" w:type="dxa"/>
          </w:tcPr>
          <w:p w14:paraId="054ADB55" w14:textId="39E9292B" w:rsidR="0044491C" w:rsidRPr="00034525" w:rsidRDefault="0044491C"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4B5811AF" w14:textId="5C2B99AA" w:rsidR="00A8698F" w:rsidRDefault="00A8698F" w:rsidP="00A8698F">
      <w:pPr>
        <w:spacing w:after="0" w:line="276" w:lineRule="auto"/>
        <w:rPr>
          <w:rFonts w:asciiTheme="minorHAnsi" w:hAnsiTheme="minorHAnsi"/>
          <w:sz w:val="22"/>
        </w:rPr>
      </w:pPr>
    </w:p>
    <w:tbl>
      <w:tblPr>
        <w:tblW w:w="8740" w:type="dxa"/>
        <w:jc w:val="center"/>
        <w:tblLook w:val="04A0" w:firstRow="1" w:lastRow="0" w:firstColumn="1" w:lastColumn="0" w:noHBand="0" w:noVBand="1"/>
      </w:tblPr>
      <w:tblGrid>
        <w:gridCol w:w="253"/>
        <w:gridCol w:w="222"/>
        <w:gridCol w:w="2977"/>
        <w:gridCol w:w="253"/>
        <w:gridCol w:w="1060"/>
        <w:gridCol w:w="1180"/>
        <w:gridCol w:w="1180"/>
        <w:gridCol w:w="1060"/>
        <w:gridCol w:w="1060"/>
      </w:tblGrid>
      <w:tr w:rsidR="00A8698F" w:rsidRPr="00A8698F" w14:paraId="35A0A229" w14:textId="77777777" w:rsidTr="00A8698F">
        <w:trPr>
          <w:divId w:val="1921910206"/>
          <w:trHeight w:val="420"/>
          <w:jc w:val="center"/>
        </w:trPr>
        <w:tc>
          <w:tcPr>
            <w:tcW w:w="3200" w:type="dxa"/>
            <w:gridSpan w:val="4"/>
            <w:vMerge w:val="restart"/>
            <w:tcBorders>
              <w:top w:val="nil"/>
              <w:left w:val="nil"/>
              <w:bottom w:val="nil"/>
              <w:right w:val="nil"/>
            </w:tcBorders>
            <w:shd w:val="clear" w:color="000000" w:fill="C7CFD8"/>
            <w:hideMark/>
          </w:tcPr>
          <w:p w14:paraId="4718A2EC" w14:textId="250852AA"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1060" w:type="dxa"/>
            <w:vMerge w:val="restart"/>
            <w:tcBorders>
              <w:top w:val="nil"/>
              <w:left w:val="nil"/>
              <w:bottom w:val="nil"/>
              <w:right w:val="nil"/>
            </w:tcBorders>
            <w:shd w:val="clear" w:color="000000" w:fill="C7CFD8"/>
            <w:vAlign w:val="center"/>
            <w:hideMark/>
          </w:tcPr>
          <w:p w14:paraId="172F0750"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2024/25 </w:t>
            </w:r>
            <w:r w:rsidRPr="00A8698F">
              <w:rPr>
                <w:rFonts w:ascii="Arial Narrow" w:eastAsia="Times New Roman" w:hAnsi="Arial Narrow" w:cs="Times New Roman"/>
                <w:b/>
                <w:bCs/>
                <w:sz w:val="16"/>
                <w:szCs w:val="16"/>
                <w:lang w:val="en-US"/>
              </w:rPr>
              <w:br/>
              <w:t>Proposed</w:t>
            </w:r>
            <w:r w:rsidRPr="00A8698F">
              <w:rPr>
                <w:rFonts w:ascii="Arial Narrow" w:eastAsia="Times New Roman" w:hAnsi="Arial Narrow" w:cs="Times New Roman"/>
                <w:b/>
                <w:bCs/>
                <w:sz w:val="16"/>
                <w:szCs w:val="16"/>
                <w:lang w:val="en-US"/>
              </w:rPr>
              <w:br/>
              <w:t xml:space="preserve"> Budget </w:t>
            </w:r>
          </w:p>
        </w:tc>
        <w:tc>
          <w:tcPr>
            <w:tcW w:w="1180" w:type="dxa"/>
            <w:vMerge w:val="restart"/>
            <w:tcBorders>
              <w:top w:val="nil"/>
              <w:left w:val="nil"/>
              <w:bottom w:val="nil"/>
              <w:right w:val="nil"/>
            </w:tcBorders>
            <w:shd w:val="clear" w:color="000000" w:fill="C7CFD8"/>
            <w:vAlign w:val="center"/>
            <w:hideMark/>
          </w:tcPr>
          <w:p w14:paraId="023837CC"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2022/23</w:t>
            </w:r>
            <w:r w:rsidRPr="00A8698F">
              <w:rPr>
                <w:rFonts w:ascii="Arial Narrow" w:eastAsia="Times New Roman" w:hAnsi="Arial Narrow" w:cs="Times New Roman"/>
                <w:b/>
                <w:bCs/>
                <w:sz w:val="16"/>
                <w:szCs w:val="16"/>
                <w:lang w:val="en-US"/>
              </w:rPr>
              <w:br/>
              <w:t xml:space="preserve"> PoW&amp;B </w:t>
            </w:r>
          </w:p>
        </w:tc>
        <w:tc>
          <w:tcPr>
            <w:tcW w:w="1180" w:type="dxa"/>
            <w:vMerge w:val="restart"/>
            <w:tcBorders>
              <w:top w:val="nil"/>
              <w:left w:val="nil"/>
              <w:bottom w:val="nil"/>
              <w:right w:val="nil"/>
            </w:tcBorders>
            <w:shd w:val="clear" w:color="000000" w:fill="C7CFD8"/>
            <w:vAlign w:val="center"/>
            <w:hideMark/>
          </w:tcPr>
          <w:p w14:paraId="41C13545"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2022/23 </w:t>
            </w:r>
            <w:r w:rsidRPr="00A8698F">
              <w:rPr>
                <w:rFonts w:ascii="Arial Narrow" w:eastAsia="Times New Roman" w:hAnsi="Arial Narrow" w:cs="Times New Roman"/>
                <w:b/>
                <w:bCs/>
                <w:sz w:val="16"/>
                <w:szCs w:val="16"/>
                <w:lang w:val="en-US"/>
              </w:rPr>
              <w:br/>
              <w:t>Budget after</w:t>
            </w:r>
            <w:r w:rsidRPr="00A8698F">
              <w:rPr>
                <w:rFonts w:ascii="Arial Narrow" w:eastAsia="Times New Roman" w:hAnsi="Arial Narrow" w:cs="Times New Roman"/>
                <w:b/>
                <w:bCs/>
                <w:sz w:val="16"/>
                <w:szCs w:val="16"/>
                <w:lang w:val="en-US"/>
              </w:rPr>
              <w:br/>
              <w:t xml:space="preserve"> Transfers </w:t>
            </w:r>
          </w:p>
        </w:tc>
        <w:tc>
          <w:tcPr>
            <w:tcW w:w="2120" w:type="dxa"/>
            <w:gridSpan w:val="2"/>
            <w:tcBorders>
              <w:top w:val="nil"/>
              <w:left w:val="nil"/>
              <w:bottom w:val="single" w:sz="4" w:space="0" w:color="748B9E"/>
              <w:right w:val="nil"/>
            </w:tcBorders>
            <w:shd w:val="clear" w:color="000000" w:fill="C7CFD8"/>
            <w:vAlign w:val="center"/>
            <w:hideMark/>
          </w:tcPr>
          <w:p w14:paraId="2C257FB2"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2024/25 </w:t>
            </w:r>
            <w:r w:rsidRPr="00A8698F">
              <w:rPr>
                <w:rFonts w:ascii="Arial Narrow" w:eastAsia="Times New Roman" w:hAnsi="Arial Narrow" w:cs="Times New Roman"/>
                <w:b/>
                <w:bCs/>
                <w:sz w:val="16"/>
                <w:szCs w:val="16"/>
                <w:lang w:val="en-US"/>
              </w:rPr>
              <w:br/>
              <w:t xml:space="preserve">vs. 2022/23 PoW&amp;B </w:t>
            </w:r>
          </w:p>
        </w:tc>
      </w:tr>
      <w:tr w:rsidR="00A8698F" w:rsidRPr="00A8698F" w14:paraId="088D88E5" w14:textId="77777777" w:rsidTr="00A8698F">
        <w:trPr>
          <w:divId w:val="1921910206"/>
          <w:trHeight w:val="315"/>
          <w:jc w:val="center"/>
        </w:trPr>
        <w:tc>
          <w:tcPr>
            <w:tcW w:w="3200" w:type="dxa"/>
            <w:gridSpan w:val="4"/>
            <w:vMerge/>
            <w:tcBorders>
              <w:top w:val="nil"/>
              <w:left w:val="nil"/>
              <w:bottom w:val="nil"/>
              <w:right w:val="nil"/>
            </w:tcBorders>
            <w:vAlign w:val="center"/>
            <w:hideMark/>
          </w:tcPr>
          <w:p w14:paraId="6E79D835"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p>
        </w:tc>
        <w:tc>
          <w:tcPr>
            <w:tcW w:w="1060" w:type="dxa"/>
            <w:vMerge/>
            <w:tcBorders>
              <w:top w:val="nil"/>
              <w:left w:val="nil"/>
              <w:bottom w:val="nil"/>
              <w:right w:val="nil"/>
            </w:tcBorders>
            <w:vAlign w:val="center"/>
            <w:hideMark/>
          </w:tcPr>
          <w:p w14:paraId="536856E0"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64D99F52"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vMerge/>
            <w:tcBorders>
              <w:top w:val="nil"/>
              <w:left w:val="nil"/>
              <w:bottom w:val="nil"/>
              <w:right w:val="nil"/>
            </w:tcBorders>
            <w:vAlign w:val="center"/>
            <w:hideMark/>
          </w:tcPr>
          <w:p w14:paraId="0BC205BA"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2D626A7E" w14:textId="77777777" w:rsidR="00A8698F" w:rsidRPr="00A8698F" w:rsidRDefault="00A8698F" w:rsidP="00A8698F">
            <w:pPr>
              <w:spacing w:after="0" w:line="240" w:lineRule="auto"/>
              <w:ind w:firstLineChars="100" w:firstLine="160"/>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xml:space="preserve"> Amount </w:t>
            </w:r>
          </w:p>
        </w:tc>
        <w:tc>
          <w:tcPr>
            <w:tcW w:w="1060" w:type="dxa"/>
            <w:tcBorders>
              <w:top w:val="nil"/>
              <w:left w:val="nil"/>
              <w:bottom w:val="nil"/>
              <w:right w:val="nil"/>
            </w:tcBorders>
            <w:shd w:val="clear" w:color="000000" w:fill="C7CFD8"/>
            <w:vAlign w:val="center"/>
            <w:hideMark/>
          </w:tcPr>
          <w:p w14:paraId="339C26E9" w14:textId="77777777" w:rsidR="00A8698F" w:rsidRPr="00A8698F" w:rsidRDefault="00A8698F" w:rsidP="00A8698F">
            <w:pPr>
              <w:spacing w:after="0" w:line="240" w:lineRule="auto"/>
              <w:ind w:firstLineChars="200" w:firstLine="320"/>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w:t>
            </w:r>
          </w:p>
        </w:tc>
      </w:tr>
      <w:tr w:rsidR="00A8698F" w:rsidRPr="00A8698F" w14:paraId="51A5AB81" w14:textId="77777777" w:rsidTr="008A121C">
        <w:trPr>
          <w:divId w:val="1921910206"/>
          <w:trHeight w:hRule="exact" w:val="216"/>
          <w:jc w:val="center"/>
        </w:trPr>
        <w:tc>
          <w:tcPr>
            <w:tcW w:w="3200" w:type="dxa"/>
            <w:gridSpan w:val="4"/>
            <w:tcBorders>
              <w:top w:val="nil"/>
              <w:left w:val="nil"/>
              <w:bottom w:val="nil"/>
              <w:right w:val="nil"/>
            </w:tcBorders>
            <w:shd w:val="clear" w:color="auto" w:fill="auto"/>
            <w:noWrap/>
            <w:hideMark/>
          </w:tcPr>
          <w:p w14:paraId="38C98146"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r w:rsidRPr="00A8698F">
              <w:rPr>
                <w:rFonts w:ascii="Arial Narrow" w:eastAsia="Times New Roman" w:hAnsi="Arial Narrow" w:cs="Times New Roman"/>
                <w:b/>
                <w:bCs/>
                <w:color w:val="005172"/>
                <w:sz w:val="16"/>
                <w:szCs w:val="16"/>
                <w:lang w:val="en-US"/>
              </w:rPr>
              <w:t>A. Personnel Resources</w:t>
            </w:r>
          </w:p>
        </w:tc>
        <w:tc>
          <w:tcPr>
            <w:tcW w:w="1060" w:type="dxa"/>
            <w:tcBorders>
              <w:top w:val="nil"/>
              <w:left w:val="nil"/>
              <w:bottom w:val="nil"/>
              <w:right w:val="nil"/>
            </w:tcBorders>
            <w:shd w:val="clear" w:color="auto" w:fill="auto"/>
            <w:noWrap/>
            <w:hideMark/>
          </w:tcPr>
          <w:p w14:paraId="25712A3B"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016DDE12"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6EED1AB3"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9262DC8"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8B70E1F"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r>
      <w:tr w:rsidR="00A8698F" w:rsidRPr="00A8698F" w14:paraId="6C7E1569"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5BB15173"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3C8E7D99"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17521BC"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Posts</w:t>
            </w:r>
          </w:p>
        </w:tc>
        <w:tc>
          <w:tcPr>
            <w:tcW w:w="103" w:type="dxa"/>
            <w:tcBorders>
              <w:top w:val="nil"/>
              <w:left w:val="nil"/>
              <w:bottom w:val="nil"/>
              <w:right w:val="nil"/>
            </w:tcBorders>
            <w:shd w:val="clear" w:color="auto" w:fill="auto"/>
            <w:noWrap/>
            <w:hideMark/>
          </w:tcPr>
          <w:p w14:paraId="459C0A41"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E423B1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34,699</w:t>
            </w:r>
          </w:p>
        </w:tc>
        <w:tc>
          <w:tcPr>
            <w:tcW w:w="1180" w:type="dxa"/>
            <w:tcBorders>
              <w:top w:val="nil"/>
              <w:left w:val="nil"/>
              <w:bottom w:val="nil"/>
              <w:right w:val="nil"/>
            </w:tcBorders>
            <w:shd w:val="clear" w:color="auto" w:fill="auto"/>
            <w:noWrap/>
            <w:hideMark/>
          </w:tcPr>
          <w:p w14:paraId="1DE225F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30,345</w:t>
            </w:r>
          </w:p>
        </w:tc>
        <w:tc>
          <w:tcPr>
            <w:tcW w:w="1180" w:type="dxa"/>
            <w:tcBorders>
              <w:top w:val="nil"/>
              <w:left w:val="nil"/>
              <w:bottom w:val="nil"/>
              <w:right w:val="nil"/>
            </w:tcBorders>
            <w:shd w:val="clear" w:color="auto" w:fill="auto"/>
            <w:noWrap/>
            <w:hideMark/>
          </w:tcPr>
          <w:p w14:paraId="07D7668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30,290</w:t>
            </w:r>
          </w:p>
        </w:tc>
        <w:tc>
          <w:tcPr>
            <w:tcW w:w="1060" w:type="dxa"/>
            <w:tcBorders>
              <w:top w:val="nil"/>
              <w:left w:val="nil"/>
              <w:bottom w:val="nil"/>
              <w:right w:val="nil"/>
            </w:tcBorders>
            <w:shd w:val="clear" w:color="auto" w:fill="auto"/>
            <w:noWrap/>
            <w:hideMark/>
          </w:tcPr>
          <w:p w14:paraId="6D85DF5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4,354</w:t>
            </w:r>
          </w:p>
        </w:tc>
        <w:tc>
          <w:tcPr>
            <w:tcW w:w="1060" w:type="dxa"/>
            <w:tcBorders>
              <w:top w:val="nil"/>
              <w:left w:val="nil"/>
              <w:bottom w:val="nil"/>
              <w:right w:val="nil"/>
            </w:tcBorders>
            <w:shd w:val="clear" w:color="auto" w:fill="auto"/>
            <w:noWrap/>
            <w:hideMark/>
          </w:tcPr>
          <w:p w14:paraId="43D5648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w:t>
            </w:r>
          </w:p>
        </w:tc>
      </w:tr>
      <w:tr w:rsidR="00A8698F" w:rsidRPr="00A8698F" w14:paraId="75565878"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3C0847D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4B8F61F"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6C6D621"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Temporary Staff</w:t>
            </w:r>
          </w:p>
        </w:tc>
        <w:tc>
          <w:tcPr>
            <w:tcW w:w="103" w:type="dxa"/>
            <w:tcBorders>
              <w:top w:val="nil"/>
              <w:left w:val="nil"/>
              <w:bottom w:val="nil"/>
              <w:right w:val="nil"/>
            </w:tcBorders>
            <w:shd w:val="clear" w:color="auto" w:fill="auto"/>
            <w:noWrap/>
            <w:hideMark/>
          </w:tcPr>
          <w:p w14:paraId="7511AC2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205E07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2,953</w:t>
            </w:r>
          </w:p>
        </w:tc>
        <w:tc>
          <w:tcPr>
            <w:tcW w:w="1180" w:type="dxa"/>
            <w:tcBorders>
              <w:top w:val="nil"/>
              <w:left w:val="nil"/>
              <w:bottom w:val="nil"/>
              <w:right w:val="nil"/>
            </w:tcBorders>
            <w:shd w:val="clear" w:color="auto" w:fill="auto"/>
            <w:noWrap/>
            <w:hideMark/>
          </w:tcPr>
          <w:p w14:paraId="7680BA3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2,087</w:t>
            </w:r>
          </w:p>
        </w:tc>
        <w:tc>
          <w:tcPr>
            <w:tcW w:w="1180" w:type="dxa"/>
            <w:tcBorders>
              <w:top w:val="nil"/>
              <w:left w:val="nil"/>
              <w:bottom w:val="nil"/>
              <w:right w:val="nil"/>
            </w:tcBorders>
            <w:shd w:val="clear" w:color="auto" w:fill="auto"/>
            <w:noWrap/>
            <w:hideMark/>
          </w:tcPr>
          <w:p w14:paraId="4376099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2,931</w:t>
            </w:r>
          </w:p>
        </w:tc>
        <w:tc>
          <w:tcPr>
            <w:tcW w:w="1060" w:type="dxa"/>
            <w:tcBorders>
              <w:top w:val="nil"/>
              <w:left w:val="nil"/>
              <w:bottom w:val="nil"/>
              <w:right w:val="nil"/>
            </w:tcBorders>
            <w:shd w:val="clear" w:color="auto" w:fill="auto"/>
            <w:noWrap/>
            <w:hideMark/>
          </w:tcPr>
          <w:p w14:paraId="225B6FE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866</w:t>
            </w:r>
          </w:p>
        </w:tc>
        <w:tc>
          <w:tcPr>
            <w:tcW w:w="1060" w:type="dxa"/>
            <w:tcBorders>
              <w:top w:val="nil"/>
              <w:left w:val="nil"/>
              <w:bottom w:val="nil"/>
              <w:right w:val="nil"/>
            </w:tcBorders>
            <w:shd w:val="clear" w:color="auto" w:fill="auto"/>
            <w:noWrap/>
            <w:hideMark/>
          </w:tcPr>
          <w:p w14:paraId="28E1B12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41%</w:t>
            </w:r>
          </w:p>
        </w:tc>
      </w:tr>
      <w:tr w:rsidR="00A8698F" w:rsidRPr="00A8698F" w14:paraId="4D4BD416"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0C8CE6F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48620E6"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8A8D8BD"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Other Staff Costs</w:t>
            </w:r>
          </w:p>
        </w:tc>
        <w:tc>
          <w:tcPr>
            <w:tcW w:w="103" w:type="dxa"/>
            <w:tcBorders>
              <w:top w:val="nil"/>
              <w:left w:val="nil"/>
              <w:bottom w:val="nil"/>
              <w:right w:val="nil"/>
            </w:tcBorders>
            <w:shd w:val="clear" w:color="auto" w:fill="auto"/>
            <w:noWrap/>
            <w:hideMark/>
          </w:tcPr>
          <w:p w14:paraId="008FCBEA"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278E903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233FA7B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5C12B22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54492BA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61C0DD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n/a</w:t>
            </w:r>
          </w:p>
        </w:tc>
      </w:tr>
      <w:tr w:rsidR="00A8698F" w:rsidRPr="00A8698F" w14:paraId="4E5A4EFE" w14:textId="77777777" w:rsidTr="008A121C">
        <w:trPr>
          <w:divId w:val="1921910206"/>
          <w:trHeight w:hRule="exact" w:val="216"/>
          <w:jc w:val="center"/>
        </w:trPr>
        <w:tc>
          <w:tcPr>
            <w:tcW w:w="103" w:type="dxa"/>
            <w:tcBorders>
              <w:top w:val="single" w:sz="4" w:space="0" w:color="C7CFD8"/>
              <w:left w:val="nil"/>
              <w:bottom w:val="single" w:sz="8" w:space="0" w:color="C7CFD8"/>
              <w:right w:val="nil"/>
            </w:tcBorders>
            <w:shd w:val="clear" w:color="auto" w:fill="auto"/>
            <w:noWrap/>
            <w:hideMark/>
          </w:tcPr>
          <w:p w14:paraId="711427CE"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2D48058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 A</w:t>
            </w:r>
          </w:p>
        </w:tc>
        <w:tc>
          <w:tcPr>
            <w:tcW w:w="103" w:type="dxa"/>
            <w:tcBorders>
              <w:top w:val="single" w:sz="4" w:space="0" w:color="C7CFD8"/>
              <w:left w:val="nil"/>
              <w:bottom w:val="single" w:sz="8" w:space="0" w:color="C7CFD8"/>
              <w:right w:val="nil"/>
            </w:tcBorders>
            <w:shd w:val="clear" w:color="auto" w:fill="auto"/>
            <w:noWrap/>
            <w:hideMark/>
          </w:tcPr>
          <w:p w14:paraId="3F097B24"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060" w:type="dxa"/>
            <w:tcBorders>
              <w:top w:val="single" w:sz="4" w:space="0" w:color="C7CFD8"/>
              <w:left w:val="nil"/>
              <w:bottom w:val="single" w:sz="8" w:space="0" w:color="C7CFD8"/>
              <w:right w:val="nil"/>
            </w:tcBorders>
            <w:shd w:val="clear" w:color="auto" w:fill="auto"/>
            <w:noWrap/>
            <w:vAlign w:val="center"/>
            <w:hideMark/>
          </w:tcPr>
          <w:p w14:paraId="69C5DF27"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37,652</w:t>
            </w:r>
          </w:p>
        </w:tc>
        <w:tc>
          <w:tcPr>
            <w:tcW w:w="1180" w:type="dxa"/>
            <w:tcBorders>
              <w:top w:val="single" w:sz="4" w:space="0" w:color="C7CFD8"/>
              <w:left w:val="nil"/>
              <w:bottom w:val="single" w:sz="8" w:space="0" w:color="C7CFD8"/>
              <w:right w:val="nil"/>
            </w:tcBorders>
            <w:shd w:val="clear" w:color="auto" w:fill="auto"/>
            <w:noWrap/>
            <w:vAlign w:val="center"/>
            <w:hideMark/>
          </w:tcPr>
          <w:p w14:paraId="670EDB85"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32,432</w:t>
            </w:r>
          </w:p>
        </w:tc>
        <w:tc>
          <w:tcPr>
            <w:tcW w:w="1180" w:type="dxa"/>
            <w:tcBorders>
              <w:top w:val="single" w:sz="4" w:space="0" w:color="C7CFD8"/>
              <w:left w:val="nil"/>
              <w:bottom w:val="single" w:sz="8" w:space="0" w:color="C7CFD8"/>
              <w:right w:val="nil"/>
            </w:tcBorders>
            <w:shd w:val="clear" w:color="auto" w:fill="auto"/>
            <w:noWrap/>
            <w:vAlign w:val="center"/>
            <w:hideMark/>
          </w:tcPr>
          <w:p w14:paraId="40085CE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33,221</w:t>
            </w:r>
          </w:p>
        </w:tc>
        <w:tc>
          <w:tcPr>
            <w:tcW w:w="1060" w:type="dxa"/>
            <w:tcBorders>
              <w:top w:val="single" w:sz="4" w:space="0" w:color="C7CFD8"/>
              <w:left w:val="nil"/>
              <w:bottom w:val="single" w:sz="8" w:space="0" w:color="C7CFD8"/>
              <w:right w:val="nil"/>
            </w:tcBorders>
            <w:shd w:val="clear" w:color="auto" w:fill="auto"/>
            <w:noWrap/>
            <w:vAlign w:val="center"/>
            <w:hideMark/>
          </w:tcPr>
          <w:p w14:paraId="1BE1C13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5,220</w:t>
            </w:r>
          </w:p>
        </w:tc>
        <w:tc>
          <w:tcPr>
            <w:tcW w:w="1060" w:type="dxa"/>
            <w:tcBorders>
              <w:top w:val="single" w:sz="4" w:space="0" w:color="C7CFD8"/>
              <w:left w:val="nil"/>
              <w:bottom w:val="single" w:sz="8" w:space="0" w:color="C7CFD8"/>
              <w:right w:val="nil"/>
            </w:tcBorders>
            <w:shd w:val="clear" w:color="auto" w:fill="auto"/>
            <w:noWrap/>
            <w:vAlign w:val="center"/>
            <w:hideMark/>
          </w:tcPr>
          <w:p w14:paraId="3EBF5CD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16%</w:t>
            </w:r>
          </w:p>
        </w:tc>
      </w:tr>
      <w:tr w:rsidR="00A8698F" w:rsidRPr="00A8698F" w14:paraId="36E8EF4A" w14:textId="77777777" w:rsidTr="008A121C">
        <w:trPr>
          <w:divId w:val="1921910206"/>
          <w:trHeight w:hRule="exact" w:val="216"/>
          <w:jc w:val="center"/>
        </w:trPr>
        <w:tc>
          <w:tcPr>
            <w:tcW w:w="3200" w:type="dxa"/>
            <w:gridSpan w:val="4"/>
            <w:tcBorders>
              <w:top w:val="nil"/>
              <w:left w:val="nil"/>
              <w:bottom w:val="nil"/>
              <w:right w:val="nil"/>
            </w:tcBorders>
            <w:shd w:val="clear" w:color="auto" w:fill="auto"/>
            <w:noWrap/>
            <w:hideMark/>
          </w:tcPr>
          <w:p w14:paraId="799555C3"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r w:rsidRPr="00A8698F">
              <w:rPr>
                <w:rFonts w:ascii="Arial Narrow" w:eastAsia="Times New Roman" w:hAnsi="Arial Narrow" w:cs="Times New Roman"/>
                <w:b/>
                <w:bCs/>
                <w:color w:val="005172"/>
                <w:sz w:val="16"/>
                <w:szCs w:val="16"/>
                <w:lang w:val="en-US"/>
              </w:rPr>
              <w:t>B. Non-personnel Resources</w:t>
            </w:r>
          </w:p>
        </w:tc>
        <w:tc>
          <w:tcPr>
            <w:tcW w:w="1060" w:type="dxa"/>
            <w:tcBorders>
              <w:top w:val="nil"/>
              <w:left w:val="nil"/>
              <w:bottom w:val="nil"/>
              <w:right w:val="nil"/>
            </w:tcBorders>
            <w:shd w:val="clear" w:color="auto" w:fill="auto"/>
            <w:noWrap/>
            <w:hideMark/>
          </w:tcPr>
          <w:p w14:paraId="710824D4" w14:textId="77777777" w:rsidR="00A8698F" w:rsidRPr="00A8698F" w:rsidRDefault="00A8698F" w:rsidP="00A8698F">
            <w:pPr>
              <w:spacing w:after="0" w:line="240" w:lineRule="auto"/>
              <w:rPr>
                <w:rFonts w:ascii="Arial Narrow" w:eastAsia="Times New Roman" w:hAnsi="Arial Narrow" w:cs="Times New Roman"/>
                <w:b/>
                <w:bCs/>
                <w:color w:val="005172"/>
                <w:sz w:val="16"/>
                <w:szCs w:val="16"/>
                <w:lang w:val="en-US"/>
              </w:rPr>
            </w:pPr>
          </w:p>
        </w:tc>
        <w:tc>
          <w:tcPr>
            <w:tcW w:w="1180" w:type="dxa"/>
            <w:tcBorders>
              <w:top w:val="nil"/>
              <w:left w:val="nil"/>
              <w:bottom w:val="nil"/>
              <w:right w:val="nil"/>
            </w:tcBorders>
            <w:shd w:val="clear" w:color="auto" w:fill="auto"/>
            <w:noWrap/>
            <w:hideMark/>
          </w:tcPr>
          <w:p w14:paraId="6079D71E"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D3E8EB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3F5BCC7"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557DDE9"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73DB1EF5"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2130B3D7"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97" w:type="dxa"/>
            <w:gridSpan w:val="3"/>
            <w:tcBorders>
              <w:top w:val="nil"/>
              <w:left w:val="nil"/>
              <w:bottom w:val="nil"/>
              <w:right w:val="nil"/>
            </w:tcBorders>
            <w:shd w:val="clear" w:color="auto" w:fill="auto"/>
            <w:noWrap/>
            <w:hideMark/>
          </w:tcPr>
          <w:p w14:paraId="646FFD4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Internships and WIPO Fellowships</w:t>
            </w:r>
          </w:p>
        </w:tc>
        <w:tc>
          <w:tcPr>
            <w:tcW w:w="1060" w:type="dxa"/>
            <w:tcBorders>
              <w:top w:val="nil"/>
              <w:left w:val="nil"/>
              <w:bottom w:val="nil"/>
              <w:right w:val="nil"/>
            </w:tcBorders>
            <w:shd w:val="clear" w:color="auto" w:fill="auto"/>
            <w:noWrap/>
            <w:hideMark/>
          </w:tcPr>
          <w:p w14:paraId="37551D4F"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57522B3A"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6512D82"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734B9B1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368A5491"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658F0BD0"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383F8681"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817D31C"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50AC79E"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Internships</w:t>
            </w:r>
          </w:p>
        </w:tc>
        <w:tc>
          <w:tcPr>
            <w:tcW w:w="103" w:type="dxa"/>
            <w:tcBorders>
              <w:top w:val="nil"/>
              <w:left w:val="nil"/>
              <w:bottom w:val="nil"/>
              <w:right w:val="nil"/>
            </w:tcBorders>
            <w:shd w:val="clear" w:color="auto" w:fill="auto"/>
            <w:noWrap/>
            <w:hideMark/>
          </w:tcPr>
          <w:p w14:paraId="4998C85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54AD0E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53</w:t>
            </w:r>
          </w:p>
        </w:tc>
        <w:tc>
          <w:tcPr>
            <w:tcW w:w="1180" w:type="dxa"/>
            <w:tcBorders>
              <w:top w:val="nil"/>
              <w:left w:val="nil"/>
              <w:bottom w:val="nil"/>
              <w:right w:val="nil"/>
            </w:tcBorders>
            <w:shd w:val="clear" w:color="auto" w:fill="auto"/>
            <w:noWrap/>
            <w:hideMark/>
          </w:tcPr>
          <w:p w14:paraId="223D0E3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52</w:t>
            </w:r>
          </w:p>
        </w:tc>
        <w:tc>
          <w:tcPr>
            <w:tcW w:w="1180" w:type="dxa"/>
            <w:tcBorders>
              <w:top w:val="nil"/>
              <w:left w:val="nil"/>
              <w:bottom w:val="nil"/>
              <w:right w:val="nil"/>
            </w:tcBorders>
            <w:shd w:val="clear" w:color="auto" w:fill="auto"/>
            <w:noWrap/>
            <w:hideMark/>
          </w:tcPr>
          <w:p w14:paraId="1B56A40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w:t>
            </w:r>
          </w:p>
        </w:tc>
        <w:tc>
          <w:tcPr>
            <w:tcW w:w="1060" w:type="dxa"/>
            <w:tcBorders>
              <w:top w:val="nil"/>
              <w:left w:val="nil"/>
              <w:bottom w:val="nil"/>
              <w:right w:val="nil"/>
            </w:tcBorders>
            <w:shd w:val="clear" w:color="auto" w:fill="auto"/>
            <w:noWrap/>
            <w:hideMark/>
          </w:tcPr>
          <w:p w14:paraId="65DF70C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w:t>
            </w:r>
          </w:p>
        </w:tc>
        <w:tc>
          <w:tcPr>
            <w:tcW w:w="1060" w:type="dxa"/>
            <w:tcBorders>
              <w:top w:val="nil"/>
              <w:left w:val="nil"/>
              <w:bottom w:val="nil"/>
              <w:right w:val="nil"/>
            </w:tcBorders>
            <w:shd w:val="clear" w:color="auto" w:fill="auto"/>
            <w:noWrap/>
            <w:hideMark/>
          </w:tcPr>
          <w:p w14:paraId="47F6E3D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w:t>
            </w:r>
          </w:p>
        </w:tc>
      </w:tr>
      <w:tr w:rsidR="00A8698F" w:rsidRPr="00A8698F" w14:paraId="58398BD6"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3BC5159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2D8F77A"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89AC5B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WIPO Fellowships</w:t>
            </w:r>
          </w:p>
        </w:tc>
        <w:tc>
          <w:tcPr>
            <w:tcW w:w="103" w:type="dxa"/>
            <w:tcBorders>
              <w:top w:val="nil"/>
              <w:left w:val="nil"/>
              <w:bottom w:val="nil"/>
              <w:right w:val="nil"/>
            </w:tcBorders>
            <w:shd w:val="clear" w:color="auto" w:fill="auto"/>
            <w:noWrap/>
            <w:hideMark/>
          </w:tcPr>
          <w:p w14:paraId="549F880B"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732FF4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5,188</w:t>
            </w:r>
          </w:p>
        </w:tc>
        <w:tc>
          <w:tcPr>
            <w:tcW w:w="1180" w:type="dxa"/>
            <w:tcBorders>
              <w:top w:val="nil"/>
              <w:left w:val="nil"/>
              <w:bottom w:val="nil"/>
              <w:right w:val="nil"/>
            </w:tcBorders>
            <w:shd w:val="clear" w:color="auto" w:fill="auto"/>
            <w:noWrap/>
            <w:hideMark/>
          </w:tcPr>
          <w:p w14:paraId="4A7885E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4,301</w:t>
            </w:r>
          </w:p>
        </w:tc>
        <w:tc>
          <w:tcPr>
            <w:tcW w:w="1180" w:type="dxa"/>
            <w:tcBorders>
              <w:top w:val="nil"/>
              <w:left w:val="nil"/>
              <w:bottom w:val="nil"/>
              <w:right w:val="nil"/>
            </w:tcBorders>
            <w:shd w:val="clear" w:color="auto" w:fill="auto"/>
            <w:noWrap/>
            <w:hideMark/>
          </w:tcPr>
          <w:p w14:paraId="0CB709A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4,969</w:t>
            </w:r>
          </w:p>
        </w:tc>
        <w:tc>
          <w:tcPr>
            <w:tcW w:w="1060" w:type="dxa"/>
            <w:tcBorders>
              <w:top w:val="nil"/>
              <w:left w:val="nil"/>
              <w:bottom w:val="nil"/>
              <w:right w:val="nil"/>
            </w:tcBorders>
            <w:shd w:val="clear" w:color="auto" w:fill="auto"/>
            <w:noWrap/>
            <w:hideMark/>
          </w:tcPr>
          <w:p w14:paraId="64FB023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887</w:t>
            </w:r>
          </w:p>
        </w:tc>
        <w:tc>
          <w:tcPr>
            <w:tcW w:w="1060" w:type="dxa"/>
            <w:tcBorders>
              <w:top w:val="nil"/>
              <w:left w:val="nil"/>
              <w:bottom w:val="nil"/>
              <w:right w:val="nil"/>
            </w:tcBorders>
            <w:shd w:val="clear" w:color="auto" w:fill="auto"/>
            <w:noWrap/>
            <w:hideMark/>
          </w:tcPr>
          <w:p w14:paraId="0C9200E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21%</w:t>
            </w:r>
          </w:p>
        </w:tc>
      </w:tr>
      <w:tr w:rsidR="00A8698F" w:rsidRPr="00A8698F" w14:paraId="14390DD1"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32B67C7D"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DD2A8E5"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35A618BB"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400F98F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5,241</w:t>
            </w:r>
          </w:p>
        </w:tc>
        <w:tc>
          <w:tcPr>
            <w:tcW w:w="1180" w:type="dxa"/>
            <w:tcBorders>
              <w:top w:val="nil"/>
              <w:left w:val="nil"/>
              <w:bottom w:val="single" w:sz="4" w:space="0" w:color="C7CFD8"/>
              <w:right w:val="nil"/>
            </w:tcBorders>
            <w:shd w:val="clear" w:color="auto" w:fill="auto"/>
            <w:noWrap/>
            <w:hideMark/>
          </w:tcPr>
          <w:p w14:paraId="316C568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4,353</w:t>
            </w:r>
          </w:p>
        </w:tc>
        <w:tc>
          <w:tcPr>
            <w:tcW w:w="1180" w:type="dxa"/>
            <w:tcBorders>
              <w:top w:val="nil"/>
              <w:left w:val="nil"/>
              <w:bottom w:val="single" w:sz="4" w:space="0" w:color="C7CFD8"/>
              <w:right w:val="nil"/>
            </w:tcBorders>
            <w:shd w:val="clear" w:color="auto" w:fill="auto"/>
            <w:noWrap/>
            <w:hideMark/>
          </w:tcPr>
          <w:p w14:paraId="2440839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4,974</w:t>
            </w:r>
          </w:p>
        </w:tc>
        <w:tc>
          <w:tcPr>
            <w:tcW w:w="1060" w:type="dxa"/>
            <w:tcBorders>
              <w:top w:val="nil"/>
              <w:left w:val="nil"/>
              <w:bottom w:val="single" w:sz="4" w:space="0" w:color="C7CFD8"/>
              <w:right w:val="nil"/>
            </w:tcBorders>
            <w:shd w:val="clear" w:color="auto" w:fill="auto"/>
            <w:noWrap/>
            <w:hideMark/>
          </w:tcPr>
          <w:p w14:paraId="5A04E5B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888</w:t>
            </w:r>
          </w:p>
        </w:tc>
        <w:tc>
          <w:tcPr>
            <w:tcW w:w="1060" w:type="dxa"/>
            <w:tcBorders>
              <w:top w:val="nil"/>
              <w:left w:val="nil"/>
              <w:bottom w:val="single" w:sz="4" w:space="0" w:color="C7CFD8"/>
              <w:right w:val="nil"/>
            </w:tcBorders>
            <w:shd w:val="clear" w:color="auto" w:fill="auto"/>
            <w:noWrap/>
            <w:hideMark/>
          </w:tcPr>
          <w:p w14:paraId="08ED574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w:t>
            </w:r>
          </w:p>
        </w:tc>
      </w:tr>
      <w:tr w:rsidR="00A8698F" w:rsidRPr="00A8698F" w14:paraId="75766C3C"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6BD3BD0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3508896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Travel, Training and Grants</w:t>
            </w:r>
          </w:p>
        </w:tc>
        <w:tc>
          <w:tcPr>
            <w:tcW w:w="1060" w:type="dxa"/>
            <w:tcBorders>
              <w:top w:val="nil"/>
              <w:left w:val="nil"/>
              <w:bottom w:val="nil"/>
              <w:right w:val="nil"/>
            </w:tcBorders>
            <w:shd w:val="clear" w:color="auto" w:fill="auto"/>
            <w:noWrap/>
            <w:hideMark/>
          </w:tcPr>
          <w:p w14:paraId="238CA4B7"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597C7F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ADF0D2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2A082A0C"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641CD87"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1AD5EDEC"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5B2342D7"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72C8147C"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00C6C5D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Staff Missions</w:t>
            </w:r>
          </w:p>
        </w:tc>
        <w:tc>
          <w:tcPr>
            <w:tcW w:w="103" w:type="dxa"/>
            <w:tcBorders>
              <w:top w:val="nil"/>
              <w:left w:val="nil"/>
              <w:bottom w:val="nil"/>
              <w:right w:val="nil"/>
            </w:tcBorders>
            <w:shd w:val="clear" w:color="auto" w:fill="auto"/>
            <w:noWrap/>
            <w:hideMark/>
          </w:tcPr>
          <w:p w14:paraId="64A0BF6A"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5DC3E7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911</w:t>
            </w:r>
          </w:p>
        </w:tc>
        <w:tc>
          <w:tcPr>
            <w:tcW w:w="1180" w:type="dxa"/>
            <w:tcBorders>
              <w:top w:val="nil"/>
              <w:left w:val="nil"/>
              <w:bottom w:val="nil"/>
              <w:right w:val="nil"/>
            </w:tcBorders>
            <w:shd w:val="clear" w:color="auto" w:fill="auto"/>
            <w:noWrap/>
            <w:hideMark/>
          </w:tcPr>
          <w:p w14:paraId="6D5460C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875</w:t>
            </w:r>
          </w:p>
        </w:tc>
        <w:tc>
          <w:tcPr>
            <w:tcW w:w="1180" w:type="dxa"/>
            <w:tcBorders>
              <w:top w:val="nil"/>
              <w:left w:val="nil"/>
              <w:bottom w:val="nil"/>
              <w:right w:val="nil"/>
            </w:tcBorders>
            <w:shd w:val="clear" w:color="auto" w:fill="auto"/>
            <w:noWrap/>
            <w:hideMark/>
          </w:tcPr>
          <w:p w14:paraId="5912539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644</w:t>
            </w:r>
          </w:p>
        </w:tc>
        <w:tc>
          <w:tcPr>
            <w:tcW w:w="1060" w:type="dxa"/>
            <w:tcBorders>
              <w:top w:val="nil"/>
              <w:left w:val="nil"/>
              <w:bottom w:val="nil"/>
              <w:right w:val="nil"/>
            </w:tcBorders>
            <w:shd w:val="clear" w:color="auto" w:fill="auto"/>
            <w:noWrap/>
            <w:hideMark/>
          </w:tcPr>
          <w:p w14:paraId="2F1DADD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36</w:t>
            </w:r>
          </w:p>
        </w:tc>
        <w:tc>
          <w:tcPr>
            <w:tcW w:w="1060" w:type="dxa"/>
            <w:tcBorders>
              <w:top w:val="nil"/>
              <w:left w:val="nil"/>
              <w:bottom w:val="nil"/>
              <w:right w:val="nil"/>
            </w:tcBorders>
            <w:shd w:val="clear" w:color="auto" w:fill="auto"/>
            <w:noWrap/>
            <w:hideMark/>
          </w:tcPr>
          <w:p w14:paraId="20A2A66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w:t>
            </w:r>
          </w:p>
        </w:tc>
      </w:tr>
      <w:tr w:rsidR="00A8698F" w:rsidRPr="00A8698F" w14:paraId="7C1D3906"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1C1534E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49C38CB"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283BB5A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Third-party Travel</w:t>
            </w:r>
          </w:p>
        </w:tc>
        <w:tc>
          <w:tcPr>
            <w:tcW w:w="103" w:type="dxa"/>
            <w:tcBorders>
              <w:top w:val="nil"/>
              <w:left w:val="nil"/>
              <w:bottom w:val="nil"/>
              <w:right w:val="nil"/>
            </w:tcBorders>
            <w:shd w:val="clear" w:color="auto" w:fill="auto"/>
            <w:noWrap/>
            <w:hideMark/>
          </w:tcPr>
          <w:p w14:paraId="15B40BA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372FCC8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885</w:t>
            </w:r>
          </w:p>
        </w:tc>
        <w:tc>
          <w:tcPr>
            <w:tcW w:w="1180" w:type="dxa"/>
            <w:tcBorders>
              <w:top w:val="nil"/>
              <w:left w:val="nil"/>
              <w:bottom w:val="nil"/>
              <w:right w:val="nil"/>
            </w:tcBorders>
            <w:shd w:val="clear" w:color="auto" w:fill="auto"/>
            <w:noWrap/>
            <w:hideMark/>
          </w:tcPr>
          <w:p w14:paraId="3FC7109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1,066</w:t>
            </w:r>
          </w:p>
        </w:tc>
        <w:tc>
          <w:tcPr>
            <w:tcW w:w="1180" w:type="dxa"/>
            <w:tcBorders>
              <w:top w:val="nil"/>
              <w:left w:val="nil"/>
              <w:bottom w:val="nil"/>
              <w:right w:val="nil"/>
            </w:tcBorders>
            <w:shd w:val="clear" w:color="auto" w:fill="auto"/>
            <w:noWrap/>
            <w:hideMark/>
          </w:tcPr>
          <w:p w14:paraId="52D55D9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1,052</w:t>
            </w:r>
          </w:p>
        </w:tc>
        <w:tc>
          <w:tcPr>
            <w:tcW w:w="1060" w:type="dxa"/>
            <w:tcBorders>
              <w:top w:val="nil"/>
              <w:left w:val="nil"/>
              <w:bottom w:val="nil"/>
              <w:right w:val="nil"/>
            </w:tcBorders>
            <w:shd w:val="clear" w:color="auto" w:fill="auto"/>
            <w:noWrap/>
            <w:hideMark/>
          </w:tcPr>
          <w:p w14:paraId="5E74E5D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(181)</w:t>
            </w:r>
          </w:p>
        </w:tc>
        <w:tc>
          <w:tcPr>
            <w:tcW w:w="1060" w:type="dxa"/>
            <w:tcBorders>
              <w:top w:val="nil"/>
              <w:left w:val="nil"/>
              <w:bottom w:val="nil"/>
              <w:right w:val="nil"/>
            </w:tcBorders>
            <w:shd w:val="clear" w:color="auto" w:fill="auto"/>
            <w:noWrap/>
            <w:hideMark/>
          </w:tcPr>
          <w:p w14:paraId="45A23D7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w:t>
            </w:r>
          </w:p>
        </w:tc>
      </w:tr>
      <w:tr w:rsidR="00A8698F" w:rsidRPr="00A8698F" w14:paraId="01CDD464"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082194DE"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0B58BB87"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661EEA54"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4B1092E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1,796</w:t>
            </w:r>
          </w:p>
        </w:tc>
        <w:tc>
          <w:tcPr>
            <w:tcW w:w="1180" w:type="dxa"/>
            <w:tcBorders>
              <w:top w:val="nil"/>
              <w:left w:val="nil"/>
              <w:bottom w:val="single" w:sz="4" w:space="0" w:color="C7CFD8"/>
              <w:right w:val="nil"/>
            </w:tcBorders>
            <w:shd w:val="clear" w:color="auto" w:fill="auto"/>
            <w:noWrap/>
            <w:hideMark/>
          </w:tcPr>
          <w:p w14:paraId="55DF669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1,941</w:t>
            </w:r>
          </w:p>
        </w:tc>
        <w:tc>
          <w:tcPr>
            <w:tcW w:w="1180" w:type="dxa"/>
            <w:tcBorders>
              <w:top w:val="nil"/>
              <w:left w:val="nil"/>
              <w:bottom w:val="single" w:sz="4" w:space="0" w:color="C7CFD8"/>
              <w:right w:val="nil"/>
            </w:tcBorders>
            <w:shd w:val="clear" w:color="auto" w:fill="auto"/>
            <w:noWrap/>
            <w:hideMark/>
          </w:tcPr>
          <w:p w14:paraId="767009D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1,695</w:t>
            </w:r>
          </w:p>
        </w:tc>
        <w:tc>
          <w:tcPr>
            <w:tcW w:w="1060" w:type="dxa"/>
            <w:tcBorders>
              <w:top w:val="nil"/>
              <w:left w:val="nil"/>
              <w:bottom w:val="single" w:sz="4" w:space="0" w:color="C7CFD8"/>
              <w:right w:val="nil"/>
            </w:tcBorders>
            <w:shd w:val="clear" w:color="auto" w:fill="auto"/>
            <w:noWrap/>
            <w:hideMark/>
          </w:tcPr>
          <w:p w14:paraId="4337876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(145)</w:t>
            </w:r>
          </w:p>
        </w:tc>
        <w:tc>
          <w:tcPr>
            <w:tcW w:w="1060" w:type="dxa"/>
            <w:tcBorders>
              <w:top w:val="nil"/>
              <w:left w:val="nil"/>
              <w:bottom w:val="single" w:sz="4" w:space="0" w:color="C7CFD8"/>
              <w:right w:val="nil"/>
            </w:tcBorders>
            <w:shd w:val="clear" w:color="auto" w:fill="auto"/>
            <w:noWrap/>
            <w:hideMark/>
          </w:tcPr>
          <w:p w14:paraId="4451664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w:t>
            </w:r>
          </w:p>
        </w:tc>
      </w:tr>
      <w:tr w:rsidR="00A8698F" w:rsidRPr="00A8698F" w14:paraId="62701F46"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5059B9F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1D3F6CE8"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Contractual Services</w:t>
            </w:r>
          </w:p>
        </w:tc>
        <w:tc>
          <w:tcPr>
            <w:tcW w:w="1060" w:type="dxa"/>
            <w:tcBorders>
              <w:top w:val="nil"/>
              <w:left w:val="nil"/>
              <w:bottom w:val="nil"/>
              <w:right w:val="nil"/>
            </w:tcBorders>
            <w:shd w:val="clear" w:color="auto" w:fill="auto"/>
            <w:noWrap/>
            <w:hideMark/>
          </w:tcPr>
          <w:p w14:paraId="2541D1A8"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6914D78C"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5F9DF491"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49BC4F4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83ACA4F"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3F6C7E32"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026CB3D3"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1F3B4EA4"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4144AAC5"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Conferences</w:t>
            </w:r>
          </w:p>
        </w:tc>
        <w:tc>
          <w:tcPr>
            <w:tcW w:w="103" w:type="dxa"/>
            <w:tcBorders>
              <w:top w:val="nil"/>
              <w:left w:val="nil"/>
              <w:bottom w:val="nil"/>
              <w:right w:val="nil"/>
            </w:tcBorders>
            <w:shd w:val="clear" w:color="auto" w:fill="auto"/>
            <w:noWrap/>
            <w:hideMark/>
          </w:tcPr>
          <w:p w14:paraId="0258131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7E15D2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406</w:t>
            </w:r>
          </w:p>
        </w:tc>
        <w:tc>
          <w:tcPr>
            <w:tcW w:w="1180" w:type="dxa"/>
            <w:tcBorders>
              <w:top w:val="nil"/>
              <w:left w:val="nil"/>
              <w:bottom w:val="nil"/>
              <w:right w:val="nil"/>
            </w:tcBorders>
            <w:shd w:val="clear" w:color="auto" w:fill="auto"/>
            <w:noWrap/>
            <w:hideMark/>
          </w:tcPr>
          <w:p w14:paraId="6BBF8E6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239</w:t>
            </w:r>
          </w:p>
        </w:tc>
        <w:tc>
          <w:tcPr>
            <w:tcW w:w="1180" w:type="dxa"/>
            <w:tcBorders>
              <w:top w:val="nil"/>
              <w:left w:val="nil"/>
              <w:bottom w:val="nil"/>
              <w:right w:val="nil"/>
            </w:tcBorders>
            <w:shd w:val="clear" w:color="auto" w:fill="auto"/>
            <w:noWrap/>
            <w:hideMark/>
          </w:tcPr>
          <w:p w14:paraId="2EC762E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506</w:t>
            </w:r>
          </w:p>
        </w:tc>
        <w:tc>
          <w:tcPr>
            <w:tcW w:w="1060" w:type="dxa"/>
            <w:tcBorders>
              <w:top w:val="nil"/>
              <w:left w:val="nil"/>
              <w:bottom w:val="nil"/>
              <w:right w:val="nil"/>
            </w:tcBorders>
            <w:shd w:val="clear" w:color="auto" w:fill="auto"/>
            <w:noWrap/>
            <w:hideMark/>
          </w:tcPr>
          <w:p w14:paraId="3229D99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167</w:t>
            </w:r>
          </w:p>
        </w:tc>
        <w:tc>
          <w:tcPr>
            <w:tcW w:w="1060" w:type="dxa"/>
            <w:tcBorders>
              <w:top w:val="nil"/>
              <w:left w:val="nil"/>
              <w:bottom w:val="nil"/>
              <w:right w:val="nil"/>
            </w:tcBorders>
            <w:shd w:val="clear" w:color="auto" w:fill="auto"/>
            <w:noWrap/>
            <w:hideMark/>
          </w:tcPr>
          <w:p w14:paraId="0A8C322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70%</w:t>
            </w:r>
          </w:p>
        </w:tc>
      </w:tr>
      <w:tr w:rsidR="00A8698F" w:rsidRPr="00A8698F" w14:paraId="5F838C72"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40322C5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5FDAE555"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6B9CD9C6"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Publishing</w:t>
            </w:r>
          </w:p>
        </w:tc>
        <w:tc>
          <w:tcPr>
            <w:tcW w:w="103" w:type="dxa"/>
            <w:tcBorders>
              <w:top w:val="nil"/>
              <w:left w:val="nil"/>
              <w:bottom w:val="nil"/>
              <w:right w:val="nil"/>
            </w:tcBorders>
            <w:shd w:val="clear" w:color="auto" w:fill="auto"/>
            <w:noWrap/>
            <w:hideMark/>
          </w:tcPr>
          <w:p w14:paraId="7B5B7058"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7DF1E41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w:t>
            </w:r>
          </w:p>
        </w:tc>
        <w:tc>
          <w:tcPr>
            <w:tcW w:w="1180" w:type="dxa"/>
            <w:tcBorders>
              <w:top w:val="nil"/>
              <w:left w:val="nil"/>
              <w:bottom w:val="nil"/>
              <w:right w:val="nil"/>
            </w:tcBorders>
            <w:shd w:val="clear" w:color="auto" w:fill="auto"/>
            <w:noWrap/>
            <w:hideMark/>
          </w:tcPr>
          <w:p w14:paraId="43C7430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145</w:t>
            </w:r>
          </w:p>
        </w:tc>
        <w:tc>
          <w:tcPr>
            <w:tcW w:w="1180" w:type="dxa"/>
            <w:tcBorders>
              <w:top w:val="nil"/>
              <w:left w:val="nil"/>
              <w:bottom w:val="nil"/>
              <w:right w:val="nil"/>
            </w:tcBorders>
            <w:shd w:val="clear" w:color="auto" w:fill="auto"/>
            <w:noWrap/>
            <w:hideMark/>
          </w:tcPr>
          <w:p w14:paraId="4E626DA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97</w:t>
            </w:r>
          </w:p>
        </w:tc>
        <w:tc>
          <w:tcPr>
            <w:tcW w:w="1060" w:type="dxa"/>
            <w:tcBorders>
              <w:top w:val="nil"/>
              <w:left w:val="nil"/>
              <w:bottom w:val="nil"/>
              <w:right w:val="nil"/>
            </w:tcBorders>
            <w:shd w:val="clear" w:color="auto" w:fill="auto"/>
            <w:noWrap/>
            <w:hideMark/>
          </w:tcPr>
          <w:p w14:paraId="311690C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(115)</w:t>
            </w:r>
          </w:p>
        </w:tc>
        <w:tc>
          <w:tcPr>
            <w:tcW w:w="1060" w:type="dxa"/>
            <w:tcBorders>
              <w:top w:val="nil"/>
              <w:left w:val="nil"/>
              <w:bottom w:val="nil"/>
              <w:right w:val="nil"/>
            </w:tcBorders>
            <w:shd w:val="clear" w:color="auto" w:fill="auto"/>
            <w:noWrap/>
            <w:hideMark/>
          </w:tcPr>
          <w:p w14:paraId="49BC7FE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-79%</w:t>
            </w:r>
          </w:p>
        </w:tc>
      </w:tr>
      <w:tr w:rsidR="00A8698F" w:rsidRPr="00A8698F" w14:paraId="6682C981"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54AFCED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779F4813"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349CFAA9"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Individual Contractual Services</w:t>
            </w:r>
          </w:p>
        </w:tc>
        <w:tc>
          <w:tcPr>
            <w:tcW w:w="1060" w:type="dxa"/>
            <w:tcBorders>
              <w:top w:val="nil"/>
              <w:left w:val="nil"/>
              <w:bottom w:val="nil"/>
              <w:right w:val="nil"/>
            </w:tcBorders>
            <w:shd w:val="clear" w:color="auto" w:fill="auto"/>
            <w:noWrap/>
            <w:hideMark/>
          </w:tcPr>
          <w:p w14:paraId="054905A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2,346</w:t>
            </w:r>
          </w:p>
        </w:tc>
        <w:tc>
          <w:tcPr>
            <w:tcW w:w="1180" w:type="dxa"/>
            <w:tcBorders>
              <w:top w:val="nil"/>
              <w:left w:val="nil"/>
              <w:bottom w:val="nil"/>
              <w:right w:val="nil"/>
            </w:tcBorders>
            <w:shd w:val="clear" w:color="auto" w:fill="auto"/>
            <w:noWrap/>
            <w:hideMark/>
          </w:tcPr>
          <w:p w14:paraId="5D6BA75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2,846</w:t>
            </w:r>
          </w:p>
        </w:tc>
        <w:tc>
          <w:tcPr>
            <w:tcW w:w="1180" w:type="dxa"/>
            <w:tcBorders>
              <w:top w:val="nil"/>
              <w:left w:val="nil"/>
              <w:bottom w:val="nil"/>
              <w:right w:val="nil"/>
            </w:tcBorders>
            <w:shd w:val="clear" w:color="auto" w:fill="auto"/>
            <w:noWrap/>
            <w:hideMark/>
          </w:tcPr>
          <w:p w14:paraId="05FFD19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2,283</w:t>
            </w:r>
          </w:p>
        </w:tc>
        <w:tc>
          <w:tcPr>
            <w:tcW w:w="1060" w:type="dxa"/>
            <w:tcBorders>
              <w:top w:val="nil"/>
              <w:left w:val="nil"/>
              <w:bottom w:val="nil"/>
              <w:right w:val="nil"/>
            </w:tcBorders>
            <w:shd w:val="clear" w:color="auto" w:fill="auto"/>
            <w:noWrap/>
            <w:hideMark/>
          </w:tcPr>
          <w:p w14:paraId="4218093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(500)</w:t>
            </w:r>
          </w:p>
        </w:tc>
        <w:tc>
          <w:tcPr>
            <w:tcW w:w="1060" w:type="dxa"/>
            <w:tcBorders>
              <w:top w:val="nil"/>
              <w:left w:val="nil"/>
              <w:bottom w:val="nil"/>
              <w:right w:val="nil"/>
            </w:tcBorders>
            <w:shd w:val="clear" w:color="auto" w:fill="auto"/>
            <w:noWrap/>
            <w:hideMark/>
          </w:tcPr>
          <w:p w14:paraId="2F262C6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w:t>
            </w:r>
          </w:p>
        </w:tc>
      </w:tr>
      <w:tr w:rsidR="00A8698F" w:rsidRPr="00A8698F" w14:paraId="4924ECC8"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4279426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40F4B8B7"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075F1BC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Other Contractual Services</w:t>
            </w:r>
          </w:p>
        </w:tc>
        <w:tc>
          <w:tcPr>
            <w:tcW w:w="1060" w:type="dxa"/>
            <w:tcBorders>
              <w:top w:val="nil"/>
              <w:left w:val="nil"/>
              <w:bottom w:val="nil"/>
              <w:right w:val="nil"/>
            </w:tcBorders>
            <w:shd w:val="clear" w:color="auto" w:fill="auto"/>
            <w:noWrap/>
            <w:hideMark/>
          </w:tcPr>
          <w:p w14:paraId="66B945D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3,204</w:t>
            </w:r>
          </w:p>
        </w:tc>
        <w:tc>
          <w:tcPr>
            <w:tcW w:w="1180" w:type="dxa"/>
            <w:tcBorders>
              <w:top w:val="nil"/>
              <w:left w:val="nil"/>
              <w:bottom w:val="nil"/>
              <w:right w:val="nil"/>
            </w:tcBorders>
            <w:shd w:val="clear" w:color="auto" w:fill="auto"/>
            <w:noWrap/>
            <w:hideMark/>
          </w:tcPr>
          <w:p w14:paraId="6CB9D4F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1,887</w:t>
            </w:r>
          </w:p>
        </w:tc>
        <w:tc>
          <w:tcPr>
            <w:tcW w:w="1180" w:type="dxa"/>
            <w:tcBorders>
              <w:top w:val="nil"/>
              <w:left w:val="nil"/>
              <w:bottom w:val="nil"/>
              <w:right w:val="nil"/>
            </w:tcBorders>
            <w:shd w:val="clear" w:color="auto" w:fill="auto"/>
            <w:noWrap/>
            <w:hideMark/>
          </w:tcPr>
          <w:p w14:paraId="302C3C4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2,441</w:t>
            </w:r>
          </w:p>
        </w:tc>
        <w:tc>
          <w:tcPr>
            <w:tcW w:w="1060" w:type="dxa"/>
            <w:tcBorders>
              <w:top w:val="nil"/>
              <w:left w:val="nil"/>
              <w:bottom w:val="nil"/>
              <w:right w:val="nil"/>
            </w:tcBorders>
            <w:shd w:val="clear" w:color="auto" w:fill="auto"/>
            <w:noWrap/>
            <w:hideMark/>
          </w:tcPr>
          <w:p w14:paraId="2C12734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1,317</w:t>
            </w:r>
          </w:p>
        </w:tc>
        <w:tc>
          <w:tcPr>
            <w:tcW w:w="1060" w:type="dxa"/>
            <w:tcBorders>
              <w:top w:val="nil"/>
              <w:left w:val="nil"/>
              <w:bottom w:val="nil"/>
              <w:right w:val="nil"/>
            </w:tcBorders>
            <w:shd w:val="clear" w:color="auto" w:fill="auto"/>
            <w:noWrap/>
            <w:hideMark/>
          </w:tcPr>
          <w:p w14:paraId="5ADC1BD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70%</w:t>
            </w:r>
          </w:p>
        </w:tc>
      </w:tr>
      <w:tr w:rsidR="00A8698F" w:rsidRPr="00A8698F" w14:paraId="2E43CDB3"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289CA127"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BDF2F9C"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C32305D"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0C763E9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5,987</w:t>
            </w:r>
          </w:p>
        </w:tc>
        <w:tc>
          <w:tcPr>
            <w:tcW w:w="1180" w:type="dxa"/>
            <w:tcBorders>
              <w:top w:val="nil"/>
              <w:left w:val="nil"/>
              <w:bottom w:val="single" w:sz="4" w:space="0" w:color="C7CFD8"/>
              <w:right w:val="nil"/>
            </w:tcBorders>
            <w:shd w:val="clear" w:color="auto" w:fill="auto"/>
            <w:noWrap/>
            <w:hideMark/>
          </w:tcPr>
          <w:p w14:paraId="2F4B384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5,117</w:t>
            </w:r>
          </w:p>
        </w:tc>
        <w:tc>
          <w:tcPr>
            <w:tcW w:w="1180" w:type="dxa"/>
            <w:tcBorders>
              <w:top w:val="nil"/>
              <w:left w:val="nil"/>
              <w:bottom w:val="single" w:sz="4" w:space="0" w:color="C7CFD8"/>
              <w:right w:val="nil"/>
            </w:tcBorders>
            <w:shd w:val="clear" w:color="auto" w:fill="auto"/>
            <w:noWrap/>
            <w:hideMark/>
          </w:tcPr>
          <w:p w14:paraId="73BA384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5,326</w:t>
            </w:r>
          </w:p>
        </w:tc>
        <w:tc>
          <w:tcPr>
            <w:tcW w:w="1060" w:type="dxa"/>
            <w:tcBorders>
              <w:top w:val="nil"/>
              <w:left w:val="nil"/>
              <w:bottom w:val="single" w:sz="4" w:space="0" w:color="C7CFD8"/>
              <w:right w:val="nil"/>
            </w:tcBorders>
            <w:shd w:val="clear" w:color="auto" w:fill="auto"/>
            <w:noWrap/>
            <w:hideMark/>
          </w:tcPr>
          <w:p w14:paraId="4A0E091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870</w:t>
            </w:r>
          </w:p>
        </w:tc>
        <w:tc>
          <w:tcPr>
            <w:tcW w:w="1060" w:type="dxa"/>
            <w:tcBorders>
              <w:top w:val="nil"/>
              <w:left w:val="nil"/>
              <w:bottom w:val="single" w:sz="4" w:space="0" w:color="C7CFD8"/>
              <w:right w:val="nil"/>
            </w:tcBorders>
            <w:shd w:val="clear" w:color="auto" w:fill="auto"/>
            <w:noWrap/>
            <w:hideMark/>
          </w:tcPr>
          <w:p w14:paraId="178040D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17%</w:t>
            </w:r>
          </w:p>
        </w:tc>
      </w:tr>
      <w:tr w:rsidR="00A8698F" w:rsidRPr="00A8698F" w14:paraId="789F44E3"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7A3706D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2C0E7CDD"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Finance Costs</w:t>
            </w:r>
          </w:p>
        </w:tc>
        <w:tc>
          <w:tcPr>
            <w:tcW w:w="103" w:type="dxa"/>
            <w:tcBorders>
              <w:top w:val="nil"/>
              <w:left w:val="nil"/>
              <w:bottom w:val="nil"/>
              <w:right w:val="nil"/>
            </w:tcBorders>
            <w:shd w:val="clear" w:color="auto" w:fill="auto"/>
            <w:noWrap/>
            <w:hideMark/>
          </w:tcPr>
          <w:p w14:paraId="42D8EF72"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1766B4F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5A3A402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07BCD84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2C15AF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7ECC247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n/a</w:t>
            </w:r>
          </w:p>
        </w:tc>
      </w:tr>
      <w:tr w:rsidR="00A8698F" w:rsidRPr="00A8698F" w14:paraId="33954C7C"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1122B513"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7B895012"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DD1CF41"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5508CF3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4E038D8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single" w:sz="4" w:space="0" w:color="C7CFD8"/>
              <w:right w:val="nil"/>
            </w:tcBorders>
            <w:shd w:val="clear" w:color="auto" w:fill="auto"/>
            <w:noWrap/>
            <w:hideMark/>
          </w:tcPr>
          <w:p w14:paraId="79599EF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7E33DCD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single" w:sz="4" w:space="0" w:color="C7CFD8"/>
              <w:right w:val="nil"/>
            </w:tcBorders>
            <w:shd w:val="clear" w:color="auto" w:fill="auto"/>
            <w:noWrap/>
            <w:hideMark/>
          </w:tcPr>
          <w:p w14:paraId="26AC1B0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n/a</w:t>
            </w:r>
          </w:p>
        </w:tc>
      </w:tr>
      <w:tr w:rsidR="00A8698F" w:rsidRPr="00A8698F" w14:paraId="3B3B65C7"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01A3F75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2994" w:type="dxa"/>
            <w:gridSpan w:val="2"/>
            <w:tcBorders>
              <w:top w:val="nil"/>
              <w:left w:val="nil"/>
              <w:bottom w:val="nil"/>
              <w:right w:val="nil"/>
            </w:tcBorders>
            <w:shd w:val="clear" w:color="auto" w:fill="auto"/>
            <w:noWrap/>
            <w:hideMark/>
          </w:tcPr>
          <w:p w14:paraId="0A5439E5"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Operating Expenses</w:t>
            </w:r>
          </w:p>
        </w:tc>
        <w:tc>
          <w:tcPr>
            <w:tcW w:w="103" w:type="dxa"/>
            <w:tcBorders>
              <w:top w:val="nil"/>
              <w:left w:val="nil"/>
              <w:bottom w:val="nil"/>
              <w:right w:val="nil"/>
            </w:tcBorders>
            <w:shd w:val="clear" w:color="auto" w:fill="auto"/>
            <w:noWrap/>
            <w:hideMark/>
          </w:tcPr>
          <w:p w14:paraId="5C3DBAA4"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noWrap/>
            <w:hideMark/>
          </w:tcPr>
          <w:p w14:paraId="472E109D"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4D402FE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27A74B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EDCEC2C"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1C5D1D57"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4504FFAE"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70BC4E98"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03200C1E"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F7D87C7"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Premises &amp; Maintenance</w:t>
            </w:r>
          </w:p>
        </w:tc>
        <w:tc>
          <w:tcPr>
            <w:tcW w:w="1060" w:type="dxa"/>
            <w:tcBorders>
              <w:top w:val="nil"/>
              <w:left w:val="nil"/>
              <w:bottom w:val="nil"/>
              <w:right w:val="nil"/>
            </w:tcBorders>
            <w:shd w:val="clear" w:color="auto" w:fill="auto"/>
            <w:noWrap/>
            <w:hideMark/>
          </w:tcPr>
          <w:p w14:paraId="0DCED5E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w:t>
            </w:r>
          </w:p>
        </w:tc>
        <w:tc>
          <w:tcPr>
            <w:tcW w:w="1180" w:type="dxa"/>
            <w:tcBorders>
              <w:top w:val="nil"/>
              <w:left w:val="nil"/>
              <w:bottom w:val="nil"/>
              <w:right w:val="nil"/>
            </w:tcBorders>
            <w:shd w:val="clear" w:color="auto" w:fill="auto"/>
            <w:noWrap/>
            <w:hideMark/>
          </w:tcPr>
          <w:p w14:paraId="52F1E6F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10</w:t>
            </w:r>
          </w:p>
        </w:tc>
        <w:tc>
          <w:tcPr>
            <w:tcW w:w="1180" w:type="dxa"/>
            <w:tcBorders>
              <w:top w:val="nil"/>
              <w:left w:val="nil"/>
              <w:bottom w:val="nil"/>
              <w:right w:val="nil"/>
            </w:tcBorders>
            <w:shd w:val="clear" w:color="auto" w:fill="auto"/>
            <w:noWrap/>
            <w:hideMark/>
          </w:tcPr>
          <w:p w14:paraId="2535C9C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80</w:t>
            </w:r>
          </w:p>
        </w:tc>
        <w:tc>
          <w:tcPr>
            <w:tcW w:w="1060" w:type="dxa"/>
            <w:tcBorders>
              <w:top w:val="nil"/>
              <w:left w:val="nil"/>
              <w:bottom w:val="nil"/>
              <w:right w:val="nil"/>
            </w:tcBorders>
            <w:shd w:val="clear" w:color="auto" w:fill="auto"/>
            <w:noWrap/>
            <w:hideMark/>
          </w:tcPr>
          <w:p w14:paraId="1B8B88E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5310C29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0%</w:t>
            </w:r>
          </w:p>
        </w:tc>
      </w:tr>
      <w:tr w:rsidR="00A8698F" w:rsidRPr="00A8698F" w14:paraId="6C3C206C"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6BD1893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608A8029"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3C639C1B"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Communication</w:t>
            </w:r>
          </w:p>
        </w:tc>
        <w:tc>
          <w:tcPr>
            <w:tcW w:w="103" w:type="dxa"/>
            <w:tcBorders>
              <w:top w:val="nil"/>
              <w:left w:val="nil"/>
              <w:bottom w:val="nil"/>
              <w:right w:val="nil"/>
            </w:tcBorders>
            <w:shd w:val="clear" w:color="auto" w:fill="auto"/>
            <w:noWrap/>
            <w:hideMark/>
          </w:tcPr>
          <w:p w14:paraId="54689146"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4A99FF9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w:t>
            </w:r>
          </w:p>
        </w:tc>
        <w:tc>
          <w:tcPr>
            <w:tcW w:w="1180" w:type="dxa"/>
            <w:tcBorders>
              <w:top w:val="nil"/>
              <w:left w:val="nil"/>
              <w:bottom w:val="nil"/>
              <w:right w:val="nil"/>
            </w:tcBorders>
            <w:shd w:val="clear" w:color="auto" w:fill="auto"/>
            <w:noWrap/>
            <w:hideMark/>
          </w:tcPr>
          <w:p w14:paraId="10F064C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w:t>
            </w:r>
          </w:p>
        </w:tc>
        <w:tc>
          <w:tcPr>
            <w:tcW w:w="1180" w:type="dxa"/>
            <w:tcBorders>
              <w:top w:val="nil"/>
              <w:left w:val="nil"/>
              <w:bottom w:val="nil"/>
              <w:right w:val="nil"/>
            </w:tcBorders>
            <w:shd w:val="clear" w:color="auto" w:fill="auto"/>
            <w:noWrap/>
            <w:hideMark/>
          </w:tcPr>
          <w:p w14:paraId="715632D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w:t>
            </w:r>
          </w:p>
        </w:tc>
        <w:tc>
          <w:tcPr>
            <w:tcW w:w="1060" w:type="dxa"/>
            <w:tcBorders>
              <w:top w:val="nil"/>
              <w:left w:val="nil"/>
              <w:bottom w:val="nil"/>
              <w:right w:val="nil"/>
            </w:tcBorders>
            <w:shd w:val="clear" w:color="auto" w:fill="auto"/>
            <w:noWrap/>
            <w:hideMark/>
          </w:tcPr>
          <w:p w14:paraId="12E8CC61"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07F5654E"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0%</w:t>
            </w:r>
          </w:p>
        </w:tc>
      </w:tr>
      <w:tr w:rsidR="00A8698F" w:rsidRPr="00A8698F" w14:paraId="742AE2BD"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59B4CD3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08309151"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hideMark/>
          </w:tcPr>
          <w:p w14:paraId="4A4392F6"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Representation &amp; Other Operating Expenses</w:t>
            </w:r>
          </w:p>
        </w:tc>
        <w:tc>
          <w:tcPr>
            <w:tcW w:w="1060" w:type="dxa"/>
            <w:tcBorders>
              <w:top w:val="nil"/>
              <w:left w:val="nil"/>
              <w:bottom w:val="nil"/>
              <w:right w:val="nil"/>
            </w:tcBorders>
            <w:shd w:val="clear" w:color="auto" w:fill="auto"/>
            <w:noWrap/>
            <w:hideMark/>
          </w:tcPr>
          <w:p w14:paraId="1D69CC99"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44</w:t>
            </w:r>
          </w:p>
        </w:tc>
        <w:tc>
          <w:tcPr>
            <w:tcW w:w="1180" w:type="dxa"/>
            <w:tcBorders>
              <w:top w:val="nil"/>
              <w:left w:val="nil"/>
              <w:bottom w:val="nil"/>
              <w:right w:val="nil"/>
            </w:tcBorders>
            <w:shd w:val="clear" w:color="auto" w:fill="auto"/>
            <w:noWrap/>
            <w:hideMark/>
          </w:tcPr>
          <w:p w14:paraId="7EDACC4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55</w:t>
            </w:r>
          </w:p>
        </w:tc>
        <w:tc>
          <w:tcPr>
            <w:tcW w:w="1180" w:type="dxa"/>
            <w:tcBorders>
              <w:top w:val="nil"/>
              <w:left w:val="nil"/>
              <w:bottom w:val="nil"/>
              <w:right w:val="nil"/>
            </w:tcBorders>
            <w:shd w:val="clear" w:color="auto" w:fill="auto"/>
            <w:noWrap/>
            <w:hideMark/>
          </w:tcPr>
          <w:p w14:paraId="2ADB3FD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34</w:t>
            </w:r>
          </w:p>
        </w:tc>
        <w:tc>
          <w:tcPr>
            <w:tcW w:w="1060" w:type="dxa"/>
            <w:tcBorders>
              <w:top w:val="nil"/>
              <w:left w:val="nil"/>
              <w:bottom w:val="nil"/>
              <w:right w:val="nil"/>
            </w:tcBorders>
            <w:shd w:val="clear" w:color="auto" w:fill="auto"/>
            <w:noWrap/>
            <w:hideMark/>
          </w:tcPr>
          <w:p w14:paraId="382E088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w:t>
            </w:r>
          </w:p>
        </w:tc>
        <w:tc>
          <w:tcPr>
            <w:tcW w:w="1060" w:type="dxa"/>
            <w:tcBorders>
              <w:top w:val="nil"/>
              <w:left w:val="nil"/>
              <w:bottom w:val="nil"/>
              <w:right w:val="nil"/>
            </w:tcBorders>
            <w:shd w:val="clear" w:color="auto" w:fill="auto"/>
            <w:noWrap/>
            <w:hideMark/>
          </w:tcPr>
          <w:p w14:paraId="590A1DE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-20%</w:t>
            </w:r>
          </w:p>
        </w:tc>
      </w:tr>
      <w:tr w:rsidR="00A8698F" w:rsidRPr="00A8698F" w14:paraId="14E83D3D"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2C495E1A"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15ABE596"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2977" w:type="dxa"/>
            <w:tcBorders>
              <w:top w:val="nil"/>
              <w:left w:val="nil"/>
              <w:bottom w:val="nil"/>
              <w:right w:val="nil"/>
            </w:tcBorders>
            <w:shd w:val="clear" w:color="auto" w:fill="auto"/>
            <w:noWrap/>
            <w:hideMark/>
          </w:tcPr>
          <w:p w14:paraId="7E9372AC"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UN Joint Services</w:t>
            </w:r>
          </w:p>
        </w:tc>
        <w:tc>
          <w:tcPr>
            <w:tcW w:w="103" w:type="dxa"/>
            <w:tcBorders>
              <w:top w:val="nil"/>
              <w:left w:val="nil"/>
              <w:bottom w:val="nil"/>
              <w:right w:val="nil"/>
            </w:tcBorders>
            <w:shd w:val="clear" w:color="auto" w:fill="auto"/>
            <w:noWrap/>
            <w:hideMark/>
          </w:tcPr>
          <w:p w14:paraId="79A31FC0"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p>
        </w:tc>
        <w:tc>
          <w:tcPr>
            <w:tcW w:w="1060" w:type="dxa"/>
            <w:tcBorders>
              <w:top w:val="nil"/>
              <w:left w:val="nil"/>
              <w:bottom w:val="nil"/>
              <w:right w:val="nil"/>
            </w:tcBorders>
            <w:shd w:val="clear" w:color="auto" w:fill="auto"/>
            <w:noWrap/>
            <w:hideMark/>
          </w:tcPr>
          <w:p w14:paraId="0205FEE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B111BB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1A612AF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1CBA8E1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3BE9D6F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n/a</w:t>
            </w:r>
          </w:p>
        </w:tc>
      </w:tr>
      <w:tr w:rsidR="00A8698F" w:rsidRPr="00A8698F" w14:paraId="04E0606D"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2C820489"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12F4B82A"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5149E62B"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1B0FE15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65</w:t>
            </w:r>
          </w:p>
        </w:tc>
        <w:tc>
          <w:tcPr>
            <w:tcW w:w="1180" w:type="dxa"/>
            <w:tcBorders>
              <w:top w:val="nil"/>
              <w:left w:val="nil"/>
              <w:bottom w:val="single" w:sz="4" w:space="0" w:color="C7CFD8"/>
              <w:right w:val="nil"/>
            </w:tcBorders>
            <w:shd w:val="clear" w:color="auto" w:fill="auto"/>
            <w:noWrap/>
            <w:hideMark/>
          </w:tcPr>
          <w:p w14:paraId="4B4427F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76</w:t>
            </w:r>
          </w:p>
        </w:tc>
        <w:tc>
          <w:tcPr>
            <w:tcW w:w="1180" w:type="dxa"/>
            <w:tcBorders>
              <w:top w:val="nil"/>
              <w:left w:val="nil"/>
              <w:bottom w:val="single" w:sz="4" w:space="0" w:color="C7CFD8"/>
              <w:right w:val="nil"/>
            </w:tcBorders>
            <w:shd w:val="clear" w:color="auto" w:fill="auto"/>
            <w:noWrap/>
            <w:hideMark/>
          </w:tcPr>
          <w:p w14:paraId="10BDD70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124</w:t>
            </w:r>
          </w:p>
        </w:tc>
        <w:tc>
          <w:tcPr>
            <w:tcW w:w="1060" w:type="dxa"/>
            <w:tcBorders>
              <w:top w:val="nil"/>
              <w:left w:val="nil"/>
              <w:bottom w:val="single" w:sz="4" w:space="0" w:color="C7CFD8"/>
              <w:right w:val="nil"/>
            </w:tcBorders>
            <w:shd w:val="clear" w:color="auto" w:fill="auto"/>
            <w:noWrap/>
            <w:hideMark/>
          </w:tcPr>
          <w:p w14:paraId="5DEF903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(11)</w:t>
            </w:r>
          </w:p>
        </w:tc>
        <w:tc>
          <w:tcPr>
            <w:tcW w:w="1060" w:type="dxa"/>
            <w:tcBorders>
              <w:top w:val="nil"/>
              <w:left w:val="nil"/>
              <w:bottom w:val="single" w:sz="4" w:space="0" w:color="C7CFD8"/>
              <w:right w:val="nil"/>
            </w:tcBorders>
            <w:shd w:val="clear" w:color="auto" w:fill="auto"/>
            <w:noWrap/>
            <w:hideMark/>
          </w:tcPr>
          <w:p w14:paraId="4A7BA7C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-15%</w:t>
            </w:r>
          </w:p>
        </w:tc>
      </w:tr>
      <w:tr w:rsidR="00A8698F" w:rsidRPr="00A8698F" w14:paraId="7E778FBC"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2EDFF4FD"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3097" w:type="dxa"/>
            <w:gridSpan w:val="3"/>
            <w:tcBorders>
              <w:top w:val="nil"/>
              <w:left w:val="nil"/>
              <w:bottom w:val="nil"/>
              <w:right w:val="nil"/>
            </w:tcBorders>
            <w:shd w:val="clear" w:color="auto" w:fill="auto"/>
            <w:noWrap/>
            <w:hideMark/>
          </w:tcPr>
          <w:p w14:paraId="60C65B02"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Equipment and Supplies</w:t>
            </w:r>
          </w:p>
        </w:tc>
        <w:tc>
          <w:tcPr>
            <w:tcW w:w="1060" w:type="dxa"/>
            <w:tcBorders>
              <w:top w:val="nil"/>
              <w:left w:val="nil"/>
              <w:bottom w:val="nil"/>
              <w:right w:val="nil"/>
            </w:tcBorders>
            <w:shd w:val="clear" w:color="auto" w:fill="auto"/>
            <w:noWrap/>
            <w:hideMark/>
          </w:tcPr>
          <w:p w14:paraId="349E5869"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p>
        </w:tc>
        <w:tc>
          <w:tcPr>
            <w:tcW w:w="1180" w:type="dxa"/>
            <w:tcBorders>
              <w:top w:val="nil"/>
              <w:left w:val="nil"/>
              <w:bottom w:val="nil"/>
              <w:right w:val="nil"/>
            </w:tcBorders>
            <w:shd w:val="clear" w:color="auto" w:fill="auto"/>
            <w:noWrap/>
            <w:hideMark/>
          </w:tcPr>
          <w:p w14:paraId="39B2713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0DADFFE2"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73E3DB7"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59D293A9"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0B559AAB"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4BD21B3A"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7" w:type="dxa"/>
            <w:tcBorders>
              <w:top w:val="nil"/>
              <w:left w:val="nil"/>
              <w:bottom w:val="nil"/>
              <w:right w:val="nil"/>
            </w:tcBorders>
            <w:shd w:val="clear" w:color="auto" w:fill="auto"/>
            <w:noWrap/>
            <w:hideMark/>
          </w:tcPr>
          <w:p w14:paraId="566B6AB1"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71E8F458"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Furniture &amp; Equipment</w:t>
            </w:r>
          </w:p>
        </w:tc>
        <w:tc>
          <w:tcPr>
            <w:tcW w:w="1060" w:type="dxa"/>
            <w:tcBorders>
              <w:top w:val="nil"/>
              <w:left w:val="nil"/>
              <w:bottom w:val="nil"/>
              <w:right w:val="nil"/>
            </w:tcBorders>
            <w:shd w:val="clear" w:color="auto" w:fill="auto"/>
            <w:noWrap/>
            <w:hideMark/>
          </w:tcPr>
          <w:p w14:paraId="10F2D154"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4E5532A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180" w:type="dxa"/>
            <w:tcBorders>
              <w:top w:val="nil"/>
              <w:left w:val="nil"/>
              <w:bottom w:val="nil"/>
              <w:right w:val="nil"/>
            </w:tcBorders>
            <w:shd w:val="clear" w:color="auto" w:fill="auto"/>
            <w:noWrap/>
            <w:hideMark/>
          </w:tcPr>
          <w:p w14:paraId="3584C772"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41E442A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w:t>
            </w:r>
          </w:p>
        </w:tc>
        <w:tc>
          <w:tcPr>
            <w:tcW w:w="1060" w:type="dxa"/>
            <w:tcBorders>
              <w:top w:val="nil"/>
              <w:left w:val="nil"/>
              <w:bottom w:val="nil"/>
              <w:right w:val="nil"/>
            </w:tcBorders>
            <w:shd w:val="clear" w:color="auto" w:fill="auto"/>
            <w:noWrap/>
            <w:hideMark/>
          </w:tcPr>
          <w:p w14:paraId="6CDD92C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n/a</w:t>
            </w:r>
          </w:p>
        </w:tc>
      </w:tr>
      <w:tr w:rsidR="00A8698F" w:rsidRPr="00A8698F" w14:paraId="55F0D9AA"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6E1B3DA7"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p>
        </w:tc>
        <w:tc>
          <w:tcPr>
            <w:tcW w:w="17" w:type="dxa"/>
            <w:tcBorders>
              <w:top w:val="nil"/>
              <w:left w:val="nil"/>
              <w:bottom w:val="nil"/>
              <w:right w:val="nil"/>
            </w:tcBorders>
            <w:shd w:val="clear" w:color="auto" w:fill="auto"/>
            <w:noWrap/>
            <w:hideMark/>
          </w:tcPr>
          <w:p w14:paraId="26191DF7"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3080" w:type="dxa"/>
            <w:gridSpan w:val="2"/>
            <w:tcBorders>
              <w:top w:val="nil"/>
              <w:left w:val="nil"/>
              <w:bottom w:val="nil"/>
              <w:right w:val="nil"/>
            </w:tcBorders>
            <w:shd w:val="clear" w:color="auto" w:fill="auto"/>
            <w:noWrap/>
            <w:hideMark/>
          </w:tcPr>
          <w:p w14:paraId="2C9F4E98"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Supplies &amp; Materials</w:t>
            </w:r>
          </w:p>
        </w:tc>
        <w:tc>
          <w:tcPr>
            <w:tcW w:w="1060" w:type="dxa"/>
            <w:tcBorders>
              <w:top w:val="nil"/>
              <w:left w:val="nil"/>
              <w:bottom w:val="nil"/>
              <w:right w:val="nil"/>
            </w:tcBorders>
            <w:shd w:val="clear" w:color="auto" w:fill="auto"/>
            <w:noWrap/>
            <w:hideMark/>
          </w:tcPr>
          <w:p w14:paraId="7696EA18"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w:t>
            </w:r>
          </w:p>
        </w:tc>
        <w:tc>
          <w:tcPr>
            <w:tcW w:w="1180" w:type="dxa"/>
            <w:tcBorders>
              <w:top w:val="nil"/>
              <w:left w:val="nil"/>
              <w:bottom w:val="nil"/>
              <w:right w:val="nil"/>
            </w:tcBorders>
            <w:shd w:val="clear" w:color="auto" w:fill="auto"/>
            <w:noWrap/>
            <w:hideMark/>
          </w:tcPr>
          <w:p w14:paraId="169F827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55</w:t>
            </w:r>
          </w:p>
        </w:tc>
        <w:tc>
          <w:tcPr>
            <w:tcW w:w="1180" w:type="dxa"/>
            <w:tcBorders>
              <w:top w:val="nil"/>
              <w:left w:val="nil"/>
              <w:bottom w:val="nil"/>
              <w:right w:val="nil"/>
            </w:tcBorders>
            <w:shd w:val="clear" w:color="auto" w:fill="auto"/>
            <w:noWrap/>
            <w:hideMark/>
          </w:tcPr>
          <w:p w14:paraId="005E0BA5"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33</w:t>
            </w:r>
          </w:p>
        </w:tc>
        <w:tc>
          <w:tcPr>
            <w:tcW w:w="1060" w:type="dxa"/>
            <w:tcBorders>
              <w:top w:val="nil"/>
              <w:left w:val="nil"/>
              <w:bottom w:val="nil"/>
              <w:right w:val="nil"/>
            </w:tcBorders>
            <w:shd w:val="clear" w:color="auto" w:fill="auto"/>
            <w:noWrap/>
            <w:hideMark/>
          </w:tcPr>
          <w:p w14:paraId="32F173B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(25)</w:t>
            </w:r>
          </w:p>
        </w:tc>
        <w:tc>
          <w:tcPr>
            <w:tcW w:w="1060" w:type="dxa"/>
            <w:tcBorders>
              <w:top w:val="nil"/>
              <w:left w:val="nil"/>
              <w:bottom w:val="nil"/>
              <w:right w:val="nil"/>
            </w:tcBorders>
            <w:shd w:val="clear" w:color="auto" w:fill="auto"/>
            <w:noWrap/>
            <w:hideMark/>
          </w:tcPr>
          <w:p w14:paraId="73EFE9F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w:t>
            </w:r>
          </w:p>
        </w:tc>
      </w:tr>
      <w:tr w:rsidR="00A8698F" w:rsidRPr="00A8698F" w14:paraId="7A94D655"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13DB3CAE" w14:textId="77777777" w:rsidR="00A8698F" w:rsidRPr="00A8698F" w:rsidRDefault="00A8698F" w:rsidP="00A8698F">
            <w:pPr>
              <w:spacing w:after="0" w:line="240" w:lineRule="auto"/>
              <w:rPr>
                <w:rFonts w:ascii="Arial Narrow" w:eastAsia="Times New Roman" w:hAnsi="Arial Narrow" w:cs="Times New Roman"/>
                <w:b/>
                <w:bCs/>
                <w:i/>
                <w:iCs/>
                <w:sz w:val="16"/>
                <w:szCs w:val="16"/>
                <w:lang w:val="en-US"/>
              </w:rPr>
            </w:pPr>
            <w:r w:rsidRPr="00A8698F">
              <w:rPr>
                <w:rFonts w:ascii="Arial Narrow" w:eastAsia="Times New Roman" w:hAnsi="Arial Narrow" w:cs="Times New Roman"/>
                <w:b/>
                <w:bCs/>
                <w:i/>
                <w:iCs/>
                <w:sz w:val="16"/>
                <w:szCs w:val="16"/>
                <w:lang w:val="en-US"/>
              </w:rPr>
              <w:t> </w:t>
            </w:r>
          </w:p>
        </w:tc>
        <w:tc>
          <w:tcPr>
            <w:tcW w:w="2994" w:type="dxa"/>
            <w:gridSpan w:val="2"/>
            <w:tcBorders>
              <w:top w:val="nil"/>
              <w:left w:val="nil"/>
              <w:bottom w:val="single" w:sz="4" w:space="0" w:color="C7CFD8"/>
              <w:right w:val="nil"/>
            </w:tcBorders>
            <w:shd w:val="clear" w:color="auto" w:fill="auto"/>
            <w:noWrap/>
            <w:hideMark/>
          </w:tcPr>
          <w:p w14:paraId="5CB3A498"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Sub-total</w:t>
            </w:r>
          </w:p>
        </w:tc>
        <w:tc>
          <w:tcPr>
            <w:tcW w:w="103" w:type="dxa"/>
            <w:tcBorders>
              <w:top w:val="nil"/>
              <w:left w:val="nil"/>
              <w:bottom w:val="single" w:sz="4" w:space="0" w:color="C7CFD8"/>
              <w:right w:val="nil"/>
            </w:tcBorders>
            <w:shd w:val="clear" w:color="auto" w:fill="auto"/>
            <w:noWrap/>
            <w:hideMark/>
          </w:tcPr>
          <w:p w14:paraId="72BE3CB3" w14:textId="77777777" w:rsidR="00A8698F" w:rsidRPr="00A8698F" w:rsidRDefault="00A8698F" w:rsidP="00A8698F">
            <w:pPr>
              <w:spacing w:after="0" w:line="240" w:lineRule="auto"/>
              <w:rPr>
                <w:rFonts w:ascii="Arial Narrow" w:eastAsia="Times New Roman" w:hAnsi="Arial Narrow" w:cs="Times New Roman"/>
                <w:i/>
                <w:iCs/>
                <w:sz w:val="16"/>
                <w:szCs w:val="16"/>
                <w:lang w:val="en-US"/>
              </w:rPr>
            </w:pPr>
            <w:r w:rsidRPr="00A8698F">
              <w:rPr>
                <w:rFonts w:ascii="Arial Narrow" w:eastAsia="Times New Roman" w:hAnsi="Arial Narrow" w:cs="Times New Roman"/>
                <w:i/>
                <w:iCs/>
                <w:sz w:val="16"/>
                <w:szCs w:val="16"/>
                <w:lang w:val="en-US"/>
              </w:rPr>
              <w:t> </w:t>
            </w:r>
          </w:p>
        </w:tc>
        <w:tc>
          <w:tcPr>
            <w:tcW w:w="1060" w:type="dxa"/>
            <w:tcBorders>
              <w:top w:val="nil"/>
              <w:left w:val="nil"/>
              <w:bottom w:val="single" w:sz="4" w:space="0" w:color="C7CFD8"/>
              <w:right w:val="nil"/>
            </w:tcBorders>
            <w:shd w:val="clear" w:color="auto" w:fill="auto"/>
            <w:noWrap/>
            <w:hideMark/>
          </w:tcPr>
          <w:p w14:paraId="072B84EF"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30</w:t>
            </w:r>
          </w:p>
        </w:tc>
        <w:tc>
          <w:tcPr>
            <w:tcW w:w="1180" w:type="dxa"/>
            <w:tcBorders>
              <w:top w:val="nil"/>
              <w:left w:val="nil"/>
              <w:bottom w:val="single" w:sz="4" w:space="0" w:color="C7CFD8"/>
              <w:right w:val="nil"/>
            </w:tcBorders>
            <w:shd w:val="clear" w:color="auto" w:fill="auto"/>
            <w:noWrap/>
            <w:hideMark/>
          </w:tcPr>
          <w:p w14:paraId="2B977980"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55</w:t>
            </w:r>
          </w:p>
        </w:tc>
        <w:tc>
          <w:tcPr>
            <w:tcW w:w="1180" w:type="dxa"/>
            <w:tcBorders>
              <w:top w:val="nil"/>
              <w:left w:val="nil"/>
              <w:bottom w:val="single" w:sz="4" w:space="0" w:color="C7CFD8"/>
              <w:right w:val="nil"/>
            </w:tcBorders>
            <w:shd w:val="clear" w:color="auto" w:fill="auto"/>
            <w:noWrap/>
            <w:hideMark/>
          </w:tcPr>
          <w:p w14:paraId="6D1CF193"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33</w:t>
            </w:r>
          </w:p>
        </w:tc>
        <w:tc>
          <w:tcPr>
            <w:tcW w:w="1060" w:type="dxa"/>
            <w:tcBorders>
              <w:top w:val="nil"/>
              <w:left w:val="nil"/>
              <w:bottom w:val="single" w:sz="4" w:space="0" w:color="C7CFD8"/>
              <w:right w:val="nil"/>
            </w:tcBorders>
            <w:shd w:val="clear" w:color="auto" w:fill="auto"/>
            <w:noWrap/>
            <w:hideMark/>
          </w:tcPr>
          <w:p w14:paraId="0A6C7896"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(25)</w:t>
            </w:r>
          </w:p>
        </w:tc>
        <w:tc>
          <w:tcPr>
            <w:tcW w:w="1060" w:type="dxa"/>
            <w:tcBorders>
              <w:top w:val="nil"/>
              <w:left w:val="nil"/>
              <w:bottom w:val="single" w:sz="4" w:space="0" w:color="C7CFD8"/>
              <w:right w:val="nil"/>
            </w:tcBorders>
            <w:shd w:val="clear" w:color="auto" w:fill="auto"/>
            <w:noWrap/>
            <w:hideMark/>
          </w:tcPr>
          <w:p w14:paraId="7E5AC06B"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-45%</w:t>
            </w:r>
          </w:p>
        </w:tc>
      </w:tr>
      <w:tr w:rsidR="00A8698F" w:rsidRPr="00A8698F" w14:paraId="2340D807" w14:textId="77777777" w:rsidTr="008A121C">
        <w:trPr>
          <w:divId w:val="1921910206"/>
          <w:trHeight w:hRule="exact" w:val="216"/>
          <w:jc w:val="center"/>
        </w:trPr>
        <w:tc>
          <w:tcPr>
            <w:tcW w:w="103" w:type="dxa"/>
            <w:tcBorders>
              <w:top w:val="nil"/>
              <w:left w:val="nil"/>
              <w:bottom w:val="single" w:sz="8" w:space="0" w:color="C7CFD8"/>
              <w:right w:val="nil"/>
            </w:tcBorders>
            <w:shd w:val="clear" w:color="auto" w:fill="auto"/>
            <w:noWrap/>
            <w:hideMark/>
          </w:tcPr>
          <w:p w14:paraId="3AEF78AF"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2994" w:type="dxa"/>
            <w:gridSpan w:val="2"/>
            <w:tcBorders>
              <w:top w:val="single" w:sz="4" w:space="0" w:color="C7CFD8"/>
              <w:left w:val="nil"/>
              <w:bottom w:val="single" w:sz="8" w:space="0" w:color="C7CFD8"/>
              <w:right w:val="nil"/>
            </w:tcBorders>
            <w:shd w:val="clear" w:color="auto" w:fill="auto"/>
            <w:noWrap/>
            <w:vAlign w:val="center"/>
            <w:hideMark/>
          </w:tcPr>
          <w:p w14:paraId="0FF5AA84"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 B</w:t>
            </w:r>
          </w:p>
        </w:tc>
        <w:tc>
          <w:tcPr>
            <w:tcW w:w="103" w:type="dxa"/>
            <w:tcBorders>
              <w:top w:val="nil"/>
              <w:left w:val="nil"/>
              <w:bottom w:val="single" w:sz="8" w:space="0" w:color="C7CFD8"/>
              <w:right w:val="nil"/>
            </w:tcBorders>
            <w:shd w:val="clear" w:color="auto" w:fill="auto"/>
            <w:noWrap/>
            <w:hideMark/>
          </w:tcPr>
          <w:p w14:paraId="5E9B54B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080E6E6B"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13,119</w:t>
            </w:r>
          </w:p>
        </w:tc>
        <w:tc>
          <w:tcPr>
            <w:tcW w:w="1180" w:type="dxa"/>
            <w:tcBorders>
              <w:top w:val="nil"/>
              <w:left w:val="nil"/>
              <w:bottom w:val="single" w:sz="8" w:space="0" w:color="C7CFD8"/>
              <w:right w:val="nil"/>
            </w:tcBorders>
            <w:shd w:val="clear" w:color="auto" w:fill="auto"/>
            <w:noWrap/>
            <w:vAlign w:val="center"/>
            <w:hideMark/>
          </w:tcPr>
          <w:p w14:paraId="2CAEA23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11,542</w:t>
            </w:r>
          </w:p>
        </w:tc>
        <w:tc>
          <w:tcPr>
            <w:tcW w:w="1180" w:type="dxa"/>
            <w:tcBorders>
              <w:top w:val="nil"/>
              <w:left w:val="nil"/>
              <w:bottom w:val="single" w:sz="8" w:space="0" w:color="C7CFD8"/>
              <w:right w:val="nil"/>
            </w:tcBorders>
            <w:shd w:val="clear" w:color="auto" w:fill="auto"/>
            <w:noWrap/>
            <w:vAlign w:val="center"/>
            <w:hideMark/>
          </w:tcPr>
          <w:p w14:paraId="4292CDC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12,153</w:t>
            </w:r>
          </w:p>
        </w:tc>
        <w:tc>
          <w:tcPr>
            <w:tcW w:w="1060" w:type="dxa"/>
            <w:tcBorders>
              <w:top w:val="nil"/>
              <w:left w:val="nil"/>
              <w:bottom w:val="single" w:sz="8" w:space="0" w:color="C7CFD8"/>
              <w:right w:val="nil"/>
            </w:tcBorders>
            <w:shd w:val="clear" w:color="auto" w:fill="auto"/>
            <w:noWrap/>
            <w:vAlign w:val="center"/>
            <w:hideMark/>
          </w:tcPr>
          <w:p w14:paraId="14EE5B43"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1,576</w:t>
            </w:r>
          </w:p>
        </w:tc>
        <w:tc>
          <w:tcPr>
            <w:tcW w:w="1060" w:type="dxa"/>
            <w:tcBorders>
              <w:top w:val="nil"/>
              <w:left w:val="nil"/>
              <w:bottom w:val="single" w:sz="8" w:space="0" w:color="C7CFD8"/>
              <w:right w:val="nil"/>
            </w:tcBorders>
            <w:shd w:val="clear" w:color="auto" w:fill="auto"/>
            <w:noWrap/>
            <w:vAlign w:val="center"/>
            <w:hideMark/>
          </w:tcPr>
          <w:p w14:paraId="172FE3B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14%</w:t>
            </w:r>
          </w:p>
        </w:tc>
      </w:tr>
      <w:tr w:rsidR="00A8698F" w:rsidRPr="00A8698F" w14:paraId="1D211371" w14:textId="77777777" w:rsidTr="008A121C">
        <w:trPr>
          <w:divId w:val="1921910206"/>
          <w:trHeight w:hRule="exact" w:val="216"/>
          <w:jc w:val="center"/>
        </w:trPr>
        <w:tc>
          <w:tcPr>
            <w:tcW w:w="103" w:type="dxa"/>
            <w:tcBorders>
              <w:top w:val="nil"/>
              <w:left w:val="nil"/>
              <w:bottom w:val="single" w:sz="8" w:space="0" w:color="C7CFD8"/>
              <w:right w:val="nil"/>
            </w:tcBorders>
            <w:shd w:val="clear" w:color="auto" w:fill="auto"/>
            <w:noWrap/>
            <w:hideMark/>
          </w:tcPr>
          <w:p w14:paraId="09AC3C85"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2994" w:type="dxa"/>
            <w:gridSpan w:val="2"/>
            <w:tcBorders>
              <w:top w:val="nil"/>
              <w:left w:val="nil"/>
              <w:bottom w:val="single" w:sz="8" w:space="0" w:color="C7CFD8"/>
              <w:right w:val="nil"/>
            </w:tcBorders>
            <w:shd w:val="clear" w:color="auto" w:fill="auto"/>
            <w:noWrap/>
            <w:vAlign w:val="center"/>
            <w:hideMark/>
          </w:tcPr>
          <w:p w14:paraId="2F9A61BB"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TOTAL</w:t>
            </w:r>
          </w:p>
        </w:tc>
        <w:tc>
          <w:tcPr>
            <w:tcW w:w="103" w:type="dxa"/>
            <w:tcBorders>
              <w:top w:val="nil"/>
              <w:left w:val="nil"/>
              <w:bottom w:val="single" w:sz="8" w:space="0" w:color="C7CFD8"/>
              <w:right w:val="nil"/>
            </w:tcBorders>
            <w:shd w:val="clear" w:color="auto" w:fill="auto"/>
            <w:noWrap/>
            <w:hideMark/>
          </w:tcPr>
          <w:p w14:paraId="50A40B3D" w14:textId="77777777" w:rsidR="00A8698F" w:rsidRPr="00A8698F" w:rsidRDefault="00A8698F" w:rsidP="00A8698F">
            <w:pPr>
              <w:spacing w:after="0" w:line="240" w:lineRule="auto"/>
              <w:jc w:val="center"/>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1060" w:type="dxa"/>
            <w:tcBorders>
              <w:top w:val="nil"/>
              <w:left w:val="nil"/>
              <w:bottom w:val="single" w:sz="8" w:space="0" w:color="C7CFD8"/>
              <w:right w:val="nil"/>
            </w:tcBorders>
            <w:shd w:val="clear" w:color="auto" w:fill="auto"/>
            <w:noWrap/>
            <w:vAlign w:val="center"/>
            <w:hideMark/>
          </w:tcPr>
          <w:p w14:paraId="405007DD"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50,771</w:t>
            </w:r>
          </w:p>
        </w:tc>
        <w:tc>
          <w:tcPr>
            <w:tcW w:w="1180" w:type="dxa"/>
            <w:tcBorders>
              <w:top w:val="nil"/>
              <w:left w:val="nil"/>
              <w:bottom w:val="single" w:sz="8" w:space="0" w:color="C7CFD8"/>
              <w:right w:val="nil"/>
            </w:tcBorders>
            <w:shd w:val="clear" w:color="auto" w:fill="auto"/>
            <w:noWrap/>
            <w:vAlign w:val="center"/>
            <w:hideMark/>
          </w:tcPr>
          <w:p w14:paraId="594A87EB"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43,975</w:t>
            </w:r>
          </w:p>
        </w:tc>
        <w:tc>
          <w:tcPr>
            <w:tcW w:w="1180" w:type="dxa"/>
            <w:tcBorders>
              <w:top w:val="nil"/>
              <w:left w:val="nil"/>
              <w:bottom w:val="single" w:sz="8" w:space="0" w:color="C7CFD8"/>
              <w:right w:val="nil"/>
            </w:tcBorders>
            <w:shd w:val="clear" w:color="auto" w:fill="auto"/>
            <w:noWrap/>
            <w:vAlign w:val="center"/>
            <w:hideMark/>
          </w:tcPr>
          <w:p w14:paraId="1B4D2C06"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45,374</w:t>
            </w:r>
          </w:p>
        </w:tc>
        <w:tc>
          <w:tcPr>
            <w:tcW w:w="1060" w:type="dxa"/>
            <w:tcBorders>
              <w:top w:val="nil"/>
              <w:left w:val="nil"/>
              <w:bottom w:val="single" w:sz="8" w:space="0" w:color="C7CFD8"/>
              <w:right w:val="nil"/>
            </w:tcBorders>
            <w:shd w:val="clear" w:color="auto" w:fill="auto"/>
            <w:noWrap/>
            <w:vAlign w:val="center"/>
            <w:hideMark/>
          </w:tcPr>
          <w:p w14:paraId="7A9E99FF"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6,797</w:t>
            </w:r>
          </w:p>
        </w:tc>
        <w:tc>
          <w:tcPr>
            <w:tcW w:w="1060" w:type="dxa"/>
            <w:tcBorders>
              <w:top w:val="nil"/>
              <w:left w:val="nil"/>
              <w:bottom w:val="single" w:sz="8" w:space="0" w:color="C7CFD8"/>
              <w:right w:val="nil"/>
            </w:tcBorders>
            <w:shd w:val="clear" w:color="auto" w:fill="auto"/>
            <w:noWrap/>
            <w:vAlign w:val="center"/>
            <w:hideMark/>
          </w:tcPr>
          <w:p w14:paraId="3186D834"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15%</w:t>
            </w:r>
          </w:p>
        </w:tc>
      </w:tr>
      <w:tr w:rsidR="00A8698F" w:rsidRPr="00A8698F" w14:paraId="5B9B5577" w14:textId="77777777" w:rsidTr="008A121C">
        <w:trPr>
          <w:divId w:val="1921910206"/>
          <w:trHeight w:hRule="exact" w:val="216"/>
          <w:jc w:val="center"/>
        </w:trPr>
        <w:tc>
          <w:tcPr>
            <w:tcW w:w="103" w:type="dxa"/>
            <w:tcBorders>
              <w:top w:val="nil"/>
              <w:left w:val="nil"/>
              <w:bottom w:val="nil"/>
              <w:right w:val="nil"/>
            </w:tcBorders>
            <w:shd w:val="clear" w:color="auto" w:fill="auto"/>
            <w:noWrap/>
            <w:hideMark/>
          </w:tcPr>
          <w:p w14:paraId="18F393A5"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p>
        </w:tc>
        <w:tc>
          <w:tcPr>
            <w:tcW w:w="2994" w:type="dxa"/>
            <w:gridSpan w:val="2"/>
            <w:tcBorders>
              <w:top w:val="nil"/>
              <w:left w:val="nil"/>
              <w:bottom w:val="nil"/>
              <w:right w:val="nil"/>
            </w:tcBorders>
            <w:shd w:val="clear" w:color="auto" w:fill="auto"/>
            <w:noWrap/>
            <w:hideMark/>
          </w:tcPr>
          <w:p w14:paraId="5373E041" w14:textId="77777777" w:rsidR="00A8698F" w:rsidRPr="00A8698F" w:rsidRDefault="00A8698F" w:rsidP="00A8698F">
            <w:pPr>
              <w:spacing w:after="0" w:line="240" w:lineRule="auto"/>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xml:space="preserve">of which </w:t>
            </w:r>
          </w:p>
        </w:tc>
        <w:tc>
          <w:tcPr>
            <w:tcW w:w="103" w:type="dxa"/>
            <w:tcBorders>
              <w:top w:val="nil"/>
              <w:left w:val="nil"/>
              <w:bottom w:val="nil"/>
              <w:right w:val="nil"/>
            </w:tcBorders>
            <w:shd w:val="clear" w:color="auto" w:fill="auto"/>
            <w:noWrap/>
            <w:hideMark/>
          </w:tcPr>
          <w:p w14:paraId="1F6F0A1D" w14:textId="77777777" w:rsidR="00A8698F" w:rsidRPr="00A8698F" w:rsidRDefault="00A8698F" w:rsidP="00A8698F">
            <w:pPr>
              <w:spacing w:after="0" w:line="240" w:lineRule="auto"/>
              <w:rPr>
                <w:rFonts w:ascii="Arial Narrow" w:eastAsia="Times New Roman" w:hAnsi="Arial Narrow" w:cs="Times New Roman"/>
                <w:sz w:val="16"/>
                <w:szCs w:val="16"/>
                <w:lang w:val="en-US"/>
              </w:rPr>
            </w:pPr>
          </w:p>
        </w:tc>
        <w:tc>
          <w:tcPr>
            <w:tcW w:w="1060" w:type="dxa"/>
            <w:tcBorders>
              <w:top w:val="nil"/>
              <w:left w:val="nil"/>
              <w:bottom w:val="nil"/>
              <w:right w:val="nil"/>
            </w:tcBorders>
            <w:shd w:val="clear" w:color="auto" w:fill="auto"/>
            <w:noWrap/>
            <w:hideMark/>
          </w:tcPr>
          <w:p w14:paraId="01E3AE9D"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16AE79BB" w14:textId="77777777" w:rsidR="00A8698F" w:rsidRPr="00A8698F" w:rsidRDefault="00A8698F" w:rsidP="00A8698F">
            <w:pPr>
              <w:spacing w:after="0" w:line="240" w:lineRule="auto"/>
              <w:rPr>
                <w:rFonts w:ascii="Times New Roman" w:eastAsia="Times New Roman" w:hAnsi="Times New Roman" w:cs="Times New Roman"/>
                <w:sz w:val="20"/>
                <w:szCs w:val="20"/>
                <w:lang w:val="en-US"/>
              </w:rPr>
            </w:pPr>
          </w:p>
        </w:tc>
        <w:tc>
          <w:tcPr>
            <w:tcW w:w="1180" w:type="dxa"/>
            <w:tcBorders>
              <w:top w:val="nil"/>
              <w:left w:val="nil"/>
              <w:bottom w:val="nil"/>
              <w:right w:val="nil"/>
            </w:tcBorders>
            <w:shd w:val="clear" w:color="auto" w:fill="auto"/>
            <w:noWrap/>
            <w:hideMark/>
          </w:tcPr>
          <w:p w14:paraId="3E80B35B"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6A6D9248"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hideMark/>
          </w:tcPr>
          <w:p w14:paraId="0891C766" w14:textId="77777777" w:rsidR="00A8698F" w:rsidRPr="00A8698F" w:rsidRDefault="00A8698F" w:rsidP="00A8698F">
            <w:pPr>
              <w:spacing w:after="0" w:line="240" w:lineRule="auto"/>
              <w:jc w:val="right"/>
              <w:rPr>
                <w:rFonts w:ascii="Times New Roman" w:eastAsia="Times New Roman" w:hAnsi="Times New Roman" w:cs="Times New Roman"/>
                <w:sz w:val="20"/>
                <w:szCs w:val="20"/>
                <w:lang w:val="en-US"/>
              </w:rPr>
            </w:pPr>
          </w:p>
        </w:tc>
      </w:tr>
      <w:tr w:rsidR="00A8698F" w:rsidRPr="00A8698F" w14:paraId="613ABA42" w14:textId="77777777" w:rsidTr="008A121C">
        <w:trPr>
          <w:divId w:val="1921910206"/>
          <w:trHeight w:hRule="exact" w:val="216"/>
          <w:jc w:val="center"/>
        </w:trPr>
        <w:tc>
          <w:tcPr>
            <w:tcW w:w="103" w:type="dxa"/>
            <w:tcBorders>
              <w:top w:val="nil"/>
              <w:left w:val="nil"/>
              <w:bottom w:val="single" w:sz="4" w:space="0" w:color="C7CFD8"/>
              <w:right w:val="nil"/>
            </w:tcBorders>
            <w:shd w:val="clear" w:color="auto" w:fill="auto"/>
            <w:noWrap/>
            <w:hideMark/>
          </w:tcPr>
          <w:p w14:paraId="712AA605"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3097" w:type="dxa"/>
            <w:gridSpan w:val="3"/>
            <w:tcBorders>
              <w:top w:val="nil"/>
              <w:left w:val="nil"/>
              <w:bottom w:val="single" w:sz="4" w:space="0" w:color="C7CFD8"/>
              <w:right w:val="nil"/>
            </w:tcBorders>
            <w:shd w:val="clear" w:color="auto" w:fill="auto"/>
            <w:noWrap/>
            <w:hideMark/>
          </w:tcPr>
          <w:p w14:paraId="0C300E52" w14:textId="77777777" w:rsidR="00A8698F" w:rsidRPr="00A8698F" w:rsidRDefault="00A8698F" w:rsidP="00A8698F">
            <w:pPr>
              <w:spacing w:after="0" w:line="240" w:lineRule="auto"/>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Development Agenda Project</w:t>
            </w:r>
          </w:p>
        </w:tc>
        <w:tc>
          <w:tcPr>
            <w:tcW w:w="1060" w:type="dxa"/>
            <w:tcBorders>
              <w:top w:val="nil"/>
              <w:left w:val="nil"/>
              <w:bottom w:val="single" w:sz="4" w:space="0" w:color="C7CFD8"/>
              <w:right w:val="nil"/>
            </w:tcBorders>
            <w:shd w:val="clear" w:color="auto" w:fill="auto"/>
            <w:noWrap/>
            <w:hideMark/>
          </w:tcPr>
          <w:p w14:paraId="2AA2270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425</w:t>
            </w:r>
          </w:p>
        </w:tc>
        <w:tc>
          <w:tcPr>
            <w:tcW w:w="1180" w:type="dxa"/>
            <w:tcBorders>
              <w:top w:val="nil"/>
              <w:left w:val="nil"/>
              <w:bottom w:val="single" w:sz="4" w:space="0" w:color="C7CFD8"/>
              <w:right w:val="nil"/>
            </w:tcBorders>
            <w:shd w:val="clear" w:color="auto" w:fill="auto"/>
            <w:noWrap/>
            <w:hideMark/>
          </w:tcPr>
          <w:p w14:paraId="29C0C73C" w14:textId="77777777" w:rsidR="00A8698F" w:rsidRPr="00A8698F" w:rsidRDefault="00A8698F" w:rsidP="00A8698F">
            <w:pPr>
              <w:spacing w:after="0" w:line="240" w:lineRule="auto"/>
              <w:jc w:val="right"/>
              <w:rPr>
                <w:rFonts w:ascii="Arial Narrow" w:eastAsia="Times New Roman" w:hAnsi="Arial Narrow" w:cs="Times New Roman"/>
                <w:sz w:val="16"/>
                <w:szCs w:val="16"/>
                <w:lang w:val="en-US"/>
              </w:rPr>
            </w:pPr>
            <w:r w:rsidRPr="00A8698F">
              <w:rPr>
                <w:rFonts w:ascii="Arial Narrow" w:eastAsia="Times New Roman" w:hAnsi="Arial Narrow" w:cs="Times New Roman"/>
                <w:sz w:val="16"/>
                <w:szCs w:val="16"/>
                <w:lang w:val="en-US"/>
              </w:rPr>
              <w:t> </w:t>
            </w:r>
          </w:p>
        </w:tc>
        <w:tc>
          <w:tcPr>
            <w:tcW w:w="1180" w:type="dxa"/>
            <w:tcBorders>
              <w:top w:val="nil"/>
              <w:left w:val="nil"/>
              <w:bottom w:val="single" w:sz="4" w:space="0" w:color="C7CFD8"/>
              <w:right w:val="nil"/>
            </w:tcBorders>
            <w:shd w:val="clear" w:color="auto" w:fill="auto"/>
            <w:noWrap/>
            <w:hideMark/>
          </w:tcPr>
          <w:p w14:paraId="63A81466" w14:textId="77777777" w:rsidR="00A8698F" w:rsidRPr="00A8698F" w:rsidRDefault="00A8698F" w:rsidP="00A8698F">
            <w:pPr>
              <w:spacing w:after="0" w:line="240" w:lineRule="auto"/>
              <w:jc w:val="right"/>
              <w:rPr>
                <w:rFonts w:ascii="Arial Narrow" w:eastAsia="Times New Roman" w:hAnsi="Arial Narrow" w:cs="Times New Roman"/>
                <w:b/>
                <w:bCs/>
                <w:sz w:val="16"/>
                <w:szCs w:val="16"/>
                <w:lang w:val="en-US"/>
              </w:rPr>
            </w:pPr>
            <w:r w:rsidRPr="00A8698F">
              <w:rPr>
                <w:rFonts w:ascii="Arial Narrow" w:eastAsia="Times New Roman" w:hAnsi="Arial Narrow" w:cs="Times New Roman"/>
                <w:b/>
                <w:bCs/>
                <w:sz w:val="16"/>
                <w:szCs w:val="16"/>
                <w:lang w:val="en-US"/>
              </w:rPr>
              <w:t> </w:t>
            </w:r>
          </w:p>
        </w:tc>
        <w:tc>
          <w:tcPr>
            <w:tcW w:w="1060" w:type="dxa"/>
            <w:tcBorders>
              <w:top w:val="nil"/>
              <w:left w:val="nil"/>
              <w:bottom w:val="single" w:sz="4" w:space="0" w:color="C7CFD8"/>
              <w:right w:val="nil"/>
            </w:tcBorders>
            <w:shd w:val="clear" w:color="auto" w:fill="auto"/>
            <w:noWrap/>
            <w:hideMark/>
          </w:tcPr>
          <w:p w14:paraId="42237175" w14:textId="77777777" w:rsidR="00A8698F" w:rsidRPr="00A8698F" w:rsidRDefault="00A8698F" w:rsidP="00A8698F">
            <w:pPr>
              <w:spacing w:after="0" w:line="240" w:lineRule="auto"/>
              <w:jc w:val="right"/>
              <w:rPr>
                <w:rFonts w:ascii="Arial Narrow" w:eastAsia="Times New Roman" w:hAnsi="Arial Narrow" w:cs="Times New Roman"/>
                <w:b/>
                <w:bCs/>
                <w:color w:val="FF0000"/>
                <w:sz w:val="16"/>
                <w:szCs w:val="16"/>
                <w:lang w:val="en-US"/>
              </w:rPr>
            </w:pPr>
            <w:r w:rsidRPr="00A8698F">
              <w:rPr>
                <w:rFonts w:ascii="Arial Narrow" w:eastAsia="Times New Roman" w:hAnsi="Arial Narrow" w:cs="Times New Roman"/>
                <w:b/>
                <w:bCs/>
                <w:color w:val="FF0000"/>
                <w:sz w:val="16"/>
                <w:szCs w:val="16"/>
                <w:lang w:val="en-US"/>
              </w:rPr>
              <w:t> </w:t>
            </w:r>
          </w:p>
        </w:tc>
        <w:tc>
          <w:tcPr>
            <w:tcW w:w="1060" w:type="dxa"/>
            <w:tcBorders>
              <w:top w:val="nil"/>
              <w:left w:val="nil"/>
              <w:bottom w:val="single" w:sz="4" w:space="0" w:color="C7CFD8"/>
              <w:right w:val="nil"/>
            </w:tcBorders>
            <w:shd w:val="clear" w:color="auto" w:fill="auto"/>
            <w:noWrap/>
            <w:hideMark/>
          </w:tcPr>
          <w:p w14:paraId="64C47EA0" w14:textId="77777777" w:rsidR="00A8698F" w:rsidRPr="00A8698F" w:rsidRDefault="00A8698F" w:rsidP="00A8698F">
            <w:pPr>
              <w:spacing w:after="0" w:line="240" w:lineRule="auto"/>
              <w:rPr>
                <w:rFonts w:ascii="Arial Narrow" w:eastAsia="Times New Roman" w:hAnsi="Arial Narrow" w:cs="Times New Roman"/>
                <w:b/>
                <w:bCs/>
                <w:color w:val="FF0000"/>
                <w:sz w:val="16"/>
                <w:szCs w:val="16"/>
                <w:lang w:val="en-US"/>
              </w:rPr>
            </w:pPr>
            <w:r w:rsidRPr="00A8698F">
              <w:rPr>
                <w:rFonts w:ascii="Arial Narrow" w:eastAsia="Times New Roman" w:hAnsi="Arial Narrow" w:cs="Times New Roman"/>
                <w:b/>
                <w:bCs/>
                <w:color w:val="FF0000"/>
                <w:sz w:val="16"/>
                <w:szCs w:val="16"/>
                <w:lang w:val="en-US"/>
              </w:rPr>
              <w:t> </w:t>
            </w:r>
          </w:p>
        </w:tc>
      </w:tr>
    </w:tbl>
    <w:p w14:paraId="19E07401" w14:textId="63735FB5" w:rsidR="005E744F" w:rsidRDefault="005E744F">
      <w:pPr>
        <w:spacing w:after="200" w:line="276"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40"/>
      </w:tblGrid>
      <w:tr w:rsidR="005E744F" w:rsidRPr="00034525" w14:paraId="4EFB9CF1" w14:textId="77777777" w:rsidTr="005E744F">
        <w:trPr>
          <w:trHeight w:val="72"/>
        </w:trPr>
        <w:tc>
          <w:tcPr>
            <w:tcW w:w="9540" w:type="dxa"/>
          </w:tcPr>
          <w:p w14:paraId="4EA94652" w14:textId="77777777" w:rsidR="005E744F" w:rsidRPr="00034525" w:rsidRDefault="005E744F" w:rsidP="005E744F">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p>
        </w:tc>
      </w:tr>
      <w:tr w:rsidR="005E744F" w:rsidRPr="00034525" w14:paraId="6B8536C6" w14:textId="77777777" w:rsidTr="005E744F">
        <w:trPr>
          <w:trHeight w:val="80"/>
        </w:trPr>
        <w:tc>
          <w:tcPr>
            <w:tcW w:w="9540" w:type="dxa"/>
          </w:tcPr>
          <w:p w14:paraId="25C0ABA2" w14:textId="77777777" w:rsidR="005E744F" w:rsidRPr="00034525" w:rsidRDefault="005E744F" w:rsidP="005E744F">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70932A5C" w14:textId="3239836B" w:rsidR="005E744F" w:rsidRDefault="005E744F" w:rsidP="005E744F">
      <w:pPr>
        <w:spacing w:after="0"/>
        <w:rPr>
          <w:rFonts w:asciiTheme="minorHAnsi" w:hAnsiTheme="minorHAnsi"/>
          <w:sz w:val="22"/>
        </w:rPr>
      </w:pPr>
    </w:p>
    <w:tbl>
      <w:tblPr>
        <w:tblW w:w="9310" w:type="dxa"/>
        <w:jc w:val="center"/>
        <w:tblLook w:val="04A0" w:firstRow="1" w:lastRow="0" w:firstColumn="1" w:lastColumn="0" w:noHBand="0" w:noVBand="1"/>
      </w:tblPr>
      <w:tblGrid>
        <w:gridCol w:w="2327"/>
        <w:gridCol w:w="1123"/>
        <w:gridCol w:w="1123"/>
        <w:gridCol w:w="1125"/>
        <w:gridCol w:w="1123"/>
        <w:gridCol w:w="1123"/>
        <w:gridCol w:w="1366"/>
      </w:tblGrid>
      <w:tr w:rsidR="005E744F" w:rsidRPr="00DC421D" w14:paraId="5152E69B" w14:textId="77777777" w:rsidTr="005E744F">
        <w:trPr>
          <w:trHeight w:val="659"/>
          <w:jc w:val="center"/>
        </w:trPr>
        <w:tc>
          <w:tcPr>
            <w:tcW w:w="2327" w:type="dxa"/>
            <w:tcBorders>
              <w:top w:val="nil"/>
              <w:left w:val="nil"/>
              <w:bottom w:val="nil"/>
              <w:right w:val="nil"/>
            </w:tcBorders>
            <w:shd w:val="clear" w:color="000000" w:fill="C7CFD8"/>
            <w:vAlign w:val="center"/>
            <w:hideMark/>
          </w:tcPr>
          <w:p w14:paraId="58CD02EE" w14:textId="77777777" w:rsidR="005E744F" w:rsidRPr="00DC421D" w:rsidRDefault="005E744F" w:rsidP="005E744F">
            <w:pPr>
              <w:spacing w:after="0" w:line="240" w:lineRule="auto"/>
              <w:jc w:val="center"/>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Fund-in-Trust (FIT)</w:t>
            </w:r>
          </w:p>
        </w:tc>
        <w:tc>
          <w:tcPr>
            <w:tcW w:w="1123" w:type="dxa"/>
            <w:tcBorders>
              <w:top w:val="nil"/>
              <w:left w:val="nil"/>
              <w:bottom w:val="nil"/>
              <w:right w:val="nil"/>
            </w:tcBorders>
            <w:shd w:val="clear" w:color="000000" w:fill="C7CFD8"/>
            <w:vAlign w:val="center"/>
            <w:hideMark/>
          </w:tcPr>
          <w:p w14:paraId="4BF659E0"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Balance as of December 31, 2022</w:t>
            </w:r>
          </w:p>
        </w:tc>
        <w:tc>
          <w:tcPr>
            <w:tcW w:w="1123" w:type="dxa"/>
            <w:tcBorders>
              <w:top w:val="nil"/>
              <w:left w:val="nil"/>
              <w:bottom w:val="nil"/>
              <w:right w:val="nil"/>
            </w:tcBorders>
            <w:shd w:val="clear" w:color="000000" w:fill="C7CFD8"/>
            <w:vAlign w:val="center"/>
            <w:hideMark/>
          </w:tcPr>
          <w:p w14:paraId="44E2B20D"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Estimated contributions </w:t>
            </w:r>
            <w:r w:rsidRPr="00DC421D">
              <w:rPr>
                <w:rFonts w:ascii="Arial Narrow" w:eastAsia="Times New Roman" w:hAnsi="Arial Narrow" w:cs="Times New Roman"/>
                <w:b/>
                <w:bCs/>
                <w:sz w:val="16"/>
                <w:szCs w:val="16"/>
                <w:lang w:val="en-US"/>
              </w:rPr>
              <w:br/>
              <w:t xml:space="preserve">2023 </w:t>
            </w:r>
          </w:p>
        </w:tc>
        <w:tc>
          <w:tcPr>
            <w:tcW w:w="1125" w:type="dxa"/>
            <w:tcBorders>
              <w:top w:val="nil"/>
              <w:left w:val="nil"/>
              <w:bottom w:val="nil"/>
              <w:right w:val="nil"/>
            </w:tcBorders>
            <w:shd w:val="clear" w:color="000000" w:fill="C7CFD8"/>
            <w:vAlign w:val="center"/>
            <w:hideMark/>
          </w:tcPr>
          <w:p w14:paraId="47D58818"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Estimated expenditure end 2023 </w:t>
            </w:r>
            <w:r w:rsidRPr="00DC421D">
              <w:rPr>
                <w:rFonts w:ascii="Arial Narrow" w:eastAsia="Times New Roman" w:hAnsi="Arial Narrow" w:cs="Times New Roman"/>
                <w:b/>
                <w:bCs/>
                <w:sz w:val="16"/>
                <w:szCs w:val="16"/>
                <w:vertAlign w:val="superscript"/>
                <w:lang w:val="en-US"/>
              </w:rPr>
              <w:t xml:space="preserve"> </w:t>
            </w:r>
          </w:p>
        </w:tc>
        <w:tc>
          <w:tcPr>
            <w:tcW w:w="1123" w:type="dxa"/>
            <w:tcBorders>
              <w:top w:val="nil"/>
              <w:left w:val="nil"/>
              <w:bottom w:val="nil"/>
              <w:right w:val="nil"/>
            </w:tcBorders>
            <w:shd w:val="clear" w:color="000000" w:fill="C7CFD8"/>
            <w:vAlign w:val="center"/>
            <w:hideMark/>
          </w:tcPr>
          <w:p w14:paraId="65D2E5B8"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 Expected balance end 2023 </w:t>
            </w:r>
          </w:p>
        </w:tc>
        <w:tc>
          <w:tcPr>
            <w:tcW w:w="1123" w:type="dxa"/>
            <w:tcBorders>
              <w:top w:val="nil"/>
              <w:left w:val="nil"/>
              <w:bottom w:val="nil"/>
              <w:right w:val="nil"/>
            </w:tcBorders>
            <w:shd w:val="clear" w:color="000000" w:fill="C7CFD8"/>
            <w:vAlign w:val="center"/>
            <w:hideMark/>
          </w:tcPr>
          <w:p w14:paraId="66C3BE59"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Estimated contributions 2024/25 </w:t>
            </w:r>
            <w:r w:rsidRPr="00DC421D">
              <w:rPr>
                <w:rFonts w:ascii="Arial Narrow" w:eastAsia="Times New Roman" w:hAnsi="Arial Narrow" w:cs="Times New Roman"/>
                <w:b/>
                <w:bCs/>
                <w:sz w:val="16"/>
                <w:szCs w:val="16"/>
                <w:vertAlign w:val="superscript"/>
                <w:lang w:val="en-US"/>
              </w:rPr>
              <w:t xml:space="preserve"> </w:t>
            </w:r>
          </w:p>
        </w:tc>
        <w:tc>
          <w:tcPr>
            <w:tcW w:w="1366" w:type="dxa"/>
            <w:tcBorders>
              <w:top w:val="nil"/>
              <w:left w:val="nil"/>
              <w:bottom w:val="nil"/>
              <w:right w:val="nil"/>
            </w:tcBorders>
            <w:shd w:val="clear" w:color="000000" w:fill="C7CFD8"/>
            <w:vAlign w:val="center"/>
            <w:hideMark/>
          </w:tcPr>
          <w:p w14:paraId="7E6A5BDB"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 Estimated amount available for programming in 2024/25 </w:t>
            </w:r>
          </w:p>
        </w:tc>
      </w:tr>
      <w:tr w:rsidR="005E744F" w:rsidRPr="00DC421D" w14:paraId="1ED21DBD" w14:textId="77777777" w:rsidTr="005E744F">
        <w:trPr>
          <w:trHeight w:val="46"/>
          <w:jc w:val="center"/>
        </w:trPr>
        <w:tc>
          <w:tcPr>
            <w:tcW w:w="2327" w:type="dxa"/>
            <w:tcBorders>
              <w:top w:val="nil"/>
              <w:left w:val="nil"/>
              <w:bottom w:val="nil"/>
              <w:right w:val="nil"/>
            </w:tcBorders>
            <w:shd w:val="clear" w:color="auto" w:fill="auto"/>
            <w:vAlign w:val="center"/>
            <w:hideMark/>
          </w:tcPr>
          <w:p w14:paraId="7465A07F"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p>
        </w:tc>
        <w:tc>
          <w:tcPr>
            <w:tcW w:w="1123" w:type="dxa"/>
            <w:tcBorders>
              <w:top w:val="nil"/>
              <w:left w:val="nil"/>
              <w:bottom w:val="nil"/>
              <w:right w:val="nil"/>
            </w:tcBorders>
            <w:shd w:val="clear" w:color="auto" w:fill="auto"/>
            <w:vAlign w:val="center"/>
            <w:hideMark/>
          </w:tcPr>
          <w:p w14:paraId="79CB2052" w14:textId="77777777" w:rsidR="005E744F" w:rsidRPr="00DC421D" w:rsidRDefault="005E744F" w:rsidP="005E744F">
            <w:pPr>
              <w:spacing w:after="0" w:line="240" w:lineRule="auto"/>
              <w:jc w:val="center"/>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vAlign w:val="center"/>
            <w:hideMark/>
          </w:tcPr>
          <w:p w14:paraId="00A3D11F" w14:textId="77777777" w:rsidR="005E744F" w:rsidRPr="00DC421D" w:rsidRDefault="005E744F" w:rsidP="005E744F">
            <w:pPr>
              <w:spacing w:after="0" w:line="240" w:lineRule="auto"/>
              <w:jc w:val="right"/>
              <w:rPr>
                <w:rFonts w:ascii="Times New Roman" w:eastAsia="Times New Roman" w:hAnsi="Times New Roman" w:cs="Times New Roman"/>
                <w:sz w:val="20"/>
                <w:szCs w:val="20"/>
                <w:lang w:val="en-US"/>
              </w:rPr>
            </w:pPr>
          </w:p>
        </w:tc>
        <w:tc>
          <w:tcPr>
            <w:tcW w:w="1125" w:type="dxa"/>
            <w:tcBorders>
              <w:top w:val="nil"/>
              <w:left w:val="nil"/>
              <w:bottom w:val="nil"/>
              <w:right w:val="nil"/>
            </w:tcBorders>
            <w:shd w:val="clear" w:color="auto" w:fill="auto"/>
            <w:vAlign w:val="center"/>
            <w:hideMark/>
          </w:tcPr>
          <w:p w14:paraId="279A31F5" w14:textId="77777777" w:rsidR="005E744F" w:rsidRPr="00DC421D" w:rsidRDefault="005E744F" w:rsidP="005E744F">
            <w:pPr>
              <w:spacing w:after="0" w:line="240" w:lineRule="auto"/>
              <w:jc w:val="right"/>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vAlign w:val="center"/>
            <w:hideMark/>
          </w:tcPr>
          <w:p w14:paraId="617B5779" w14:textId="77777777" w:rsidR="005E744F" w:rsidRPr="00DC421D" w:rsidRDefault="005E744F" w:rsidP="005E744F">
            <w:pPr>
              <w:spacing w:after="0" w:line="240" w:lineRule="auto"/>
              <w:jc w:val="right"/>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vAlign w:val="center"/>
            <w:hideMark/>
          </w:tcPr>
          <w:p w14:paraId="53D7AFA2" w14:textId="77777777" w:rsidR="005E744F" w:rsidRPr="00DC421D" w:rsidRDefault="005E744F" w:rsidP="005E744F">
            <w:pPr>
              <w:spacing w:after="0" w:line="240" w:lineRule="auto"/>
              <w:jc w:val="right"/>
              <w:rPr>
                <w:rFonts w:ascii="Times New Roman" w:eastAsia="Times New Roman" w:hAnsi="Times New Roman" w:cs="Times New Roman"/>
                <w:sz w:val="20"/>
                <w:szCs w:val="20"/>
                <w:lang w:val="en-US"/>
              </w:rPr>
            </w:pPr>
          </w:p>
        </w:tc>
        <w:tc>
          <w:tcPr>
            <w:tcW w:w="1366" w:type="dxa"/>
            <w:tcBorders>
              <w:top w:val="nil"/>
              <w:left w:val="nil"/>
              <w:bottom w:val="nil"/>
              <w:right w:val="nil"/>
            </w:tcBorders>
            <w:shd w:val="clear" w:color="auto" w:fill="auto"/>
            <w:vAlign w:val="center"/>
            <w:hideMark/>
          </w:tcPr>
          <w:p w14:paraId="1479C6F3" w14:textId="77777777" w:rsidR="005E744F" w:rsidRPr="00DC421D" w:rsidRDefault="005E744F" w:rsidP="005E744F">
            <w:pPr>
              <w:spacing w:after="0" w:line="240" w:lineRule="auto"/>
              <w:jc w:val="right"/>
              <w:rPr>
                <w:rFonts w:ascii="Times New Roman" w:eastAsia="Times New Roman" w:hAnsi="Times New Roman" w:cs="Times New Roman"/>
                <w:sz w:val="20"/>
                <w:szCs w:val="20"/>
                <w:lang w:val="en-US"/>
              </w:rPr>
            </w:pPr>
          </w:p>
        </w:tc>
      </w:tr>
      <w:tr w:rsidR="005E744F" w:rsidRPr="00DC421D" w14:paraId="0CEEFCF4" w14:textId="77777777" w:rsidTr="005E744F">
        <w:trPr>
          <w:trHeight w:val="300"/>
          <w:jc w:val="center"/>
        </w:trPr>
        <w:tc>
          <w:tcPr>
            <w:tcW w:w="2327" w:type="dxa"/>
            <w:tcBorders>
              <w:top w:val="nil"/>
              <w:left w:val="nil"/>
              <w:bottom w:val="nil"/>
              <w:right w:val="nil"/>
            </w:tcBorders>
            <w:shd w:val="clear" w:color="000000" w:fill="FFFFFF"/>
            <w:hideMark/>
          </w:tcPr>
          <w:p w14:paraId="7DCB9DBE" w14:textId="77777777" w:rsidR="005E744F" w:rsidRPr="00DC421D" w:rsidRDefault="005E744F" w:rsidP="005E744F">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Spain (Industrial Property)</w:t>
            </w:r>
          </w:p>
        </w:tc>
        <w:tc>
          <w:tcPr>
            <w:tcW w:w="1123" w:type="dxa"/>
            <w:tcBorders>
              <w:top w:val="nil"/>
              <w:left w:val="nil"/>
              <w:bottom w:val="nil"/>
              <w:right w:val="nil"/>
            </w:tcBorders>
            <w:shd w:val="clear" w:color="000000" w:fill="FFFFFF"/>
            <w:noWrap/>
            <w:hideMark/>
          </w:tcPr>
          <w:p w14:paraId="076F8A2C"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152</w:t>
            </w:r>
          </w:p>
        </w:tc>
        <w:tc>
          <w:tcPr>
            <w:tcW w:w="1123" w:type="dxa"/>
            <w:tcBorders>
              <w:top w:val="nil"/>
              <w:left w:val="nil"/>
              <w:bottom w:val="nil"/>
              <w:right w:val="nil"/>
            </w:tcBorders>
            <w:shd w:val="clear" w:color="000000" w:fill="FFFFFF"/>
            <w:noWrap/>
            <w:hideMark/>
          </w:tcPr>
          <w:p w14:paraId="5D146F1B"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198</w:t>
            </w:r>
          </w:p>
        </w:tc>
        <w:tc>
          <w:tcPr>
            <w:tcW w:w="1125" w:type="dxa"/>
            <w:tcBorders>
              <w:top w:val="nil"/>
              <w:left w:val="nil"/>
              <w:bottom w:val="nil"/>
              <w:right w:val="nil"/>
            </w:tcBorders>
            <w:shd w:val="clear" w:color="000000" w:fill="FFFFFF"/>
            <w:noWrap/>
            <w:hideMark/>
          </w:tcPr>
          <w:p w14:paraId="73F756B1"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267</w:t>
            </w:r>
          </w:p>
        </w:tc>
        <w:tc>
          <w:tcPr>
            <w:tcW w:w="1123" w:type="dxa"/>
            <w:tcBorders>
              <w:top w:val="nil"/>
              <w:left w:val="nil"/>
              <w:bottom w:val="nil"/>
              <w:right w:val="nil"/>
            </w:tcBorders>
            <w:shd w:val="clear" w:color="000000" w:fill="FFFFFF"/>
            <w:noWrap/>
            <w:hideMark/>
          </w:tcPr>
          <w:p w14:paraId="72C5B61D"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84</w:t>
            </w:r>
          </w:p>
        </w:tc>
        <w:tc>
          <w:tcPr>
            <w:tcW w:w="1123" w:type="dxa"/>
            <w:tcBorders>
              <w:top w:val="nil"/>
              <w:left w:val="nil"/>
              <w:bottom w:val="nil"/>
              <w:right w:val="nil"/>
            </w:tcBorders>
            <w:shd w:val="clear" w:color="000000" w:fill="FFFFFF"/>
            <w:noWrap/>
            <w:hideMark/>
          </w:tcPr>
          <w:p w14:paraId="25E87371"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397</w:t>
            </w:r>
          </w:p>
        </w:tc>
        <w:tc>
          <w:tcPr>
            <w:tcW w:w="1366" w:type="dxa"/>
            <w:tcBorders>
              <w:top w:val="nil"/>
              <w:left w:val="nil"/>
              <w:bottom w:val="nil"/>
              <w:right w:val="nil"/>
            </w:tcBorders>
            <w:shd w:val="clear" w:color="000000" w:fill="FFFFFF"/>
            <w:noWrap/>
            <w:hideMark/>
          </w:tcPr>
          <w:p w14:paraId="61A18818"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480</w:t>
            </w:r>
          </w:p>
        </w:tc>
      </w:tr>
      <w:tr w:rsidR="005E744F" w:rsidRPr="00DC421D" w14:paraId="1A8A85F8" w14:textId="77777777" w:rsidTr="005E744F">
        <w:trPr>
          <w:trHeight w:val="312"/>
          <w:jc w:val="center"/>
        </w:trPr>
        <w:tc>
          <w:tcPr>
            <w:tcW w:w="2327" w:type="dxa"/>
            <w:tcBorders>
              <w:top w:val="nil"/>
              <w:left w:val="nil"/>
              <w:bottom w:val="nil"/>
              <w:right w:val="nil"/>
            </w:tcBorders>
            <w:shd w:val="clear" w:color="000000" w:fill="FFFFFF"/>
            <w:hideMark/>
          </w:tcPr>
          <w:p w14:paraId="476AD643" w14:textId="77777777" w:rsidR="005E744F" w:rsidRPr="00DC421D" w:rsidRDefault="005E744F" w:rsidP="005E744F">
            <w:pPr>
              <w:spacing w:after="0" w:line="240" w:lineRule="auto"/>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Republic of Korea (Promotion of ADR Services)</w:t>
            </w:r>
          </w:p>
        </w:tc>
        <w:tc>
          <w:tcPr>
            <w:tcW w:w="1123" w:type="dxa"/>
            <w:tcBorders>
              <w:top w:val="nil"/>
              <w:left w:val="nil"/>
              <w:bottom w:val="nil"/>
              <w:right w:val="nil"/>
            </w:tcBorders>
            <w:shd w:val="clear" w:color="000000" w:fill="FFFFFF"/>
            <w:noWrap/>
            <w:hideMark/>
          </w:tcPr>
          <w:p w14:paraId="68AA95F7"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232</w:t>
            </w:r>
          </w:p>
        </w:tc>
        <w:tc>
          <w:tcPr>
            <w:tcW w:w="1123" w:type="dxa"/>
            <w:tcBorders>
              <w:top w:val="nil"/>
              <w:left w:val="nil"/>
              <w:bottom w:val="nil"/>
              <w:right w:val="nil"/>
            </w:tcBorders>
            <w:shd w:val="clear" w:color="000000" w:fill="FFFFFF"/>
            <w:noWrap/>
            <w:hideMark/>
          </w:tcPr>
          <w:p w14:paraId="73480576"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134</w:t>
            </w:r>
          </w:p>
        </w:tc>
        <w:tc>
          <w:tcPr>
            <w:tcW w:w="1125" w:type="dxa"/>
            <w:tcBorders>
              <w:top w:val="nil"/>
              <w:left w:val="nil"/>
              <w:bottom w:val="nil"/>
              <w:right w:val="nil"/>
            </w:tcBorders>
            <w:shd w:val="clear" w:color="000000" w:fill="FFFFFF"/>
            <w:noWrap/>
            <w:hideMark/>
          </w:tcPr>
          <w:p w14:paraId="2D066CD0"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100</w:t>
            </w:r>
          </w:p>
        </w:tc>
        <w:tc>
          <w:tcPr>
            <w:tcW w:w="1123" w:type="dxa"/>
            <w:tcBorders>
              <w:top w:val="nil"/>
              <w:left w:val="nil"/>
              <w:bottom w:val="nil"/>
              <w:right w:val="nil"/>
            </w:tcBorders>
            <w:shd w:val="clear" w:color="000000" w:fill="FFFFFF"/>
            <w:noWrap/>
            <w:hideMark/>
          </w:tcPr>
          <w:p w14:paraId="6A894598"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266</w:t>
            </w:r>
          </w:p>
        </w:tc>
        <w:tc>
          <w:tcPr>
            <w:tcW w:w="1123" w:type="dxa"/>
            <w:tcBorders>
              <w:top w:val="nil"/>
              <w:left w:val="nil"/>
              <w:bottom w:val="nil"/>
              <w:right w:val="nil"/>
            </w:tcBorders>
            <w:shd w:val="clear" w:color="000000" w:fill="FFFFFF"/>
            <w:noWrap/>
            <w:hideMark/>
          </w:tcPr>
          <w:p w14:paraId="2F3FD6D9"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269</w:t>
            </w:r>
          </w:p>
        </w:tc>
        <w:tc>
          <w:tcPr>
            <w:tcW w:w="1366" w:type="dxa"/>
            <w:tcBorders>
              <w:top w:val="nil"/>
              <w:left w:val="nil"/>
              <w:bottom w:val="nil"/>
              <w:right w:val="nil"/>
            </w:tcBorders>
            <w:shd w:val="clear" w:color="000000" w:fill="FFFFFF"/>
            <w:noWrap/>
            <w:hideMark/>
          </w:tcPr>
          <w:p w14:paraId="3F221B9F" w14:textId="77777777" w:rsidR="005E744F" w:rsidRPr="00DC421D" w:rsidRDefault="005E744F" w:rsidP="005E744F">
            <w:pPr>
              <w:spacing w:after="0" w:line="240" w:lineRule="auto"/>
              <w:jc w:val="right"/>
              <w:rPr>
                <w:rFonts w:ascii="Arial Narrow" w:eastAsia="Times New Roman" w:hAnsi="Arial Narrow" w:cs="Times New Roman"/>
                <w:sz w:val="16"/>
                <w:szCs w:val="16"/>
                <w:lang w:val="en-US"/>
              </w:rPr>
            </w:pPr>
            <w:r w:rsidRPr="00DC421D">
              <w:rPr>
                <w:rFonts w:ascii="Arial Narrow" w:eastAsia="Times New Roman" w:hAnsi="Arial Narrow" w:cs="Times New Roman"/>
                <w:sz w:val="16"/>
                <w:szCs w:val="16"/>
                <w:lang w:val="en-US"/>
              </w:rPr>
              <w:t>535</w:t>
            </w:r>
          </w:p>
        </w:tc>
      </w:tr>
      <w:tr w:rsidR="005E744F" w:rsidRPr="00DC421D" w14:paraId="552B4601" w14:textId="77777777" w:rsidTr="005E744F">
        <w:trPr>
          <w:trHeight w:val="219"/>
          <w:jc w:val="center"/>
        </w:trPr>
        <w:tc>
          <w:tcPr>
            <w:tcW w:w="2327" w:type="dxa"/>
            <w:tcBorders>
              <w:top w:val="single" w:sz="4" w:space="0" w:color="BFBFBF"/>
              <w:left w:val="nil"/>
              <w:bottom w:val="single" w:sz="4" w:space="0" w:color="BFBFBF"/>
              <w:right w:val="nil"/>
            </w:tcBorders>
            <w:shd w:val="clear" w:color="000000" w:fill="FFFFFF"/>
            <w:vAlign w:val="center"/>
            <w:hideMark/>
          </w:tcPr>
          <w:p w14:paraId="4F424173" w14:textId="77777777" w:rsidR="005E744F" w:rsidRPr="00DC421D" w:rsidRDefault="005E744F" w:rsidP="005E744F">
            <w:pPr>
              <w:spacing w:after="0" w:line="240" w:lineRule="auto"/>
              <w:ind w:firstLineChars="200" w:firstLine="320"/>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 xml:space="preserve"> Total</w:t>
            </w:r>
          </w:p>
        </w:tc>
        <w:tc>
          <w:tcPr>
            <w:tcW w:w="1123" w:type="dxa"/>
            <w:tcBorders>
              <w:top w:val="single" w:sz="4" w:space="0" w:color="BFBFBF"/>
              <w:left w:val="nil"/>
              <w:bottom w:val="single" w:sz="4" w:space="0" w:color="BFBFBF"/>
              <w:right w:val="nil"/>
            </w:tcBorders>
            <w:shd w:val="clear" w:color="000000" w:fill="FFFFFF"/>
            <w:vAlign w:val="center"/>
            <w:hideMark/>
          </w:tcPr>
          <w:p w14:paraId="3BD5C81F"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384</w:t>
            </w:r>
          </w:p>
        </w:tc>
        <w:tc>
          <w:tcPr>
            <w:tcW w:w="1123" w:type="dxa"/>
            <w:tcBorders>
              <w:top w:val="single" w:sz="4" w:space="0" w:color="BFBFBF"/>
              <w:left w:val="nil"/>
              <w:bottom w:val="single" w:sz="4" w:space="0" w:color="BFBFBF"/>
              <w:right w:val="nil"/>
            </w:tcBorders>
            <w:shd w:val="clear" w:color="000000" w:fill="FFFFFF"/>
            <w:vAlign w:val="center"/>
            <w:hideMark/>
          </w:tcPr>
          <w:p w14:paraId="136B23F5"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333</w:t>
            </w:r>
          </w:p>
        </w:tc>
        <w:tc>
          <w:tcPr>
            <w:tcW w:w="1125" w:type="dxa"/>
            <w:tcBorders>
              <w:top w:val="single" w:sz="4" w:space="0" w:color="BFBFBF"/>
              <w:left w:val="nil"/>
              <w:bottom w:val="single" w:sz="4" w:space="0" w:color="BFBFBF"/>
              <w:right w:val="nil"/>
            </w:tcBorders>
            <w:shd w:val="clear" w:color="000000" w:fill="FFFFFF"/>
            <w:vAlign w:val="center"/>
            <w:hideMark/>
          </w:tcPr>
          <w:p w14:paraId="104F278D"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367</w:t>
            </w:r>
          </w:p>
        </w:tc>
        <w:tc>
          <w:tcPr>
            <w:tcW w:w="1123" w:type="dxa"/>
            <w:tcBorders>
              <w:top w:val="single" w:sz="4" w:space="0" w:color="BFBFBF"/>
              <w:left w:val="nil"/>
              <w:bottom w:val="single" w:sz="4" w:space="0" w:color="BFBFBF"/>
              <w:right w:val="nil"/>
            </w:tcBorders>
            <w:shd w:val="clear" w:color="000000" w:fill="FFFFFF"/>
            <w:vAlign w:val="center"/>
            <w:hideMark/>
          </w:tcPr>
          <w:p w14:paraId="47AD12E1"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350</w:t>
            </w:r>
          </w:p>
        </w:tc>
        <w:tc>
          <w:tcPr>
            <w:tcW w:w="1123" w:type="dxa"/>
            <w:tcBorders>
              <w:top w:val="single" w:sz="4" w:space="0" w:color="BFBFBF"/>
              <w:left w:val="nil"/>
              <w:bottom w:val="single" w:sz="4" w:space="0" w:color="BFBFBF"/>
              <w:right w:val="nil"/>
            </w:tcBorders>
            <w:shd w:val="clear" w:color="000000" w:fill="FFFFFF"/>
            <w:vAlign w:val="center"/>
            <w:hideMark/>
          </w:tcPr>
          <w:p w14:paraId="55BA2697"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666</w:t>
            </w:r>
          </w:p>
        </w:tc>
        <w:tc>
          <w:tcPr>
            <w:tcW w:w="1366" w:type="dxa"/>
            <w:tcBorders>
              <w:top w:val="single" w:sz="4" w:space="0" w:color="BFBFBF"/>
              <w:left w:val="nil"/>
              <w:bottom w:val="single" w:sz="4" w:space="0" w:color="BFBFBF"/>
              <w:right w:val="nil"/>
            </w:tcBorders>
            <w:shd w:val="clear" w:color="000000" w:fill="FFFFFF"/>
            <w:vAlign w:val="center"/>
            <w:hideMark/>
          </w:tcPr>
          <w:p w14:paraId="61675B6D"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r w:rsidRPr="00DC421D">
              <w:rPr>
                <w:rFonts w:ascii="Arial Narrow" w:eastAsia="Times New Roman" w:hAnsi="Arial Narrow" w:cs="Times New Roman"/>
                <w:b/>
                <w:bCs/>
                <w:sz w:val="16"/>
                <w:szCs w:val="16"/>
                <w:lang w:val="en-US"/>
              </w:rPr>
              <w:t>1,016</w:t>
            </w:r>
          </w:p>
        </w:tc>
      </w:tr>
      <w:tr w:rsidR="005E744F" w:rsidRPr="00DC421D" w14:paraId="6D4EB841" w14:textId="77777777" w:rsidTr="005E744F">
        <w:trPr>
          <w:trHeight w:val="57"/>
          <w:jc w:val="center"/>
        </w:trPr>
        <w:tc>
          <w:tcPr>
            <w:tcW w:w="2327" w:type="dxa"/>
            <w:tcBorders>
              <w:top w:val="nil"/>
              <w:left w:val="nil"/>
              <w:bottom w:val="nil"/>
              <w:right w:val="nil"/>
            </w:tcBorders>
            <w:shd w:val="clear" w:color="auto" w:fill="auto"/>
            <w:noWrap/>
            <w:vAlign w:val="bottom"/>
            <w:hideMark/>
          </w:tcPr>
          <w:p w14:paraId="7829734B" w14:textId="77777777" w:rsidR="005E744F" w:rsidRPr="00DC421D" w:rsidRDefault="005E744F" w:rsidP="005E744F">
            <w:pPr>
              <w:spacing w:after="0" w:line="240" w:lineRule="auto"/>
              <w:jc w:val="right"/>
              <w:rPr>
                <w:rFonts w:ascii="Arial Narrow" w:eastAsia="Times New Roman" w:hAnsi="Arial Narrow" w:cs="Times New Roman"/>
                <w:b/>
                <w:bCs/>
                <w:sz w:val="16"/>
                <w:szCs w:val="16"/>
                <w:lang w:val="en-US"/>
              </w:rPr>
            </w:pPr>
          </w:p>
        </w:tc>
        <w:tc>
          <w:tcPr>
            <w:tcW w:w="1123" w:type="dxa"/>
            <w:tcBorders>
              <w:top w:val="nil"/>
              <w:left w:val="nil"/>
              <w:bottom w:val="nil"/>
              <w:right w:val="nil"/>
            </w:tcBorders>
            <w:shd w:val="clear" w:color="auto" w:fill="auto"/>
            <w:noWrap/>
            <w:vAlign w:val="bottom"/>
            <w:hideMark/>
          </w:tcPr>
          <w:p w14:paraId="693909C4"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noWrap/>
            <w:vAlign w:val="bottom"/>
            <w:hideMark/>
          </w:tcPr>
          <w:p w14:paraId="4C38986B"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c>
          <w:tcPr>
            <w:tcW w:w="1125" w:type="dxa"/>
            <w:tcBorders>
              <w:top w:val="nil"/>
              <w:left w:val="nil"/>
              <w:bottom w:val="nil"/>
              <w:right w:val="nil"/>
            </w:tcBorders>
            <w:shd w:val="clear" w:color="auto" w:fill="auto"/>
            <w:noWrap/>
            <w:vAlign w:val="bottom"/>
            <w:hideMark/>
          </w:tcPr>
          <w:p w14:paraId="323C1025"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noWrap/>
            <w:vAlign w:val="bottom"/>
            <w:hideMark/>
          </w:tcPr>
          <w:p w14:paraId="45443C06"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c>
          <w:tcPr>
            <w:tcW w:w="1123" w:type="dxa"/>
            <w:tcBorders>
              <w:top w:val="nil"/>
              <w:left w:val="nil"/>
              <w:bottom w:val="nil"/>
              <w:right w:val="nil"/>
            </w:tcBorders>
            <w:shd w:val="clear" w:color="auto" w:fill="auto"/>
            <w:noWrap/>
            <w:vAlign w:val="bottom"/>
            <w:hideMark/>
          </w:tcPr>
          <w:p w14:paraId="65BF9130"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c>
          <w:tcPr>
            <w:tcW w:w="1366" w:type="dxa"/>
            <w:tcBorders>
              <w:top w:val="nil"/>
              <w:left w:val="nil"/>
              <w:bottom w:val="nil"/>
              <w:right w:val="nil"/>
            </w:tcBorders>
            <w:shd w:val="clear" w:color="auto" w:fill="auto"/>
            <w:noWrap/>
            <w:vAlign w:val="bottom"/>
            <w:hideMark/>
          </w:tcPr>
          <w:p w14:paraId="0131C492" w14:textId="77777777" w:rsidR="005E744F" w:rsidRPr="00DC421D" w:rsidRDefault="005E744F" w:rsidP="005E744F">
            <w:pPr>
              <w:spacing w:after="0" w:line="240" w:lineRule="auto"/>
              <w:rPr>
                <w:rFonts w:ascii="Times New Roman" w:eastAsia="Times New Roman" w:hAnsi="Times New Roman" w:cs="Times New Roman"/>
                <w:sz w:val="20"/>
                <w:szCs w:val="20"/>
                <w:lang w:val="en-US"/>
              </w:rPr>
            </w:pPr>
          </w:p>
        </w:tc>
      </w:tr>
    </w:tbl>
    <w:p w14:paraId="326D0B71" w14:textId="12391078" w:rsidR="001D22F5" w:rsidRDefault="001D22F5">
      <w:pPr>
        <w:spacing w:after="200" w:line="276" w:lineRule="auto"/>
        <w:rPr>
          <w:b/>
          <w:color w:val="005172" w:themeColor="text2"/>
          <w:sz w:val="32"/>
          <w:lang w:val="en-US"/>
        </w:rPr>
      </w:pPr>
      <w:r>
        <w:br w:type="page"/>
      </w:r>
    </w:p>
    <w:p w14:paraId="36585F1D" w14:textId="28A3E3F6" w:rsidR="00034E17" w:rsidRPr="00D350B5" w:rsidRDefault="00972877" w:rsidP="005320C7">
      <w:pPr>
        <w:pStyle w:val="SectorTitle"/>
      </w:pPr>
      <w:bookmarkStart w:id="31" w:name="_Toc131175990"/>
      <w:r w:rsidRPr="00972877">
        <w:t>Administration, Finance and Management</w:t>
      </w:r>
      <w:bookmarkEnd w:id="31"/>
      <w:r w:rsidRPr="00972877">
        <w:t> </w:t>
      </w:r>
      <w:r w:rsidR="00F80C9B" w:rsidRPr="00D350B5">
        <w:tab/>
      </w:r>
    </w:p>
    <w:p w14:paraId="0903986A" w14:textId="77777777" w:rsidR="008D2CBF" w:rsidRDefault="008D2CBF" w:rsidP="008D2CBF">
      <w:pPr>
        <w:pStyle w:val="Heading1NoNumb"/>
        <w:rPr>
          <w:lang w:val="en-US"/>
        </w:rPr>
      </w:pPr>
      <w:r w:rsidRPr="00D350B5">
        <w:rPr>
          <w:lang w:val="en-US"/>
        </w:rPr>
        <w:t>Implementation Strategies</w:t>
      </w:r>
    </w:p>
    <w:p w14:paraId="69FADB18" w14:textId="77777777" w:rsidR="008D2CBF" w:rsidRPr="003E1CD9" w:rsidRDefault="008D2CBF" w:rsidP="008D2CBF">
      <w:pPr>
        <w:rPr>
          <w:b/>
        </w:rPr>
      </w:pPr>
      <w:r w:rsidRPr="003E1CD9">
        <w:rPr>
          <w:rFonts w:cs="Arial"/>
          <w:szCs w:val="18"/>
        </w:rPr>
        <w:t xml:space="preserve">The Administration, Finance and Management (AFM) Sector is responsible for WIPO’s operating platform, providing the foundation for the delivery of results across the Organization, and driving overall performance in a sustainable and secure manner. </w:t>
      </w:r>
      <w:r>
        <w:rPr>
          <w:rFonts w:cs="Arial"/>
          <w:szCs w:val="18"/>
        </w:rPr>
        <w:t xml:space="preserve"> </w:t>
      </w:r>
      <w:r w:rsidRPr="003E1CD9">
        <w:rPr>
          <w:rFonts w:cs="Arial"/>
          <w:szCs w:val="18"/>
        </w:rPr>
        <w:t xml:space="preserve">More broadly, given its critical role in building the Foundation of the Organization, the Sector also plays an important role in providing WIPO Staff with the right resources to work effectively, collaboratively and innovatively. </w:t>
      </w:r>
    </w:p>
    <w:p w14:paraId="57B41796" w14:textId="50313028" w:rsidR="008D2CBF" w:rsidRPr="003E1CD9" w:rsidRDefault="008D2CBF" w:rsidP="008D2CBF">
      <w:pPr>
        <w:rPr>
          <w:rFonts w:cs="Arial"/>
          <w:szCs w:val="18"/>
        </w:rPr>
      </w:pPr>
      <w:r w:rsidRPr="003E1CD9">
        <w:rPr>
          <w:rFonts w:cs="Arial"/>
          <w:szCs w:val="18"/>
        </w:rPr>
        <w:t>There are several key elements to the work of the Sector. Firstly, ensuring that resources are allocated across WIPO in line with the Program of Work and Budget and Capital Master Plan agreed by Member States, and are managed effectively through appropriate governance and enterprise performance management (EPM) systems.  Secondly, ensuring that WIPO’s information and communication technology architecture and solutions are optimized, driving further digitization across the Organization and better use of data, whilst maintaining high levels of information security.  Thirdly, delivering reliable services to internal and external clients</w:t>
      </w:r>
      <w:r>
        <w:rPr>
          <w:rFonts w:cs="Arial"/>
          <w:szCs w:val="18"/>
        </w:rPr>
        <w:t>,</w:t>
      </w:r>
      <w:r w:rsidRPr="00E25896">
        <w:rPr>
          <w:rFonts w:cs="Arial"/>
          <w:szCs w:val="18"/>
        </w:rPr>
        <w:t xml:space="preserve"> </w:t>
      </w:r>
      <w:r>
        <w:rPr>
          <w:rFonts w:cs="Arial"/>
          <w:szCs w:val="18"/>
        </w:rPr>
        <w:t>including</w:t>
      </w:r>
      <w:r w:rsidR="00E70A9F">
        <w:rPr>
          <w:rFonts w:cs="Arial"/>
          <w:szCs w:val="18"/>
        </w:rPr>
        <w:t>:</w:t>
      </w:r>
      <w:r>
        <w:rPr>
          <w:rFonts w:cs="Arial"/>
          <w:szCs w:val="18"/>
        </w:rPr>
        <w:t xml:space="preserve"> (i) </w:t>
      </w:r>
      <w:r w:rsidRPr="00E25896">
        <w:rPr>
          <w:rFonts w:cs="Arial"/>
          <w:szCs w:val="18"/>
        </w:rPr>
        <w:t>effective support and advice to the Secretariat and Member States on a wide range of constitutional, contract, treaty, and administrative law matters</w:t>
      </w:r>
      <w:r>
        <w:rPr>
          <w:rFonts w:cs="Arial"/>
          <w:szCs w:val="18"/>
        </w:rPr>
        <w:t xml:space="preserve">; (ii) quality language services in support of WIPO’s commitment to multiligualism and consistent with WIPO’s Revised Language Policy; and (iii) ensuring a </w:t>
      </w:r>
      <w:r w:rsidRPr="003E1CD9">
        <w:rPr>
          <w:rFonts w:cs="Arial"/>
          <w:szCs w:val="18"/>
        </w:rPr>
        <w:t>fit-for-purpose</w:t>
      </w:r>
      <w:r>
        <w:rPr>
          <w:rFonts w:cs="Arial"/>
          <w:szCs w:val="18"/>
        </w:rPr>
        <w:t>,</w:t>
      </w:r>
      <w:r w:rsidRPr="003E1CD9">
        <w:rPr>
          <w:rFonts w:cs="Arial"/>
          <w:szCs w:val="18"/>
        </w:rPr>
        <w:t xml:space="preserve"> </w:t>
      </w:r>
      <w:r>
        <w:rPr>
          <w:rFonts w:cs="Arial"/>
          <w:szCs w:val="18"/>
        </w:rPr>
        <w:t>secure and sustainable WIPO Campus.</w:t>
      </w:r>
      <w:r w:rsidRPr="003E1CD9">
        <w:rPr>
          <w:rFonts w:cs="Arial"/>
          <w:szCs w:val="18"/>
        </w:rPr>
        <w:t xml:space="preserve">  Finally, overseeing WIPO’s organizational resilience framework, ensuring that the Organization builds on the lessons from COVID-19 and is prepared for a range of future threats.</w:t>
      </w:r>
    </w:p>
    <w:p w14:paraId="32F9B69A" w14:textId="77777777" w:rsidR="008D2CBF" w:rsidRPr="007A20C9" w:rsidRDefault="008D2CBF" w:rsidP="008D2CBF">
      <w:pPr>
        <w:pStyle w:val="TableParagraph"/>
        <w:spacing w:before="320" w:after="240"/>
        <w:ind w:left="0"/>
        <w:rPr>
          <w:rFonts w:ascii="Arial" w:hAnsi="Arial" w:cs="Arial"/>
          <w:color w:val="005172" w:themeColor="text2"/>
          <w:szCs w:val="24"/>
        </w:rPr>
      </w:pPr>
      <w:r>
        <w:rPr>
          <w:rFonts w:ascii="Arial" w:hAnsi="Arial" w:cs="Arial"/>
          <w:color w:val="005172" w:themeColor="text2"/>
          <w:szCs w:val="24"/>
        </w:rPr>
        <w:t>Sound and Prudent F</w:t>
      </w:r>
      <w:r w:rsidRPr="007A20C9">
        <w:rPr>
          <w:rFonts w:ascii="Arial" w:hAnsi="Arial" w:cs="Arial"/>
          <w:color w:val="005172" w:themeColor="text2"/>
          <w:szCs w:val="24"/>
        </w:rPr>
        <w:t xml:space="preserve">inancial and </w:t>
      </w:r>
      <w:r>
        <w:rPr>
          <w:rFonts w:ascii="Arial" w:hAnsi="Arial" w:cs="Arial"/>
          <w:color w:val="005172" w:themeColor="text2"/>
          <w:szCs w:val="24"/>
        </w:rPr>
        <w:t>Performance M</w:t>
      </w:r>
      <w:r w:rsidRPr="007A20C9">
        <w:rPr>
          <w:rFonts w:ascii="Arial" w:hAnsi="Arial" w:cs="Arial"/>
          <w:color w:val="005172" w:themeColor="text2"/>
          <w:szCs w:val="24"/>
        </w:rPr>
        <w:t>anagement</w:t>
      </w:r>
      <w:r>
        <w:rPr>
          <w:rFonts w:ascii="Arial" w:hAnsi="Arial" w:cs="Arial"/>
          <w:color w:val="005172" w:themeColor="text2"/>
          <w:szCs w:val="24"/>
        </w:rPr>
        <w:t xml:space="preserve">, including Procurement </w:t>
      </w:r>
    </w:p>
    <w:p w14:paraId="30DEF502"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Results-based management and risk management will continue to be matured</w:t>
      </w:r>
      <w:r>
        <w:rPr>
          <w:rFonts w:ascii="Arial" w:hAnsi="Arial" w:cs="Arial"/>
          <w:sz w:val="18"/>
          <w:szCs w:val="18"/>
        </w:rPr>
        <w:t xml:space="preserve"> and integrated</w:t>
      </w:r>
      <w:r w:rsidRPr="003E1CD9">
        <w:rPr>
          <w:rFonts w:ascii="Arial" w:hAnsi="Arial" w:cs="Arial"/>
          <w:sz w:val="18"/>
          <w:szCs w:val="18"/>
        </w:rPr>
        <w:t xml:space="preserve">.  The risk culture will be strengthened further, accepting and managing risks </w:t>
      </w:r>
      <w:r>
        <w:rPr>
          <w:rFonts w:ascii="Arial" w:hAnsi="Arial" w:cs="Arial"/>
          <w:sz w:val="18"/>
          <w:szCs w:val="18"/>
        </w:rPr>
        <w:t>guided by the Organization’s Risk Appetite Statement</w:t>
      </w:r>
      <w:r w:rsidRPr="00E00315">
        <w:rPr>
          <w:rFonts w:ascii="Arial" w:hAnsi="Arial" w:cs="Arial"/>
          <w:sz w:val="18"/>
          <w:szCs w:val="18"/>
        </w:rPr>
        <w:t>.</w:t>
      </w:r>
      <w:r w:rsidRPr="003E1CD9">
        <w:rPr>
          <w:rFonts w:ascii="Arial" w:hAnsi="Arial" w:cs="Arial"/>
          <w:sz w:val="18"/>
          <w:szCs w:val="18"/>
        </w:rPr>
        <w:t xml:space="preserve">  </w:t>
      </w:r>
      <w:r>
        <w:rPr>
          <w:rFonts w:ascii="Arial" w:hAnsi="Arial" w:cs="Arial"/>
          <w:sz w:val="18"/>
          <w:szCs w:val="18"/>
        </w:rPr>
        <w:t>The results of the</w:t>
      </w:r>
      <w:r w:rsidRPr="003E1CD9">
        <w:rPr>
          <w:rFonts w:ascii="Arial" w:hAnsi="Arial" w:cs="Arial"/>
          <w:sz w:val="18"/>
          <w:szCs w:val="18"/>
        </w:rPr>
        <w:t xml:space="preserve"> fraud risk assessment will be </w:t>
      </w:r>
      <w:r>
        <w:rPr>
          <w:rFonts w:ascii="Arial" w:hAnsi="Arial" w:cs="Arial"/>
          <w:sz w:val="18"/>
          <w:szCs w:val="18"/>
        </w:rPr>
        <w:t xml:space="preserve">analyzed and </w:t>
      </w:r>
      <w:r w:rsidRPr="003E1CD9">
        <w:rPr>
          <w:rFonts w:ascii="Arial" w:hAnsi="Arial" w:cs="Arial"/>
          <w:sz w:val="18"/>
          <w:szCs w:val="18"/>
        </w:rPr>
        <w:t>internal controls</w:t>
      </w:r>
      <w:r>
        <w:rPr>
          <w:rFonts w:ascii="Arial" w:hAnsi="Arial" w:cs="Arial"/>
          <w:sz w:val="18"/>
          <w:szCs w:val="18"/>
        </w:rPr>
        <w:t xml:space="preserve"> adjusted if required</w:t>
      </w:r>
      <w:r w:rsidRPr="003E1CD9">
        <w:rPr>
          <w:rFonts w:ascii="Arial" w:hAnsi="Arial" w:cs="Arial"/>
          <w:sz w:val="18"/>
          <w:szCs w:val="18"/>
        </w:rPr>
        <w:t>.  </w:t>
      </w:r>
      <w:r>
        <w:rPr>
          <w:rFonts w:ascii="Arial" w:hAnsi="Arial" w:cs="Arial"/>
          <w:sz w:val="18"/>
          <w:szCs w:val="18"/>
        </w:rPr>
        <w:t>Opportunities to streamline controls in line with the revised Financial Regulations and Rules will continue, through</w:t>
      </w:r>
      <w:r w:rsidRPr="003E1CD9">
        <w:rPr>
          <w:rFonts w:ascii="Arial" w:hAnsi="Arial" w:cs="Arial"/>
          <w:sz w:val="18"/>
          <w:szCs w:val="18"/>
        </w:rPr>
        <w:t xml:space="preserve"> enhance</w:t>
      </w:r>
      <w:r>
        <w:rPr>
          <w:rFonts w:ascii="Arial" w:hAnsi="Arial" w:cs="Arial"/>
          <w:sz w:val="18"/>
          <w:szCs w:val="18"/>
        </w:rPr>
        <w:t>d</w:t>
      </w:r>
      <w:r w:rsidRPr="003E1CD9">
        <w:rPr>
          <w:rFonts w:ascii="Arial" w:hAnsi="Arial" w:cs="Arial"/>
          <w:sz w:val="18"/>
          <w:szCs w:val="18"/>
        </w:rPr>
        <w:t xml:space="preserve"> use of data analytics to inform decisions and to effect improvements to the regulatory framework and internal controls.</w:t>
      </w:r>
    </w:p>
    <w:p w14:paraId="746A1701"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Enhancing services to the global base of fee-paying customers will be a key focus. This will include staying tuned to customer needs and planning and aligning WIPO’s services to address new and emerging needs, in particular</w:t>
      </w:r>
      <w:r>
        <w:rPr>
          <w:rFonts w:ascii="Arial" w:hAnsi="Arial" w:cs="Arial"/>
          <w:sz w:val="18"/>
          <w:szCs w:val="18"/>
        </w:rPr>
        <w:t xml:space="preserve"> with</w:t>
      </w:r>
      <w:r w:rsidRPr="003E1CD9">
        <w:rPr>
          <w:rFonts w:ascii="Arial" w:hAnsi="Arial" w:cs="Arial"/>
          <w:sz w:val="18"/>
          <w:szCs w:val="18"/>
        </w:rPr>
        <w:t xml:space="preserve"> respect </w:t>
      </w:r>
      <w:r>
        <w:rPr>
          <w:rFonts w:ascii="Arial" w:hAnsi="Arial" w:cs="Arial"/>
          <w:sz w:val="18"/>
          <w:szCs w:val="18"/>
        </w:rPr>
        <w:t xml:space="preserve">to the continued rollout of new </w:t>
      </w:r>
      <w:r w:rsidRPr="003E1CD9">
        <w:rPr>
          <w:rFonts w:ascii="Arial" w:hAnsi="Arial" w:cs="Arial"/>
          <w:sz w:val="18"/>
          <w:szCs w:val="18"/>
        </w:rPr>
        <w:t>payment services and interactions with national IP Offices. Opportunities for further streamlining and automating financial transactions and processes will be identified, including through robotic process automations (RPAs), with the aim of increasing further productivity and accuracy.</w:t>
      </w:r>
    </w:p>
    <w:p w14:paraId="250173EE"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A strategic and proactive approach will be pursued for WIPO’s sourcing activities to ensure efficient, customer-oriented and compliant processes for procuring goods, services, individual contractors as well as travel and meeting-associated requirements using enhanced IT tools and functionalities, as appropriate. </w:t>
      </w:r>
      <w:r>
        <w:rPr>
          <w:rFonts w:ascii="Arial" w:hAnsi="Arial" w:cs="Arial"/>
          <w:sz w:val="18"/>
          <w:szCs w:val="18"/>
        </w:rPr>
        <w:t xml:space="preserve"> </w:t>
      </w:r>
      <w:r w:rsidRPr="003E1CD9">
        <w:rPr>
          <w:rFonts w:ascii="Arial" w:hAnsi="Arial" w:cs="Arial"/>
          <w:sz w:val="18"/>
          <w:szCs w:val="18"/>
        </w:rPr>
        <w:t xml:space="preserve">To reduce the time to procure and maximize savings through economies of scale and negotiations, the monitoring of the use of Long Term Agreements (LTAs) will be consolidated, and the maturity of vendor performance management will be enhanced. </w:t>
      </w:r>
      <w:r>
        <w:rPr>
          <w:rFonts w:ascii="Arial" w:hAnsi="Arial" w:cs="Arial"/>
          <w:sz w:val="18"/>
          <w:szCs w:val="18"/>
        </w:rPr>
        <w:t xml:space="preserve"> </w:t>
      </w:r>
      <w:r w:rsidRPr="003E1CD9">
        <w:rPr>
          <w:rFonts w:ascii="Arial" w:hAnsi="Arial" w:cs="Arial"/>
          <w:sz w:val="18"/>
          <w:szCs w:val="18"/>
        </w:rPr>
        <w:t xml:space="preserve">Outreach to potential individual contractors worldwide will be scaled up, through the extended use of social networks. </w:t>
      </w:r>
      <w:r>
        <w:rPr>
          <w:rFonts w:ascii="Arial" w:hAnsi="Arial" w:cs="Arial"/>
          <w:sz w:val="18"/>
          <w:szCs w:val="18"/>
        </w:rPr>
        <w:t xml:space="preserve"> </w:t>
      </w:r>
      <w:r w:rsidRPr="003E1CD9">
        <w:rPr>
          <w:rFonts w:ascii="Arial" w:hAnsi="Arial" w:cs="Arial"/>
          <w:sz w:val="18"/>
          <w:szCs w:val="18"/>
        </w:rPr>
        <w:t xml:space="preserve">Optimizing travel and meeting-related expenditure in a post-COVID context will be a primary objective, through the integration of IT tools, compliance monitoring and negotiation of airline fares. </w:t>
      </w:r>
    </w:p>
    <w:p w14:paraId="43C940F6" w14:textId="77777777" w:rsidR="008D2CBF" w:rsidRPr="00EF7D1D" w:rsidRDefault="008D2CBF" w:rsidP="008D2CBF">
      <w:pPr>
        <w:spacing w:before="320" w:after="240"/>
        <w:rPr>
          <w:color w:val="005172" w:themeColor="text2"/>
          <w:sz w:val="22"/>
        </w:rPr>
      </w:pPr>
      <w:r w:rsidRPr="00EF7D1D">
        <w:rPr>
          <w:color w:val="005172" w:themeColor="text2"/>
          <w:sz w:val="22"/>
        </w:rPr>
        <w:t>Digital Transformation</w:t>
      </w:r>
    </w:p>
    <w:p w14:paraId="1ACDEC7E" w14:textId="77777777" w:rsidR="008D2CBF" w:rsidRDefault="008D2CBF" w:rsidP="008D2CBF">
      <w:pPr>
        <w:pStyle w:val="TableParagraph"/>
        <w:spacing w:after="180"/>
        <w:ind w:left="0"/>
        <w:rPr>
          <w:rFonts w:ascii="Arial" w:hAnsi="Arial" w:cs="Arial"/>
          <w:sz w:val="18"/>
          <w:szCs w:val="18"/>
        </w:rPr>
      </w:pPr>
      <w:r w:rsidRPr="003E1CD9">
        <w:rPr>
          <w:rFonts w:ascii="Arial" w:hAnsi="Arial" w:cs="Arial"/>
          <w:sz w:val="18"/>
          <w:szCs w:val="18"/>
        </w:rPr>
        <w:t>ICT objectives for the biennium will focus on digital transformation</w:t>
      </w:r>
      <w:r>
        <w:rPr>
          <w:rFonts w:ascii="Arial" w:hAnsi="Arial" w:cs="Arial"/>
          <w:sz w:val="18"/>
          <w:szCs w:val="18"/>
        </w:rPr>
        <w:t xml:space="preserve">, underpinned by the phased consolidation of ICT services within one department, and an improved ICT workforce strategy to ensure that the Organization is well-placed in a rapidly changing technological environment. </w:t>
      </w:r>
    </w:p>
    <w:p w14:paraId="68F6706B" w14:textId="1BD6E330" w:rsidR="008D2CBF" w:rsidRDefault="008D2CBF" w:rsidP="008D2CBF">
      <w:pPr>
        <w:pStyle w:val="TableParagraph"/>
        <w:spacing w:after="180"/>
        <w:ind w:left="0"/>
        <w:rPr>
          <w:rFonts w:ascii="Arial" w:hAnsi="Arial" w:cs="Arial"/>
          <w:sz w:val="18"/>
          <w:szCs w:val="18"/>
        </w:rPr>
      </w:pPr>
      <w:r>
        <w:rPr>
          <w:rFonts w:ascii="Arial" w:hAnsi="Arial" w:cs="Arial"/>
          <w:sz w:val="18"/>
          <w:szCs w:val="18"/>
        </w:rPr>
        <w:t xml:space="preserve">Key elements include stronger alignment of ICT with business strategy and needs, </w:t>
      </w:r>
      <w:r w:rsidRPr="003E1CD9">
        <w:rPr>
          <w:rFonts w:ascii="Arial" w:hAnsi="Arial" w:cs="Arial"/>
          <w:sz w:val="18"/>
          <w:szCs w:val="18"/>
        </w:rPr>
        <w:t>further technical and functional convergence</w:t>
      </w:r>
      <w:r>
        <w:rPr>
          <w:rFonts w:ascii="Arial" w:hAnsi="Arial" w:cs="Arial"/>
          <w:sz w:val="18"/>
          <w:szCs w:val="18"/>
        </w:rPr>
        <w:t>,</w:t>
      </w:r>
      <w:r w:rsidRPr="003E1CD9">
        <w:rPr>
          <w:rFonts w:ascii="Arial" w:hAnsi="Arial" w:cs="Arial"/>
          <w:sz w:val="18"/>
          <w:szCs w:val="18"/>
        </w:rPr>
        <w:t xml:space="preserve"> leveraging the cloud first policy</w:t>
      </w:r>
      <w:r w:rsidR="007B5409">
        <w:rPr>
          <w:rFonts w:ascii="Arial" w:hAnsi="Arial" w:cs="Arial"/>
          <w:sz w:val="18"/>
          <w:szCs w:val="18"/>
        </w:rPr>
        <w:t xml:space="preserve"> while ensuring data security</w:t>
      </w:r>
      <w:r w:rsidRPr="003E1CD9">
        <w:rPr>
          <w:rFonts w:ascii="Arial" w:hAnsi="Arial" w:cs="Arial"/>
          <w:sz w:val="18"/>
          <w:szCs w:val="18"/>
        </w:rPr>
        <w:t>,</w:t>
      </w:r>
      <w:r>
        <w:rPr>
          <w:rFonts w:ascii="Arial" w:hAnsi="Arial" w:cs="Arial"/>
          <w:sz w:val="18"/>
          <w:szCs w:val="18"/>
        </w:rPr>
        <w:t xml:space="preserve"> stronger risk management and support for critical ICT capabilities, and </w:t>
      </w:r>
      <w:r w:rsidRPr="003E1CD9">
        <w:rPr>
          <w:rFonts w:ascii="Arial" w:hAnsi="Arial" w:cs="Arial"/>
          <w:sz w:val="18"/>
          <w:szCs w:val="18"/>
        </w:rPr>
        <w:t xml:space="preserve">streamlining </w:t>
      </w:r>
      <w:r>
        <w:rPr>
          <w:rFonts w:ascii="Arial" w:hAnsi="Arial" w:cs="Arial"/>
          <w:sz w:val="18"/>
          <w:szCs w:val="18"/>
        </w:rPr>
        <w:t xml:space="preserve">of </w:t>
      </w:r>
      <w:r w:rsidRPr="003E1CD9">
        <w:rPr>
          <w:rFonts w:ascii="Arial" w:hAnsi="Arial" w:cs="Arial"/>
          <w:sz w:val="18"/>
          <w:szCs w:val="18"/>
        </w:rPr>
        <w:t xml:space="preserve">operations. </w:t>
      </w:r>
      <w:r>
        <w:rPr>
          <w:rFonts w:ascii="Arial" w:hAnsi="Arial" w:cs="Arial"/>
          <w:sz w:val="18"/>
          <w:szCs w:val="18"/>
        </w:rPr>
        <w:t xml:space="preserve"> This should result in a more agile and customer-centric ICT platform, supported by strong data analytics capabilities.  </w:t>
      </w:r>
    </w:p>
    <w:p w14:paraId="5143A01F"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Transition of completed ICT projects to operations will result in new enabling capabilities, including data analytics, </w:t>
      </w:r>
      <w:r w:rsidRPr="001C1733">
        <w:rPr>
          <w:rFonts w:ascii="Arial" w:hAnsi="Arial" w:cs="Arial"/>
          <w:sz w:val="18"/>
          <w:szCs w:val="18"/>
        </w:rPr>
        <w:t>up-</w:t>
      </w:r>
      <w:r w:rsidRPr="005B406C">
        <w:rPr>
          <w:rFonts w:ascii="Arial" w:hAnsi="Arial" w:cs="Arial"/>
          <w:sz w:val="18"/>
          <w:szCs w:val="18"/>
        </w:rPr>
        <w:t>to</w:t>
      </w:r>
      <w:r>
        <w:rPr>
          <w:rFonts w:ascii="Arial" w:hAnsi="Arial" w:cs="Arial"/>
          <w:sz w:val="18"/>
          <w:szCs w:val="18"/>
        </w:rPr>
        <w:t>-</w:t>
      </w:r>
      <w:r w:rsidRPr="005B406C">
        <w:rPr>
          <w:rFonts w:ascii="Arial" w:hAnsi="Arial" w:cs="Arial"/>
          <w:sz w:val="18"/>
          <w:szCs w:val="18"/>
        </w:rPr>
        <w:t>date and uniform solutions for software development and operations</w:t>
      </w:r>
      <w:r>
        <w:rPr>
          <w:rFonts w:ascii="Arial" w:hAnsi="Arial" w:cs="Arial"/>
          <w:sz w:val="18"/>
          <w:szCs w:val="18"/>
        </w:rPr>
        <w:t>,</w:t>
      </w:r>
      <w:r w:rsidRPr="003E1CD9">
        <w:rPr>
          <w:rFonts w:ascii="Arial" w:hAnsi="Arial" w:cs="Arial"/>
          <w:sz w:val="18"/>
          <w:szCs w:val="18"/>
        </w:rPr>
        <w:t xml:space="preserve"> enhanced customer experience, strengthened cloud management, Enterp</w:t>
      </w:r>
      <w:r>
        <w:rPr>
          <w:rFonts w:ascii="Arial" w:hAnsi="Arial" w:cs="Arial"/>
          <w:sz w:val="18"/>
          <w:szCs w:val="18"/>
        </w:rPr>
        <w:t>rise Content Management (ECM), “</w:t>
      </w:r>
      <w:r w:rsidRPr="003E1CD9">
        <w:rPr>
          <w:rFonts w:ascii="Arial" w:hAnsi="Arial" w:cs="Arial"/>
          <w:sz w:val="18"/>
          <w:szCs w:val="18"/>
        </w:rPr>
        <w:t>new normal</w:t>
      </w:r>
      <w:r>
        <w:rPr>
          <w:rFonts w:ascii="Arial" w:hAnsi="Arial" w:cs="Arial"/>
          <w:sz w:val="18"/>
          <w:szCs w:val="18"/>
        </w:rPr>
        <w:t>”</w:t>
      </w:r>
      <w:r w:rsidRPr="003E1CD9">
        <w:rPr>
          <w:rFonts w:ascii="Arial" w:hAnsi="Arial" w:cs="Arial"/>
          <w:sz w:val="18"/>
          <w:szCs w:val="18"/>
        </w:rPr>
        <w:t xml:space="preserve"> driven digitalization and a centralized competence for better software design and delivery. </w:t>
      </w:r>
      <w:r>
        <w:rPr>
          <w:rFonts w:ascii="Arial" w:hAnsi="Arial" w:cs="Arial"/>
          <w:sz w:val="18"/>
          <w:szCs w:val="18"/>
        </w:rPr>
        <w:t xml:space="preserve"> </w:t>
      </w:r>
      <w:r w:rsidRPr="003E1CD9">
        <w:rPr>
          <w:rFonts w:ascii="Arial" w:hAnsi="Arial" w:cs="Arial"/>
          <w:sz w:val="18"/>
          <w:szCs w:val="18"/>
        </w:rPr>
        <w:t xml:space="preserve">Activities will continue towards establishing capabilities in cloud management operations and compliance and data governance. </w:t>
      </w:r>
    </w:p>
    <w:p w14:paraId="2A62AAA4"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Following the roll-out of the Records &amp; Archives Management Policy, knowledge and records management will continue to be strengthened to enable staff across all business units to manage, access, share and use information more effectively. </w:t>
      </w:r>
      <w:r>
        <w:rPr>
          <w:rFonts w:ascii="Arial" w:hAnsi="Arial" w:cs="Arial"/>
          <w:sz w:val="18"/>
          <w:szCs w:val="18"/>
        </w:rPr>
        <w:t xml:space="preserve"> </w:t>
      </w:r>
      <w:r w:rsidRPr="003E1CD9">
        <w:rPr>
          <w:rFonts w:ascii="Arial" w:hAnsi="Arial" w:cs="Arial"/>
          <w:sz w:val="18"/>
          <w:szCs w:val="18"/>
        </w:rPr>
        <w:t>Key strategies will include professionalizing former clerical roles and rolling out the necessary policies, tools and procedures to enable the shift to digital management of WIPO’s records and information</w:t>
      </w:r>
      <w:r>
        <w:rPr>
          <w:rFonts w:ascii="Arial" w:hAnsi="Arial" w:cs="Arial"/>
          <w:sz w:val="18"/>
          <w:szCs w:val="18"/>
        </w:rPr>
        <w:t>,</w:t>
      </w:r>
      <w:r w:rsidRPr="003E1CD9">
        <w:rPr>
          <w:rFonts w:ascii="Arial" w:hAnsi="Arial" w:cs="Arial"/>
          <w:sz w:val="18"/>
          <w:szCs w:val="18"/>
        </w:rPr>
        <w:t xml:space="preserve"> moving ECM to a new technology platform to facilitate cross-sector collaboration and access to information in the new digital workplace</w:t>
      </w:r>
      <w:r>
        <w:rPr>
          <w:rFonts w:ascii="Arial" w:hAnsi="Arial" w:cs="Arial"/>
          <w:sz w:val="18"/>
          <w:szCs w:val="18"/>
        </w:rPr>
        <w:t>,</w:t>
      </w:r>
      <w:r w:rsidRPr="003E1CD9">
        <w:rPr>
          <w:rFonts w:ascii="Arial" w:hAnsi="Arial" w:cs="Arial"/>
          <w:sz w:val="18"/>
          <w:szCs w:val="18"/>
        </w:rPr>
        <w:t xml:space="preserve"> and promoting cultural change to encourage the sharing of knowledge. </w:t>
      </w:r>
    </w:p>
    <w:p w14:paraId="26392634" w14:textId="77777777"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Completion of WIPO’s next generation Information Security Strategy along with a “bedding down” period for a review and optimization of tools, processes and technologies will be delivered.  Broader and deeper information security coverage, including new threat and intelligence feeds, contextual awareness and others will proactively address cybersecurity risks, allowing for the early detection and response to cyber incidents, to better prepare the Organization to recover from crises quickly, </w:t>
      </w:r>
      <w:r>
        <w:rPr>
          <w:rFonts w:ascii="Arial" w:hAnsi="Arial" w:cs="Arial"/>
          <w:sz w:val="18"/>
          <w:szCs w:val="18"/>
        </w:rPr>
        <w:t xml:space="preserve">thereby </w:t>
      </w:r>
      <w:r w:rsidRPr="003E1CD9">
        <w:rPr>
          <w:rFonts w:ascii="Arial" w:hAnsi="Arial" w:cs="Arial"/>
          <w:sz w:val="18"/>
          <w:szCs w:val="18"/>
        </w:rPr>
        <w:t xml:space="preserve">reducing the impact to business operations. </w:t>
      </w:r>
      <w:r>
        <w:rPr>
          <w:rFonts w:ascii="Arial" w:hAnsi="Arial" w:cs="Arial"/>
          <w:sz w:val="18"/>
          <w:szCs w:val="18"/>
        </w:rPr>
        <w:t xml:space="preserve"> </w:t>
      </w:r>
      <w:r w:rsidRPr="003E1CD9">
        <w:rPr>
          <w:rFonts w:ascii="Arial" w:hAnsi="Arial" w:cs="Arial"/>
          <w:sz w:val="18"/>
          <w:szCs w:val="18"/>
        </w:rPr>
        <w:t>Ongoing promotion of a culture of security, and streamlining information risk management services into the business will continue to support the secure digital transformation of WIPO.</w:t>
      </w:r>
    </w:p>
    <w:p w14:paraId="797B5D72" w14:textId="77777777" w:rsidR="008D2CBF" w:rsidRPr="00EF7D1D" w:rsidRDefault="008D2CBF" w:rsidP="008D2CBF">
      <w:pPr>
        <w:spacing w:before="320" w:after="240"/>
        <w:rPr>
          <w:color w:val="005172" w:themeColor="text2"/>
          <w:sz w:val="22"/>
        </w:rPr>
      </w:pPr>
      <w:r w:rsidRPr="00EF7D1D">
        <w:rPr>
          <w:color w:val="005172" w:themeColor="text2"/>
          <w:sz w:val="22"/>
        </w:rPr>
        <w:t>Internal and External Services</w:t>
      </w:r>
    </w:p>
    <w:p w14:paraId="0CBCE656" w14:textId="77777777" w:rsidR="008D2CBF" w:rsidRPr="003641C1" w:rsidRDefault="008D2CBF" w:rsidP="008D2CBF">
      <w:pPr>
        <w:spacing w:after="240"/>
        <w:rPr>
          <w:color w:val="005172" w:themeColor="text2"/>
          <w:szCs w:val="18"/>
        </w:rPr>
      </w:pPr>
      <w:r w:rsidRPr="003641C1">
        <w:rPr>
          <w:color w:val="005172" w:themeColor="text2"/>
          <w:szCs w:val="18"/>
        </w:rPr>
        <w:t>Legal</w:t>
      </w:r>
    </w:p>
    <w:p w14:paraId="45DD37E6" w14:textId="77777777" w:rsidR="008D2CBF" w:rsidRPr="003E1CD9" w:rsidRDefault="008D2CBF" w:rsidP="008D2CBF">
      <w:pPr>
        <w:pStyle w:val="TableParagraph"/>
        <w:spacing w:after="180"/>
        <w:ind w:left="0"/>
        <w:rPr>
          <w:rFonts w:ascii="Arial" w:hAnsi="Arial" w:cs="Arial"/>
          <w:sz w:val="18"/>
          <w:szCs w:val="18"/>
        </w:rPr>
      </w:pPr>
      <w:r w:rsidRPr="00D92696">
        <w:rPr>
          <w:rFonts w:ascii="Arial" w:hAnsi="Arial" w:cs="Arial"/>
          <w:sz w:val="18"/>
          <w:szCs w:val="18"/>
        </w:rPr>
        <w:t xml:space="preserve">Prompt, reliable and fit-for-purpose legal advice and services are paramount for ensuring the effective administration and </w:t>
      </w:r>
      <w:r w:rsidRPr="003E1CD9">
        <w:rPr>
          <w:rFonts w:ascii="Arial" w:eastAsiaTheme="minorHAnsi" w:hAnsi="Arial" w:cs="Arial"/>
          <w:sz w:val="18"/>
          <w:szCs w:val="18"/>
          <w:lang w:val="en-GB"/>
        </w:rPr>
        <w:t xml:space="preserve">performance </w:t>
      </w:r>
      <w:r w:rsidRPr="003E1CD9">
        <w:rPr>
          <w:rFonts w:ascii="Arial" w:hAnsi="Arial" w:cs="Arial"/>
          <w:sz w:val="18"/>
          <w:szCs w:val="18"/>
        </w:rPr>
        <w:t xml:space="preserve">of the Organization, including the smooth conduct of the meetings of its constituent organs, as well as of the two diplomatic conferences to be held under its auspices in 2024. </w:t>
      </w:r>
      <w:r>
        <w:rPr>
          <w:rFonts w:ascii="Arial" w:hAnsi="Arial" w:cs="Arial"/>
          <w:sz w:val="18"/>
          <w:szCs w:val="18"/>
        </w:rPr>
        <w:t xml:space="preserve"> </w:t>
      </w:r>
      <w:r w:rsidRPr="003E1CD9">
        <w:rPr>
          <w:rFonts w:ascii="Arial" w:hAnsi="Arial" w:cs="Arial"/>
          <w:sz w:val="18"/>
          <w:szCs w:val="18"/>
        </w:rPr>
        <w:t xml:space="preserve">Legal services will consist of providing effective support and advice to the Secretariat and Member States on a wide range of constitutional, contract, treaty, and administrative law matters, consistent with statutory requirements and applicable law and continued and steadfast service as guardian of the foundational and other WIPO-administered treaties.  Such support and advice will continue to promote a respectful, harmonious and agile workplace that fully embraces horizontal working methods. </w:t>
      </w:r>
      <w:r>
        <w:rPr>
          <w:rFonts w:ascii="Arial" w:hAnsi="Arial" w:cs="Arial"/>
          <w:sz w:val="18"/>
          <w:szCs w:val="18"/>
        </w:rPr>
        <w:t xml:space="preserve"> </w:t>
      </w:r>
      <w:r w:rsidRPr="003E1CD9">
        <w:rPr>
          <w:rFonts w:ascii="Arial" w:hAnsi="Arial" w:cs="Arial"/>
          <w:sz w:val="18"/>
          <w:szCs w:val="18"/>
        </w:rPr>
        <w:t>Continued effort will also be made to apply in-house legal expertise externally</w:t>
      </w:r>
      <w:r>
        <w:rPr>
          <w:rFonts w:ascii="Arial" w:hAnsi="Arial" w:cs="Arial"/>
          <w:sz w:val="18"/>
          <w:szCs w:val="18"/>
        </w:rPr>
        <w:t xml:space="preserve">, including </w:t>
      </w:r>
      <w:r w:rsidRPr="003E1CD9">
        <w:rPr>
          <w:rFonts w:ascii="Arial" w:hAnsi="Arial" w:cs="Arial"/>
          <w:sz w:val="18"/>
          <w:szCs w:val="18"/>
        </w:rPr>
        <w:t xml:space="preserve">to contribute to </w:t>
      </w:r>
      <w:r>
        <w:rPr>
          <w:rFonts w:ascii="Arial" w:hAnsi="Arial" w:cs="Arial"/>
          <w:sz w:val="18"/>
          <w:szCs w:val="18"/>
        </w:rPr>
        <w:t>the positive</w:t>
      </w:r>
      <w:r w:rsidRPr="003E1CD9">
        <w:rPr>
          <w:rFonts w:ascii="Arial" w:hAnsi="Arial" w:cs="Arial"/>
          <w:sz w:val="18"/>
          <w:szCs w:val="18"/>
        </w:rPr>
        <w:t xml:space="preserve"> development of international law</w:t>
      </w:r>
      <w:r w:rsidRPr="00CC5CFD">
        <w:rPr>
          <w:rFonts w:ascii="Arial" w:hAnsi="Arial" w:cs="Arial"/>
          <w:sz w:val="18"/>
          <w:szCs w:val="18"/>
        </w:rPr>
        <w:t xml:space="preserve"> </w:t>
      </w:r>
      <w:r>
        <w:rPr>
          <w:rFonts w:ascii="Arial" w:hAnsi="Arial" w:cs="Arial"/>
          <w:sz w:val="18"/>
          <w:szCs w:val="18"/>
        </w:rPr>
        <w:t xml:space="preserve">and the </w:t>
      </w:r>
      <w:r w:rsidRPr="003E1CD9">
        <w:rPr>
          <w:rFonts w:ascii="Arial" w:hAnsi="Arial" w:cs="Arial"/>
          <w:sz w:val="18"/>
          <w:szCs w:val="18"/>
        </w:rPr>
        <w:t xml:space="preserve">UN common system.  </w:t>
      </w:r>
    </w:p>
    <w:p w14:paraId="52B65768" w14:textId="77777777" w:rsidR="008D2CBF" w:rsidRPr="003641C1" w:rsidRDefault="008D2CBF" w:rsidP="008D2CBF">
      <w:pPr>
        <w:spacing w:before="320" w:after="240"/>
        <w:rPr>
          <w:color w:val="005172" w:themeColor="text2"/>
          <w:szCs w:val="18"/>
        </w:rPr>
      </w:pPr>
      <w:r w:rsidRPr="003641C1">
        <w:rPr>
          <w:color w:val="005172" w:themeColor="text2"/>
          <w:szCs w:val="18"/>
        </w:rPr>
        <w:t>Languages</w:t>
      </w:r>
    </w:p>
    <w:p w14:paraId="38441D5A" w14:textId="77777777" w:rsidR="008D2CBF" w:rsidRDefault="008D2CBF" w:rsidP="008D2CBF">
      <w:pPr>
        <w:pStyle w:val="TableParagraph"/>
        <w:spacing w:after="180"/>
        <w:ind w:left="0"/>
        <w:rPr>
          <w:rFonts w:ascii="Arial" w:hAnsi="Arial" w:cs="Arial"/>
          <w:sz w:val="18"/>
          <w:szCs w:val="18"/>
        </w:rPr>
      </w:pPr>
      <w:r>
        <w:rPr>
          <w:rFonts w:ascii="Arial" w:hAnsi="Arial" w:cs="Arial"/>
          <w:sz w:val="18"/>
          <w:szCs w:val="18"/>
        </w:rPr>
        <w:t>As set out in its</w:t>
      </w:r>
      <w:r w:rsidRPr="003E1CD9">
        <w:rPr>
          <w:rFonts w:ascii="Arial" w:hAnsi="Arial" w:cs="Arial"/>
          <w:sz w:val="18"/>
          <w:szCs w:val="18"/>
        </w:rPr>
        <w:t xml:space="preserve"> Revised Language Policy, </w:t>
      </w:r>
      <w:r>
        <w:rPr>
          <w:rFonts w:ascii="Arial" w:hAnsi="Arial" w:cs="Arial"/>
          <w:sz w:val="18"/>
          <w:szCs w:val="18"/>
        </w:rPr>
        <w:t xml:space="preserve">WIPO is committed to </w:t>
      </w:r>
      <w:r w:rsidRPr="00E969FF">
        <w:rPr>
          <w:rFonts w:ascii="Arial" w:hAnsi="Arial" w:cs="Arial"/>
          <w:sz w:val="18"/>
          <w:szCs w:val="18"/>
        </w:rPr>
        <w:t>multilingualism both as a core value of the</w:t>
      </w:r>
      <w:r>
        <w:rPr>
          <w:rFonts w:ascii="Arial" w:hAnsi="Arial" w:cs="Arial"/>
          <w:sz w:val="18"/>
          <w:szCs w:val="18"/>
        </w:rPr>
        <w:t xml:space="preserve"> </w:t>
      </w:r>
      <w:r w:rsidRPr="00E969FF">
        <w:rPr>
          <w:rFonts w:ascii="Arial" w:hAnsi="Arial" w:cs="Arial"/>
          <w:sz w:val="18"/>
          <w:szCs w:val="18"/>
        </w:rPr>
        <w:t>Organization, and as a means to reach out worldwide to explain the potential for IP to improve</w:t>
      </w:r>
      <w:r>
        <w:rPr>
          <w:rFonts w:ascii="Arial" w:hAnsi="Arial" w:cs="Arial"/>
          <w:sz w:val="18"/>
          <w:szCs w:val="18"/>
        </w:rPr>
        <w:t xml:space="preserve"> </w:t>
      </w:r>
      <w:r w:rsidRPr="00E969FF">
        <w:rPr>
          <w:rFonts w:ascii="Arial" w:hAnsi="Arial" w:cs="Arial"/>
          <w:sz w:val="18"/>
          <w:szCs w:val="18"/>
        </w:rPr>
        <w:t>the lives of everyone, everywhere and for supporting governments, enterprises, communities</w:t>
      </w:r>
      <w:r>
        <w:rPr>
          <w:rFonts w:ascii="Arial" w:hAnsi="Arial" w:cs="Arial"/>
          <w:sz w:val="18"/>
          <w:szCs w:val="18"/>
        </w:rPr>
        <w:t xml:space="preserve"> </w:t>
      </w:r>
      <w:r w:rsidRPr="00E969FF">
        <w:rPr>
          <w:rFonts w:ascii="Arial" w:hAnsi="Arial" w:cs="Arial"/>
          <w:sz w:val="18"/>
          <w:szCs w:val="18"/>
        </w:rPr>
        <w:t xml:space="preserve">and individuals to use IP as a tool for growth and sustainable development. </w:t>
      </w:r>
      <w:r>
        <w:rPr>
          <w:rFonts w:ascii="Arial" w:hAnsi="Arial" w:cs="Arial"/>
          <w:sz w:val="18"/>
          <w:szCs w:val="18"/>
        </w:rPr>
        <w:t xml:space="preserve"> </w:t>
      </w:r>
      <w:r w:rsidRPr="00E969FF">
        <w:rPr>
          <w:rFonts w:ascii="Arial" w:hAnsi="Arial" w:cs="Arial"/>
          <w:sz w:val="18"/>
          <w:szCs w:val="18"/>
        </w:rPr>
        <w:t>Multilingualism is</w:t>
      </w:r>
      <w:r>
        <w:rPr>
          <w:rFonts w:ascii="Arial" w:hAnsi="Arial" w:cs="Arial"/>
          <w:sz w:val="18"/>
          <w:szCs w:val="18"/>
        </w:rPr>
        <w:t xml:space="preserve"> </w:t>
      </w:r>
      <w:r w:rsidRPr="00E969FF">
        <w:rPr>
          <w:rFonts w:ascii="Arial" w:hAnsi="Arial" w:cs="Arial"/>
          <w:sz w:val="18"/>
          <w:szCs w:val="18"/>
        </w:rPr>
        <w:t>furthermore important to ensure inclusive access to WIPO information and services.</w:t>
      </w:r>
    </w:p>
    <w:p w14:paraId="2826E71B" w14:textId="77777777" w:rsidR="008D2CBF" w:rsidRPr="003E1CD9" w:rsidRDefault="008D2CBF" w:rsidP="008D2CBF">
      <w:pPr>
        <w:pStyle w:val="TableParagraph"/>
        <w:ind w:left="0"/>
        <w:rPr>
          <w:rFonts w:ascii="Arial" w:hAnsi="Arial" w:cs="Arial"/>
          <w:sz w:val="18"/>
          <w:szCs w:val="18"/>
        </w:rPr>
      </w:pPr>
      <w:r>
        <w:rPr>
          <w:rFonts w:ascii="Arial" w:hAnsi="Arial" w:cs="Arial"/>
          <w:sz w:val="18"/>
          <w:szCs w:val="18"/>
        </w:rPr>
        <w:t>During the biennium, WIPO will deliver the second phase of the Revised Language Policy, including</w:t>
      </w:r>
      <w:r w:rsidRPr="003E1CD9">
        <w:rPr>
          <w:rFonts w:ascii="Arial" w:hAnsi="Arial" w:cs="Arial"/>
          <w:sz w:val="18"/>
          <w:szCs w:val="18"/>
        </w:rPr>
        <w:t xml:space="preserve"> </w:t>
      </w:r>
      <w:r>
        <w:rPr>
          <w:rFonts w:ascii="Arial" w:hAnsi="Arial" w:cs="Arial"/>
          <w:sz w:val="18"/>
          <w:szCs w:val="18"/>
        </w:rPr>
        <w:t xml:space="preserve">enhanced </w:t>
      </w:r>
      <w:r w:rsidRPr="003E1CD9">
        <w:rPr>
          <w:rFonts w:ascii="Arial" w:hAnsi="Arial" w:cs="Arial"/>
          <w:sz w:val="18"/>
          <w:szCs w:val="18"/>
        </w:rPr>
        <w:t>use of machine translation, as well as full and light post-editing of machine translation output, depending on the required levels of translation quality</w:t>
      </w:r>
      <w:r>
        <w:rPr>
          <w:rFonts w:ascii="Arial" w:hAnsi="Arial" w:cs="Arial"/>
          <w:sz w:val="18"/>
          <w:szCs w:val="18"/>
        </w:rPr>
        <w:t xml:space="preserve"> and consistent with the Revised Language Policy, and exploring the possibility for increased multilingualism on social media platforms</w:t>
      </w:r>
      <w:r w:rsidRPr="003E1CD9">
        <w:rPr>
          <w:rFonts w:ascii="Arial" w:hAnsi="Arial" w:cs="Arial"/>
          <w:sz w:val="18"/>
          <w:szCs w:val="18"/>
        </w:rPr>
        <w:t xml:space="preserve">.  WIPO will also continue </w:t>
      </w:r>
      <w:r>
        <w:rPr>
          <w:rFonts w:ascii="Arial" w:hAnsi="Arial" w:cs="Arial"/>
          <w:sz w:val="18"/>
          <w:szCs w:val="18"/>
        </w:rPr>
        <w:t xml:space="preserve">to </w:t>
      </w:r>
      <w:r w:rsidRPr="003E1CD9">
        <w:rPr>
          <w:rFonts w:ascii="Arial" w:hAnsi="Arial" w:cs="Arial"/>
          <w:sz w:val="18"/>
          <w:szCs w:val="18"/>
        </w:rPr>
        <w:t>offer quality interpretation services to all international meetings and events.  Modernization and upgrading of management tools for interpretation services will help reduce handling risks</w:t>
      </w:r>
      <w:r>
        <w:rPr>
          <w:rFonts w:ascii="Arial" w:hAnsi="Arial" w:cs="Arial"/>
          <w:sz w:val="18"/>
          <w:szCs w:val="18"/>
        </w:rPr>
        <w:t xml:space="preserve"> resulting from</w:t>
      </w:r>
      <w:r w:rsidRPr="003E1CD9">
        <w:rPr>
          <w:rFonts w:ascii="Arial" w:hAnsi="Arial" w:cs="Arial"/>
          <w:sz w:val="18"/>
          <w:szCs w:val="18"/>
        </w:rPr>
        <w:t xml:space="preserve"> the ever-increasing complexity of managing remote simultaneous interpretation services on hybrid and virtual conferencing platforms. </w:t>
      </w:r>
    </w:p>
    <w:p w14:paraId="777CAF60" w14:textId="77777777" w:rsidR="008D2CBF" w:rsidRPr="003641C1" w:rsidRDefault="008D2CBF" w:rsidP="008D2CBF">
      <w:pPr>
        <w:spacing w:before="320" w:after="240"/>
        <w:rPr>
          <w:color w:val="005172" w:themeColor="text2"/>
          <w:szCs w:val="18"/>
        </w:rPr>
      </w:pPr>
      <w:r w:rsidRPr="003641C1">
        <w:rPr>
          <w:color w:val="005172" w:themeColor="text2"/>
          <w:szCs w:val="18"/>
        </w:rPr>
        <w:t>Premises, Infrastructure and related</w:t>
      </w:r>
    </w:p>
    <w:p w14:paraId="0560FB67" w14:textId="456E0F99" w:rsidR="008D2CBF" w:rsidRDefault="008D2CBF" w:rsidP="008D2CBF">
      <w:pPr>
        <w:pStyle w:val="TableParagraph"/>
        <w:spacing w:after="180"/>
        <w:ind w:left="0"/>
        <w:rPr>
          <w:rFonts w:ascii="Arial" w:hAnsi="Arial" w:cs="Arial"/>
          <w:sz w:val="18"/>
          <w:szCs w:val="18"/>
        </w:rPr>
      </w:pPr>
      <w:r w:rsidRPr="003E1CD9">
        <w:rPr>
          <w:rFonts w:ascii="Arial" w:hAnsi="Arial" w:cs="Arial"/>
          <w:sz w:val="18"/>
          <w:szCs w:val="18"/>
        </w:rPr>
        <w:t>To maintain the WIPO Campus technically up to date and fit-for-purpose in support of W</w:t>
      </w:r>
      <w:r w:rsidR="00E70A9F">
        <w:rPr>
          <w:rFonts w:ascii="Arial" w:hAnsi="Arial" w:cs="Arial"/>
          <w:sz w:val="18"/>
          <w:szCs w:val="18"/>
        </w:rPr>
        <w:t>IPO activities and Member State</w:t>
      </w:r>
      <w:r w:rsidRPr="003E1CD9">
        <w:rPr>
          <w:rFonts w:ascii="Arial" w:hAnsi="Arial" w:cs="Arial"/>
          <w:sz w:val="18"/>
          <w:szCs w:val="18"/>
        </w:rPr>
        <w:t xml:space="preserve"> meetings, premises infrastructure services will continue to focus </w:t>
      </w:r>
      <w:r>
        <w:rPr>
          <w:rFonts w:ascii="Arial" w:hAnsi="Arial" w:cs="Arial"/>
          <w:sz w:val="18"/>
          <w:szCs w:val="18"/>
        </w:rPr>
        <w:t xml:space="preserve">primarily </w:t>
      </w:r>
      <w:r w:rsidRPr="003E1CD9">
        <w:rPr>
          <w:rFonts w:ascii="Arial" w:hAnsi="Arial" w:cs="Arial"/>
          <w:sz w:val="18"/>
          <w:szCs w:val="18"/>
        </w:rPr>
        <w:t xml:space="preserve">on managing and maintaining as well as upgrading or renovating, premises and related installations, </w:t>
      </w:r>
      <w:r>
        <w:rPr>
          <w:rFonts w:ascii="Arial" w:hAnsi="Arial" w:cs="Arial"/>
          <w:sz w:val="18"/>
          <w:szCs w:val="18"/>
        </w:rPr>
        <w:t>including</w:t>
      </w:r>
      <w:r w:rsidRPr="003E1CD9">
        <w:rPr>
          <w:rFonts w:ascii="Arial" w:hAnsi="Arial" w:cs="Arial"/>
          <w:sz w:val="18"/>
          <w:szCs w:val="18"/>
        </w:rPr>
        <w:t xml:space="preserve"> preparing and planning for the long-term upgrading of the management system for heating, cooling and ventilation installations in all buildings</w:t>
      </w:r>
      <w:r>
        <w:rPr>
          <w:rFonts w:ascii="Arial" w:hAnsi="Arial" w:cs="Arial"/>
          <w:sz w:val="18"/>
          <w:szCs w:val="18"/>
        </w:rPr>
        <w:t xml:space="preserve">, taking steps to ensure that our offices and meeting rooms reflect the needs arising from new ways of working, and </w:t>
      </w:r>
      <w:r w:rsidRPr="003E1CD9">
        <w:rPr>
          <w:rFonts w:ascii="Arial" w:hAnsi="Arial" w:cs="Arial"/>
          <w:sz w:val="18"/>
          <w:szCs w:val="18"/>
        </w:rPr>
        <w:t>further improvements to physical accessibility for persons with disabilities</w:t>
      </w:r>
      <w:r>
        <w:rPr>
          <w:rFonts w:ascii="Arial" w:hAnsi="Arial" w:cs="Arial"/>
          <w:sz w:val="18"/>
          <w:szCs w:val="18"/>
        </w:rPr>
        <w:t>.</w:t>
      </w:r>
    </w:p>
    <w:p w14:paraId="749945E7" w14:textId="77777777" w:rsidR="008D2CBF"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Based on the WIPO High Level Policy on Environmental Responsibility issued in December 2022, the biennium will see the implementation – by end 2025 </w:t>
      </w:r>
      <w:r>
        <w:rPr>
          <w:rFonts w:ascii="Arial" w:hAnsi="Arial" w:cs="Arial"/>
          <w:sz w:val="18"/>
          <w:szCs w:val="18"/>
        </w:rPr>
        <w:t>and in line with the</w:t>
      </w:r>
      <w:r w:rsidRPr="003E1CD9">
        <w:rPr>
          <w:rFonts w:ascii="Arial" w:hAnsi="Arial" w:cs="Arial"/>
          <w:sz w:val="18"/>
          <w:szCs w:val="18"/>
        </w:rPr>
        <w:t xml:space="preserve"> UN-wide deadline – of an Environmental Management System (EMS) aimed at translating the policy into specific objectives, baselines and targets, actions and monitoring, for all WIPO activities at </w:t>
      </w:r>
      <w:r>
        <w:rPr>
          <w:rFonts w:ascii="Arial" w:hAnsi="Arial" w:cs="Arial"/>
          <w:sz w:val="18"/>
          <w:szCs w:val="18"/>
        </w:rPr>
        <w:t>headquarters</w:t>
      </w:r>
      <w:r w:rsidRPr="003E1CD9">
        <w:rPr>
          <w:rFonts w:ascii="Arial" w:hAnsi="Arial" w:cs="Arial"/>
          <w:sz w:val="18"/>
          <w:szCs w:val="18"/>
        </w:rPr>
        <w:t xml:space="preserve"> and worldwide, to be deployed for the years to come.  As one of the next major milestones, the biennium will see the conclusion of a long term agreement with the local energy provider on the energy price and timetable, </w:t>
      </w:r>
      <w:r>
        <w:rPr>
          <w:rFonts w:ascii="Arial" w:hAnsi="Arial" w:cs="Arial"/>
          <w:sz w:val="18"/>
          <w:szCs w:val="18"/>
        </w:rPr>
        <w:t xml:space="preserve">and </w:t>
      </w:r>
      <w:r w:rsidRPr="003E1CD9">
        <w:rPr>
          <w:rFonts w:ascii="Arial" w:hAnsi="Arial" w:cs="Arial"/>
          <w:sz w:val="18"/>
          <w:szCs w:val="18"/>
        </w:rPr>
        <w:t>for replacing the current heating system with natural gas for all buildings by the sustainable energy heating system using the Geneva Lake water (currently used for cooling only).</w:t>
      </w:r>
    </w:p>
    <w:p w14:paraId="371BA48E" w14:textId="3E002E3E" w:rsidR="008D2CBF" w:rsidRDefault="008D2CBF" w:rsidP="008D2CBF">
      <w:pPr>
        <w:pStyle w:val="TableParagraph"/>
        <w:spacing w:after="180"/>
        <w:ind w:left="0"/>
        <w:rPr>
          <w:rFonts w:ascii="Arial" w:hAnsi="Arial" w:cs="Arial"/>
          <w:sz w:val="18"/>
          <w:szCs w:val="18"/>
        </w:rPr>
      </w:pPr>
      <w:r>
        <w:rPr>
          <w:rFonts w:ascii="Arial" w:hAnsi="Arial" w:cs="Arial"/>
          <w:sz w:val="18"/>
          <w:szCs w:val="18"/>
        </w:rPr>
        <w:t xml:space="preserve">During the biennium, work will continue to explore the Organization’s medium term approach to the </w:t>
      </w:r>
      <w:r w:rsidRPr="00255025">
        <w:rPr>
          <w:rFonts w:ascii="Arial" w:hAnsi="Arial" w:cs="Arial"/>
          <w:sz w:val="18"/>
          <w:szCs w:val="18"/>
        </w:rPr>
        <w:t>Arpad Bosch Building</w:t>
      </w:r>
      <w:r>
        <w:rPr>
          <w:rFonts w:ascii="Arial" w:hAnsi="Arial" w:cs="Arial"/>
          <w:sz w:val="18"/>
          <w:szCs w:val="18"/>
        </w:rPr>
        <w:t xml:space="preserve">, which will be in need of renovation in the coming years. </w:t>
      </w:r>
      <w:r w:rsidR="00CB163A">
        <w:rPr>
          <w:rFonts w:ascii="Arial" w:hAnsi="Arial" w:cs="Arial"/>
          <w:sz w:val="18"/>
          <w:szCs w:val="18"/>
        </w:rPr>
        <w:t xml:space="preserve"> </w:t>
      </w:r>
      <w:r>
        <w:rPr>
          <w:rFonts w:ascii="Arial" w:hAnsi="Arial" w:cs="Arial"/>
          <w:sz w:val="18"/>
          <w:szCs w:val="18"/>
        </w:rPr>
        <w:t xml:space="preserve">This will include technical and </w:t>
      </w:r>
      <w:r w:rsidR="0026419C">
        <w:rPr>
          <w:rFonts w:ascii="Arial" w:hAnsi="Arial" w:cs="Arial"/>
          <w:sz w:val="18"/>
          <w:szCs w:val="18"/>
        </w:rPr>
        <w:t>architectural</w:t>
      </w:r>
      <w:r>
        <w:rPr>
          <w:rFonts w:ascii="Arial" w:hAnsi="Arial" w:cs="Arial"/>
          <w:sz w:val="18"/>
          <w:szCs w:val="18"/>
        </w:rPr>
        <w:t xml:space="preserve"> studies with a view of submitting capital proposals to Member States in due course.</w:t>
      </w:r>
    </w:p>
    <w:p w14:paraId="11395C60" w14:textId="1D44A5CC" w:rsidR="008D2CBF" w:rsidRPr="003E1CD9"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Printing and mailing services, which have been scaled down in line with the “new normal” decreased level of demand for paper, will continue to operate a flexible resourcing strategy to deliver efficient services at reduced volume. </w:t>
      </w:r>
    </w:p>
    <w:p w14:paraId="60998665" w14:textId="77777777" w:rsidR="008D2CBF" w:rsidRDefault="008D2CBF" w:rsidP="008D2CBF">
      <w:pPr>
        <w:pStyle w:val="TableParagraph"/>
        <w:spacing w:after="180"/>
        <w:ind w:left="0"/>
        <w:rPr>
          <w:rFonts w:ascii="Arial" w:hAnsi="Arial" w:cs="Arial"/>
          <w:sz w:val="18"/>
          <w:szCs w:val="18"/>
        </w:rPr>
      </w:pPr>
      <w:r w:rsidRPr="003E1CD9">
        <w:rPr>
          <w:rFonts w:ascii="Arial" w:hAnsi="Arial" w:cs="Arial"/>
          <w:sz w:val="18"/>
          <w:szCs w:val="18"/>
        </w:rPr>
        <w:t xml:space="preserve">WIPO will continue to maintain a fit-for-purpose global operating environment </w:t>
      </w:r>
      <w:r>
        <w:rPr>
          <w:rFonts w:ascii="Arial" w:hAnsi="Arial" w:cs="Arial"/>
          <w:sz w:val="18"/>
          <w:szCs w:val="18"/>
        </w:rPr>
        <w:t xml:space="preserve">at headquarters and in our overseas offices, </w:t>
      </w:r>
      <w:r w:rsidRPr="003E1CD9">
        <w:rPr>
          <w:rFonts w:ascii="Arial" w:hAnsi="Arial" w:cs="Arial"/>
          <w:sz w:val="18"/>
          <w:szCs w:val="18"/>
        </w:rPr>
        <w:t>through the effective</w:t>
      </w:r>
      <w:r>
        <w:rPr>
          <w:rFonts w:ascii="Arial" w:hAnsi="Arial" w:cs="Arial"/>
          <w:sz w:val="18"/>
          <w:szCs w:val="18"/>
        </w:rPr>
        <w:t>, agile</w:t>
      </w:r>
      <w:r w:rsidRPr="003E1CD9">
        <w:rPr>
          <w:rFonts w:ascii="Arial" w:hAnsi="Arial" w:cs="Arial"/>
          <w:sz w:val="18"/>
          <w:szCs w:val="18"/>
        </w:rPr>
        <w:t xml:space="preserve"> and timely delivery of professional safety and security risk management services, focusing on prevention, preparedness and resilience</w:t>
      </w:r>
      <w:r>
        <w:rPr>
          <w:rFonts w:ascii="Arial" w:hAnsi="Arial" w:cs="Arial"/>
          <w:sz w:val="18"/>
          <w:szCs w:val="18"/>
        </w:rPr>
        <w:t xml:space="preserve">, including supporting </w:t>
      </w:r>
      <w:r w:rsidRPr="003E1CD9">
        <w:rPr>
          <w:rFonts w:ascii="Arial" w:hAnsi="Arial" w:cs="Arial"/>
          <w:sz w:val="18"/>
          <w:szCs w:val="18"/>
        </w:rPr>
        <w:t>conferences and events</w:t>
      </w:r>
      <w:r>
        <w:rPr>
          <w:rFonts w:ascii="Arial" w:hAnsi="Arial" w:cs="Arial"/>
          <w:sz w:val="18"/>
          <w:szCs w:val="18"/>
        </w:rPr>
        <w:t xml:space="preserve"> in Geneva and overseas.</w:t>
      </w:r>
    </w:p>
    <w:p w14:paraId="48790777" w14:textId="77777777" w:rsidR="006F1BC2" w:rsidRPr="00D82A4A" w:rsidRDefault="006F1BC2" w:rsidP="008D2CBF">
      <w:pPr>
        <w:pStyle w:val="TableParagraph"/>
        <w:ind w:left="0"/>
        <w:rPr>
          <w:rFonts w:ascii="Arial" w:hAnsi="Arial" w:cs="Arial"/>
          <w:color w:val="005172" w:themeColor="text2"/>
          <w:sz w:val="18"/>
          <w:szCs w:val="18"/>
        </w:rPr>
      </w:pPr>
    </w:p>
    <w:p w14:paraId="4998ADA2" w14:textId="77777777" w:rsidR="008D2CBF" w:rsidRDefault="008D2CBF" w:rsidP="008D2CBF">
      <w:pPr>
        <w:pStyle w:val="TableParagraph"/>
        <w:spacing w:after="180"/>
        <w:ind w:left="0"/>
        <w:rPr>
          <w:rFonts w:ascii="Arial" w:hAnsi="Arial" w:cs="Arial"/>
          <w:color w:val="005172" w:themeColor="text2"/>
          <w:sz w:val="32"/>
        </w:rPr>
      </w:pPr>
      <w:r w:rsidRPr="00D82A4A">
        <w:rPr>
          <w:rFonts w:ascii="Arial" w:hAnsi="Arial" w:cs="Arial"/>
          <w:color w:val="005172" w:themeColor="text2"/>
          <w:sz w:val="32"/>
        </w:rPr>
        <w:t>Risks</w:t>
      </w:r>
    </w:p>
    <w:tbl>
      <w:tblPr>
        <w:tblW w:w="9620" w:type="dxa"/>
        <w:tblInd w:w="10" w:type="dxa"/>
        <w:tblCellMar>
          <w:left w:w="0" w:type="dxa"/>
          <w:right w:w="0" w:type="dxa"/>
        </w:tblCellMar>
        <w:tblLook w:val="04A0" w:firstRow="1" w:lastRow="0" w:firstColumn="1" w:lastColumn="0" w:noHBand="0" w:noVBand="1"/>
      </w:tblPr>
      <w:tblGrid>
        <w:gridCol w:w="2265"/>
        <w:gridCol w:w="2263"/>
        <w:gridCol w:w="3382"/>
        <w:gridCol w:w="1710"/>
      </w:tblGrid>
      <w:tr w:rsidR="008D2CBF" w:rsidRPr="00D82A4A" w14:paraId="1A6A3228" w14:textId="77777777" w:rsidTr="005B0AE9">
        <w:trPr>
          <w:trHeight w:val="279"/>
        </w:trPr>
        <w:tc>
          <w:tcPr>
            <w:tcW w:w="2265" w:type="dxa"/>
            <w:tcBorders>
              <w:right w:val="nil"/>
            </w:tcBorders>
            <w:shd w:val="clear" w:color="auto" w:fill="C6CFD7" w:themeFill="accent3" w:themeFillTint="66"/>
            <w:tcMar>
              <w:top w:w="0" w:type="dxa"/>
              <w:left w:w="108" w:type="dxa"/>
              <w:bottom w:w="0" w:type="dxa"/>
              <w:right w:w="108" w:type="dxa"/>
            </w:tcMar>
            <w:hideMark/>
          </w:tcPr>
          <w:p w14:paraId="014A0263" w14:textId="77777777" w:rsidR="008D2CBF" w:rsidRPr="006A497B" w:rsidRDefault="008D2CBF" w:rsidP="008D2CBF">
            <w:pPr>
              <w:autoSpaceDE w:val="0"/>
              <w:autoSpaceDN w:val="0"/>
              <w:spacing w:after="0" w:line="240" w:lineRule="auto"/>
              <w:ind w:left="272" w:hanging="299"/>
              <w:outlineLvl w:val="2"/>
              <w:rPr>
                <w:rFonts w:ascii="Arial Narrow" w:eastAsia="Times New Roman" w:hAnsi="Arial Narrow" w:cs="Arial"/>
                <w:b/>
                <w:sz w:val="16"/>
                <w:szCs w:val="16"/>
                <w:lang w:val="en-US"/>
              </w:rPr>
            </w:pPr>
            <w:r w:rsidRPr="006A497B">
              <w:rPr>
                <w:rFonts w:ascii="Arial Narrow" w:eastAsia="Times New Roman" w:hAnsi="Arial Narrow" w:cs="Arial"/>
                <w:b/>
                <w:sz w:val="16"/>
                <w:szCs w:val="16"/>
                <w:lang w:val="en-US"/>
              </w:rPr>
              <w:t xml:space="preserve">Expected Result  </w:t>
            </w:r>
          </w:p>
        </w:tc>
        <w:tc>
          <w:tcPr>
            <w:tcW w:w="2263" w:type="dxa"/>
            <w:tcBorders>
              <w:left w:val="nil"/>
              <w:right w:val="nil"/>
            </w:tcBorders>
            <w:shd w:val="clear" w:color="auto" w:fill="C6CFD7" w:themeFill="accent3" w:themeFillTint="66"/>
            <w:tcMar>
              <w:top w:w="0" w:type="dxa"/>
              <w:left w:w="108" w:type="dxa"/>
              <w:bottom w:w="0" w:type="dxa"/>
              <w:right w:w="108" w:type="dxa"/>
            </w:tcMar>
            <w:hideMark/>
          </w:tcPr>
          <w:p w14:paraId="0F4A3DF9" w14:textId="77777777" w:rsidR="008D2CBF" w:rsidRPr="006A497B" w:rsidRDefault="008D2CBF" w:rsidP="008D2CBF">
            <w:pPr>
              <w:autoSpaceDE w:val="0"/>
              <w:autoSpaceDN w:val="0"/>
              <w:spacing w:after="0" w:line="240" w:lineRule="auto"/>
              <w:ind w:left="272" w:hanging="272"/>
              <w:outlineLvl w:val="2"/>
              <w:rPr>
                <w:rFonts w:ascii="Arial Narrow" w:eastAsia="Times New Roman" w:hAnsi="Arial Narrow" w:cs="Arial"/>
                <w:b/>
                <w:bCs/>
                <w:sz w:val="16"/>
                <w:szCs w:val="16"/>
                <w:lang w:val="en-US"/>
              </w:rPr>
            </w:pPr>
            <w:r w:rsidRPr="006A497B">
              <w:rPr>
                <w:rFonts w:ascii="Arial Narrow" w:eastAsia="Times New Roman" w:hAnsi="Arial Narrow" w:cs="Arial"/>
                <w:b/>
                <w:sz w:val="16"/>
                <w:szCs w:val="16"/>
                <w:lang w:val="en-US"/>
              </w:rPr>
              <w:t>Risk</w:t>
            </w:r>
          </w:p>
        </w:tc>
        <w:tc>
          <w:tcPr>
            <w:tcW w:w="3382" w:type="dxa"/>
            <w:tcBorders>
              <w:left w:val="nil"/>
              <w:right w:val="nil"/>
            </w:tcBorders>
            <w:shd w:val="clear" w:color="auto" w:fill="C6CFD7" w:themeFill="accent3" w:themeFillTint="66"/>
            <w:tcMar>
              <w:top w:w="0" w:type="dxa"/>
              <w:left w:w="108" w:type="dxa"/>
              <w:bottom w:w="0" w:type="dxa"/>
              <w:right w:w="108" w:type="dxa"/>
            </w:tcMar>
            <w:hideMark/>
          </w:tcPr>
          <w:p w14:paraId="2E38412A" w14:textId="77777777" w:rsidR="008D2CBF" w:rsidRPr="006A497B" w:rsidRDefault="008D2CBF" w:rsidP="008D2CBF">
            <w:pPr>
              <w:autoSpaceDE w:val="0"/>
              <w:autoSpaceDN w:val="0"/>
              <w:spacing w:after="0" w:line="240" w:lineRule="auto"/>
              <w:ind w:left="42" w:hanging="42"/>
              <w:outlineLvl w:val="2"/>
              <w:rPr>
                <w:rFonts w:ascii="Arial Narrow" w:eastAsia="Times New Roman" w:hAnsi="Arial Narrow" w:cs="Arial"/>
                <w:b/>
                <w:bCs/>
                <w:sz w:val="16"/>
                <w:szCs w:val="16"/>
                <w:lang w:val="en-US"/>
              </w:rPr>
            </w:pPr>
            <w:r w:rsidRPr="006A497B">
              <w:rPr>
                <w:rFonts w:ascii="Arial Narrow" w:eastAsia="Times New Roman" w:hAnsi="Arial Narrow" w:cs="Arial"/>
                <w:b/>
                <w:sz w:val="16"/>
                <w:szCs w:val="16"/>
                <w:lang w:val="en-US"/>
              </w:rPr>
              <w:t>Risk Response</w:t>
            </w:r>
          </w:p>
        </w:tc>
        <w:tc>
          <w:tcPr>
            <w:tcW w:w="1710" w:type="dxa"/>
            <w:tcBorders>
              <w:left w:val="nil"/>
            </w:tcBorders>
            <w:shd w:val="clear" w:color="auto" w:fill="C6CFD7" w:themeFill="accent3" w:themeFillTint="66"/>
            <w:tcMar>
              <w:top w:w="0" w:type="dxa"/>
              <w:left w:w="108" w:type="dxa"/>
              <w:bottom w:w="0" w:type="dxa"/>
              <w:right w:w="108" w:type="dxa"/>
            </w:tcMar>
            <w:hideMark/>
          </w:tcPr>
          <w:p w14:paraId="3F28C714" w14:textId="77777777" w:rsidR="008D2CBF" w:rsidRPr="006A497B" w:rsidRDefault="008D2CBF" w:rsidP="008D2CBF">
            <w:pPr>
              <w:autoSpaceDE w:val="0"/>
              <w:autoSpaceDN w:val="0"/>
              <w:spacing w:after="0" w:line="240" w:lineRule="auto"/>
              <w:ind w:left="-25"/>
              <w:outlineLvl w:val="2"/>
              <w:rPr>
                <w:rFonts w:ascii="Arial Narrow" w:eastAsia="Times New Roman" w:hAnsi="Arial Narrow" w:cs="Arial"/>
                <w:b/>
                <w:bCs/>
                <w:sz w:val="16"/>
                <w:szCs w:val="16"/>
                <w:lang w:val="en-US"/>
              </w:rPr>
            </w:pPr>
            <w:r w:rsidRPr="006A497B">
              <w:rPr>
                <w:rFonts w:ascii="Arial Narrow" w:eastAsia="Times New Roman" w:hAnsi="Arial Narrow" w:cs="Arial"/>
                <w:b/>
                <w:color w:val="000000"/>
                <w:sz w:val="16"/>
                <w:szCs w:val="16"/>
                <w:lang w:val="en-US"/>
              </w:rPr>
              <w:t xml:space="preserve">Target Residual Risk </w:t>
            </w:r>
          </w:p>
        </w:tc>
      </w:tr>
      <w:tr w:rsidR="008D2CBF" w:rsidRPr="00D82A4A" w14:paraId="21FA0C89" w14:textId="77777777" w:rsidTr="005B0AE9">
        <w:tc>
          <w:tcPr>
            <w:tcW w:w="962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8D2CBF" w:rsidRPr="006A497B" w14:paraId="2E3DFB2B" w14:textId="77777777" w:rsidTr="008D2CBF">
              <w:trPr>
                <w:trHeight w:val="134"/>
              </w:trPr>
              <w:tc>
                <w:tcPr>
                  <w:tcW w:w="1129" w:type="dxa"/>
                  <w:tcMar>
                    <w:top w:w="0" w:type="dxa"/>
                    <w:left w:w="108" w:type="dxa"/>
                    <w:bottom w:w="0" w:type="dxa"/>
                    <w:right w:w="108" w:type="dxa"/>
                  </w:tcMar>
                  <w:hideMark/>
                </w:tcPr>
                <w:p w14:paraId="7712E944" w14:textId="5A8FA622" w:rsidR="008D2CBF" w:rsidRPr="006A497B" w:rsidRDefault="007C5188" w:rsidP="008D2CBF">
                  <w:pPr>
                    <w:widowControl w:val="0"/>
                    <w:autoSpaceDE w:val="0"/>
                    <w:autoSpaceDN w:val="0"/>
                    <w:spacing w:after="0" w:line="240" w:lineRule="auto"/>
                    <w:ind w:hanging="360"/>
                    <w:jc w:val="center"/>
                    <w:rPr>
                      <w:rFonts w:ascii="Arial Narrow" w:eastAsia="Arial Narrow"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Foundation </w:t>
                  </w:r>
                </w:p>
              </w:tc>
              <w:tc>
                <w:tcPr>
                  <w:tcW w:w="7571" w:type="dxa"/>
                  <w:tcMar>
                    <w:top w:w="0" w:type="dxa"/>
                    <w:left w:w="108" w:type="dxa"/>
                    <w:bottom w:w="0" w:type="dxa"/>
                    <w:right w:w="108" w:type="dxa"/>
                  </w:tcMar>
                  <w:hideMark/>
                </w:tcPr>
                <w:p w14:paraId="2B8BD382" w14:textId="77777777" w:rsidR="008D2CBF" w:rsidRPr="006A497B" w:rsidRDefault="008D2CBF" w:rsidP="008D2CBF">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6A497B">
                    <w:rPr>
                      <w:rFonts w:ascii="Arial Narrow" w:eastAsia="Arial Narrow" w:hAnsi="Arial Narrow" w:cs="Arial Narrow"/>
                      <w:i/>
                      <w:iCs/>
                      <w:color w:val="005172" w:themeColor="text2"/>
                      <w:sz w:val="16"/>
                      <w:szCs w:val="16"/>
                      <w:lang w:val="en-US" w:bidi="en-US"/>
                    </w:rPr>
                    <w:t>Empower our people to work effectively, collaboratively and innovatively by providing them with the right resources, training and environment</w:t>
                  </w:r>
                </w:p>
              </w:tc>
            </w:tr>
          </w:tbl>
          <w:p w14:paraId="1AD96B67" w14:textId="77777777" w:rsidR="008D2CBF" w:rsidRPr="006A497B" w:rsidRDefault="008D2CBF" w:rsidP="008D2CBF">
            <w:pPr>
              <w:widowControl w:val="0"/>
              <w:autoSpaceDE w:val="0"/>
              <w:autoSpaceDN w:val="0"/>
              <w:spacing w:after="0" w:line="240" w:lineRule="auto"/>
              <w:rPr>
                <w:rFonts w:ascii="Times New Roman" w:eastAsia="Times New Roman" w:hAnsi="Times New Roman" w:cs="Times New Roman"/>
                <w:color w:val="005172" w:themeColor="text2"/>
                <w:sz w:val="20"/>
                <w:szCs w:val="20"/>
                <w:lang w:val="en-US" w:bidi="en-US"/>
              </w:rPr>
            </w:pPr>
          </w:p>
        </w:tc>
      </w:tr>
      <w:tr w:rsidR="00F64C66" w:rsidRPr="00D82A4A" w14:paraId="25F57D9A" w14:textId="77777777" w:rsidTr="005B0AE9">
        <w:trPr>
          <w:trHeight w:val="1339"/>
        </w:trPr>
        <w:tc>
          <w:tcPr>
            <w:tcW w:w="2265" w:type="dxa"/>
            <w:shd w:val="clear" w:color="auto" w:fill="FFFFFF"/>
            <w:tcMar>
              <w:top w:w="0" w:type="dxa"/>
              <w:left w:w="108" w:type="dxa"/>
              <w:bottom w:w="0" w:type="dxa"/>
              <w:right w:w="108" w:type="dxa"/>
            </w:tcMar>
          </w:tcPr>
          <w:p w14:paraId="0D2419D5"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5.2  </w:t>
            </w:r>
            <w:r w:rsidRPr="00D82A4A">
              <w:rPr>
                <w:rFonts w:ascii="Arial Narrow" w:eastAsia="Times New Roman" w:hAnsi="Arial Narrow" w:cs="Arial"/>
                <w:sz w:val="16"/>
                <w:szCs w:val="16"/>
                <w:lang w:val="en-US"/>
              </w:rPr>
              <w:t>Digitally enabled, secure and sustainable operating environment and services</w:t>
            </w:r>
          </w:p>
          <w:p w14:paraId="508A6503" w14:textId="3CFFAFA9"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b/>
                <w:i/>
                <w:iCs/>
                <w:sz w:val="16"/>
                <w:szCs w:val="16"/>
                <w:lang w:val="en-US"/>
              </w:rPr>
              <w:t>Low risk appetite</w:t>
            </w:r>
          </w:p>
        </w:tc>
        <w:tc>
          <w:tcPr>
            <w:tcW w:w="2263" w:type="dxa"/>
            <w:shd w:val="clear" w:color="auto" w:fill="FFFFFF"/>
            <w:tcMar>
              <w:top w:w="0" w:type="dxa"/>
              <w:left w:w="108" w:type="dxa"/>
              <w:bottom w:w="0" w:type="dxa"/>
              <w:right w:w="108" w:type="dxa"/>
            </w:tcMar>
          </w:tcPr>
          <w:p w14:paraId="6851FC94" w14:textId="3802B179"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 xml:space="preserve">A serious security incident, resulting from armed conflict, terrorism, civil unrest or other cause, presents a risk to WIPO personnel, assets and visitors located in Headquarters and external offices, as well as during travel, international WIPO events and meetings. </w:t>
            </w:r>
          </w:p>
        </w:tc>
        <w:tc>
          <w:tcPr>
            <w:tcW w:w="3382" w:type="dxa"/>
            <w:shd w:val="clear" w:color="auto" w:fill="FFFFFF"/>
            <w:tcMar>
              <w:top w:w="0" w:type="dxa"/>
              <w:left w:w="108" w:type="dxa"/>
              <w:bottom w:w="0" w:type="dxa"/>
              <w:right w:w="108" w:type="dxa"/>
            </w:tcMar>
          </w:tcPr>
          <w:p w14:paraId="2C53A776" w14:textId="5A5F48F2"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In coordination with security partners, WIPO implements strategies to continually assess, monitor, and manage security and resiliency risks through effective preventative, detective and response mechanisms to potential security threats.</w:t>
            </w:r>
          </w:p>
        </w:tc>
        <w:tc>
          <w:tcPr>
            <w:tcW w:w="1710" w:type="dxa"/>
            <w:shd w:val="clear" w:color="auto" w:fill="FFFFFF"/>
            <w:tcMar>
              <w:top w:w="0" w:type="dxa"/>
              <w:left w:w="108" w:type="dxa"/>
              <w:bottom w:w="0" w:type="dxa"/>
              <w:right w:w="108" w:type="dxa"/>
            </w:tcMar>
          </w:tcPr>
          <w:p w14:paraId="147E4B87" w14:textId="77777777" w:rsidR="00F64C66"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 xml:space="preserve">Low </w:t>
            </w:r>
            <w:r>
              <w:rPr>
                <w:rFonts w:ascii="Arial Narrow" w:eastAsia="Times New Roman" w:hAnsi="Arial Narrow" w:cs="Arial"/>
                <w:sz w:val="16"/>
                <w:szCs w:val="16"/>
                <w:lang w:val="en-US"/>
              </w:rPr>
              <w:t xml:space="preserve">– </w:t>
            </w:r>
          </w:p>
          <w:p w14:paraId="4C2424D4"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D82A4A">
              <w:rPr>
                <w:rFonts w:ascii="Arial Narrow" w:eastAsia="Times New Roman" w:hAnsi="Arial Narrow" w:cs="Arial"/>
                <w:sz w:val="16"/>
                <w:szCs w:val="16"/>
                <w:lang w:val="en-US"/>
              </w:rPr>
              <w:t>n line with risk appetite</w:t>
            </w:r>
          </w:p>
          <w:p w14:paraId="21A5A7FE" w14:textId="77777777" w:rsidR="00F64C66" w:rsidRPr="00D82A4A" w:rsidRDefault="00F64C66" w:rsidP="00F64C66">
            <w:pPr>
              <w:autoSpaceDE w:val="0"/>
              <w:autoSpaceDN w:val="0"/>
              <w:spacing w:after="0" w:line="240" w:lineRule="auto"/>
              <w:ind w:left="272"/>
              <w:outlineLvl w:val="2"/>
              <w:rPr>
                <w:rFonts w:ascii="Arial Narrow" w:eastAsia="Times New Roman" w:hAnsi="Arial Narrow" w:cs="Arial"/>
                <w:sz w:val="16"/>
                <w:szCs w:val="16"/>
                <w:lang w:val="en-US"/>
              </w:rPr>
            </w:pPr>
          </w:p>
          <w:p w14:paraId="204C30B6"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p>
        </w:tc>
      </w:tr>
      <w:tr w:rsidR="00F64C66" w:rsidRPr="00D82A4A" w14:paraId="666B4DA1" w14:textId="77777777" w:rsidTr="005B0AE9">
        <w:trPr>
          <w:trHeight w:val="1339"/>
        </w:trPr>
        <w:tc>
          <w:tcPr>
            <w:tcW w:w="2265" w:type="dxa"/>
            <w:shd w:val="clear" w:color="auto" w:fill="FFFFFF"/>
            <w:tcMar>
              <w:top w:w="0" w:type="dxa"/>
              <w:left w:w="108" w:type="dxa"/>
              <w:bottom w:w="0" w:type="dxa"/>
              <w:right w:w="108" w:type="dxa"/>
            </w:tcMar>
            <w:hideMark/>
          </w:tcPr>
          <w:p w14:paraId="3447EED9"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5.2  </w:t>
            </w:r>
            <w:r w:rsidRPr="00D82A4A">
              <w:rPr>
                <w:rFonts w:ascii="Arial Narrow" w:eastAsia="Times New Roman" w:hAnsi="Arial Narrow" w:cs="Arial"/>
                <w:sz w:val="16"/>
                <w:szCs w:val="16"/>
                <w:lang w:val="en-US"/>
              </w:rPr>
              <w:t>Digitally enabled, secure and sustainable operating environment and services</w:t>
            </w:r>
          </w:p>
          <w:p w14:paraId="46A2BBCB" w14:textId="77777777" w:rsidR="00F64C66" w:rsidRPr="00D82A4A" w:rsidRDefault="00F64C66" w:rsidP="00F64C66">
            <w:pPr>
              <w:widowControl w:val="0"/>
              <w:autoSpaceDE w:val="0"/>
              <w:autoSpaceDN w:val="0"/>
              <w:spacing w:after="0" w:line="240" w:lineRule="auto"/>
              <w:rPr>
                <w:rFonts w:ascii="Arial Narrow" w:eastAsia="Arial Narrow" w:hAnsi="Arial Narrow" w:cs="Arial Narrow"/>
                <w:sz w:val="22"/>
                <w:lang w:val="en-US" w:bidi="en-US"/>
              </w:rPr>
            </w:pPr>
            <w:r w:rsidRPr="00D82A4A">
              <w:rPr>
                <w:rFonts w:ascii="Arial Narrow" w:eastAsia="Times New Roman" w:hAnsi="Arial Narrow" w:cs="Arial Narrow"/>
                <w:b/>
                <w:bCs/>
                <w:i/>
                <w:iCs/>
                <w:sz w:val="16"/>
                <w:szCs w:val="16"/>
                <w:lang w:val="en-US" w:bidi="en-US"/>
              </w:rPr>
              <w:t>Low risk appetite</w:t>
            </w:r>
          </w:p>
        </w:tc>
        <w:tc>
          <w:tcPr>
            <w:tcW w:w="2263" w:type="dxa"/>
            <w:shd w:val="clear" w:color="auto" w:fill="FFFFFF"/>
            <w:tcMar>
              <w:top w:w="0" w:type="dxa"/>
              <w:left w:w="108" w:type="dxa"/>
              <w:bottom w:w="0" w:type="dxa"/>
              <w:right w:w="108" w:type="dxa"/>
            </w:tcMar>
            <w:hideMark/>
          </w:tcPr>
          <w:p w14:paraId="6C0B4717"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Access to, or occupation of, WIPO premises is not viable for more than seven days, owing to physical inaccessibility, health and safety concerns, building infrastructure damage or other cause.</w:t>
            </w:r>
          </w:p>
        </w:tc>
        <w:tc>
          <w:tcPr>
            <w:tcW w:w="3382" w:type="dxa"/>
            <w:shd w:val="clear" w:color="auto" w:fill="FFFFFF"/>
            <w:tcMar>
              <w:top w:w="0" w:type="dxa"/>
              <w:left w:w="108" w:type="dxa"/>
              <w:bottom w:w="0" w:type="dxa"/>
              <w:right w:w="108" w:type="dxa"/>
            </w:tcMar>
            <w:hideMark/>
          </w:tcPr>
          <w:p w14:paraId="07B33039" w14:textId="78AEC346" w:rsidR="00F64C66" w:rsidRPr="00D82A4A" w:rsidRDefault="00F64C66" w:rsidP="009649F0">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Business Continuity Plans are def</w:t>
            </w:r>
            <w:r w:rsidR="0000041D">
              <w:rPr>
                <w:rFonts w:ascii="Arial Narrow" w:eastAsia="Times New Roman" w:hAnsi="Arial Narrow" w:cs="Arial"/>
                <w:sz w:val="16"/>
                <w:szCs w:val="16"/>
                <w:lang w:val="en-US"/>
              </w:rPr>
              <w:t>ined and maintained across all c</w:t>
            </w:r>
            <w:r w:rsidRPr="00D82A4A">
              <w:rPr>
                <w:rFonts w:ascii="Arial Narrow" w:eastAsia="Times New Roman" w:hAnsi="Arial Narrow" w:cs="Arial"/>
                <w:sz w:val="16"/>
                <w:szCs w:val="16"/>
                <w:lang w:val="en-US"/>
              </w:rPr>
              <w:t xml:space="preserve">ritical </w:t>
            </w:r>
            <w:r w:rsidR="0000041D">
              <w:rPr>
                <w:rFonts w:ascii="Arial Narrow" w:eastAsia="Times New Roman" w:hAnsi="Arial Narrow" w:cs="Arial"/>
                <w:sz w:val="16"/>
                <w:szCs w:val="16"/>
                <w:lang w:val="en-US"/>
              </w:rPr>
              <w:t>f</w:t>
            </w:r>
            <w:r w:rsidRPr="00D82A4A">
              <w:rPr>
                <w:rFonts w:ascii="Arial Narrow" w:eastAsia="Times New Roman" w:hAnsi="Arial Narrow" w:cs="Arial"/>
                <w:sz w:val="16"/>
                <w:szCs w:val="16"/>
                <w:lang w:val="en-US"/>
              </w:rPr>
              <w:t>unctions</w:t>
            </w:r>
            <w:r w:rsidR="009649F0">
              <w:rPr>
                <w:rFonts w:ascii="Arial Narrow" w:eastAsia="Times New Roman" w:hAnsi="Arial Narrow" w:cs="Arial"/>
                <w:sz w:val="16"/>
                <w:szCs w:val="16"/>
                <w:lang w:val="en-US"/>
              </w:rPr>
              <w:t>,</w:t>
            </w:r>
            <w:r w:rsidRPr="00D82A4A">
              <w:rPr>
                <w:rFonts w:ascii="Arial Narrow" w:eastAsia="Times New Roman" w:hAnsi="Arial Narrow" w:cs="Arial"/>
                <w:sz w:val="16"/>
                <w:szCs w:val="16"/>
                <w:lang w:val="en-US"/>
              </w:rPr>
              <w:t xml:space="preserve"> External Offices</w:t>
            </w:r>
            <w:r w:rsidR="009649F0">
              <w:rPr>
                <w:rFonts w:ascii="Arial Narrow" w:eastAsia="Times New Roman" w:hAnsi="Arial Narrow" w:cs="Arial"/>
                <w:sz w:val="16"/>
                <w:szCs w:val="16"/>
                <w:lang w:val="en-US"/>
              </w:rPr>
              <w:t xml:space="preserve">, and </w:t>
            </w:r>
            <w:r w:rsidRPr="00D82A4A">
              <w:rPr>
                <w:rFonts w:ascii="Arial Narrow" w:eastAsia="Times New Roman" w:hAnsi="Arial Narrow" w:cs="Arial"/>
                <w:sz w:val="16"/>
                <w:szCs w:val="16"/>
                <w:lang w:val="en-US"/>
              </w:rPr>
              <w:t xml:space="preserve">the </w:t>
            </w:r>
            <w:r w:rsidR="009649F0">
              <w:rPr>
                <w:rFonts w:ascii="Arial Narrow" w:eastAsia="Times New Roman" w:hAnsi="Arial Narrow" w:cs="Arial"/>
                <w:sz w:val="16"/>
                <w:szCs w:val="16"/>
                <w:lang w:val="en-US"/>
              </w:rPr>
              <w:t>Coordination</w:t>
            </w:r>
            <w:r w:rsidRPr="00D82A4A">
              <w:rPr>
                <w:rFonts w:ascii="Arial Narrow" w:eastAsia="Times New Roman" w:hAnsi="Arial Narrow" w:cs="Arial"/>
                <w:sz w:val="16"/>
                <w:szCs w:val="16"/>
                <w:lang w:val="en-US"/>
              </w:rPr>
              <w:t xml:space="preserve"> Office in New York. The Crisis Management Plan and related response procedures are maintained </w:t>
            </w:r>
            <w:r w:rsidR="0000041D">
              <w:rPr>
                <w:rFonts w:ascii="Arial Narrow" w:eastAsia="Times New Roman" w:hAnsi="Arial Narrow" w:cs="Arial"/>
                <w:sz w:val="16"/>
                <w:szCs w:val="16"/>
                <w:lang w:val="en-US"/>
              </w:rPr>
              <w:t xml:space="preserve">and tested </w:t>
            </w:r>
            <w:r w:rsidRPr="00D82A4A">
              <w:rPr>
                <w:rFonts w:ascii="Arial Narrow" w:eastAsia="Times New Roman" w:hAnsi="Arial Narrow" w:cs="Arial"/>
                <w:sz w:val="16"/>
                <w:szCs w:val="16"/>
                <w:lang w:val="en-US"/>
              </w:rPr>
              <w:t>regularly, with accountability and responsibilities understood by all key stakeholders.</w:t>
            </w:r>
          </w:p>
        </w:tc>
        <w:tc>
          <w:tcPr>
            <w:tcW w:w="1710" w:type="dxa"/>
            <w:shd w:val="clear" w:color="auto" w:fill="FFFFFF"/>
            <w:tcMar>
              <w:top w:w="0" w:type="dxa"/>
              <w:left w:w="108" w:type="dxa"/>
              <w:bottom w:w="0" w:type="dxa"/>
              <w:right w:w="108" w:type="dxa"/>
            </w:tcMar>
          </w:tcPr>
          <w:p w14:paraId="004DBFB8" w14:textId="30A8127E" w:rsidR="00F64C66"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 xml:space="preserve">Low </w:t>
            </w:r>
            <w:r>
              <w:rPr>
                <w:rFonts w:ascii="Arial Narrow" w:eastAsia="Times New Roman" w:hAnsi="Arial Narrow" w:cs="Arial"/>
                <w:sz w:val="16"/>
                <w:szCs w:val="16"/>
                <w:lang w:val="en-US"/>
              </w:rPr>
              <w:t xml:space="preserve">– </w:t>
            </w:r>
          </w:p>
          <w:p w14:paraId="41C0B47C" w14:textId="5869E502"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D82A4A">
              <w:rPr>
                <w:rFonts w:ascii="Arial Narrow" w:eastAsia="Times New Roman" w:hAnsi="Arial Narrow" w:cs="Arial"/>
                <w:sz w:val="16"/>
                <w:szCs w:val="16"/>
                <w:lang w:val="en-US"/>
              </w:rPr>
              <w:t>n line with risk appetite</w:t>
            </w:r>
          </w:p>
          <w:p w14:paraId="18D8CD32" w14:textId="77777777" w:rsidR="00F64C66" w:rsidRPr="00D82A4A" w:rsidRDefault="00F64C66" w:rsidP="00F64C66">
            <w:pPr>
              <w:autoSpaceDE w:val="0"/>
              <w:autoSpaceDN w:val="0"/>
              <w:spacing w:after="0" w:line="240" w:lineRule="auto"/>
              <w:ind w:left="272"/>
              <w:outlineLvl w:val="2"/>
              <w:rPr>
                <w:rFonts w:ascii="Arial Narrow" w:eastAsia="Times New Roman" w:hAnsi="Arial Narrow" w:cs="Arial"/>
                <w:sz w:val="16"/>
                <w:szCs w:val="16"/>
                <w:lang w:val="en-US"/>
              </w:rPr>
            </w:pPr>
          </w:p>
          <w:p w14:paraId="5044B85A" w14:textId="77777777" w:rsidR="00F64C66" w:rsidRPr="00D82A4A" w:rsidRDefault="00F64C66" w:rsidP="00F64C66">
            <w:pPr>
              <w:autoSpaceDE w:val="0"/>
              <w:autoSpaceDN w:val="0"/>
              <w:spacing w:after="0" w:line="240" w:lineRule="auto"/>
              <w:ind w:left="272"/>
              <w:outlineLvl w:val="2"/>
              <w:rPr>
                <w:rFonts w:ascii="Arial Narrow" w:eastAsia="Times New Roman" w:hAnsi="Arial Narrow" w:cs="Arial"/>
                <w:sz w:val="16"/>
                <w:szCs w:val="16"/>
                <w:lang w:val="en-US"/>
              </w:rPr>
            </w:pPr>
          </w:p>
          <w:p w14:paraId="77612F95"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p>
        </w:tc>
      </w:tr>
      <w:tr w:rsidR="00F64C66" w:rsidRPr="00D82A4A" w14:paraId="57B8847C" w14:textId="77777777" w:rsidTr="005B0AE9">
        <w:trPr>
          <w:trHeight w:val="1168"/>
        </w:trPr>
        <w:tc>
          <w:tcPr>
            <w:tcW w:w="2265" w:type="dxa"/>
            <w:shd w:val="clear" w:color="auto" w:fill="FFFFFF"/>
            <w:tcMar>
              <w:top w:w="0" w:type="dxa"/>
              <w:left w:w="108" w:type="dxa"/>
              <w:bottom w:w="0" w:type="dxa"/>
              <w:right w:w="108" w:type="dxa"/>
            </w:tcMar>
            <w:hideMark/>
          </w:tcPr>
          <w:p w14:paraId="3D8E05E9"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5.3  </w:t>
            </w:r>
            <w:r w:rsidRPr="00D82A4A">
              <w:rPr>
                <w:rFonts w:ascii="Arial Narrow" w:eastAsia="Times New Roman" w:hAnsi="Arial Narrow" w:cs="Arial"/>
                <w:sz w:val="16"/>
                <w:szCs w:val="16"/>
                <w:lang w:val="en-US"/>
              </w:rPr>
              <w:t>Sound and prudent financial management and effective corporate governance and oversight</w:t>
            </w:r>
          </w:p>
          <w:p w14:paraId="0C858F1E"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b/>
                <w:i/>
                <w:iCs/>
                <w:sz w:val="16"/>
                <w:szCs w:val="16"/>
                <w:lang w:val="en-US"/>
              </w:rPr>
              <w:t>Low risk appetite</w:t>
            </w:r>
          </w:p>
        </w:tc>
        <w:tc>
          <w:tcPr>
            <w:tcW w:w="2263" w:type="dxa"/>
            <w:shd w:val="clear" w:color="auto" w:fill="FFFFFF"/>
            <w:tcMar>
              <w:top w:w="0" w:type="dxa"/>
              <w:left w:w="108" w:type="dxa"/>
              <w:bottom w:w="0" w:type="dxa"/>
              <w:right w:w="108" w:type="dxa"/>
            </w:tcMar>
            <w:hideMark/>
          </w:tcPr>
          <w:p w14:paraId="7AD032B5" w14:textId="77777777" w:rsidR="00F64C66" w:rsidRPr="00D82A4A" w:rsidRDefault="00F64C66" w:rsidP="00F64C66">
            <w:pPr>
              <w:widowControl w:val="0"/>
              <w:autoSpaceDE w:val="0"/>
              <w:autoSpaceDN w:val="0"/>
              <w:spacing w:after="0" w:line="240" w:lineRule="auto"/>
              <w:rPr>
                <w:rFonts w:ascii="Arial Narrow" w:eastAsia="Arial Narrow" w:hAnsi="Arial Narrow" w:cs="Arial Narrow"/>
                <w:sz w:val="16"/>
                <w:szCs w:val="16"/>
                <w:lang w:val="en-US" w:bidi="en-US"/>
              </w:rPr>
            </w:pPr>
            <w:r w:rsidRPr="00D82A4A">
              <w:rPr>
                <w:rFonts w:ascii="Arial Narrow" w:eastAsia="Arial Narrow" w:hAnsi="Arial Narrow" w:cs="Arial Narrow"/>
                <w:sz w:val="16"/>
                <w:szCs w:val="16"/>
                <w:lang w:val="en-US" w:bidi="en-US"/>
              </w:rPr>
              <w:t>Financial, reputational or operational harm experienced as a result of issues arising with key suppliers or partners.</w:t>
            </w:r>
          </w:p>
          <w:p w14:paraId="20364E87" w14:textId="77777777" w:rsidR="00F64C66" w:rsidRPr="00D82A4A" w:rsidRDefault="00F64C66" w:rsidP="00F64C66">
            <w:pPr>
              <w:autoSpaceDE w:val="0"/>
              <w:autoSpaceDN w:val="0"/>
              <w:spacing w:before="89" w:after="0" w:line="240" w:lineRule="auto"/>
              <w:ind w:left="272"/>
              <w:outlineLvl w:val="2"/>
              <w:rPr>
                <w:rFonts w:ascii="Arial Narrow" w:eastAsia="Times New Roman" w:hAnsi="Arial Narrow" w:cs="Arial"/>
                <w:sz w:val="16"/>
                <w:szCs w:val="16"/>
                <w:lang w:val="en-US"/>
              </w:rPr>
            </w:pPr>
          </w:p>
        </w:tc>
        <w:tc>
          <w:tcPr>
            <w:tcW w:w="3382" w:type="dxa"/>
            <w:shd w:val="clear" w:color="auto" w:fill="FFFFFF"/>
            <w:tcMar>
              <w:top w:w="0" w:type="dxa"/>
              <w:left w:w="108" w:type="dxa"/>
              <w:bottom w:w="0" w:type="dxa"/>
              <w:right w:w="108" w:type="dxa"/>
            </w:tcMar>
            <w:hideMark/>
          </w:tcPr>
          <w:p w14:paraId="5E6F65C9"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WIPO performs due diligence checks with third party providers and partners, which include a risk assessment, a review of financial and reputational stability, business continuity plans, and continuous performance monitoring throughout the lifecycle of the contract.</w:t>
            </w:r>
          </w:p>
        </w:tc>
        <w:tc>
          <w:tcPr>
            <w:tcW w:w="1710" w:type="dxa"/>
            <w:shd w:val="clear" w:color="auto" w:fill="FFFFFF"/>
            <w:tcMar>
              <w:top w:w="0" w:type="dxa"/>
              <w:left w:w="108" w:type="dxa"/>
              <w:bottom w:w="0" w:type="dxa"/>
              <w:right w:w="108" w:type="dxa"/>
            </w:tcMar>
          </w:tcPr>
          <w:p w14:paraId="72A0BA91" w14:textId="4DE60B63" w:rsidR="00F64C66"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Low</w:t>
            </w:r>
            <w:r>
              <w:rPr>
                <w:rFonts w:ascii="Arial Narrow" w:eastAsia="Times New Roman" w:hAnsi="Arial Narrow" w:cs="Arial"/>
                <w:sz w:val="16"/>
                <w:szCs w:val="16"/>
                <w:lang w:val="en-US"/>
              </w:rPr>
              <w:t xml:space="preserve"> – </w:t>
            </w:r>
          </w:p>
          <w:p w14:paraId="1B2231C2" w14:textId="757D0E42"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D82A4A">
              <w:rPr>
                <w:rFonts w:ascii="Arial Narrow" w:eastAsia="Times New Roman" w:hAnsi="Arial Narrow" w:cs="Arial"/>
                <w:sz w:val="16"/>
                <w:szCs w:val="16"/>
                <w:lang w:val="en-US"/>
              </w:rPr>
              <w:t>n line with risk appetite</w:t>
            </w:r>
          </w:p>
          <w:p w14:paraId="09DB944E" w14:textId="77777777" w:rsidR="00F64C66" w:rsidRPr="00D82A4A" w:rsidRDefault="00F64C66" w:rsidP="00F64C66">
            <w:pPr>
              <w:autoSpaceDE w:val="0"/>
              <w:autoSpaceDN w:val="0"/>
              <w:spacing w:after="0" w:line="240" w:lineRule="auto"/>
              <w:ind w:left="272"/>
              <w:outlineLvl w:val="2"/>
              <w:rPr>
                <w:rFonts w:ascii="Arial Narrow" w:eastAsia="Times New Roman" w:hAnsi="Arial Narrow" w:cs="Arial"/>
                <w:sz w:val="16"/>
                <w:szCs w:val="16"/>
                <w:lang w:val="en-US"/>
              </w:rPr>
            </w:pPr>
          </w:p>
          <w:p w14:paraId="47D529FC"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p>
        </w:tc>
      </w:tr>
      <w:tr w:rsidR="00F64C66" w:rsidRPr="00D82A4A" w14:paraId="72C4C4BB" w14:textId="77777777" w:rsidTr="00F64C66">
        <w:trPr>
          <w:trHeight w:val="1420"/>
        </w:trPr>
        <w:tc>
          <w:tcPr>
            <w:tcW w:w="2265" w:type="dxa"/>
            <w:tcBorders>
              <w:bottom w:val="single" w:sz="4" w:space="0" w:color="CBD4DB" w:themeColor="accent4" w:themeTint="99"/>
            </w:tcBorders>
            <w:shd w:val="clear" w:color="auto" w:fill="FFFFFF"/>
            <w:tcMar>
              <w:top w:w="0" w:type="dxa"/>
              <w:left w:w="108" w:type="dxa"/>
              <w:bottom w:w="0" w:type="dxa"/>
              <w:right w:w="108" w:type="dxa"/>
            </w:tcMar>
          </w:tcPr>
          <w:p w14:paraId="3B558FE2" w14:textId="77777777"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5.3  </w:t>
            </w:r>
            <w:r w:rsidRPr="00D82A4A">
              <w:rPr>
                <w:rFonts w:ascii="Arial Narrow" w:eastAsia="Times New Roman" w:hAnsi="Arial Narrow" w:cs="Arial"/>
                <w:sz w:val="16"/>
                <w:szCs w:val="16"/>
                <w:lang w:val="en-US"/>
              </w:rPr>
              <w:t>Sound and prudent financial management and effective corporate governance and oversight</w:t>
            </w:r>
          </w:p>
          <w:p w14:paraId="3486988B" w14:textId="5C7D9BBB"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b/>
                <w:i/>
                <w:iCs/>
                <w:sz w:val="16"/>
                <w:szCs w:val="16"/>
                <w:lang w:val="en-US"/>
              </w:rPr>
              <w:t>Medium risk appetite</w:t>
            </w:r>
          </w:p>
        </w:tc>
        <w:tc>
          <w:tcPr>
            <w:tcW w:w="2263" w:type="dxa"/>
            <w:tcBorders>
              <w:bottom w:val="single" w:sz="4" w:space="0" w:color="CBD4DB" w:themeColor="accent4" w:themeTint="99"/>
            </w:tcBorders>
            <w:shd w:val="clear" w:color="auto" w:fill="FFFFFF"/>
            <w:tcMar>
              <w:top w:w="0" w:type="dxa"/>
              <w:left w:w="108" w:type="dxa"/>
              <w:bottom w:w="0" w:type="dxa"/>
              <w:right w:w="108" w:type="dxa"/>
            </w:tcMar>
          </w:tcPr>
          <w:p w14:paraId="2A96E536" w14:textId="59CC2B79"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The value of investments made under the Member State-approved strategies for core and strategic cash pools could decrease, which would result in a reduction of net assets (reserves).</w:t>
            </w:r>
          </w:p>
        </w:tc>
        <w:tc>
          <w:tcPr>
            <w:tcW w:w="3382" w:type="dxa"/>
            <w:tcBorders>
              <w:bottom w:val="single" w:sz="4" w:space="0" w:color="CBD4DB" w:themeColor="accent4" w:themeTint="99"/>
            </w:tcBorders>
            <w:shd w:val="clear" w:color="auto" w:fill="FFFFFF"/>
            <w:tcMar>
              <w:top w:w="0" w:type="dxa"/>
              <w:left w:w="108" w:type="dxa"/>
              <w:bottom w:w="0" w:type="dxa"/>
              <w:right w:w="108" w:type="dxa"/>
            </w:tcMar>
          </w:tcPr>
          <w:p w14:paraId="79E424DA" w14:textId="08ACB94C" w:rsidR="00F64C66" w:rsidRPr="00D82A4A"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Operating, core and strategic cash investments will continue to be diversified in line with the expected time horizon and in accordance with the policy on investments, and the wider economic situation.  Performance will be closely monitored by the ACI, supported by its investment advisors, with allocation adjustments made as necessary.</w:t>
            </w:r>
          </w:p>
        </w:tc>
        <w:tc>
          <w:tcPr>
            <w:tcW w:w="1710" w:type="dxa"/>
            <w:tcBorders>
              <w:bottom w:val="single" w:sz="4" w:space="0" w:color="CBD4DB" w:themeColor="accent4" w:themeTint="99"/>
            </w:tcBorders>
            <w:shd w:val="clear" w:color="auto" w:fill="FFFFFF"/>
            <w:tcMar>
              <w:top w:w="0" w:type="dxa"/>
              <w:left w:w="108" w:type="dxa"/>
              <w:bottom w:w="0" w:type="dxa"/>
              <w:right w:w="108" w:type="dxa"/>
            </w:tcMar>
          </w:tcPr>
          <w:p w14:paraId="654D4125" w14:textId="77777777" w:rsidR="00F64C66" w:rsidRDefault="00F64C66" w:rsidP="00F64C66">
            <w:pPr>
              <w:autoSpaceDE w:val="0"/>
              <w:autoSpaceDN w:val="0"/>
              <w:spacing w:before="89" w:after="0" w:line="240" w:lineRule="auto"/>
              <w:outlineLvl w:val="2"/>
              <w:rPr>
                <w:rFonts w:ascii="Arial Narrow" w:eastAsia="Times New Roman" w:hAnsi="Arial Narrow" w:cs="Arial"/>
                <w:sz w:val="16"/>
                <w:szCs w:val="16"/>
                <w:lang w:val="en-US"/>
              </w:rPr>
            </w:pPr>
            <w:r w:rsidRPr="00D82A4A">
              <w:rPr>
                <w:rFonts w:ascii="Arial Narrow" w:eastAsia="Times New Roman" w:hAnsi="Arial Narrow" w:cs="Arial"/>
                <w:sz w:val="16"/>
                <w:szCs w:val="16"/>
                <w:lang w:val="en-US"/>
              </w:rPr>
              <w:t xml:space="preserve">Medium </w:t>
            </w:r>
            <w:r>
              <w:rPr>
                <w:rFonts w:ascii="Arial Narrow" w:eastAsia="Times New Roman" w:hAnsi="Arial Narrow" w:cs="Arial"/>
                <w:sz w:val="16"/>
                <w:szCs w:val="16"/>
                <w:lang w:val="en-US"/>
              </w:rPr>
              <w:t xml:space="preserve">– </w:t>
            </w:r>
          </w:p>
          <w:p w14:paraId="5FC90C8B"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D82A4A">
              <w:rPr>
                <w:rFonts w:ascii="Arial Narrow" w:eastAsia="Times New Roman" w:hAnsi="Arial Narrow" w:cs="Arial"/>
                <w:sz w:val="16"/>
                <w:szCs w:val="16"/>
                <w:lang w:val="en-US"/>
              </w:rPr>
              <w:t>n line with risk appetite</w:t>
            </w:r>
          </w:p>
          <w:p w14:paraId="3EF3241C" w14:textId="77777777" w:rsidR="00F64C66" w:rsidRPr="00D82A4A" w:rsidRDefault="00F64C66" w:rsidP="00F64C66">
            <w:pPr>
              <w:autoSpaceDE w:val="0"/>
              <w:autoSpaceDN w:val="0"/>
              <w:spacing w:after="0" w:line="240" w:lineRule="auto"/>
              <w:ind w:left="272"/>
              <w:outlineLvl w:val="2"/>
              <w:rPr>
                <w:rFonts w:eastAsia="Times New Roman" w:cs="Arial"/>
                <w:sz w:val="20"/>
                <w:szCs w:val="20"/>
                <w:lang w:val="en-US"/>
              </w:rPr>
            </w:pPr>
          </w:p>
          <w:p w14:paraId="1F3942CF" w14:textId="77777777" w:rsidR="00F64C66" w:rsidRPr="00D82A4A" w:rsidRDefault="00F64C66" w:rsidP="00F64C66">
            <w:pPr>
              <w:autoSpaceDE w:val="0"/>
              <w:autoSpaceDN w:val="0"/>
              <w:spacing w:after="0" w:line="240" w:lineRule="auto"/>
              <w:outlineLvl w:val="2"/>
              <w:rPr>
                <w:rFonts w:ascii="Arial Narrow" w:eastAsia="Times New Roman" w:hAnsi="Arial Narrow" w:cs="Arial"/>
                <w:sz w:val="16"/>
                <w:szCs w:val="16"/>
                <w:lang w:val="en-US"/>
              </w:rPr>
            </w:pPr>
          </w:p>
        </w:tc>
      </w:tr>
    </w:tbl>
    <w:p w14:paraId="2A8B3F6F" w14:textId="77777777" w:rsidR="008D2CBF" w:rsidRPr="007F1A58" w:rsidRDefault="008D2CBF" w:rsidP="008D2CBF">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398"/>
        <w:gridCol w:w="2400"/>
        <w:gridCol w:w="2401"/>
        <w:gridCol w:w="2403"/>
        <w:gridCol w:w="28"/>
      </w:tblGrid>
      <w:tr w:rsidR="008D2CBF" w:rsidRPr="00D350B5" w14:paraId="69627438" w14:textId="77777777" w:rsidTr="008D2CBF">
        <w:trPr>
          <w:gridAfter w:val="1"/>
          <w:wAfter w:w="28" w:type="dxa"/>
          <w:cantSplit/>
          <w:trHeight w:val="288"/>
          <w:tblHeader/>
        </w:trPr>
        <w:tc>
          <w:tcPr>
            <w:tcW w:w="2398" w:type="dxa"/>
            <w:shd w:val="clear" w:color="auto" w:fill="C6CFD7" w:themeFill="accent3" w:themeFillTint="66"/>
          </w:tcPr>
          <w:p w14:paraId="3B0D41B8" w14:textId="77777777" w:rsidR="008D2CBF" w:rsidRPr="00D350B5" w:rsidRDefault="008D2CBF" w:rsidP="008D2CBF">
            <w:pPr>
              <w:pStyle w:val="TableHeading"/>
              <w:rPr>
                <w:lang w:val="en-US"/>
              </w:rPr>
            </w:pPr>
            <w:r w:rsidRPr="00D350B5">
              <w:rPr>
                <w:lang w:val="en-US"/>
              </w:rPr>
              <w:t>Expected Result</w:t>
            </w:r>
          </w:p>
        </w:tc>
        <w:tc>
          <w:tcPr>
            <w:tcW w:w="2400" w:type="dxa"/>
            <w:shd w:val="clear" w:color="auto" w:fill="C6CFD7" w:themeFill="accent3" w:themeFillTint="66"/>
          </w:tcPr>
          <w:p w14:paraId="069F09C3" w14:textId="77777777" w:rsidR="008D2CBF" w:rsidRPr="00D350B5" w:rsidRDefault="008D2CBF" w:rsidP="008D2CBF">
            <w:pPr>
              <w:pStyle w:val="TableHeading"/>
              <w:rPr>
                <w:lang w:val="en-US"/>
              </w:rPr>
            </w:pPr>
            <w:r w:rsidRPr="00D350B5">
              <w:rPr>
                <w:lang w:val="en-US"/>
              </w:rPr>
              <w:t>Performance Indicators</w:t>
            </w:r>
          </w:p>
        </w:tc>
        <w:tc>
          <w:tcPr>
            <w:tcW w:w="2401" w:type="dxa"/>
            <w:shd w:val="clear" w:color="auto" w:fill="C6CFD7" w:themeFill="accent3" w:themeFillTint="66"/>
          </w:tcPr>
          <w:p w14:paraId="1E46301E" w14:textId="77777777" w:rsidR="008D2CBF" w:rsidRPr="00D350B5" w:rsidRDefault="008D2CBF" w:rsidP="008D2CBF">
            <w:pPr>
              <w:pStyle w:val="TableHeading"/>
              <w:rPr>
                <w:lang w:val="en-US"/>
              </w:rPr>
            </w:pPr>
            <w:r w:rsidRPr="00D350B5">
              <w:rPr>
                <w:lang w:val="en-US"/>
              </w:rPr>
              <w:t>Baselines</w:t>
            </w:r>
          </w:p>
        </w:tc>
        <w:tc>
          <w:tcPr>
            <w:tcW w:w="2403" w:type="dxa"/>
            <w:shd w:val="clear" w:color="auto" w:fill="C6CFD7" w:themeFill="accent3" w:themeFillTint="66"/>
          </w:tcPr>
          <w:p w14:paraId="05B0C42C" w14:textId="77777777" w:rsidR="008D2CBF" w:rsidRPr="00D350B5" w:rsidRDefault="008D2CBF" w:rsidP="008D2CBF">
            <w:pPr>
              <w:pStyle w:val="TableHeading"/>
              <w:rPr>
                <w:lang w:val="en-US"/>
              </w:rPr>
            </w:pPr>
            <w:r w:rsidRPr="00D350B5">
              <w:rPr>
                <w:lang w:val="en-US"/>
              </w:rPr>
              <w:t>Targets</w:t>
            </w:r>
          </w:p>
        </w:tc>
      </w:tr>
      <w:tr w:rsidR="008D2CBF" w:rsidRPr="007B17FF" w14:paraId="0038EA7F" w14:textId="77777777" w:rsidTr="008D2CBF">
        <w:trPr>
          <w:gridAfter w:val="1"/>
          <w:wAfter w:w="28" w:type="dxa"/>
          <w:cantSplit/>
          <w:trHeight w:val="288"/>
        </w:trPr>
        <w:tc>
          <w:tcPr>
            <w:tcW w:w="2398" w:type="dxa"/>
            <w:shd w:val="clear" w:color="auto" w:fill="EDF0F3" w:themeFill="accent4" w:themeFillTint="33"/>
          </w:tcPr>
          <w:p w14:paraId="011176F1" w14:textId="77777777" w:rsidR="008D2CBF" w:rsidRPr="007B17FF" w:rsidRDefault="008D2CBF" w:rsidP="008D2CBF">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2</w:t>
            </w:r>
          </w:p>
        </w:tc>
        <w:tc>
          <w:tcPr>
            <w:tcW w:w="7204" w:type="dxa"/>
            <w:gridSpan w:val="3"/>
            <w:shd w:val="clear" w:color="auto" w:fill="EDF0F3" w:themeFill="accent4" w:themeFillTint="33"/>
          </w:tcPr>
          <w:p w14:paraId="160CB2ED" w14:textId="77777777" w:rsidR="008D2CBF" w:rsidRPr="007B17FF" w:rsidRDefault="008D2CBF" w:rsidP="008D2CBF">
            <w:pPr>
              <w:pStyle w:val="TableHeading"/>
              <w:rPr>
                <w:b w:val="0"/>
                <w:i/>
                <w:color w:val="005172" w:themeColor="text2"/>
                <w:lang w:val="en-US"/>
              </w:rPr>
            </w:pPr>
            <w:r w:rsidRPr="007B17FF">
              <w:rPr>
                <w:b w:val="0"/>
                <w:i/>
                <w:color w:val="005172" w:themeColor="text2"/>
                <w:lang w:val="en-US"/>
              </w:rPr>
              <w:t>Bring people together and partner with stakeholders to shape the future of the global intellectual property ecosystem</w:t>
            </w:r>
          </w:p>
        </w:tc>
      </w:tr>
      <w:tr w:rsidR="008D2CBF" w:rsidRPr="00D350B5" w14:paraId="5264B5EA" w14:textId="77777777" w:rsidTr="008D2CBF">
        <w:trPr>
          <w:gridAfter w:val="1"/>
          <w:wAfter w:w="28" w:type="dxa"/>
          <w:cantSplit/>
          <w:trHeight w:val="593"/>
        </w:trPr>
        <w:tc>
          <w:tcPr>
            <w:tcW w:w="2398" w:type="dxa"/>
            <w:shd w:val="clear" w:color="auto" w:fill="auto"/>
          </w:tcPr>
          <w:p w14:paraId="2288B230" w14:textId="7CD0CB44" w:rsidR="008D2CBF" w:rsidRPr="00D350B5" w:rsidRDefault="008D2CBF" w:rsidP="008D2CBF">
            <w:pPr>
              <w:pStyle w:val="TableTextBold"/>
              <w:rPr>
                <w:lang w:val="en-US"/>
              </w:rPr>
            </w:pPr>
            <w:r>
              <w:rPr>
                <w:rStyle w:val="charColoured"/>
                <w:lang w:val="en-US"/>
              </w:rPr>
              <w:t>2</w:t>
            </w:r>
            <w:r w:rsidRPr="00D350B5">
              <w:rPr>
                <w:rStyle w:val="charColoured"/>
                <w:lang w:val="en-US"/>
              </w:rPr>
              <w:t>.1</w:t>
            </w:r>
            <w:r w:rsidRPr="00D350B5">
              <w:rPr>
                <w:color w:val="005694"/>
                <w:lang w:val="en-US"/>
              </w:rPr>
              <w:t xml:space="preserve"> </w:t>
            </w:r>
            <w:r w:rsidR="006D0039">
              <w:rPr>
                <w:color w:val="005694"/>
                <w:lang w:val="en-US"/>
              </w:rPr>
              <w:t xml:space="preserve"> </w:t>
            </w:r>
            <w:r w:rsidRPr="008E4FDE">
              <w:rPr>
                <w:lang w:val="en-US"/>
              </w:rPr>
              <w:t>Development of balanced and effective international normative frameworks for IP</w:t>
            </w:r>
          </w:p>
        </w:tc>
        <w:tc>
          <w:tcPr>
            <w:tcW w:w="2400" w:type="dxa"/>
            <w:shd w:val="clear" w:color="auto" w:fill="auto"/>
          </w:tcPr>
          <w:p w14:paraId="7128A56E" w14:textId="77777777" w:rsidR="008D2CBF" w:rsidRPr="00D350B5" w:rsidRDefault="008D2CBF" w:rsidP="008D2CBF">
            <w:pPr>
              <w:pStyle w:val="TableText"/>
              <w:rPr>
                <w:lang w:val="en-US"/>
              </w:rPr>
            </w:pPr>
            <w:r w:rsidRPr="009C3D9E">
              <w:rPr>
                <w:lang w:val="en-US"/>
              </w:rPr>
              <w:t>% of treaty notifications that are promptly processed by OLC</w:t>
            </w:r>
          </w:p>
        </w:tc>
        <w:tc>
          <w:tcPr>
            <w:tcW w:w="2401" w:type="dxa"/>
            <w:shd w:val="clear" w:color="auto" w:fill="auto"/>
          </w:tcPr>
          <w:p w14:paraId="3F5F5034" w14:textId="77777777" w:rsidR="008D2CBF" w:rsidRPr="00D350B5" w:rsidRDefault="008D2CBF" w:rsidP="008D2CBF">
            <w:pPr>
              <w:pStyle w:val="TableText"/>
              <w:rPr>
                <w:lang w:val="en-US"/>
              </w:rPr>
            </w:pPr>
            <w:r>
              <w:rPr>
                <w:lang w:val="en-US"/>
              </w:rPr>
              <w:t xml:space="preserve">93% </w:t>
            </w:r>
            <w:r w:rsidRPr="004A537F">
              <w:rPr>
                <w:lang w:val="en-US"/>
              </w:rPr>
              <w:t xml:space="preserve">of treaty notifications processed within </w:t>
            </w:r>
            <w:r>
              <w:rPr>
                <w:lang w:val="en-US"/>
              </w:rPr>
              <w:t xml:space="preserve">3 </w:t>
            </w:r>
            <w:r w:rsidRPr="004A537F">
              <w:rPr>
                <w:lang w:val="en-US"/>
              </w:rPr>
              <w:t>days</w:t>
            </w:r>
          </w:p>
        </w:tc>
        <w:tc>
          <w:tcPr>
            <w:tcW w:w="2403" w:type="dxa"/>
            <w:shd w:val="clear" w:color="auto" w:fill="auto"/>
          </w:tcPr>
          <w:p w14:paraId="4694B807" w14:textId="77777777" w:rsidR="008D2CBF" w:rsidRPr="00D350B5" w:rsidRDefault="008D2CBF" w:rsidP="008D2CBF">
            <w:pPr>
              <w:pStyle w:val="TableText"/>
              <w:rPr>
                <w:lang w:val="en-US"/>
              </w:rPr>
            </w:pPr>
            <w:r w:rsidRPr="004A537F">
              <w:rPr>
                <w:lang w:val="en-US"/>
              </w:rPr>
              <w:t xml:space="preserve">95% of such notifications processed within </w:t>
            </w:r>
            <w:r>
              <w:rPr>
                <w:lang w:val="en-US"/>
              </w:rPr>
              <w:t>3</w:t>
            </w:r>
            <w:r w:rsidRPr="004A537F">
              <w:rPr>
                <w:lang w:val="en-US"/>
              </w:rPr>
              <w:t xml:space="preserve"> days</w:t>
            </w:r>
          </w:p>
        </w:tc>
      </w:tr>
      <w:tr w:rsidR="008D2CBF" w:rsidRPr="007B17FF" w14:paraId="34F81C9A" w14:textId="77777777" w:rsidTr="008D2CBF">
        <w:trPr>
          <w:gridAfter w:val="1"/>
          <w:wAfter w:w="28" w:type="dxa"/>
          <w:cantSplit/>
          <w:trHeight w:val="288"/>
        </w:trPr>
        <w:tc>
          <w:tcPr>
            <w:tcW w:w="2398" w:type="dxa"/>
            <w:shd w:val="clear" w:color="auto" w:fill="EDF0F3" w:themeFill="accent4" w:themeFillTint="33"/>
          </w:tcPr>
          <w:p w14:paraId="7CA3B5E2" w14:textId="77777777" w:rsidR="008D2CBF" w:rsidRPr="007B17FF" w:rsidRDefault="008D2CBF" w:rsidP="008D2CBF">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3</w:t>
            </w:r>
          </w:p>
        </w:tc>
        <w:tc>
          <w:tcPr>
            <w:tcW w:w="7204" w:type="dxa"/>
            <w:gridSpan w:val="3"/>
            <w:shd w:val="clear" w:color="auto" w:fill="EDF0F3" w:themeFill="accent4" w:themeFillTint="33"/>
          </w:tcPr>
          <w:p w14:paraId="2F85A42D" w14:textId="77777777" w:rsidR="008D2CBF" w:rsidRPr="0041252A" w:rsidRDefault="008D2CBF" w:rsidP="008D2CBF">
            <w:pPr>
              <w:pStyle w:val="TableHeading"/>
              <w:rPr>
                <w:b w:val="0"/>
                <w:i/>
                <w:color w:val="005172" w:themeColor="text2"/>
              </w:rPr>
            </w:pPr>
            <w:r>
              <w:rPr>
                <w:b w:val="0"/>
                <w:i/>
                <w:color w:val="005172" w:themeColor="text2"/>
                <w:lang w:val="en-US"/>
              </w:rPr>
              <w:t>Provide high quality intellectual property services, knowledge and data that deliver value to users around the world</w:t>
            </w:r>
          </w:p>
        </w:tc>
      </w:tr>
      <w:tr w:rsidR="008D2CBF" w:rsidRPr="00D350B5" w14:paraId="0D19C0E8" w14:textId="77777777" w:rsidTr="008D2CBF">
        <w:trPr>
          <w:cantSplit/>
          <w:trHeight w:val="312"/>
        </w:trPr>
        <w:tc>
          <w:tcPr>
            <w:tcW w:w="2398" w:type="dxa"/>
            <w:vMerge w:val="restart"/>
            <w:shd w:val="clear" w:color="auto" w:fill="auto"/>
          </w:tcPr>
          <w:p w14:paraId="2D6E1A03" w14:textId="764AEACE" w:rsidR="008D2CBF" w:rsidRPr="00D350B5" w:rsidRDefault="008D2CBF" w:rsidP="008D2CBF">
            <w:pPr>
              <w:pStyle w:val="TableTextBold"/>
              <w:rPr>
                <w:lang w:val="en-US"/>
              </w:rPr>
            </w:pPr>
            <w:r w:rsidRPr="00CD50D8">
              <w:rPr>
                <w:rStyle w:val="charColoured"/>
                <w:lang w:val="en-US"/>
              </w:rPr>
              <w:t xml:space="preserve">3.2 </w:t>
            </w:r>
            <w:r w:rsidR="006D0039">
              <w:rPr>
                <w:rStyle w:val="charColoured"/>
                <w:lang w:val="en-US"/>
              </w:rPr>
              <w:t xml:space="preserve"> </w:t>
            </w:r>
            <w:r w:rsidRPr="009E1FE2">
              <w:rPr>
                <w:rStyle w:val="charColoured"/>
                <w:color w:val="auto"/>
                <w:lang w:val="en-US"/>
              </w:rPr>
              <w:t>Improved productivity and service quality of WIPO’s global IP systems, services, knowledge and data</w:t>
            </w:r>
          </w:p>
        </w:tc>
        <w:tc>
          <w:tcPr>
            <w:tcW w:w="2400" w:type="dxa"/>
            <w:shd w:val="clear" w:color="auto" w:fill="auto"/>
          </w:tcPr>
          <w:p w14:paraId="73E8A54D" w14:textId="77777777" w:rsidR="008D2CBF" w:rsidRPr="00D350B5" w:rsidRDefault="008D2CBF" w:rsidP="008D2CBF">
            <w:pPr>
              <w:pStyle w:val="TableText"/>
              <w:rPr>
                <w:lang w:val="en-US"/>
              </w:rPr>
            </w:pPr>
            <w:r w:rsidRPr="00CD50D8">
              <w:rPr>
                <w:lang w:val="en-US"/>
              </w:rPr>
              <w:t>Unit Cost</w:t>
            </w:r>
            <w:r>
              <w:rPr>
                <w:lang w:val="en-US"/>
              </w:rPr>
              <w:t xml:space="preserve"> </w:t>
            </w:r>
            <w:r w:rsidRPr="006339AE">
              <w:rPr>
                <w:lang w:val="en-US"/>
              </w:rPr>
              <w:t>(PCT, Madrid and Hague)</w:t>
            </w:r>
          </w:p>
        </w:tc>
        <w:tc>
          <w:tcPr>
            <w:tcW w:w="2401" w:type="dxa"/>
            <w:shd w:val="clear" w:color="auto" w:fill="auto"/>
          </w:tcPr>
          <w:p w14:paraId="3F1A6E5D" w14:textId="77777777" w:rsidR="008D2CBF" w:rsidRPr="00D350B5" w:rsidRDefault="008D2CBF" w:rsidP="008D2CBF">
            <w:pPr>
              <w:pStyle w:val="TableText"/>
              <w:rPr>
                <w:lang w:val="en-US"/>
              </w:rPr>
            </w:pPr>
            <w:r>
              <w:rPr>
                <w:lang w:val="en-US"/>
              </w:rPr>
              <w:t xml:space="preserve">PCT application: </w:t>
            </w:r>
            <w:r>
              <w:rPr>
                <w:szCs w:val="16"/>
              </w:rPr>
              <w:t>546</w:t>
            </w:r>
            <w:r w:rsidRPr="00B04169">
              <w:rPr>
                <w:szCs w:val="16"/>
              </w:rPr>
              <w:t xml:space="preserve"> CHF</w:t>
            </w:r>
          </w:p>
        </w:tc>
        <w:tc>
          <w:tcPr>
            <w:tcW w:w="2431" w:type="dxa"/>
            <w:gridSpan w:val="2"/>
            <w:shd w:val="clear" w:color="auto" w:fill="auto"/>
          </w:tcPr>
          <w:p w14:paraId="7408B522" w14:textId="57C68B62" w:rsidR="008D2CBF" w:rsidRPr="00D350B5" w:rsidRDefault="008D2CBF" w:rsidP="00D87183">
            <w:pPr>
              <w:pStyle w:val="TableText"/>
              <w:rPr>
                <w:lang w:val="en-US"/>
              </w:rPr>
            </w:pPr>
            <w:r w:rsidRPr="00E70A9F">
              <w:rPr>
                <w:lang w:val="en-US"/>
              </w:rPr>
              <w:t xml:space="preserve">PCT application: </w:t>
            </w:r>
            <w:r w:rsidR="00D87183">
              <w:rPr>
                <w:lang w:val="en-US"/>
              </w:rPr>
              <w:t>565</w:t>
            </w:r>
            <w:r w:rsidR="002A08EA">
              <w:rPr>
                <w:lang w:val="en-US"/>
              </w:rPr>
              <w:t xml:space="preserve"> CHF</w:t>
            </w:r>
          </w:p>
        </w:tc>
      </w:tr>
      <w:tr w:rsidR="008D2CBF" w:rsidRPr="00D350B5" w14:paraId="686857FB" w14:textId="77777777" w:rsidTr="008D2CBF">
        <w:trPr>
          <w:cantSplit/>
          <w:trHeight w:val="132"/>
        </w:trPr>
        <w:tc>
          <w:tcPr>
            <w:tcW w:w="2398" w:type="dxa"/>
            <w:vMerge/>
            <w:shd w:val="clear" w:color="auto" w:fill="auto"/>
          </w:tcPr>
          <w:p w14:paraId="300A38F5" w14:textId="77777777" w:rsidR="008D2CBF" w:rsidRPr="00CD50D8" w:rsidRDefault="008D2CBF" w:rsidP="008D2CBF">
            <w:pPr>
              <w:pStyle w:val="TableTextBold"/>
              <w:rPr>
                <w:rStyle w:val="charColoured"/>
                <w:lang w:val="en-US"/>
              </w:rPr>
            </w:pPr>
          </w:p>
        </w:tc>
        <w:tc>
          <w:tcPr>
            <w:tcW w:w="2400" w:type="dxa"/>
            <w:shd w:val="clear" w:color="auto" w:fill="auto"/>
          </w:tcPr>
          <w:p w14:paraId="1337DD15" w14:textId="77777777" w:rsidR="008D2CBF" w:rsidRPr="00CD50D8" w:rsidRDefault="008D2CBF" w:rsidP="008D2CBF">
            <w:pPr>
              <w:pStyle w:val="TableText"/>
              <w:rPr>
                <w:lang w:val="en-US"/>
              </w:rPr>
            </w:pPr>
          </w:p>
        </w:tc>
        <w:tc>
          <w:tcPr>
            <w:tcW w:w="2401" w:type="dxa"/>
            <w:shd w:val="clear" w:color="auto" w:fill="auto"/>
          </w:tcPr>
          <w:p w14:paraId="61292C71" w14:textId="77777777" w:rsidR="008D2CBF" w:rsidRDefault="008D2CBF" w:rsidP="008D2CBF">
            <w:pPr>
              <w:pStyle w:val="TableText"/>
              <w:rPr>
                <w:lang w:val="en-US"/>
              </w:rPr>
            </w:pPr>
            <w:r w:rsidRPr="002C52F9">
              <w:rPr>
                <w:szCs w:val="16"/>
                <w:lang w:val="en-US"/>
              </w:rPr>
              <w:t>Madrid System new/renewed registration</w:t>
            </w:r>
            <w:r>
              <w:rPr>
                <w:lang w:val="en-US"/>
              </w:rPr>
              <w:t>: 562 CHF</w:t>
            </w:r>
          </w:p>
        </w:tc>
        <w:tc>
          <w:tcPr>
            <w:tcW w:w="2431" w:type="dxa"/>
            <w:gridSpan w:val="2"/>
            <w:shd w:val="clear" w:color="auto" w:fill="auto"/>
          </w:tcPr>
          <w:p w14:paraId="039AE5A3" w14:textId="292578CD" w:rsidR="008D2CBF" w:rsidRDefault="008D2CBF" w:rsidP="008D2CBF">
            <w:pPr>
              <w:pStyle w:val="TableText"/>
              <w:rPr>
                <w:lang w:val="en-US"/>
              </w:rPr>
            </w:pPr>
            <w:r w:rsidRPr="002C52F9">
              <w:rPr>
                <w:szCs w:val="16"/>
                <w:lang w:val="en-US"/>
              </w:rPr>
              <w:t>Madrid System new/renewed registration</w:t>
            </w:r>
            <w:r>
              <w:rPr>
                <w:lang w:val="en-US"/>
              </w:rPr>
              <w:t xml:space="preserve">: </w:t>
            </w:r>
            <w:r w:rsidRPr="00A72B25">
              <w:rPr>
                <w:lang w:val="en-US"/>
              </w:rPr>
              <w:t>576</w:t>
            </w:r>
            <w:r w:rsidR="002A08EA">
              <w:rPr>
                <w:lang w:val="en-US"/>
              </w:rPr>
              <w:t xml:space="preserve"> CHF</w:t>
            </w:r>
          </w:p>
        </w:tc>
      </w:tr>
      <w:tr w:rsidR="008D2CBF" w:rsidRPr="00D350B5" w14:paraId="0026DF82" w14:textId="77777777" w:rsidTr="00CB163A">
        <w:trPr>
          <w:cantSplit/>
          <w:trHeight w:val="447"/>
        </w:trPr>
        <w:tc>
          <w:tcPr>
            <w:tcW w:w="2398" w:type="dxa"/>
            <w:vMerge/>
            <w:tcBorders>
              <w:bottom w:val="single" w:sz="4" w:space="0" w:color="CBD4DB" w:themeColor="accent4" w:themeTint="99"/>
            </w:tcBorders>
            <w:shd w:val="clear" w:color="auto" w:fill="auto"/>
          </w:tcPr>
          <w:p w14:paraId="06043A1D" w14:textId="77777777" w:rsidR="008D2CBF" w:rsidRPr="00CD50D8" w:rsidRDefault="008D2CBF" w:rsidP="008D2CBF">
            <w:pPr>
              <w:pStyle w:val="TableTextBold"/>
              <w:rPr>
                <w:rStyle w:val="charColoured"/>
                <w:lang w:val="en-US"/>
              </w:rPr>
            </w:pPr>
          </w:p>
        </w:tc>
        <w:tc>
          <w:tcPr>
            <w:tcW w:w="2400" w:type="dxa"/>
            <w:tcBorders>
              <w:bottom w:val="single" w:sz="4" w:space="0" w:color="CBD4DB" w:themeColor="accent4" w:themeTint="99"/>
            </w:tcBorders>
            <w:shd w:val="clear" w:color="auto" w:fill="auto"/>
          </w:tcPr>
          <w:p w14:paraId="6B361CA9" w14:textId="77777777" w:rsidR="008D2CBF" w:rsidRPr="00CD50D8" w:rsidRDefault="008D2CBF" w:rsidP="008D2CBF">
            <w:pPr>
              <w:pStyle w:val="TableText"/>
              <w:rPr>
                <w:lang w:val="en-US"/>
              </w:rPr>
            </w:pPr>
          </w:p>
        </w:tc>
        <w:tc>
          <w:tcPr>
            <w:tcW w:w="2401" w:type="dxa"/>
            <w:tcBorders>
              <w:bottom w:val="single" w:sz="4" w:space="0" w:color="CBD4DB" w:themeColor="accent4" w:themeTint="99"/>
            </w:tcBorders>
            <w:shd w:val="clear" w:color="auto" w:fill="auto"/>
          </w:tcPr>
          <w:p w14:paraId="15F66D18" w14:textId="77777777" w:rsidR="008D2CBF" w:rsidRDefault="008D2CBF" w:rsidP="008D2CBF">
            <w:pPr>
              <w:pStyle w:val="TableText"/>
              <w:rPr>
                <w:lang w:val="en-US"/>
              </w:rPr>
            </w:pPr>
            <w:r w:rsidRPr="00EC6C48">
              <w:rPr>
                <w:lang w:val="en-US"/>
              </w:rPr>
              <w:t>The Hague System new/renewed design: 455 CHF</w:t>
            </w:r>
          </w:p>
        </w:tc>
        <w:tc>
          <w:tcPr>
            <w:tcW w:w="2431" w:type="dxa"/>
            <w:gridSpan w:val="2"/>
            <w:tcBorders>
              <w:bottom w:val="single" w:sz="4" w:space="0" w:color="CBD4DB" w:themeColor="accent4" w:themeTint="99"/>
            </w:tcBorders>
            <w:shd w:val="clear" w:color="auto" w:fill="auto"/>
          </w:tcPr>
          <w:p w14:paraId="5AC98602" w14:textId="71F7A9C5" w:rsidR="008D2CBF" w:rsidRDefault="008D2CBF" w:rsidP="00CB163A">
            <w:pPr>
              <w:pStyle w:val="TableText"/>
              <w:rPr>
                <w:lang w:val="en-US"/>
              </w:rPr>
            </w:pPr>
            <w:r w:rsidRPr="00EC6C48">
              <w:rPr>
                <w:lang w:val="en-US"/>
              </w:rPr>
              <w:t>The Hague Sy</w:t>
            </w:r>
            <w:r>
              <w:rPr>
                <w:lang w:val="en-US"/>
              </w:rPr>
              <w:t>s</w:t>
            </w:r>
            <w:r w:rsidR="00CB163A">
              <w:rPr>
                <w:lang w:val="en-US"/>
              </w:rPr>
              <w:t>tem new/renewed design: 390 CHF</w:t>
            </w:r>
          </w:p>
        </w:tc>
      </w:tr>
    </w:tbl>
    <w:p w14:paraId="0CED274C" w14:textId="77777777" w:rsidR="00CB163A" w:rsidRDefault="00CB163A">
      <w:r>
        <w:rPr>
          <w:b/>
        </w:rPr>
        <w:br w:type="page"/>
      </w:r>
    </w:p>
    <w:tbl>
      <w:tblPr>
        <w:tblStyle w:val="TableGrid"/>
        <w:tblW w:w="9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398"/>
        <w:gridCol w:w="2400"/>
        <w:gridCol w:w="2401"/>
        <w:gridCol w:w="2403"/>
      </w:tblGrid>
      <w:tr w:rsidR="008D2CBF" w:rsidRPr="007B17FF" w14:paraId="0E097680" w14:textId="77777777" w:rsidTr="00CB163A">
        <w:trPr>
          <w:cantSplit/>
          <w:trHeight w:val="432"/>
        </w:trPr>
        <w:tc>
          <w:tcPr>
            <w:tcW w:w="2398" w:type="dxa"/>
            <w:shd w:val="clear" w:color="auto" w:fill="EDF0F3" w:themeFill="accent4" w:themeFillTint="33"/>
          </w:tcPr>
          <w:p w14:paraId="6E593D77" w14:textId="655870D2" w:rsidR="008D2CBF" w:rsidRPr="007B17FF" w:rsidRDefault="008D2CBF" w:rsidP="008D2CBF">
            <w:pPr>
              <w:pStyle w:val="TableHeading"/>
              <w:rPr>
                <w:b w:val="0"/>
                <w:i/>
                <w:color w:val="005172" w:themeColor="text2"/>
                <w:lang w:val="en-US"/>
              </w:rPr>
            </w:pPr>
            <w:r>
              <w:rPr>
                <w:b w:val="0"/>
                <w:i/>
                <w:color w:val="005172" w:themeColor="text2"/>
                <w:lang w:val="en-US"/>
              </w:rPr>
              <w:t>Foundation</w:t>
            </w:r>
          </w:p>
        </w:tc>
        <w:tc>
          <w:tcPr>
            <w:tcW w:w="7204" w:type="dxa"/>
            <w:gridSpan w:val="3"/>
            <w:shd w:val="clear" w:color="auto" w:fill="EDF0F3" w:themeFill="accent4" w:themeFillTint="33"/>
          </w:tcPr>
          <w:p w14:paraId="7097E3C2" w14:textId="77777777" w:rsidR="008D2CBF" w:rsidRPr="007B17FF" w:rsidRDefault="008D2CBF" w:rsidP="008D2CBF">
            <w:pPr>
              <w:pStyle w:val="TableHeading"/>
              <w:rPr>
                <w:b w:val="0"/>
                <w:i/>
                <w:color w:val="005172" w:themeColor="text2"/>
                <w:lang w:val="en-US"/>
              </w:rPr>
            </w:pPr>
            <w:r w:rsidRPr="009C3D9E">
              <w:rPr>
                <w:b w:val="0"/>
                <w:i/>
                <w:color w:val="005172" w:themeColor="text2"/>
                <w:lang w:val="en-US"/>
              </w:rPr>
              <w:t>Empower our people to work effectively, collaboratively and innovatively by providing them with the right resources, training and environment</w:t>
            </w:r>
          </w:p>
        </w:tc>
      </w:tr>
      <w:tr w:rsidR="008D2CBF" w:rsidRPr="00D350B5" w14:paraId="3FEE2269" w14:textId="77777777" w:rsidTr="00CB163A">
        <w:trPr>
          <w:cantSplit/>
          <w:trHeight w:val="584"/>
        </w:trPr>
        <w:tc>
          <w:tcPr>
            <w:tcW w:w="2398" w:type="dxa"/>
            <w:vMerge w:val="restart"/>
            <w:shd w:val="clear" w:color="auto" w:fill="auto"/>
          </w:tcPr>
          <w:p w14:paraId="1C13CB11" w14:textId="37E22039" w:rsidR="008D2CBF" w:rsidRPr="00D350B5" w:rsidRDefault="008D2CBF" w:rsidP="008D2CBF">
            <w:pPr>
              <w:pStyle w:val="TableTextBold"/>
              <w:rPr>
                <w:lang w:val="en-US"/>
              </w:rPr>
            </w:pPr>
            <w:r>
              <w:rPr>
                <w:rStyle w:val="charColoured"/>
                <w:lang w:val="en-US"/>
              </w:rPr>
              <w:t xml:space="preserve">5.1 </w:t>
            </w:r>
            <w:r w:rsidR="006D0039">
              <w:rPr>
                <w:rStyle w:val="charColoured"/>
                <w:lang w:val="en-US"/>
              </w:rPr>
              <w:t xml:space="preserve"> </w:t>
            </w:r>
            <w:r w:rsidRPr="009C3D9E">
              <w:rPr>
                <w:lang w:val="en-US"/>
              </w:rPr>
              <w:t>A Secretariat that is empowered through a dynamic corporate culture and is provided with the right resources and training to work effectively, collaboratively and innovatively</w:t>
            </w:r>
          </w:p>
        </w:tc>
        <w:tc>
          <w:tcPr>
            <w:tcW w:w="2400" w:type="dxa"/>
            <w:shd w:val="clear" w:color="auto" w:fill="auto"/>
          </w:tcPr>
          <w:p w14:paraId="3E62185A" w14:textId="77777777" w:rsidR="008D2CBF" w:rsidRPr="00D350B5" w:rsidRDefault="008D2CBF" w:rsidP="008D2CBF">
            <w:pPr>
              <w:pStyle w:val="TableText"/>
              <w:rPr>
                <w:lang w:val="en-US"/>
              </w:rPr>
            </w:pPr>
            <w:r w:rsidRPr="009F0F9C">
              <w:rPr>
                <w:lang w:val="en-US"/>
              </w:rPr>
              <w:t>Level of satisfaction of Member States and other stakeholders with translation and interpretation services</w:t>
            </w:r>
          </w:p>
        </w:tc>
        <w:tc>
          <w:tcPr>
            <w:tcW w:w="2401" w:type="dxa"/>
            <w:shd w:val="clear" w:color="auto" w:fill="auto"/>
          </w:tcPr>
          <w:p w14:paraId="544D11FB" w14:textId="4BFB75C2" w:rsidR="008D2CBF" w:rsidRPr="00D350B5" w:rsidRDefault="008D2CBF" w:rsidP="00CB163A">
            <w:pPr>
              <w:pStyle w:val="TableText"/>
              <w:rPr>
                <w:lang w:val="en-US"/>
              </w:rPr>
            </w:pPr>
            <w:r w:rsidRPr="004A537F">
              <w:rPr>
                <w:lang w:val="en-US"/>
              </w:rPr>
              <w:t xml:space="preserve">Satisfaction </w:t>
            </w:r>
            <w:r w:rsidR="00E70A9F">
              <w:rPr>
                <w:lang w:val="en-US"/>
              </w:rPr>
              <w:t xml:space="preserve">with </w:t>
            </w:r>
            <w:r w:rsidRPr="004A537F">
              <w:rPr>
                <w:lang w:val="en-US"/>
              </w:rPr>
              <w:t>langu</w:t>
            </w:r>
            <w:r>
              <w:rPr>
                <w:lang w:val="en-US"/>
              </w:rPr>
              <w:t>age services at meetings in 2022: 93%</w:t>
            </w:r>
          </w:p>
        </w:tc>
        <w:tc>
          <w:tcPr>
            <w:tcW w:w="2403" w:type="dxa"/>
            <w:shd w:val="clear" w:color="auto" w:fill="auto"/>
          </w:tcPr>
          <w:p w14:paraId="2BB7A97E" w14:textId="77777777" w:rsidR="008D2CBF" w:rsidRPr="00D350B5" w:rsidRDefault="008D2CBF" w:rsidP="008D2CBF">
            <w:pPr>
              <w:pStyle w:val="TableText"/>
              <w:rPr>
                <w:lang w:val="en-US"/>
              </w:rPr>
            </w:pPr>
            <w:r w:rsidRPr="004A537F">
              <w:rPr>
                <w:szCs w:val="16"/>
              </w:rPr>
              <w:t>Maintain satisfaction level</w:t>
            </w:r>
          </w:p>
        </w:tc>
      </w:tr>
      <w:tr w:rsidR="008D2CBF" w:rsidRPr="00D350B5" w14:paraId="3E0FB81B" w14:textId="77777777" w:rsidTr="00CB163A">
        <w:trPr>
          <w:cantSplit/>
          <w:trHeight w:val="188"/>
        </w:trPr>
        <w:tc>
          <w:tcPr>
            <w:tcW w:w="2398" w:type="dxa"/>
            <w:vMerge/>
            <w:shd w:val="clear" w:color="auto" w:fill="auto"/>
          </w:tcPr>
          <w:p w14:paraId="2DAAF59B" w14:textId="77777777" w:rsidR="008D2CBF" w:rsidRDefault="008D2CBF" w:rsidP="008D2CBF">
            <w:pPr>
              <w:pStyle w:val="TableTextBold"/>
              <w:rPr>
                <w:rStyle w:val="charColoured"/>
              </w:rPr>
            </w:pPr>
          </w:p>
        </w:tc>
        <w:tc>
          <w:tcPr>
            <w:tcW w:w="2400" w:type="dxa"/>
            <w:shd w:val="clear" w:color="auto" w:fill="auto"/>
          </w:tcPr>
          <w:p w14:paraId="129CFE86" w14:textId="77777777" w:rsidR="008D2CBF" w:rsidRPr="009F0F9C" w:rsidRDefault="008D2CBF" w:rsidP="008D2CBF">
            <w:pPr>
              <w:pStyle w:val="TableText"/>
              <w:rPr>
                <w:lang w:val="en-US"/>
              </w:rPr>
            </w:pPr>
            <w:r w:rsidRPr="009F0F9C">
              <w:rPr>
                <w:lang w:val="en-US"/>
              </w:rPr>
              <w:t>Cost of per-word/page of translation</w:t>
            </w:r>
          </w:p>
        </w:tc>
        <w:tc>
          <w:tcPr>
            <w:tcW w:w="2401" w:type="dxa"/>
            <w:shd w:val="clear" w:color="auto" w:fill="auto"/>
          </w:tcPr>
          <w:p w14:paraId="2BDD0B89" w14:textId="77777777" w:rsidR="008D2CBF" w:rsidRPr="00D350B5" w:rsidRDefault="008D2CBF" w:rsidP="008D2CBF">
            <w:pPr>
              <w:pStyle w:val="TableText"/>
              <w:rPr>
                <w:lang w:val="en-US"/>
              </w:rPr>
            </w:pPr>
            <w:r>
              <w:rPr>
                <w:lang w:val="en-US"/>
              </w:rPr>
              <w:t>0.38 CHF</w:t>
            </w:r>
          </w:p>
        </w:tc>
        <w:tc>
          <w:tcPr>
            <w:tcW w:w="2403" w:type="dxa"/>
            <w:shd w:val="clear" w:color="auto" w:fill="auto"/>
          </w:tcPr>
          <w:p w14:paraId="5A104ABA" w14:textId="77777777" w:rsidR="008D2CBF" w:rsidRPr="00D350B5" w:rsidRDefault="008D2CBF" w:rsidP="008D2CBF">
            <w:pPr>
              <w:pStyle w:val="TableText"/>
              <w:rPr>
                <w:lang w:val="en-US"/>
              </w:rPr>
            </w:pPr>
            <w:r>
              <w:rPr>
                <w:lang w:val="en-US"/>
              </w:rPr>
              <w:t>Maintain cost per word</w:t>
            </w:r>
          </w:p>
        </w:tc>
      </w:tr>
      <w:tr w:rsidR="008D2CBF" w:rsidRPr="00D350B5" w14:paraId="634C0A60" w14:textId="77777777" w:rsidTr="00CB163A">
        <w:trPr>
          <w:cantSplit/>
          <w:trHeight w:val="297"/>
        </w:trPr>
        <w:tc>
          <w:tcPr>
            <w:tcW w:w="2398" w:type="dxa"/>
            <w:vMerge/>
            <w:tcBorders>
              <w:bottom w:val="single" w:sz="4" w:space="0" w:color="D9D9D9" w:themeColor="background1" w:themeShade="D9"/>
            </w:tcBorders>
            <w:shd w:val="clear" w:color="auto" w:fill="auto"/>
          </w:tcPr>
          <w:p w14:paraId="7C16CB48" w14:textId="77777777" w:rsidR="008D2CBF" w:rsidRDefault="008D2CBF" w:rsidP="008D2CBF">
            <w:pPr>
              <w:pStyle w:val="TableTextBold"/>
              <w:rPr>
                <w:rStyle w:val="charColoured"/>
              </w:rPr>
            </w:pPr>
          </w:p>
        </w:tc>
        <w:tc>
          <w:tcPr>
            <w:tcW w:w="2400" w:type="dxa"/>
            <w:tcBorders>
              <w:bottom w:val="single" w:sz="4" w:space="0" w:color="D9D9D9" w:themeColor="background1" w:themeShade="D9"/>
            </w:tcBorders>
            <w:shd w:val="clear" w:color="auto" w:fill="auto"/>
          </w:tcPr>
          <w:p w14:paraId="11818371" w14:textId="047BE7B7" w:rsidR="008D2CBF" w:rsidRPr="009F0F9C" w:rsidRDefault="008D2CBF" w:rsidP="005B0AE9">
            <w:pPr>
              <w:pStyle w:val="TableText"/>
              <w:rPr>
                <w:lang w:val="en-US"/>
              </w:rPr>
            </w:pPr>
            <w:r w:rsidRPr="009F0F9C">
              <w:rPr>
                <w:lang w:val="en-US"/>
              </w:rPr>
              <w:t>% of spend through UN cooperation</w:t>
            </w:r>
            <w:r w:rsidR="005B0AE9">
              <w:rPr>
                <w:rStyle w:val="FootnoteReference"/>
                <w:lang w:val="en-US"/>
              </w:rPr>
              <w:footnoteReference w:id="15"/>
            </w:r>
          </w:p>
        </w:tc>
        <w:tc>
          <w:tcPr>
            <w:tcW w:w="2401" w:type="dxa"/>
            <w:tcBorders>
              <w:bottom w:val="single" w:sz="4" w:space="0" w:color="D9D9D9" w:themeColor="background1" w:themeShade="D9"/>
            </w:tcBorders>
            <w:shd w:val="clear" w:color="auto" w:fill="auto"/>
          </w:tcPr>
          <w:p w14:paraId="309C4A50" w14:textId="77777777" w:rsidR="008D2CBF" w:rsidRPr="00D350B5" w:rsidRDefault="008D2CBF" w:rsidP="008D2CBF">
            <w:pPr>
              <w:pStyle w:val="TableText"/>
              <w:rPr>
                <w:lang w:val="en-US"/>
              </w:rPr>
            </w:pPr>
            <w:r>
              <w:rPr>
                <w:lang w:val="en-US"/>
              </w:rPr>
              <w:t>21%</w:t>
            </w:r>
          </w:p>
        </w:tc>
        <w:tc>
          <w:tcPr>
            <w:tcW w:w="2403" w:type="dxa"/>
            <w:tcBorders>
              <w:bottom w:val="single" w:sz="4" w:space="0" w:color="D9D9D9" w:themeColor="background1" w:themeShade="D9"/>
            </w:tcBorders>
            <w:shd w:val="clear" w:color="auto" w:fill="auto"/>
          </w:tcPr>
          <w:p w14:paraId="76DBA4BE" w14:textId="77777777" w:rsidR="008D2CBF" w:rsidRPr="00D350B5" w:rsidRDefault="008D2CBF" w:rsidP="008D2CBF">
            <w:pPr>
              <w:pStyle w:val="TableText"/>
              <w:rPr>
                <w:lang w:val="en-US"/>
              </w:rPr>
            </w:pPr>
            <w:r>
              <w:rPr>
                <w:lang w:val="en-US"/>
              </w:rPr>
              <w:t>&gt; 18% per year</w:t>
            </w:r>
          </w:p>
        </w:tc>
      </w:tr>
      <w:tr w:rsidR="008D2CBF" w:rsidRPr="00D350B5" w14:paraId="2359B4A0" w14:textId="77777777" w:rsidTr="00CB163A">
        <w:trPr>
          <w:cantSplit/>
          <w:trHeight w:val="707"/>
        </w:trPr>
        <w:tc>
          <w:tcPr>
            <w:tcW w:w="2398" w:type="dxa"/>
            <w:vMerge w:val="restart"/>
            <w:tcBorders>
              <w:top w:val="single" w:sz="4" w:space="0" w:color="D9D9D9" w:themeColor="background1" w:themeShade="D9"/>
            </w:tcBorders>
            <w:shd w:val="clear" w:color="auto" w:fill="auto"/>
          </w:tcPr>
          <w:p w14:paraId="773700BA" w14:textId="574C37B9" w:rsidR="008D2CBF" w:rsidRPr="00D350B5" w:rsidRDefault="008D2CBF" w:rsidP="008D2CBF">
            <w:pPr>
              <w:pStyle w:val="TableTextBold"/>
              <w:rPr>
                <w:lang w:val="en-US"/>
              </w:rPr>
            </w:pPr>
            <w:r>
              <w:rPr>
                <w:rStyle w:val="charColoured"/>
              </w:rPr>
              <w:t xml:space="preserve">5.2 </w:t>
            </w:r>
            <w:r w:rsidR="006D0039">
              <w:rPr>
                <w:rStyle w:val="charColoured"/>
              </w:rPr>
              <w:t xml:space="preserve"> </w:t>
            </w:r>
            <w:r w:rsidRPr="009F0F9C">
              <w:rPr>
                <w:lang w:val="en-US"/>
              </w:rPr>
              <w:t>Digitally enabled, secure and sustainable operating environment and service</w:t>
            </w:r>
          </w:p>
        </w:tc>
        <w:tc>
          <w:tcPr>
            <w:tcW w:w="2400" w:type="dxa"/>
            <w:tcBorders>
              <w:top w:val="single" w:sz="4" w:space="0" w:color="D9D9D9" w:themeColor="background1" w:themeShade="D9"/>
            </w:tcBorders>
            <w:shd w:val="clear" w:color="auto" w:fill="auto"/>
          </w:tcPr>
          <w:p w14:paraId="6FF9EC5E" w14:textId="77777777" w:rsidR="00D23492" w:rsidRPr="00D23492" w:rsidRDefault="00D23492" w:rsidP="00D23492">
            <w:pPr>
              <w:pStyle w:val="TableText"/>
              <w:rPr>
                <w:lang w:val="en-US"/>
              </w:rPr>
            </w:pPr>
            <w:r w:rsidRPr="00D23492">
              <w:rPr>
                <w:lang w:val="en-US"/>
              </w:rPr>
              <w:t>Automation of the PCT Fee Transfer Service (PCT FTS)</w:t>
            </w:r>
          </w:p>
          <w:p w14:paraId="1423E971" w14:textId="310D8D7E" w:rsidR="008D2CBF" w:rsidRPr="00E70A9F" w:rsidRDefault="008D2CBF" w:rsidP="008D2CBF">
            <w:pPr>
              <w:pStyle w:val="TableText"/>
              <w:rPr>
                <w:highlight w:val="yellow"/>
                <w:lang w:val="en-US"/>
              </w:rPr>
            </w:pPr>
          </w:p>
        </w:tc>
        <w:tc>
          <w:tcPr>
            <w:tcW w:w="2401" w:type="dxa"/>
            <w:tcBorders>
              <w:top w:val="single" w:sz="4" w:space="0" w:color="D9D9D9" w:themeColor="background1" w:themeShade="D9"/>
            </w:tcBorders>
            <w:shd w:val="clear" w:color="auto" w:fill="auto"/>
          </w:tcPr>
          <w:p w14:paraId="40BF4FEB" w14:textId="20C5C636" w:rsidR="008D2CBF" w:rsidRPr="00E70A9F" w:rsidRDefault="00D23492" w:rsidP="008D2CBF">
            <w:pPr>
              <w:pStyle w:val="TableText"/>
              <w:rPr>
                <w:highlight w:val="yellow"/>
                <w:lang w:val="en-US"/>
              </w:rPr>
            </w:pPr>
            <w:r w:rsidRPr="00D23492">
              <w:rPr>
                <w:szCs w:val="16"/>
                <w:lang w:val="en-US"/>
              </w:rPr>
              <w:t>Roll out of the newly developed PCT FTS platform to participants (0 participants in 2022)</w:t>
            </w:r>
          </w:p>
        </w:tc>
        <w:tc>
          <w:tcPr>
            <w:tcW w:w="2403" w:type="dxa"/>
            <w:tcBorders>
              <w:top w:val="single" w:sz="4" w:space="0" w:color="D9D9D9" w:themeColor="background1" w:themeShade="D9"/>
            </w:tcBorders>
            <w:shd w:val="clear" w:color="auto" w:fill="auto"/>
          </w:tcPr>
          <w:p w14:paraId="1539D1B7" w14:textId="77777777" w:rsidR="00D23492" w:rsidRDefault="00D23492" w:rsidP="008D2CBF">
            <w:pPr>
              <w:pStyle w:val="TableText"/>
              <w:rPr>
                <w:szCs w:val="16"/>
                <w:lang w:val="en-US"/>
              </w:rPr>
            </w:pPr>
            <w:r w:rsidRPr="00D23492">
              <w:rPr>
                <w:szCs w:val="16"/>
                <w:lang w:val="en-US"/>
              </w:rPr>
              <w:t xml:space="preserve">New PCT FTS platform migrated to 100% of participants accounting for </w:t>
            </w:r>
          </w:p>
          <w:p w14:paraId="0669C93C" w14:textId="5D2951F3" w:rsidR="008D2CBF" w:rsidRPr="00E70A9F" w:rsidRDefault="00D23492" w:rsidP="008D2CBF">
            <w:pPr>
              <w:pStyle w:val="TableText"/>
              <w:rPr>
                <w:highlight w:val="yellow"/>
                <w:lang w:val="en-US"/>
              </w:rPr>
            </w:pPr>
            <w:r w:rsidRPr="00D23492">
              <w:rPr>
                <w:szCs w:val="16"/>
                <w:lang w:val="en-US"/>
              </w:rPr>
              <w:t>&gt; 97.5% of global search fee volume</w:t>
            </w:r>
          </w:p>
        </w:tc>
      </w:tr>
      <w:tr w:rsidR="008D2CBF" w:rsidRPr="00D350B5" w14:paraId="6999D969" w14:textId="77777777" w:rsidTr="00CB163A">
        <w:trPr>
          <w:cantSplit/>
          <w:trHeight w:val="286"/>
        </w:trPr>
        <w:tc>
          <w:tcPr>
            <w:tcW w:w="2398" w:type="dxa"/>
            <w:vMerge/>
            <w:tcBorders>
              <w:top w:val="single" w:sz="4" w:space="0" w:color="C6CFD7" w:themeColor="accent3" w:themeTint="66"/>
            </w:tcBorders>
            <w:shd w:val="clear" w:color="auto" w:fill="auto"/>
          </w:tcPr>
          <w:p w14:paraId="6A4431AE" w14:textId="77777777" w:rsidR="008D2CBF" w:rsidRDefault="008D2CBF" w:rsidP="008D2CBF">
            <w:pPr>
              <w:pStyle w:val="TableTextBold"/>
              <w:rPr>
                <w:rStyle w:val="charColoured"/>
              </w:rPr>
            </w:pPr>
          </w:p>
        </w:tc>
        <w:tc>
          <w:tcPr>
            <w:tcW w:w="2400" w:type="dxa"/>
            <w:shd w:val="clear" w:color="auto" w:fill="auto"/>
          </w:tcPr>
          <w:p w14:paraId="5532DED7" w14:textId="77777777" w:rsidR="008D2CBF" w:rsidRPr="00D905B9" w:rsidRDefault="008D2CBF" w:rsidP="008D2CBF">
            <w:pPr>
              <w:pStyle w:val="TableText"/>
              <w:rPr>
                <w:lang w:val="en-US"/>
              </w:rPr>
            </w:pPr>
            <w:r w:rsidRPr="001C3213">
              <w:rPr>
                <w:lang w:val="en-US"/>
              </w:rPr>
              <w:t>WIPO premises and installations remain fit for purpos</w:t>
            </w:r>
            <w:r>
              <w:rPr>
                <w:lang w:val="en-US"/>
              </w:rPr>
              <w:t>e</w:t>
            </w:r>
          </w:p>
        </w:tc>
        <w:tc>
          <w:tcPr>
            <w:tcW w:w="2401" w:type="dxa"/>
            <w:shd w:val="clear" w:color="auto" w:fill="auto"/>
          </w:tcPr>
          <w:p w14:paraId="1B9BB6E6" w14:textId="77777777" w:rsidR="008D2CBF" w:rsidRPr="00D905B9" w:rsidRDefault="008D2CBF" w:rsidP="008D2CBF">
            <w:pPr>
              <w:pStyle w:val="TableText"/>
              <w:rPr>
                <w:lang w:val="en-US"/>
              </w:rPr>
            </w:pPr>
            <w:r w:rsidRPr="00857611">
              <w:rPr>
                <w:szCs w:val="16"/>
                <w:lang w:val="en-US"/>
              </w:rPr>
              <w:t>Zero working days with a breakdown of a technical installation affecting WIPO core activities</w:t>
            </w:r>
          </w:p>
        </w:tc>
        <w:tc>
          <w:tcPr>
            <w:tcW w:w="2403" w:type="dxa"/>
            <w:shd w:val="clear" w:color="auto" w:fill="auto"/>
          </w:tcPr>
          <w:p w14:paraId="3FC45266" w14:textId="77777777" w:rsidR="008D2CBF" w:rsidRPr="00D905B9" w:rsidRDefault="008D2CBF" w:rsidP="008D2CBF">
            <w:pPr>
              <w:pStyle w:val="TableText"/>
              <w:rPr>
                <w:lang w:val="en-US"/>
              </w:rPr>
            </w:pPr>
            <w:r w:rsidRPr="00982417">
              <w:rPr>
                <w:szCs w:val="16"/>
                <w:lang w:val="en-US"/>
              </w:rPr>
              <w:t>Maximum of 1 working day per year with a breakdown of a technical installation affecting WIPO core activities</w:t>
            </w:r>
          </w:p>
        </w:tc>
      </w:tr>
      <w:tr w:rsidR="008D2CBF" w:rsidRPr="00D350B5" w14:paraId="4B9E7D55" w14:textId="77777777" w:rsidTr="00CB163A">
        <w:trPr>
          <w:cantSplit/>
          <w:trHeight w:val="286"/>
        </w:trPr>
        <w:tc>
          <w:tcPr>
            <w:tcW w:w="2398" w:type="dxa"/>
            <w:vMerge/>
            <w:tcBorders>
              <w:top w:val="single" w:sz="4" w:space="0" w:color="C6CFD7" w:themeColor="accent3" w:themeTint="66"/>
            </w:tcBorders>
            <w:shd w:val="clear" w:color="auto" w:fill="auto"/>
          </w:tcPr>
          <w:p w14:paraId="4E36807D" w14:textId="77777777" w:rsidR="008D2CBF" w:rsidRDefault="008D2CBF" w:rsidP="008D2CBF">
            <w:pPr>
              <w:pStyle w:val="TableTextBold"/>
              <w:rPr>
                <w:rStyle w:val="charColoured"/>
              </w:rPr>
            </w:pPr>
          </w:p>
        </w:tc>
        <w:tc>
          <w:tcPr>
            <w:tcW w:w="2400" w:type="dxa"/>
            <w:shd w:val="clear" w:color="auto" w:fill="auto"/>
          </w:tcPr>
          <w:p w14:paraId="1BEC121B" w14:textId="77777777" w:rsidR="008D2CBF" w:rsidRPr="00D905B9" w:rsidRDefault="008D2CBF" w:rsidP="008D2CBF">
            <w:pPr>
              <w:pStyle w:val="TableText"/>
              <w:rPr>
                <w:lang w:val="en-US"/>
              </w:rPr>
            </w:pPr>
            <w:r w:rsidRPr="001C3213">
              <w:rPr>
                <w:lang w:val="en-US"/>
              </w:rPr>
              <w:t>Enhanced capability to detect and respond and recover from information security threats ensuring minimal business disruption</w:t>
            </w:r>
          </w:p>
        </w:tc>
        <w:tc>
          <w:tcPr>
            <w:tcW w:w="2401" w:type="dxa"/>
            <w:shd w:val="clear" w:color="auto" w:fill="auto"/>
          </w:tcPr>
          <w:p w14:paraId="4A7F4F5A" w14:textId="77777777" w:rsidR="008D2CBF" w:rsidRPr="00D905B9" w:rsidRDefault="008D2CBF" w:rsidP="008D2CBF">
            <w:pPr>
              <w:pStyle w:val="TableText"/>
              <w:rPr>
                <w:lang w:val="en-US"/>
              </w:rPr>
            </w:pPr>
            <w:r w:rsidRPr="00857611">
              <w:rPr>
                <w:szCs w:val="16"/>
                <w:lang w:val="en-US"/>
              </w:rPr>
              <w:t>Mean time to detect a potential info</w:t>
            </w:r>
            <w:r>
              <w:rPr>
                <w:szCs w:val="16"/>
                <w:lang w:val="en-US"/>
              </w:rPr>
              <w:t>rmation security incident 24/7: 2 </w:t>
            </w:r>
            <w:r w:rsidRPr="00857611">
              <w:rPr>
                <w:szCs w:val="16"/>
                <w:lang w:val="en-US"/>
              </w:rPr>
              <w:t>hours or less</w:t>
            </w:r>
          </w:p>
        </w:tc>
        <w:tc>
          <w:tcPr>
            <w:tcW w:w="2403" w:type="dxa"/>
            <w:shd w:val="clear" w:color="auto" w:fill="auto"/>
          </w:tcPr>
          <w:p w14:paraId="11141CB8" w14:textId="77777777" w:rsidR="008D2CBF" w:rsidRPr="00D905B9" w:rsidRDefault="008D2CBF" w:rsidP="008D2CBF">
            <w:pPr>
              <w:pStyle w:val="TableText"/>
              <w:rPr>
                <w:lang w:val="en-US"/>
              </w:rPr>
            </w:pPr>
            <w:r w:rsidRPr="00857611">
              <w:rPr>
                <w:szCs w:val="16"/>
                <w:lang w:val="en-US"/>
              </w:rPr>
              <w:t>Mean time to detect a potential information security incident 24/7: 2</w:t>
            </w:r>
            <w:r>
              <w:rPr>
                <w:szCs w:val="16"/>
                <w:lang w:val="en-US"/>
              </w:rPr>
              <w:t> </w:t>
            </w:r>
            <w:r w:rsidRPr="00857611">
              <w:rPr>
                <w:szCs w:val="16"/>
                <w:lang w:val="en-US"/>
              </w:rPr>
              <w:t>hours or less</w:t>
            </w:r>
          </w:p>
        </w:tc>
      </w:tr>
      <w:tr w:rsidR="008D2CBF" w:rsidRPr="00D350B5" w14:paraId="53746E2A" w14:textId="77777777" w:rsidTr="00CB163A">
        <w:trPr>
          <w:cantSplit/>
          <w:trHeight w:val="286"/>
        </w:trPr>
        <w:tc>
          <w:tcPr>
            <w:tcW w:w="2398" w:type="dxa"/>
            <w:vMerge/>
            <w:tcBorders>
              <w:top w:val="single" w:sz="4" w:space="0" w:color="C6CFD7" w:themeColor="accent3" w:themeTint="66"/>
            </w:tcBorders>
            <w:shd w:val="clear" w:color="auto" w:fill="auto"/>
          </w:tcPr>
          <w:p w14:paraId="1A3B1274" w14:textId="77777777" w:rsidR="008D2CBF" w:rsidRDefault="008D2CBF" w:rsidP="008D2CBF">
            <w:pPr>
              <w:pStyle w:val="TableTextBold"/>
              <w:rPr>
                <w:rStyle w:val="charColoured"/>
              </w:rPr>
            </w:pPr>
          </w:p>
        </w:tc>
        <w:tc>
          <w:tcPr>
            <w:tcW w:w="2400" w:type="dxa"/>
            <w:shd w:val="clear" w:color="auto" w:fill="auto"/>
          </w:tcPr>
          <w:p w14:paraId="673FA72F" w14:textId="77777777" w:rsidR="008D2CBF" w:rsidRPr="00D905B9" w:rsidRDefault="008D2CBF" w:rsidP="008D2CBF">
            <w:pPr>
              <w:pStyle w:val="TableText"/>
              <w:rPr>
                <w:lang w:val="en-US"/>
              </w:rPr>
            </w:pPr>
            <w:r w:rsidRPr="007737C2">
              <w:rPr>
                <w:lang w:val="en-US"/>
              </w:rPr>
              <w:t>Improved service delivery to external stakeholders</w:t>
            </w:r>
            <w:r>
              <w:rPr>
                <w:lang w:val="en-US"/>
              </w:rPr>
              <w:t xml:space="preserve"> </w:t>
            </w:r>
            <w:r w:rsidRPr="00C96C4F">
              <w:rPr>
                <w:lang w:val="en-US"/>
              </w:rPr>
              <w:t>(Apdex score)</w:t>
            </w:r>
          </w:p>
        </w:tc>
        <w:tc>
          <w:tcPr>
            <w:tcW w:w="2401" w:type="dxa"/>
            <w:shd w:val="clear" w:color="auto" w:fill="auto"/>
          </w:tcPr>
          <w:p w14:paraId="0FFD9503" w14:textId="77777777" w:rsidR="008D2CBF" w:rsidRPr="00D905B9" w:rsidRDefault="008D2CBF" w:rsidP="008D2CBF">
            <w:pPr>
              <w:pStyle w:val="TableText"/>
              <w:rPr>
                <w:lang w:val="en-US"/>
              </w:rPr>
            </w:pPr>
            <w:r>
              <w:rPr>
                <w:szCs w:val="16"/>
                <w:lang w:val="en-US"/>
              </w:rPr>
              <w:t>83%</w:t>
            </w:r>
            <w:r w:rsidRPr="00982417">
              <w:rPr>
                <w:szCs w:val="16"/>
                <w:lang w:val="en-US"/>
              </w:rPr>
              <w:t xml:space="preserve"> </w:t>
            </w:r>
            <w:r w:rsidRPr="002109B7">
              <w:rPr>
                <w:szCs w:val="16"/>
              </w:rPr>
              <w:t>of the measured cloud applications have an A</w:t>
            </w:r>
            <w:r>
              <w:rPr>
                <w:szCs w:val="16"/>
              </w:rPr>
              <w:t>pdex</w:t>
            </w:r>
            <w:r>
              <w:rPr>
                <w:szCs w:val="16"/>
                <w:lang w:val="en-US"/>
              </w:rPr>
              <w:t xml:space="preserve"> score </w:t>
            </w:r>
            <w:r w:rsidRPr="00982417">
              <w:rPr>
                <w:szCs w:val="16"/>
                <w:lang w:val="en-US"/>
              </w:rPr>
              <w:t>≥</w:t>
            </w:r>
            <w:r>
              <w:rPr>
                <w:szCs w:val="16"/>
                <w:lang w:val="en-US"/>
              </w:rPr>
              <w:t> </w:t>
            </w:r>
            <w:r w:rsidRPr="002109B7">
              <w:rPr>
                <w:szCs w:val="16"/>
              </w:rPr>
              <w:t>0.6</w:t>
            </w:r>
          </w:p>
        </w:tc>
        <w:tc>
          <w:tcPr>
            <w:tcW w:w="2403" w:type="dxa"/>
            <w:shd w:val="clear" w:color="auto" w:fill="auto"/>
          </w:tcPr>
          <w:p w14:paraId="0E4A4CE4" w14:textId="77777777" w:rsidR="008D2CBF" w:rsidRPr="00D905B9" w:rsidRDefault="008D2CBF" w:rsidP="008D2CBF">
            <w:pPr>
              <w:pStyle w:val="TableText"/>
              <w:rPr>
                <w:lang w:val="en-US"/>
              </w:rPr>
            </w:pPr>
            <w:r w:rsidRPr="00982417">
              <w:rPr>
                <w:szCs w:val="16"/>
                <w:lang w:val="en-US"/>
              </w:rPr>
              <w:t>Apdex score ≥ 0.6 for 80% of applications moved to the cloud</w:t>
            </w:r>
          </w:p>
        </w:tc>
      </w:tr>
      <w:tr w:rsidR="008D2CBF" w:rsidRPr="00D350B5" w14:paraId="4850205F" w14:textId="77777777" w:rsidTr="00CB163A">
        <w:trPr>
          <w:cantSplit/>
          <w:trHeight w:val="286"/>
        </w:trPr>
        <w:tc>
          <w:tcPr>
            <w:tcW w:w="2398" w:type="dxa"/>
            <w:vMerge/>
            <w:tcBorders>
              <w:top w:val="single" w:sz="4" w:space="0" w:color="C6CFD7" w:themeColor="accent3" w:themeTint="66"/>
              <w:bottom w:val="single" w:sz="4" w:space="0" w:color="D9D9D9" w:themeColor="background1" w:themeShade="D9"/>
            </w:tcBorders>
            <w:shd w:val="clear" w:color="auto" w:fill="auto"/>
          </w:tcPr>
          <w:p w14:paraId="34B328F6" w14:textId="77777777" w:rsidR="008D2CBF" w:rsidRDefault="008D2CBF" w:rsidP="008D2CBF">
            <w:pPr>
              <w:pStyle w:val="TableTextBold"/>
              <w:rPr>
                <w:rStyle w:val="charColoured"/>
              </w:rPr>
            </w:pPr>
          </w:p>
        </w:tc>
        <w:tc>
          <w:tcPr>
            <w:tcW w:w="2400" w:type="dxa"/>
            <w:tcBorders>
              <w:bottom w:val="single" w:sz="4" w:space="0" w:color="D9D9D9" w:themeColor="background1" w:themeShade="D9"/>
            </w:tcBorders>
            <w:shd w:val="clear" w:color="auto" w:fill="auto"/>
          </w:tcPr>
          <w:p w14:paraId="583727D4" w14:textId="77777777" w:rsidR="008D2CBF" w:rsidRPr="00C96C4F" w:rsidRDefault="008D2CBF" w:rsidP="008D2CBF">
            <w:pPr>
              <w:pStyle w:val="TableText"/>
              <w:rPr>
                <w:lang w:val="en-US"/>
              </w:rPr>
            </w:pPr>
            <w:r w:rsidRPr="00AA0D6C">
              <w:rPr>
                <w:lang w:val="en-US"/>
              </w:rPr>
              <w:t>Improved service delivery to internal stakeholders (CSAT score)</w:t>
            </w:r>
          </w:p>
        </w:tc>
        <w:tc>
          <w:tcPr>
            <w:tcW w:w="2401" w:type="dxa"/>
            <w:tcBorders>
              <w:bottom w:val="single" w:sz="4" w:space="0" w:color="D9D9D9" w:themeColor="background1" w:themeShade="D9"/>
            </w:tcBorders>
            <w:shd w:val="clear" w:color="auto" w:fill="auto"/>
          </w:tcPr>
          <w:p w14:paraId="56FFCE46" w14:textId="77777777" w:rsidR="008D2CBF" w:rsidRPr="00D905B9" w:rsidRDefault="008D2CBF" w:rsidP="008D2CBF">
            <w:pPr>
              <w:pStyle w:val="TableText"/>
              <w:rPr>
                <w:lang w:val="en-US"/>
              </w:rPr>
            </w:pPr>
            <w:r>
              <w:rPr>
                <w:lang w:val="en-US"/>
              </w:rPr>
              <w:t>n/a</w:t>
            </w:r>
          </w:p>
        </w:tc>
        <w:tc>
          <w:tcPr>
            <w:tcW w:w="2403" w:type="dxa"/>
            <w:tcBorders>
              <w:bottom w:val="single" w:sz="4" w:space="0" w:color="D9D9D9" w:themeColor="background1" w:themeShade="D9"/>
            </w:tcBorders>
            <w:shd w:val="clear" w:color="auto" w:fill="auto"/>
          </w:tcPr>
          <w:p w14:paraId="2E99409A" w14:textId="77777777" w:rsidR="008D2CBF" w:rsidRPr="00D905B9" w:rsidRDefault="008D2CBF" w:rsidP="008D2CBF">
            <w:pPr>
              <w:pStyle w:val="TableText"/>
              <w:rPr>
                <w:lang w:val="en-US"/>
              </w:rPr>
            </w:pPr>
            <w:r>
              <w:rPr>
                <w:lang w:val="en-US"/>
              </w:rPr>
              <w:t>90% of business users satisfied with IT services provided</w:t>
            </w:r>
          </w:p>
        </w:tc>
      </w:tr>
      <w:tr w:rsidR="008D2CBF" w:rsidRPr="00D350B5" w14:paraId="39532BD6" w14:textId="77777777" w:rsidTr="00CB163A">
        <w:trPr>
          <w:cantSplit/>
          <w:trHeight w:val="745"/>
        </w:trPr>
        <w:tc>
          <w:tcPr>
            <w:tcW w:w="2398" w:type="dxa"/>
            <w:vMerge w:val="restart"/>
            <w:tcBorders>
              <w:top w:val="single" w:sz="4" w:space="0" w:color="D9D9D9" w:themeColor="background1" w:themeShade="D9"/>
            </w:tcBorders>
            <w:shd w:val="clear" w:color="auto" w:fill="auto"/>
          </w:tcPr>
          <w:p w14:paraId="44F6C0D7" w14:textId="7EC42278" w:rsidR="008D2CBF" w:rsidRDefault="008D2CBF" w:rsidP="008D2CBF">
            <w:pPr>
              <w:pStyle w:val="TableTextBold"/>
              <w:rPr>
                <w:rStyle w:val="charColoured"/>
              </w:rPr>
            </w:pPr>
            <w:r>
              <w:rPr>
                <w:rStyle w:val="charColoured"/>
              </w:rPr>
              <w:t xml:space="preserve">5.3 </w:t>
            </w:r>
            <w:r w:rsidR="006D0039">
              <w:rPr>
                <w:rStyle w:val="charColoured"/>
              </w:rPr>
              <w:t xml:space="preserve"> </w:t>
            </w:r>
            <w:r w:rsidRPr="001C3213">
              <w:rPr>
                <w:lang w:val="en-US"/>
              </w:rPr>
              <w:t>Sound and prudent financial management and effective corporate governance and oversight</w:t>
            </w:r>
          </w:p>
        </w:tc>
        <w:tc>
          <w:tcPr>
            <w:tcW w:w="2400" w:type="dxa"/>
            <w:tcBorders>
              <w:top w:val="single" w:sz="4" w:space="0" w:color="D9D9D9" w:themeColor="background1" w:themeShade="D9"/>
            </w:tcBorders>
            <w:shd w:val="clear" w:color="auto" w:fill="auto"/>
          </w:tcPr>
          <w:p w14:paraId="4950DA43" w14:textId="77777777" w:rsidR="008D2CBF" w:rsidRPr="00D350B5" w:rsidRDefault="008D2CBF" w:rsidP="008D2CBF">
            <w:pPr>
              <w:pStyle w:val="TableText"/>
              <w:rPr>
                <w:lang w:val="en-US"/>
              </w:rPr>
            </w:pPr>
            <w:r w:rsidRPr="007737C2">
              <w:rPr>
                <w:lang w:val="en-US"/>
              </w:rPr>
              <w:t>Confirmation of conformity of financial operations to the provisions of the applicable WIPO conventions and treaties, the WIPO Financial Regulations and Rules and</w:t>
            </w:r>
            <w:r>
              <w:rPr>
                <w:lang w:val="en-US"/>
              </w:rPr>
              <w:t xml:space="preserve"> </w:t>
            </w:r>
            <w:r w:rsidRPr="007737C2">
              <w:rPr>
                <w:lang w:val="en-US"/>
              </w:rPr>
              <w:t>IPSAS</w:t>
            </w:r>
          </w:p>
        </w:tc>
        <w:tc>
          <w:tcPr>
            <w:tcW w:w="2401" w:type="dxa"/>
            <w:tcBorders>
              <w:top w:val="single" w:sz="4" w:space="0" w:color="D9D9D9" w:themeColor="background1" w:themeShade="D9"/>
            </w:tcBorders>
            <w:shd w:val="clear" w:color="auto" w:fill="auto"/>
          </w:tcPr>
          <w:p w14:paraId="3DD2143B" w14:textId="6B5C3524" w:rsidR="008D2CBF" w:rsidRPr="00D350B5" w:rsidRDefault="008D2CBF" w:rsidP="008D2CBF">
            <w:pPr>
              <w:pStyle w:val="TableText"/>
              <w:rPr>
                <w:lang w:val="en-US"/>
              </w:rPr>
            </w:pPr>
            <w:r w:rsidRPr="00982417">
              <w:rPr>
                <w:szCs w:val="16"/>
              </w:rPr>
              <w:t>An unqualified audit opinion</w:t>
            </w:r>
            <w:r w:rsidR="00E70A9F">
              <w:rPr>
                <w:szCs w:val="16"/>
              </w:rPr>
              <w:t xml:space="preserve"> (2021)</w:t>
            </w:r>
          </w:p>
        </w:tc>
        <w:tc>
          <w:tcPr>
            <w:tcW w:w="2403" w:type="dxa"/>
            <w:tcBorders>
              <w:top w:val="single" w:sz="4" w:space="0" w:color="D9D9D9" w:themeColor="background1" w:themeShade="D9"/>
            </w:tcBorders>
            <w:shd w:val="clear" w:color="auto" w:fill="auto"/>
          </w:tcPr>
          <w:p w14:paraId="3F5EF7BF" w14:textId="77777777" w:rsidR="008D2CBF" w:rsidRPr="00D350B5" w:rsidRDefault="008D2CBF" w:rsidP="008D2CBF">
            <w:pPr>
              <w:pStyle w:val="TableText"/>
              <w:rPr>
                <w:lang w:val="en-US"/>
              </w:rPr>
            </w:pPr>
            <w:r w:rsidRPr="00982417">
              <w:rPr>
                <w:szCs w:val="16"/>
              </w:rPr>
              <w:t>An unqualified audit opinion</w:t>
            </w:r>
          </w:p>
        </w:tc>
      </w:tr>
      <w:tr w:rsidR="008D2CBF" w:rsidRPr="00D350B5" w14:paraId="166CA12E" w14:textId="77777777" w:rsidTr="00CB163A">
        <w:trPr>
          <w:cantSplit/>
          <w:trHeight w:val="170"/>
        </w:trPr>
        <w:tc>
          <w:tcPr>
            <w:tcW w:w="2398" w:type="dxa"/>
            <w:vMerge/>
            <w:shd w:val="clear" w:color="auto" w:fill="auto"/>
          </w:tcPr>
          <w:p w14:paraId="46C5753A" w14:textId="77777777" w:rsidR="008D2CBF" w:rsidRDefault="008D2CBF" w:rsidP="008D2CBF">
            <w:pPr>
              <w:pStyle w:val="TableTextBold"/>
              <w:ind w:left="0"/>
              <w:rPr>
                <w:rStyle w:val="charColoured"/>
              </w:rPr>
            </w:pPr>
          </w:p>
        </w:tc>
        <w:tc>
          <w:tcPr>
            <w:tcW w:w="2400" w:type="dxa"/>
            <w:vMerge w:val="restart"/>
            <w:shd w:val="clear" w:color="auto" w:fill="auto"/>
          </w:tcPr>
          <w:p w14:paraId="202F0CA9" w14:textId="77777777" w:rsidR="008D2CBF" w:rsidRPr="00D350B5" w:rsidRDefault="008D2CBF" w:rsidP="008D2CBF">
            <w:pPr>
              <w:pStyle w:val="TableText"/>
              <w:rPr>
                <w:lang w:val="en-US"/>
              </w:rPr>
            </w:pPr>
            <w:r>
              <w:rPr>
                <w:lang w:val="en-US"/>
              </w:rPr>
              <w:t>I</w:t>
            </w:r>
            <w:r w:rsidRPr="007737C2">
              <w:rPr>
                <w:lang w:val="en-US"/>
              </w:rPr>
              <w:t>ncreased maturity of RBM and RM enabled by stronger ERP systems managed and enhanced in accordance with best practice</w:t>
            </w:r>
          </w:p>
        </w:tc>
        <w:tc>
          <w:tcPr>
            <w:tcW w:w="2401" w:type="dxa"/>
            <w:shd w:val="clear" w:color="auto" w:fill="auto"/>
          </w:tcPr>
          <w:p w14:paraId="48057A06" w14:textId="5EF0F304" w:rsidR="008D2CBF" w:rsidRPr="00293BEF" w:rsidRDefault="008D2CBF" w:rsidP="008D2CBF">
            <w:pPr>
              <w:pStyle w:val="TableText"/>
              <w:rPr>
                <w:lang w:val="en-US"/>
              </w:rPr>
            </w:pPr>
            <w:r>
              <w:rPr>
                <w:lang w:val="en-US"/>
              </w:rPr>
              <w:t>RBM Maturi</w:t>
            </w:r>
            <w:r w:rsidR="007A40ED">
              <w:rPr>
                <w:lang w:val="en-US"/>
              </w:rPr>
              <w:t>t</w:t>
            </w:r>
            <w:r>
              <w:rPr>
                <w:lang w:val="en-US"/>
              </w:rPr>
              <w:t>y level 4.4 (end 2021)</w:t>
            </w:r>
          </w:p>
        </w:tc>
        <w:tc>
          <w:tcPr>
            <w:tcW w:w="2403" w:type="dxa"/>
            <w:shd w:val="clear" w:color="auto" w:fill="auto"/>
          </w:tcPr>
          <w:p w14:paraId="15270EBA" w14:textId="4380B81E" w:rsidR="008D2CBF" w:rsidRPr="00D350B5" w:rsidRDefault="008D2CBF" w:rsidP="008D2CBF">
            <w:pPr>
              <w:pStyle w:val="TableText"/>
              <w:rPr>
                <w:lang w:val="en-US"/>
              </w:rPr>
            </w:pPr>
            <w:r>
              <w:rPr>
                <w:lang w:val="en-US"/>
              </w:rPr>
              <w:t>RBM Maturi</w:t>
            </w:r>
            <w:r w:rsidR="007A40ED">
              <w:rPr>
                <w:lang w:val="en-US"/>
              </w:rPr>
              <w:t>t</w:t>
            </w:r>
            <w:r>
              <w:rPr>
                <w:lang w:val="en-US"/>
              </w:rPr>
              <w:t>y level 4.5 (end 2025)</w:t>
            </w:r>
          </w:p>
        </w:tc>
      </w:tr>
      <w:tr w:rsidR="008D2CBF" w:rsidRPr="00D350B5" w14:paraId="2C4FD3F0" w14:textId="77777777" w:rsidTr="00CB163A">
        <w:trPr>
          <w:cantSplit/>
          <w:trHeight w:val="188"/>
        </w:trPr>
        <w:tc>
          <w:tcPr>
            <w:tcW w:w="2398" w:type="dxa"/>
            <w:vMerge/>
            <w:shd w:val="clear" w:color="auto" w:fill="auto"/>
          </w:tcPr>
          <w:p w14:paraId="6070309C" w14:textId="77777777" w:rsidR="008D2CBF" w:rsidRDefault="008D2CBF" w:rsidP="008D2CBF">
            <w:pPr>
              <w:pStyle w:val="TableTextBold"/>
              <w:ind w:left="0"/>
              <w:rPr>
                <w:rStyle w:val="charColoured"/>
              </w:rPr>
            </w:pPr>
          </w:p>
        </w:tc>
        <w:tc>
          <w:tcPr>
            <w:tcW w:w="2400" w:type="dxa"/>
            <w:vMerge/>
            <w:shd w:val="clear" w:color="auto" w:fill="auto"/>
          </w:tcPr>
          <w:p w14:paraId="4B05B4C7" w14:textId="77777777" w:rsidR="008D2CBF" w:rsidRDefault="008D2CBF" w:rsidP="008D2CBF">
            <w:pPr>
              <w:pStyle w:val="TableText"/>
              <w:rPr>
                <w:lang w:val="en-US"/>
              </w:rPr>
            </w:pPr>
          </w:p>
        </w:tc>
        <w:tc>
          <w:tcPr>
            <w:tcW w:w="2401" w:type="dxa"/>
            <w:shd w:val="clear" w:color="auto" w:fill="auto"/>
          </w:tcPr>
          <w:p w14:paraId="34F5038C" w14:textId="7E68BF4E" w:rsidR="008D2CBF" w:rsidRPr="00293BEF" w:rsidRDefault="002A08EA" w:rsidP="008D2CBF">
            <w:pPr>
              <w:pStyle w:val="TableText"/>
              <w:rPr>
                <w:lang w:val="en-US"/>
              </w:rPr>
            </w:pPr>
            <w:r>
              <w:rPr>
                <w:szCs w:val="16"/>
                <w:lang w:val="en-US"/>
              </w:rPr>
              <w:t xml:space="preserve">RM: </w:t>
            </w:r>
            <w:r w:rsidR="008D2CBF" w:rsidRPr="00982417">
              <w:rPr>
                <w:szCs w:val="16"/>
                <w:lang w:val="en-US"/>
              </w:rPr>
              <w:t>Dimensions 1-4 ‘advanced’, dimensions 5 and 6 ‘established’</w:t>
            </w:r>
          </w:p>
        </w:tc>
        <w:tc>
          <w:tcPr>
            <w:tcW w:w="2403" w:type="dxa"/>
            <w:shd w:val="clear" w:color="auto" w:fill="auto"/>
          </w:tcPr>
          <w:p w14:paraId="3695CFC0" w14:textId="77777777" w:rsidR="008D2CBF" w:rsidRPr="00293BEF" w:rsidRDefault="008D2CBF" w:rsidP="008D2CBF">
            <w:pPr>
              <w:pStyle w:val="TableText"/>
              <w:rPr>
                <w:lang w:val="en-US"/>
              </w:rPr>
            </w:pPr>
            <w:r w:rsidRPr="00982417">
              <w:rPr>
                <w:szCs w:val="16"/>
                <w:lang w:val="en-US"/>
              </w:rPr>
              <w:t>RM: Dimensions 1-6 ‘advanced’</w:t>
            </w:r>
          </w:p>
        </w:tc>
      </w:tr>
      <w:tr w:rsidR="008D2CBF" w:rsidRPr="00D350B5" w14:paraId="12BB8331" w14:textId="77777777" w:rsidTr="00CB163A">
        <w:trPr>
          <w:cantSplit/>
          <w:trHeight w:val="188"/>
        </w:trPr>
        <w:tc>
          <w:tcPr>
            <w:tcW w:w="2398" w:type="dxa"/>
            <w:vMerge/>
            <w:shd w:val="clear" w:color="auto" w:fill="auto"/>
          </w:tcPr>
          <w:p w14:paraId="0D827A34" w14:textId="77777777" w:rsidR="008D2CBF" w:rsidRDefault="008D2CBF" w:rsidP="008D2CBF">
            <w:pPr>
              <w:pStyle w:val="TableTextBold"/>
              <w:ind w:left="0"/>
              <w:rPr>
                <w:rStyle w:val="charColoured"/>
              </w:rPr>
            </w:pPr>
          </w:p>
        </w:tc>
        <w:tc>
          <w:tcPr>
            <w:tcW w:w="2400" w:type="dxa"/>
            <w:vMerge/>
            <w:shd w:val="clear" w:color="auto" w:fill="auto"/>
          </w:tcPr>
          <w:p w14:paraId="6196D276" w14:textId="77777777" w:rsidR="008D2CBF" w:rsidRDefault="008D2CBF" w:rsidP="008D2CBF">
            <w:pPr>
              <w:pStyle w:val="TableText"/>
              <w:rPr>
                <w:lang w:val="en-US"/>
              </w:rPr>
            </w:pPr>
          </w:p>
        </w:tc>
        <w:tc>
          <w:tcPr>
            <w:tcW w:w="2401" w:type="dxa"/>
            <w:shd w:val="clear" w:color="auto" w:fill="auto"/>
          </w:tcPr>
          <w:p w14:paraId="7214F432" w14:textId="77777777" w:rsidR="008D2CBF" w:rsidRPr="00293BEF" w:rsidRDefault="008D2CBF" w:rsidP="008D2CBF">
            <w:pPr>
              <w:pStyle w:val="TableText"/>
              <w:rPr>
                <w:lang w:val="en-US"/>
              </w:rPr>
            </w:pPr>
            <w:r w:rsidRPr="00982417">
              <w:rPr>
                <w:szCs w:val="16"/>
                <w:lang w:val="en-US"/>
              </w:rPr>
              <w:t>% of incidents addressed within the time limits in SLAs: 9</w:t>
            </w:r>
            <w:r>
              <w:rPr>
                <w:szCs w:val="16"/>
                <w:lang w:val="en-US"/>
              </w:rPr>
              <w:t>5</w:t>
            </w:r>
            <w:r w:rsidRPr="00982417">
              <w:rPr>
                <w:szCs w:val="16"/>
                <w:lang w:val="en-US"/>
              </w:rPr>
              <w:t>%</w:t>
            </w:r>
          </w:p>
        </w:tc>
        <w:tc>
          <w:tcPr>
            <w:tcW w:w="2403" w:type="dxa"/>
            <w:shd w:val="clear" w:color="auto" w:fill="auto"/>
          </w:tcPr>
          <w:p w14:paraId="28E9219E" w14:textId="77777777" w:rsidR="008D2CBF" w:rsidRPr="00293BEF" w:rsidRDefault="008D2CBF" w:rsidP="008D2CBF">
            <w:pPr>
              <w:pStyle w:val="TableText"/>
              <w:rPr>
                <w:lang w:val="en-US"/>
              </w:rPr>
            </w:pPr>
            <w:r w:rsidRPr="00982417">
              <w:rPr>
                <w:szCs w:val="16"/>
                <w:lang w:val="en-US"/>
              </w:rPr>
              <w:t>% of incidents addressed within the time limits in SLAs: 9</w:t>
            </w:r>
            <w:r>
              <w:rPr>
                <w:szCs w:val="16"/>
                <w:lang w:val="en-US"/>
              </w:rPr>
              <w:t>5</w:t>
            </w:r>
            <w:r w:rsidRPr="00982417">
              <w:rPr>
                <w:szCs w:val="16"/>
                <w:lang w:val="en-US"/>
              </w:rPr>
              <w:t>%</w:t>
            </w:r>
          </w:p>
        </w:tc>
      </w:tr>
      <w:tr w:rsidR="008D2CBF" w:rsidRPr="00D350B5" w14:paraId="52F084C9" w14:textId="77777777" w:rsidTr="00CB163A">
        <w:trPr>
          <w:cantSplit/>
          <w:trHeight w:val="269"/>
        </w:trPr>
        <w:tc>
          <w:tcPr>
            <w:tcW w:w="2398" w:type="dxa"/>
            <w:vMerge/>
            <w:shd w:val="clear" w:color="auto" w:fill="auto"/>
          </w:tcPr>
          <w:p w14:paraId="3EA4ABA5" w14:textId="77777777" w:rsidR="008D2CBF" w:rsidRDefault="008D2CBF" w:rsidP="008D2CBF">
            <w:pPr>
              <w:pStyle w:val="TableTextBold"/>
              <w:ind w:left="0"/>
              <w:rPr>
                <w:rStyle w:val="charColoured"/>
              </w:rPr>
            </w:pPr>
          </w:p>
        </w:tc>
        <w:tc>
          <w:tcPr>
            <w:tcW w:w="2400" w:type="dxa"/>
            <w:vMerge/>
            <w:shd w:val="clear" w:color="auto" w:fill="auto"/>
          </w:tcPr>
          <w:p w14:paraId="4E599F4C" w14:textId="77777777" w:rsidR="008D2CBF" w:rsidRDefault="008D2CBF" w:rsidP="008D2CBF">
            <w:pPr>
              <w:pStyle w:val="TableText"/>
              <w:rPr>
                <w:lang w:val="en-US"/>
              </w:rPr>
            </w:pPr>
          </w:p>
        </w:tc>
        <w:tc>
          <w:tcPr>
            <w:tcW w:w="2401" w:type="dxa"/>
            <w:shd w:val="clear" w:color="auto" w:fill="auto"/>
          </w:tcPr>
          <w:p w14:paraId="5F4115F4" w14:textId="77777777" w:rsidR="008D2CBF" w:rsidRPr="00293BEF" w:rsidRDefault="008D2CBF" w:rsidP="008D2CBF">
            <w:pPr>
              <w:pStyle w:val="TableText"/>
              <w:rPr>
                <w:lang w:val="en-US"/>
              </w:rPr>
            </w:pPr>
            <w:r w:rsidRPr="00982417">
              <w:rPr>
                <w:szCs w:val="16"/>
                <w:lang w:val="en-US"/>
              </w:rPr>
              <w:t>% of resources spen</w:t>
            </w:r>
            <w:r>
              <w:rPr>
                <w:szCs w:val="16"/>
                <w:lang w:val="en-US"/>
              </w:rPr>
              <w:t>t on KTLO vs value-add work: 60</w:t>
            </w:r>
            <w:r w:rsidRPr="00982417">
              <w:rPr>
                <w:szCs w:val="16"/>
                <w:lang w:val="en-US"/>
              </w:rPr>
              <w:t>%</w:t>
            </w:r>
          </w:p>
        </w:tc>
        <w:tc>
          <w:tcPr>
            <w:tcW w:w="2403" w:type="dxa"/>
            <w:shd w:val="clear" w:color="auto" w:fill="auto"/>
          </w:tcPr>
          <w:p w14:paraId="5EF40855" w14:textId="77777777" w:rsidR="008D2CBF" w:rsidRPr="00293BEF" w:rsidRDefault="008D2CBF" w:rsidP="008D2CBF">
            <w:pPr>
              <w:pStyle w:val="TableText"/>
              <w:rPr>
                <w:lang w:val="en-US"/>
              </w:rPr>
            </w:pPr>
            <w:r w:rsidRPr="00982417">
              <w:rPr>
                <w:szCs w:val="16"/>
                <w:lang w:val="en-US"/>
              </w:rPr>
              <w:t>% of resources spen</w:t>
            </w:r>
            <w:r>
              <w:rPr>
                <w:szCs w:val="16"/>
                <w:lang w:val="en-US"/>
              </w:rPr>
              <w:t>t on KTLO vs value-add work: 50</w:t>
            </w:r>
            <w:r w:rsidRPr="00982417">
              <w:rPr>
                <w:szCs w:val="16"/>
                <w:lang w:val="en-US"/>
              </w:rPr>
              <w:t>%</w:t>
            </w:r>
          </w:p>
        </w:tc>
      </w:tr>
      <w:tr w:rsidR="008D2CBF" w:rsidRPr="00D350B5" w14:paraId="610864B3" w14:textId="77777777" w:rsidTr="00CB163A">
        <w:trPr>
          <w:cantSplit/>
          <w:trHeight w:val="368"/>
        </w:trPr>
        <w:tc>
          <w:tcPr>
            <w:tcW w:w="2398" w:type="dxa"/>
            <w:vMerge/>
            <w:shd w:val="clear" w:color="auto" w:fill="auto"/>
          </w:tcPr>
          <w:p w14:paraId="7023000A" w14:textId="77777777" w:rsidR="008D2CBF" w:rsidRDefault="008D2CBF" w:rsidP="008D2CBF">
            <w:pPr>
              <w:pStyle w:val="TableTextBold"/>
              <w:rPr>
                <w:rStyle w:val="charColoured"/>
              </w:rPr>
            </w:pPr>
          </w:p>
        </w:tc>
        <w:tc>
          <w:tcPr>
            <w:tcW w:w="2400" w:type="dxa"/>
            <w:shd w:val="clear" w:color="auto" w:fill="auto"/>
          </w:tcPr>
          <w:p w14:paraId="09C5647D" w14:textId="77777777" w:rsidR="008D2CBF" w:rsidRPr="00D350B5" w:rsidRDefault="008D2CBF" w:rsidP="008D2CBF">
            <w:pPr>
              <w:pStyle w:val="TableText"/>
              <w:rPr>
                <w:lang w:val="en-US"/>
              </w:rPr>
            </w:pPr>
            <w:r w:rsidRPr="007737C2">
              <w:rPr>
                <w:lang w:val="en-US"/>
              </w:rPr>
              <w:t>Cost savings for goods and services procured by WIPO</w:t>
            </w:r>
          </w:p>
        </w:tc>
        <w:tc>
          <w:tcPr>
            <w:tcW w:w="2401" w:type="dxa"/>
            <w:shd w:val="clear" w:color="auto" w:fill="auto"/>
          </w:tcPr>
          <w:p w14:paraId="74ACD5C4" w14:textId="2FDFEB8F" w:rsidR="008D2CBF" w:rsidRPr="00D350B5" w:rsidRDefault="008D2CBF" w:rsidP="008D2CBF">
            <w:pPr>
              <w:pStyle w:val="TableText"/>
              <w:rPr>
                <w:lang w:val="en-US"/>
              </w:rPr>
            </w:pPr>
            <w:r>
              <w:rPr>
                <w:rFonts w:eastAsia="SimHei"/>
                <w:szCs w:val="16"/>
              </w:rPr>
              <w:t>3,846,000</w:t>
            </w:r>
            <w:r w:rsidR="002A08EA">
              <w:rPr>
                <w:rFonts w:eastAsia="SimHei"/>
                <w:szCs w:val="16"/>
              </w:rPr>
              <w:t xml:space="preserve"> </w:t>
            </w:r>
            <w:r>
              <w:rPr>
                <w:rFonts w:eastAsia="SimHei"/>
                <w:szCs w:val="16"/>
              </w:rPr>
              <w:t>CHF (2022)</w:t>
            </w:r>
          </w:p>
        </w:tc>
        <w:tc>
          <w:tcPr>
            <w:tcW w:w="2403" w:type="dxa"/>
            <w:shd w:val="clear" w:color="auto" w:fill="auto"/>
          </w:tcPr>
          <w:p w14:paraId="2591AF8C" w14:textId="77777777" w:rsidR="008D2CBF" w:rsidRPr="00D350B5" w:rsidRDefault="008D2CBF" w:rsidP="008D2CBF">
            <w:pPr>
              <w:pStyle w:val="TableText"/>
              <w:rPr>
                <w:lang w:val="en-US"/>
              </w:rPr>
            </w:pPr>
            <w:r>
              <w:rPr>
                <w:lang w:val="en-US"/>
              </w:rPr>
              <w:t>4,500,000 (biennium)</w:t>
            </w:r>
          </w:p>
        </w:tc>
      </w:tr>
      <w:tr w:rsidR="008D2CBF" w:rsidRPr="00D350B5" w14:paraId="7CFAF575" w14:textId="77777777" w:rsidTr="00CB163A">
        <w:trPr>
          <w:cantSplit/>
          <w:trHeight w:val="179"/>
        </w:trPr>
        <w:tc>
          <w:tcPr>
            <w:tcW w:w="2398" w:type="dxa"/>
            <w:vMerge/>
            <w:tcBorders>
              <w:bottom w:val="single" w:sz="4" w:space="0" w:color="D9D9D9" w:themeColor="background1" w:themeShade="D9"/>
            </w:tcBorders>
            <w:shd w:val="clear" w:color="auto" w:fill="auto"/>
          </w:tcPr>
          <w:p w14:paraId="1A0C14E0" w14:textId="77777777" w:rsidR="008D2CBF" w:rsidRDefault="008D2CBF" w:rsidP="008D2CBF">
            <w:pPr>
              <w:pStyle w:val="TableTextBold"/>
              <w:rPr>
                <w:rStyle w:val="charColoured"/>
              </w:rPr>
            </w:pPr>
          </w:p>
        </w:tc>
        <w:tc>
          <w:tcPr>
            <w:tcW w:w="2400" w:type="dxa"/>
            <w:tcBorders>
              <w:bottom w:val="single" w:sz="4" w:space="0" w:color="D9D9D9" w:themeColor="background1" w:themeShade="D9"/>
            </w:tcBorders>
            <w:shd w:val="clear" w:color="auto" w:fill="auto"/>
          </w:tcPr>
          <w:p w14:paraId="5C8993CA" w14:textId="77777777" w:rsidR="008D2CBF" w:rsidRPr="00D350B5" w:rsidRDefault="008D2CBF" w:rsidP="008D2CBF">
            <w:pPr>
              <w:pStyle w:val="TableText"/>
              <w:rPr>
                <w:lang w:val="en-US"/>
              </w:rPr>
            </w:pPr>
            <w:r w:rsidRPr="007737C2">
              <w:rPr>
                <w:lang w:val="en-US"/>
              </w:rPr>
              <w:t>Average air ticket fare</w:t>
            </w:r>
          </w:p>
        </w:tc>
        <w:tc>
          <w:tcPr>
            <w:tcW w:w="2401" w:type="dxa"/>
            <w:tcBorders>
              <w:bottom w:val="single" w:sz="4" w:space="0" w:color="D9D9D9" w:themeColor="background1" w:themeShade="D9"/>
            </w:tcBorders>
            <w:shd w:val="clear" w:color="auto" w:fill="auto"/>
          </w:tcPr>
          <w:p w14:paraId="24F791FD" w14:textId="724B4B47" w:rsidR="008D2CBF" w:rsidRPr="002615E5" w:rsidRDefault="008D2CBF" w:rsidP="008D2CBF">
            <w:pPr>
              <w:pStyle w:val="TableText"/>
              <w:rPr>
                <w:rFonts w:eastAsia="SimHei"/>
                <w:szCs w:val="16"/>
              </w:rPr>
            </w:pPr>
            <w:r>
              <w:rPr>
                <w:rFonts w:eastAsia="SimHei"/>
                <w:szCs w:val="16"/>
              </w:rPr>
              <w:t>1,614</w:t>
            </w:r>
            <w:r w:rsidR="002A08EA">
              <w:rPr>
                <w:rFonts w:eastAsia="SimHei"/>
                <w:szCs w:val="16"/>
              </w:rPr>
              <w:t xml:space="preserve"> </w:t>
            </w:r>
            <w:r>
              <w:rPr>
                <w:rFonts w:eastAsia="SimHei"/>
                <w:szCs w:val="16"/>
              </w:rPr>
              <w:t>CHF</w:t>
            </w:r>
          </w:p>
        </w:tc>
        <w:tc>
          <w:tcPr>
            <w:tcW w:w="2403" w:type="dxa"/>
            <w:tcBorders>
              <w:bottom w:val="single" w:sz="4" w:space="0" w:color="D9D9D9" w:themeColor="background1" w:themeShade="D9"/>
            </w:tcBorders>
            <w:shd w:val="clear" w:color="auto" w:fill="auto"/>
          </w:tcPr>
          <w:p w14:paraId="48A85613" w14:textId="5742CB57" w:rsidR="008D2CBF" w:rsidRPr="00D350B5" w:rsidRDefault="00B66357" w:rsidP="00762182">
            <w:pPr>
              <w:pStyle w:val="TableText"/>
              <w:rPr>
                <w:lang w:val="en-US"/>
              </w:rPr>
            </w:pPr>
            <w:r>
              <w:rPr>
                <w:lang w:val="en-US"/>
              </w:rPr>
              <w:t>Cost increase contained to &lt;</w:t>
            </w:r>
            <w:r w:rsidR="00762182">
              <w:rPr>
                <w:lang w:val="en-US"/>
              </w:rPr>
              <w:t>10</w:t>
            </w:r>
            <w:r w:rsidR="008D2CBF">
              <w:rPr>
                <w:lang w:val="en-US"/>
              </w:rPr>
              <w:t>%</w:t>
            </w:r>
          </w:p>
        </w:tc>
      </w:tr>
    </w:tbl>
    <w:p w14:paraId="42A7928C" w14:textId="77777777" w:rsidR="008D2CBF" w:rsidRDefault="008D2CBF" w:rsidP="008D2CBF">
      <w:pPr>
        <w:pStyle w:val="TableParagraph"/>
        <w:spacing w:after="180"/>
        <w:ind w:left="0"/>
        <w:rPr>
          <w:rFonts w:ascii="Arial" w:hAnsi="Arial" w:cs="Arial"/>
          <w:color w:val="005172" w:themeColor="text2"/>
          <w:sz w:val="32"/>
        </w:rPr>
      </w:pPr>
    </w:p>
    <w:p w14:paraId="1BD3A838" w14:textId="51982FA5" w:rsidR="0019599D" w:rsidRDefault="0019599D" w:rsidP="00EF7D1D">
      <w:pPr>
        <w:rPr>
          <w:b/>
          <w:color w:val="005172" w:themeColor="text2"/>
          <w:sz w:val="32"/>
        </w:rPr>
      </w:pPr>
      <w:r>
        <w:rPr>
          <w:b/>
          <w:color w:val="005172" w:themeColor="text2"/>
          <w:sz w:val="32"/>
        </w:rPr>
        <w:br w:type="page"/>
      </w:r>
    </w:p>
    <w:p w14:paraId="08FA9B81" w14:textId="77777777" w:rsidR="00EF7D1D" w:rsidRPr="00BD1E63" w:rsidRDefault="00EF7D1D" w:rsidP="00EF7D1D">
      <w:pPr>
        <w:rPr>
          <w:b/>
          <w:color w:val="005172" w:themeColor="text2"/>
          <w:sz w:val="32"/>
        </w:rPr>
      </w:pPr>
      <w:r>
        <w:rPr>
          <w:b/>
          <w:color w:val="005172" w:themeColor="text2"/>
          <w:sz w:val="32"/>
        </w:rPr>
        <w:t>Office of the Director General</w:t>
      </w:r>
      <w:r w:rsidRPr="00BD1E63">
        <w:rPr>
          <w:b/>
          <w:color w:val="005172" w:themeColor="text2"/>
          <w:sz w:val="32"/>
        </w:rPr>
        <w:t xml:space="preserve"> </w:t>
      </w:r>
    </w:p>
    <w:p w14:paraId="543ACEF0" w14:textId="77777777" w:rsidR="008D2CBF" w:rsidRPr="00551FDF" w:rsidRDefault="008D2CBF" w:rsidP="008D2CBF">
      <w:pPr>
        <w:keepNext/>
        <w:spacing w:before="320" w:after="240"/>
        <w:outlineLvl w:val="2"/>
        <w:rPr>
          <w:color w:val="005172" w:themeColor="text2"/>
          <w:sz w:val="32"/>
          <w:lang w:val="en-US"/>
        </w:rPr>
      </w:pPr>
      <w:r w:rsidRPr="00551FDF">
        <w:rPr>
          <w:color w:val="005172" w:themeColor="text2"/>
          <w:sz w:val="32"/>
          <w:lang w:val="en-US"/>
        </w:rPr>
        <w:t>Implementation Strategies</w:t>
      </w:r>
    </w:p>
    <w:p w14:paraId="6F21AF31" w14:textId="77777777" w:rsidR="008D2CBF" w:rsidRPr="003E1CD9" w:rsidRDefault="008D2CBF" w:rsidP="008D2CBF">
      <w:pPr>
        <w:rPr>
          <w:rFonts w:cs="Arial"/>
          <w:szCs w:val="18"/>
        </w:rPr>
      </w:pPr>
      <w:r w:rsidRPr="003E1CD9">
        <w:rPr>
          <w:rFonts w:cs="Arial"/>
          <w:szCs w:val="18"/>
        </w:rPr>
        <w:t xml:space="preserve">The Office of the Director General will </w:t>
      </w:r>
      <w:r>
        <w:rPr>
          <w:rFonts w:cs="Arial"/>
          <w:szCs w:val="18"/>
        </w:rPr>
        <w:t xml:space="preserve">continue focusing </w:t>
      </w:r>
      <w:r w:rsidRPr="003E1CD9">
        <w:rPr>
          <w:rFonts w:cs="Arial"/>
          <w:szCs w:val="18"/>
        </w:rPr>
        <w:t xml:space="preserve">on </w:t>
      </w:r>
      <w:r>
        <w:rPr>
          <w:rFonts w:cs="Arial"/>
          <w:szCs w:val="18"/>
        </w:rPr>
        <w:t xml:space="preserve">the </w:t>
      </w:r>
      <w:r w:rsidRPr="003E1CD9">
        <w:rPr>
          <w:rFonts w:cs="Arial"/>
          <w:szCs w:val="18"/>
        </w:rPr>
        <w:t xml:space="preserve">overall strategic coordination of the work of the Organization, </w:t>
      </w:r>
      <w:r>
        <w:rPr>
          <w:rFonts w:cs="Arial"/>
          <w:szCs w:val="18"/>
        </w:rPr>
        <w:t xml:space="preserve">as well as the ongoing transformation of WIPO’s </w:t>
      </w:r>
      <w:r w:rsidRPr="003E1CD9">
        <w:rPr>
          <w:rFonts w:cs="Arial"/>
          <w:szCs w:val="18"/>
        </w:rPr>
        <w:t>corporate culture</w:t>
      </w:r>
      <w:r>
        <w:rPr>
          <w:rFonts w:cs="Arial"/>
          <w:szCs w:val="18"/>
        </w:rPr>
        <w:t xml:space="preserve">. The work of the Sector will also focus on </w:t>
      </w:r>
      <w:r w:rsidRPr="003E1CD9">
        <w:rPr>
          <w:rFonts w:cs="Arial"/>
          <w:szCs w:val="18"/>
        </w:rPr>
        <w:t xml:space="preserve">guiding the implementation of the HR strategy and ensuring strategic engagement and outreach to external stakeholders including Member States and media. </w:t>
      </w:r>
    </w:p>
    <w:p w14:paraId="7A4ADB1D" w14:textId="77777777" w:rsidR="008D2CBF" w:rsidRPr="00545FCA" w:rsidRDefault="008D2CBF" w:rsidP="008D2CBF">
      <w:pPr>
        <w:pStyle w:val="TableParagraph"/>
        <w:spacing w:before="320" w:after="240"/>
        <w:ind w:left="0"/>
        <w:rPr>
          <w:rFonts w:ascii="Arial" w:hAnsi="Arial" w:cs="Arial"/>
          <w:color w:val="005172" w:themeColor="text2"/>
        </w:rPr>
      </w:pPr>
      <w:r w:rsidRPr="00545FCA">
        <w:rPr>
          <w:rFonts w:ascii="Arial" w:hAnsi="Arial" w:cs="Arial"/>
          <w:color w:val="005172" w:themeColor="text2"/>
        </w:rPr>
        <w:t xml:space="preserve">People and Culture </w:t>
      </w:r>
    </w:p>
    <w:p w14:paraId="24C4F287" w14:textId="62D31C8C" w:rsidR="008D2CBF" w:rsidRPr="003E1CD9" w:rsidRDefault="008D2CBF" w:rsidP="008D2CBF">
      <w:pPr>
        <w:rPr>
          <w:rFonts w:cs="Arial"/>
          <w:szCs w:val="18"/>
        </w:rPr>
      </w:pPr>
      <w:r w:rsidRPr="003E1CD9">
        <w:rPr>
          <w:rFonts w:cs="Arial"/>
          <w:szCs w:val="18"/>
        </w:rPr>
        <w:t xml:space="preserve">HR initiatives for the next biennium will be fully aligned with a new multi-year HR Strategy to support the implementation of the MTSP. </w:t>
      </w:r>
      <w:r w:rsidR="00E70A9F">
        <w:rPr>
          <w:rFonts w:cs="Arial"/>
          <w:szCs w:val="18"/>
        </w:rPr>
        <w:t xml:space="preserve"> </w:t>
      </w:r>
      <w:r w:rsidRPr="003E1CD9">
        <w:rPr>
          <w:rFonts w:cs="Arial"/>
          <w:szCs w:val="18"/>
        </w:rPr>
        <w:t>Particular priorities will include:</w:t>
      </w:r>
    </w:p>
    <w:p w14:paraId="3298FCC9" w14:textId="77777777"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 xml:space="preserve">Work towards building an inclusive workplace where employee well-being is integrated into HR programs, employees are committed and motivated and the Organization attracts new talent. </w:t>
      </w:r>
      <w:r>
        <w:rPr>
          <w:rFonts w:ascii="Arial" w:hAnsi="Arial"/>
          <w:sz w:val="18"/>
          <w:szCs w:val="18"/>
        </w:rPr>
        <w:t xml:space="preserve"> </w:t>
      </w:r>
      <w:r w:rsidRPr="00383B5D">
        <w:rPr>
          <w:rFonts w:ascii="Arial" w:hAnsi="Arial"/>
          <w:sz w:val="18"/>
          <w:szCs w:val="18"/>
        </w:rPr>
        <w:t>Measure employee engagement on a regular basis to obtain data that would complement organizational transformation;</w:t>
      </w:r>
    </w:p>
    <w:p w14:paraId="32267965" w14:textId="77777777" w:rsidR="008D2CBF" w:rsidRPr="002356E0" w:rsidRDefault="008D2CBF" w:rsidP="008D2CBF">
      <w:pPr>
        <w:pStyle w:val="ListParagraph"/>
        <w:rPr>
          <w:rFonts w:ascii="Arial" w:hAnsi="Arial"/>
          <w:sz w:val="12"/>
          <w:szCs w:val="18"/>
        </w:rPr>
      </w:pPr>
    </w:p>
    <w:p w14:paraId="090BF162" w14:textId="77777777"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 xml:space="preserve">Contribute to the development of a vibrant organizational culture through work programs/practices that promote diversity and inclusion, break-up organizational silos, build trust, and encourage innovation, dialogue and team work; </w:t>
      </w:r>
    </w:p>
    <w:p w14:paraId="2A380057" w14:textId="77777777" w:rsidR="008D2CBF" w:rsidRPr="002356E0" w:rsidRDefault="008D2CBF" w:rsidP="008D2CBF">
      <w:pPr>
        <w:pStyle w:val="ListParagraph"/>
        <w:rPr>
          <w:rFonts w:ascii="Arial" w:hAnsi="Arial"/>
          <w:sz w:val="12"/>
          <w:szCs w:val="18"/>
        </w:rPr>
      </w:pPr>
    </w:p>
    <w:p w14:paraId="4171C4E0" w14:textId="77777777"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Develop a new performance management framework to foster commitment and accountability towards effective people management;</w:t>
      </w:r>
    </w:p>
    <w:p w14:paraId="449A92DA" w14:textId="77777777" w:rsidR="008D2CBF" w:rsidRPr="002356E0" w:rsidRDefault="008D2CBF" w:rsidP="008D2CBF">
      <w:pPr>
        <w:pStyle w:val="ListParagraph"/>
        <w:rPr>
          <w:rFonts w:ascii="Arial" w:hAnsi="Arial"/>
          <w:sz w:val="12"/>
          <w:szCs w:val="18"/>
        </w:rPr>
      </w:pPr>
    </w:p>
    <w:p w14:paraId="790087FD" w14:textId="77777777" w:rsidR="008D2CBF" w:rsidRPr="00383B5D" w:rsidRDefault="008D2CBF" w:rsidP="008407D7">
      <w:pPr>
        <w:pStyle w:val="ListParagraph"/>
        <w:numPr>
          <w:ilvl w:val="0"/>
          <w:numId w:val="38"/>
        </w:numPr>
        <w:rPr>
          <w:rFonts w:ascii="Arial" w:hAnsi="Arial"/>
          <w:sz w:val="18"/>
          <w:szCs w:val="18"/>
        </w:rPr>
      </w:pPr>
      <w:r>
        <w:rPr>
          <w:rFonts w:ascii="Arial" w:hAnsi="Arial"/>
          <w:sz w:val="18"/>
          <w:szCs w:val="18"/>
        </w:rPr>
        <w:t>Ensure an agile O</w:t>
      </w:r>
      <w:r w:rsidRPr="00383B5D">
        <w:rPr>
          <w:rFonts w:ascii="Arial" w:hAnsi="Arial"/>
          <w:sz w:val="18"/>
          <w:szCs w:val="18"/>
        </w:rPr>
        <w:t xml:space="preserve">rganization, steady but dynamic with a clear vision, adequate core competencies and effective knowledge. </w:t>
      </w:r>
      <w:r>
        <w:rPr>
          <w:rFonts w:ascii="Arial" w:hAnsi="Arial"/>
          <w:sz w:val="18"/>
          <w:szCs w:val="18"/>
        </w:rPr>
        <w:t xml:space="preserve"> </w:t>
      </w:r>
      <w:r w:rsidRPr="00383B5D">
        <w:rPr>
          <w:rFonts w:ascii="Arial" w:hAnsi="Arial"/>
          <w:sz w:val="18"/>
          <w:szCs w:val="18"/>
        </w:rPr>
        <w:t>Engender a growth mindset and continuous learning through a training and development framework that links to performance</w:t>
      </w:r>
      <w:r>
        <w:rPr>
          <w:rFonts w:ascii="Arial" w:hAnsi="Arial"/>
          <w:sz w:val="18"/>
          <w:szCs w:val="18"/>
        </w:rPr>
        <w:t xml:space="preserve"> and</w:t>
      </w:r>
      <w:r w:rsidRPr="00383B5D">
        <w:rPr>
          <w:rFonts w:ascii="Arial" w:hAnsi="Arial"/>
          <w:sz w:val="18"/>
          <w:szCs w:val="18"/>
        </w:rPr>
        <w:t xml:space="preserve"> career development</w:t>
      </w:r>
      <w:r>
        <w:rPr>
          <w:rFonts w:ascii="Arial" w:hAnsi="Arial"/>
          <w:sz w:val="18"/>
          <w:szCs w:val="18"/>
        </w:rPr>
        <w:t>,</w:t>
      </w:r>
      <w:r w:rsidRPr="00383B5D">
        <w:rPr>
          <w:rFonts w:ascii="Arial" w:hAnsi="Arial"/>
          <w:sz w:val="18"/>
          <w:szCs w:val="18"/>
        </w:rPr>
        <w:t xml:space="preserve"> including mobility;</w:t>
      </w:r>
    </w:p>
    <w:p w14:paraId="246DEA1A" w14:textId="77777777" w:rsidR="008D2CBF" w:rsidRPr="002356E0" w:rsidRDefault="008D2CBF" w:rsidP="008D2CBF">
      <w:pPr>
        <w:pStyle w:val="ListParagraph"/>
        <w:rPr>
          <w:rFonts w:ascii="Arial" w:hAnsi="Arial"/>
          <w:sz w:val="12"/>
          <w:szCs w:val="18"/>
        </w:rPr>
      </w:pPr>
    </w:p>
    <w:p w14:paraId="27BA9E38" w14:textId="54C6925F"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 xml:space="preserve">A modernized HR framework where policies </w:t>
      </w:r>
      <w:r w:rsidR="00E70A9F">
        <w:rPr>
          <w:rFonts w:ascii="Arial" w:hAnsi="Arial"/>
          <w:sz w:val="18"/>
          <w:szCs w:val="18"/>
        </w:rPr>
        <w:t>and</w:t>
      </w:r>
      <w:r w:rsidRPr="00383B5D">
        <w:rPr>
          <w:rFonts w:ascii="Arial" w:hAnsi="Arial"/>
          <w:sz w:val="18"/>
          <w:szCs w:val="18"/>
        </w:rPr>
        <w:t xml:space="preserve"> programs are fit-for-WIPO-purpose and processes are streamlined, notably through increased digitalization. </w:t>
      </w:r>
      <w:r>
        <w:rPr>
          <w:rFonts w:ascii="Arial" w:hAnsi="Arial"/>
          <w:sz w:val="18"/>
          <w:szCs w:val="18"/>
        </w:rPr>
        <w:t xml:space="preserve"> </w:t>
      </w:r>
      <w:r w:rsidRPr="00383B5D">
        <w:rPr>
          <w:rFonts w:ascii="Arial" w:hAnsi="Arial"/>
          <w:sz w:val="18"/>
          <w:szCs w:val="18"/>
        </w:rPr>
        <w:t>Build an HR Department that is perceived as an enabler and contributes both strategically and operationally to the success of the Organization</w:t>
      </w:r>
      <w:r>
        <w:rPr>
          <w:rFonts w:ascii="Arial" w:hAnsi="Arial"/>
          <w:sz w:val="18"/>
          <w:szCs w:val="18"/>
        </w:rPr>
        <w:t>;</w:t>
      </w:r>
      <w:r w:rsidRPr="00383B5D">
        <w:rPr>
          <w:rFonts w:ascii="Arial" w:hAnsi="Arial"/>
          <w:sz w:val="18"/>
          <w:szCs w:val="18"/>
        </w:rPr>
        <w:t xml:space="preserve"> </w:t>
      </w:r>
    </w:p>
    <w:p w14:paraId="3D549BB7" w14:textId="77777777" w:rsidR="008D2CBF" w:rsidRPr="002356E0" w:rsidRDefault="008D2CBF" w:rsidP="008D2CBF">
      <w:pPr>
        <w:pStyle w:val="ListParagraph"/>
        <w:rPr>
          <w:rFonts w:ascii="Arial" w:hAnsi="Arial"/>
          <w:sz w:val="12"/>
          <w:szCs w:val="18"/>
        </w:rPr>
      </w:pPr>
    </w:p>
    <w:p w14:paraId="71E69F5B" w14:textId="51BBF4E4"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Continuing work towards more equitable geographical representation and gender balance through broader and enhanced recruitment outreach programs</w:t>
      </w:r>
      <w:r w:rsidR="007F302A" w:rsidRPr="001A78EF">
        <w:rPr>
          <w:rFonts w:ascii="Arial" w:hAnsi="Arial"/>
          <w:sz w:val="18"/>
          <w:szCs w:val="18"/>
        </w:rPr>
        <w:t>, concrete measures</w:t>
      </w:r>
      <w:r w:rsidRPr="004526DC">
        <w:rPr>
          <w:rFonts w:ascii="Arial" w:hAnsi="Arial"/>
          <w:sz w:val="18"/>
          <w:szCs w:val="18"/>
        </w:rPr>
        <w:t xml:space="preserve"> and</w:t>
      </w:r>
      <w:r w:rsidRPr="00383B5D">
        <w:rPr>
          <w:rFonts w:ascii="Arial" w:hAnsi="Arial"/>
          <w:sz w:val="18"/>
          <w:szCs w:val="18"/>
        </w:rPr>
        <w:t xml:space="preserve"> activities in partnership with Member States. </w:t>
      </w:r>
      <w:r>
        <w:rPr>
          <w:rFonts w:ascii="Arial" w:hAnsi="Arial"/>
          <w:sz w:val="18"/>
          <w:szCs w:val="18"/>
        </w:rPr>
        <w:t xml:space="preserve"> </w:t>
      </w:r>
      <w:r w:rsidRPr="00383B5D">
        <w:rPr>
          <w:rFonts w:ascii="Arial" w:hAnsi="Arial"/>
          <w:sz w:val="18"/>
          <w:szCs w:val="18"/>
        </w:rPr>
        <w:t>Develop reporting to track progress;</w:t>
      </w:r>
    </w:p>
    <w:p w14:paraId="377C6B22" w14:textId="77777777" w:rsidR="008D2CBF" w:rsidRPr="002356E0" w:rsidRDefault="008D2CBF" w:rsidP="008D2CBF">
      <w:pPr>
        <w:pStyle w:val="ListParagraph"/>
        <w:rPr>
          <w:rFonts w:ascii="Arial" w:hAnsi="Arial"/>
          <w:sz w:val="12"/>
          <w:szCs w:val="18"/>
        </w:rPr>
      </w:pPr>
    </w:p>
    <w:p w14:paraId="3B26C19B" w14:textId="77777777" w:rsidR="008D2CBF" w:rsidRPr="00383B5D" w:rsidRDefault="008D2CBF" w:rsidP="008407D7">
      <w:pPr>
        <w:pStyle w:val="ListParagraph"/>
        <w:numPr>
          <w:ilvl w:val="0"/>
          <w:numId w:val="38"/>
        </w:numPr>
        <w:rPr>
          <w:rFonts w:ascii="Arial" w:hAnsi="Arial"/>
          <w:sz w:val="18"/>
          <w:szCs w:val="18"/>
        </w:rPr>
      </w:pPr>
      <w:r w:rsidRPr="00383B5D">
        <w:rPr>
          <w:rFonts w:ascii="Arial" w:hAnsi="Arial"/>
          <w:sz w:val="18"/>
          <w:szCs w:val="18"/>
        </w:rPr>
        <w:t xml:space="preserve">Continue progress on the implementation of the UN System-wide action plan on gender equality and the empowerment of women. </w:t>
      </w:r>
      <w:r>
        <w:rPr>
          <w:rFonts w:ascii="Arial" w:hAnsi="Arial"/>
          <w:sz w:val="18"/>
          <w:szCs w:val="18"/>
        </w:rPr>
        <w:t xml:space="preserve"> </w:t>
      </w:r>
      <w:r w:rsidRPr="00383B5D">
        <w:rPr>
          <w:rFonts w:ascii="Arial" w:hAnsi="Arial"/>
          <w:sz w:val="18"/>
          <w:szCs w:val="18"/>
        </w:rPr>
        <w:t xml:space="preserve">Implement WIPO’s new Disability Inclusion Strategy to strengthen our corporate culture and create an inclusive workplace. </w:t>
      </w:r>
    </w:p>
    <w:p w14:paraId="58DE315F" w14:textId="77777777" w:rsidR="008D2CBF" w:rsidRPr="007579EB" w:rsidRDefault="008D2CBF" w:rsidP="008D2CBF">
      <w:pPr>
        <w:spacing w:before="320" w:after="240"/>
        <w:rPr>
          <w:b/>
          <w:color w:val="005172" w:themeColor="text2"/>
          <w:sz w:val="22"/>
        </w:rPr>
      </w:pPr>
      <w:r w:rsidRPr="00EF7D1D">
        <w:rPr>
          <w:color w:val="005172" w:themeColor="text2"/>
          <w:sz w:val="22"/>
        </w:rPr>
        <w:t>News and Media</w:t>
      </w:r>
      <w:r>
        <w:rPr>
          <w:color w:val="005172" w:themeColor="text2"/>
          <w:sz w:val="22"/>
        </w:rPr>
        <w:t xml:space="preserve"> </w:t>
      </w:r>
    </w:p>
    <w:p w14:paraId="5F18F016" w14:textId="77777777" w:rsidR="008D2CBF" w:rsidRPr="003E1CD9" w:rsidRDefault="008D2CBF" w:rsidP="008D2CBF">
      <w:pPr>
        <w:rPr>
          <w:rFonts w:cs="Arial"/>
          <w:szCs w:val="18"/>
        </w:rPr>
      </w:pPr>
      <w:r w:rsidRPr="003E1CD9">
        <w:rPr>
          <w:rFonts w:cs="Arial"/>
          <w:szCs w:val="18"/>
        </w:rPr>
        <w:t>News and media strategies in the next biennium will seek to:</w:t>
      </w:r>
      <w:r>
        <w:rPr>
          <w:rFonts w:cs="Arial"/>
          <w:szCs w:val="18"/>
        </w:rPr>
        <w:t xml:space="preserve"> </w:t>
      </w:r>
    </w:p>
    <w:p w14:paraId="5ABF6F61" w14:textId="77777777"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Expand MTSP-approved storytelling-led communications approach across the Organization, supporting colleagues’ content creation and social media distribution efforts that highlight their activities’ human impact;</w:t>
      </w:r>
    </w:p>
    <w:p w14:paraId="7D20D1F2" w14:textId="77777777" w:rsidR="008D2CBF" w:rsidRPr="002356E0" w:rsidRDefault="008D2CBF" w:rsidP="008D2CBF">
      <w:pPr>
        <w:pStyle w:val="ListParagraph"/>
        <w:rPr>
          <w:rFonts w:ascii="Arial" w:hAnsi="Arial"/>
          <w:sz w:val="12"/>
          <w:szCs w:val="14"/>
        </w:rPr>
      </w:pPr>
    </w:p>
    <w:p w14:paraId="6F233ED3" w14:textId="4E849F2D"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Target audiences that are under-represented in the global IP system, such as SMEs, youth</w:t>
      </w:r>
      <w:r w:rsidR="00E70A9F">
        <w:rPr>
          <w:rFonts w:ascii="Arial" w:hAnsi="Arial"/>
          <w:sz w:val="18"/>
          <w:szCs w:val="18"/>
        </w:rPr>
        <w:t xml:space="preserve"> and</w:t>
      </w:r>
      <w:r>
        <w:rPr>
          <w:rFonts w:ascii="Arial" w:hAnsi="Arial"/>
          <w:sz w:val="18"/>
          <w:szCs w:val="18"/>
        </w:rPr>
        <w:t xml:space="preserve"> women</w:t>
      </w:r>
      <w:r w:rsidR="00E70A9F">
        <w:rPr>
          <w:rFonts w:ascii="Arial" w:hAnsi="Arial"/>
          <w:sz w:val="18"/>
          <w:szCs w:val="18"/>
        </w:rPr>
        <w:t xml:space="preserve"> </w:t>
      </w:r>
      <w:r>
        <w:rPr>
          <w:rFonts w:ascii="Arial" w:hAnsi="Arial"/>
          <w:sz w:val="18"/>
          <w:szCs w:val="18"/>
        </w:rPr>
        <w:t>while increasingly highlighting the human impact of WIPO’s program of development-focused work;</w:t>
      </w:r>
    </w:p>
    <w:p w14:paraId="50DB606E" w14:textId="77777777" w:rsidR="00E70A9F" w:rsidRPr="002356E0" w:rsidRDefault="00E70A9F" w:rsidP="00E70A9F">
      <w:pPr>
        <w:pStyle w:val="ListParagraph"/>
        <w:autoSpaceDE w:val="0"/>
        <w:autoSpaceDN w:val="0"/>
        <w:rPr>
          <w:rFonts w:ascii="Arial" w:hAnsi="Arial"/>
          <w:sz w:val="12"/>
          <w:szCs w:val="18"/>
        </w:rPr>
      </w:pPr>
    </w:p>
    <w:p w14:paraId="2376B53D" w14:textId="77777777"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Continue broadening content-creation and distribution efforts to include longer-form items that delve into the details of successful use of IP;</w:t>
      </w:r>
    </w:p>
    <w:p w14:paraId="1C13A9F2" w14:textId="77777777" w:rsidR="008D2CBF" w:rsidRPr="002356E0" w:rsidRDefault="008D2CBF" w:rsidP="008D2CBF">
      <w:pPr>
        <w:pStyle w:val="ListParagraph"/>
        <w:autoSpaceDE w:val="0"/>
        <w:autoSpaceDN w:val="0"/>
        <w:rPr>
          <w:rFonts w:ascii="Arial" w:hAnsi="Arial"/>
          <w:sz w:val="12"/>
          <w:szCs w:val="18"/>
        </w:rPr>
      </w:pPr>
    </w:p>
    <w:p w14:paraId="396B7903" w14:textId="77777777"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 xml:space="preserve">Expand press outreach to include efforts to inform the public of trends of local and regional interest as well as thematic developments in IP and the global economy as well as the successful use of IP by individuals and enterprises; </w:t>
      </w:r>
    </w:p>
    <w:p w14:paraId="6B0E4898" w14:textId="77777777" w:rsidR="008D2CBF" w:rsidRDefault="008D2CBF" w:rsidP="008D2CBF">
      <w:pPr>
        <w:pStyle w:val="ListParagraph"/>
        <w:rPr>
          <w:rFonts w:ascii="Arial" w:hAnsi="Arial"/>
          <w:sz w:val="14"/>
          <w:szCs w:val="14"/>
        </w:rPr>
      </w:pPr>
    </w:p>
    <w:p w14:paraId="1E03EDA0" w14:textId="77777777"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Position WIPO colleagues as thought leaders and expert commentators on their areas of expertise, using a range of media tools: social media, podcasts and traditional media outlets;</w:t>
      </w:r>
    </w:p>
    <w:p w14:paraId="17BFD716" w14:textId="77777777" w:rsidR="008D2CBF" w:rsidRPr="002356E0" w:rsidRDefault="008D2CBF" w:rsidP="008D2CBF">
      <w:pPr>
        <w:pStyle w:val="ListParagraph"/>
        <w:autoSpaceDE w:val="0"/>
        <w:autoSpaceDN w:val="0"/>
        <w:rPr>
          <w:rFonts w:ascii="Arial" w:hAnsi="Arial"/>
          <w:sz w:val="12"/>
          <w:szCs w:val="18"/>
        </w:rPr>
      </w:pPr>
    </w:p>
    <w:p w14:paraId="04702DBD" w14:textId="40B8569B" w:rsidR="008D2CBF"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 xml:space="preserve">Create and expand dedicated social media presences that allow colleagues in substantive areas to reach their targeted audiences for marketing, user and other communication purposes;  </w:t>
      </w:r>
    </w:p>
    <w:p w14:paraId="7ADF5F55" w14:textId="77777777" w:rsidR="00164D13" w:rsidRPr="002356E0" w:rsidRDefault="00164D13" w:rsidP="002356E0">
      <w:pPr>
        <w:pStyle w:val="ListParagraph"/>
        <w:autoSpaceDE w:val="0"/>
        <w:autoSpaceDN w:val="0"/>
        <w:rPr>
          <w:rFonts w:ascii="Arial" w:hAnsi="Arial"/>
          <w:sz w:val="12"/>
          <w:szCs w:val="18"/>
        </w:rPr>
      </w:pPr>
    </w:p>
    <w:p w14:paraId="5E975937" w14:textId="77777777" w:rsidR="008D2CBF" w:rsidRPr="003641C1" w:rsidRDefault="008D2CBF" w:rsidP="008407D7">
      <w:pPr>
        <w:pStyle w:val="ListParagraph"/>
        <w:numPr>
          <w:ilvl w:val="0"/>
          <w:numId w:val="38"/>
        </w:numPr>
        <w:autoSpaceDE w:val="0"/>
        <w:autoSpaceDN w:val="0"/>
        <w:rPr>
          <w:rFonts w:ascii="Arial" w:hAnsi="Arial"/>
          <w:sz w:val="18"/>
          <w:szCs w:val="18"/>
        </w:rPr>
      </w:pPr>
      <w:r>
        <w:rPr>
          <w:rFonts w:ascii="Arial" w:hAnsi="Arial"/>
          <w:sz w:val="18"/>
          <w:szCs w:val="18"/>
        </w:rPr>
        <w:t>Ensure coherence in messaging across the Organization's public communications through sustained engagement with and training of colleagues, as well as effective internal communications.</w:t>
      </w:r>
    </w:p>
    <w:p w14:paraId="6F467D9A" w14:textId="77777777" w:rsidR="008D2CBF" w:rsidRPr="00EF7D1D" w:rsidRDefault="008D2CBF" w:rsidP="008D2CBF">
      <w:pPr>
        <w:spacing w:before="320" w:after="240"/>
        <w:rPr>
          <w:color w:val="005172" w:themeColor="text2"/>
          <w:sz w:val="22"/>
        </w:rPr>
      </w:pPr>
      <w:r w:rsidRPr="00EF7D1D">
        <w:rPr>
          <w:color w:val="005172" w:themeColor="text2"/>
          <w:sz w:val="22"/>
        </w:rPr>
        <w:t xml:space="preserve">Engagement and Coordination </w:t>
      </w:r>
    </w:p>
    <w:p w14:paraId="7E4D68FD" w14:textId="77777777" w:rsidR="008D2CBF" w:rsidRPr="003E1CD9" w:rsidRDefault="008D2CBF" w:rsidP="008D2CBF">
      <w:pPr>
        <w:adjustRightInd w:val="0"/>
        <w:rPr>
          <w:rFonts w:eastAsia="Times New Roman" w:cs="Arial"/>
          <w:szCs w:val="18"/>
        </w:rPr>
      </w:pPr>
      <w:r w:rsidRPr="003E1CD9">
        <w:rPr>
          <w:rFonts w:eastAsia="Times New Roman" w:cs="Arial"/>
          <w:szCs w:val="18"/>
        </w:rPr>
        <w:t>Given the importance of the Geneva diplomatic community as a key stakeholder, the Organization will establish regular, targeted communications with Member States to disseminate information and garner feedback on program implementation to reinforce transparency.</w:t>
      </w:r>
    </w:p>
    <w:p w14:paraId="7AC1AF69" w14:textId="77777777" w:rsidR="008D2CBF" w:rsidRPr="003E1CD9" w:rsidRDefault="008D2CBF" w:rsidP="008D2CBF">
      <w:pPr>
        <w:rPr>
          <w:rFonts w:cs="Arial"/>
          <w:szCs w:val="18"/>
        </w:rPr>
      </w:pPr>
      <w:r w:rsidRPr="003E1CD9">
        <w:rPr>
          <w:rFonts w:cs="Arial"/>
          <w:szCs w:val="18"/>
        </w:rPr>
        <w:t xml:space="preserve">Our engagement with Member States </w:t>
      </w:r>
      <w:r w:rsidRPr="003E1CD9" w:rsidDel="001C1221">
        <w:rPr>
          <w:rFonts w:cs="Arial"/>
          <w:szCs w:val="18"/>
        </w:rPr>
        <w:t xml:space="preserve">will </w:t>
      </w:r>
      <w:r w:rsidRPr="003E1CD9">
        <w:rPr>
          <w:rFonts w:cs="Arial"/>
          <w:szCs w:val="18"/>
        </w:rPr>
        <w:t xml:space="preserve">also </w:t>
      </w:r>
      <w:r w:rsidRPr="003E1CD9" w:rsidDel="001C1221">
        <w:rPr>
          <w:rFonts w:cs="Arial"/>
          <w:szCs w:val="18"/>
        </w:rPr>
        <w:t>include the provision of the highest quality of services for meetings and events by providing the most up to date and user friendly working methods.  An ongoing review of current practices will also be ensured while anticipating customers’ evolving needs through continuous cooperation and benchmarking with other international organizations and private sector leaders in event and meeting management.</w:t>
      </w:r>
    </w:p>
    <w:p w14:paraId="737358EF" w14:textId="77777777" w:rsidR="008D2CBF" w:rsidRPr="00EF7D1D" w:rsidRDefault="008D2CBF" w:rsidP="008D2CBF">
      <w:pPr>
        <w:spacing w:before="320" w:after="240"/>
        <w:rPr>
          <w:color w:val="005172" w:themeColor="text2"/>
          <w:sz w:val="22"/>
        </w:rPr>
      </w:pPr>
      <w:r w:rsidRPr="00EF7D1D">
        <w:rPr>
          <w:color w:val="005172" w:themeColor="text2"/>
          <w:sz w:val="22"/>
        </w:rPr>
        <w:t xml:space="preserve">Internal Justice, Governance and Oversight </w:t>
      </w:r>
    </w:p>
    <w:p w14:paraId="2B27CA87" w14:textId="77777777" w:rsidR="008D2CBF" w:rsidRPr="003E1CD9" w:rsidRDefault="008D2CBF" w:rsidP="008D2CBF">
      <w:pPr>
        <w:pStyle w:val="bullet10"/>
        <w:spacing w:line="240" w:lineRule="auto"/>
        <w:ind w:left="0" w:firstLine="0"/>
      </w:pPr>
      <w:r w:rsidRPr="003E1CD9">
        <w:t xml:space="preserve">The further development of WIPO’s comprehensive ethics and integrity system will include the further development of standards and principles that meet best practices in the UN System, building on WIPO's ethics and integrity principles as laid down in its Code of Ethics.  Awareness raising and sensitization activities will be undertaken to further enhance the Organization’s ethical culture and strengthen ethical conduct by all staff at all levels of the Organization and advisory services provided to WIPO managers.   </w:t>
      </w:r>
    </w:p>
    <w:p w14:paraId="309160B4" w14:textId="77777777" w:rsidR="008D2CBF" w:rsidRPr="003E1CD9" w:rsidRDefault="008D2CBF" w:rsidP="008D2CBF">
      <w:pPr>
        <w:rPr>
          <w:rFonts w:cs="Arial"/>
          <w:szCs w:val="18"/>
        </w:rPr>
      </w:pPr>
      <w:r w:rsidRPr="003E1CD9">
        <w:rPr>
          <w:rFonts w:cs="Arial"/>
          <w:szCs w:val="18"/>
        </w:rPr>
        <w:t>The prevention and handling of grievances and conflicts will be further improved with a view to fostering a harmonious and effective work environment.</w:t>
      </w:r>
      <w:r>
        <w:rPr>
          <w:rFonts w:cs="Arial"/>
          <w:szCs w:val="18"/>
        </w:rPr>
        <w:t xml:space="preserve">  In particular, staff will continue to be encouraged to have recourse to Ombudsperson services so that workplace conflict can be resolved through mechanisms which are focused on mediation type approaches. </w:t>
      </w:r>
    </w:p>
    <w:p w14:paraId="5437B40E" w14:textId="77777777" w:rsidR="008D2CBF" w:rsidRPr="00B2347F" w:rsidRDefault="008D2CBF" w:rsidP="008D2CBF">
      <w:pPr>
        <w:rPr>
          <w:rFonts w:cs="Arial"/>
          <w:szCs w:val="18"/>
        </w:rPr>
      </w:pPr>
      <w:r w:rsidRPr="00B2347F">
        <w:rPr>
          <w:rFonts w:cs="Arial"/>
          <w:szCs w:val="18"/>
        </w:rPr>
        <w:t xml:space="preserve">Internal oversight initiatives will continue to support the Organization in achieving its objectives by strengthening accountability, compliance, value for money, stewardship, internal control and corporate governance as follows: </w:t>
      </w:r>
    </w:p>
    <w:p w14:paraId="78034EAE" w14:textId="77777777" w:rsidR="008D2CBF" w:rsidRPr="00B2347F" w:rsidRDefault="008D2CBF" w:rsidP="008407D7">
      <w:pPr>
        <w:pStyle w:val="ListParagraph"/>
        <w:numPr>
          <w:ilvl w:val="0"/>
          <w:numId w:val="39"/>
        </w:numPr>
        <w:rPr>
          <w:rFonts w:ascii="Arial" w:hAnsi="Arial"/>
          <w:sz w:val="18"/>
          <w:szCs w:val="18"/>
        </w:rPr>
      </w:pPr>
      <w:r w:rsidRPr="00B2347F">
        <w:rPr>
          <w:rFonts w:ascii="Arial" w:hAnsi="Arial"/>
          <w:sz w:val="18"/>
          <w:szCs w:val="18"/>
        </w:rPr>
        <w:t>Provide independent risk-based and objective assurance and advice through assessing the adequacy and effectiveness of internal controls, risk management and governance processes;</w:t>
      </w:r>
    </w:p>
    <w:p w14:paraId="31EE61FF" w14:textId="77777777" w:rsidR="008D2CBF" w:rsidRPr="005773ED" w:rsidRDefault="008D2CBF" w:rsidP="008D2CBF">
      <w:pPr>
        <w:pStyle w:val="ListParagraph"/>
        <w:rPr>
          <w:rFonts w:ascii="Arial" w:hAnsi="Arial"/>
          <w:sz w:val="14"/>
          <w:szCs w:val="14"/>
        </w:rPr>
      </w:pPr>
    </w:p>
    <w:p w14:paraId="213245FC" w14:textId="77777777" w:rsidR="008D2CBF" w:rsidRPr="00E94367" w:rsidRDefault="008D2CBF" w:rsidP="008407D7">
      <w:pPr>
        <w:pStyle w:val="ListParagraph"/>
        <w:numPr>
          <w:ilvl w:val="0"/>
          <w:numId w:val="40"/>
        </w:numPr>
        <w:autoSpaceDN w:val="0"/>
        <w:rPr>
          <w:rFonts w:ascii="Arial" w:hAnsi="Arial"/>
          <w:sz w:val="18"/>
          <w:szCs w:val="18"/>
        </w:rPr>
      </w:pPr>
      <w:r w:rsidRPr="00E94367">
        <w:rPr>
          <w:rFonts w:ascii="Arial" w:hAnsi="Arial"/>
          <w:sz w:val="18"/>
          <w:szCs w:val="18"/>
        </w:rPr>
        <w:t xml:space="preserve">Provide professional support and advice through continuous auditing, consulting and advisory services, and fostering institutional learning and accountability through transparent and participatory oversight processes, to address risks </w:t>
      </w:r>
      <w:r w:rsidRPr="00EA0C08">
        <w:rPr>
          <w:rFonts w:ascii="Arial" w:hAnsi="Arial"/>
          <w:i/>
          <w:sz w:val="18"/>
          <w:szCs w:val="18"/>
        </w:rPr>
        <w:t>ex-post facto</w:t>
      </w:r>
      <w:r w:rsidRPr="00E94367">
        <w:rPr>
          <w:rFonts w:ascii="Arial" w:hAnsi="Arial"/>
          <w:sz w:val="18"/>
          <w:szCs w:val="18"/>
        </w:rPr>
        <w:t xml:space="preserve"> or </w:t>
      </w:r>
      <w:r w:rsidRPr="00EA0C08">
        <w:rPr>
          <w:rFonts w:ascii="Arial" w:hAnsi="Arial"/>
          <w:i/>
          <w:sz w:val="18"/>
          <w:szCs w:val="18"/>
        </w:rPr>
        <w:t>ex-ante</w:t>
      </w:r>
      <w:r w:rsidRPr="00E94367">
        <w:rPr>
          <w:rFonts w:ascii="Arial" w:hAnsi="Arial"/>
          <w:sz w:val="18"/>
          <w:szCs w:val="18"/>
        </w:rPr>
        <w:t xml:space="preserve"> as required</w:t>
      </w:r>
      <w:r>
        <w:rPr>
          <w:rFonts w:ascii="Arial" w:hAnsi="Arial"/>
          <w:sz w:val="18"/>
          <w:szCs w:val="18"/>
        </w:rPr>
        <w:t>;</w:t>
      </w:r>
    </w:p>
    <w:p w14:paraId="20B39FED" w14:textId="77777777" w:rsidR="008D2CBF" w:rsidRPr="005773ED" w:rsidRDefault="008D2CBF" w:rsidP="008D2CBF">
      <w:pPr>
        <w:pStyle w:val="ListParagraph"/>
        <w:rPr>
          <w:rFonts w:ascii="Arial" w:hAnsi="Arial"/>
          <w:sz w:val="14"/>
          <w:szCs w:val="14"/>
        </w:rPr>
      </w:pPr>
    </w:p>
    <w:p w14:paraId="260B1699" w14:textId="609295AF" w:rsidR="008D2CBF" w:rsidRPr="00B2347F" w:rsidRDefault="008D2CBF" w:rsidP="008407D7">
      <w:pPr>
        <w:pStyle w:val="ListParagraph"/>
        <w:numPr>
          <w:ilvl w:val="0"/>
          <w:numId w:val="39"/>
        </w:numPr>
        <w:rPr>
          <w:rFonts w:ascii="Arial" w:hAnsi="Arial"/>
          <w:sz w:val="18"/>
          <w:szCs w:val="18"/>
        </w:rPr>
      </w:pPr>
      <w:r w:rsidRPr="00B2347F">
        <w:rPr>
          <w:rFonts w:ascii="Arial" w:hAnsi="Arial"/>
          <w:sz w:val="18"/>
          <w:szCs w:val="18"/>
        </w:rPr>
        <w:t xml:space="preserve">Support management in effectively and efficiently managing the </w:t>
      </w:r>
      <w:r w:rsidR="0026419C" w:rsidRPr="0AA6B72E">
        <w:rPr>
          <w:rFonts w:ascii="Arial" w:eastAsia="Arial" w:hAnsi="Arial"/>
          <w:sz w:val="18"/>
          <w:szCs w:val="18"/>
          <w:lang w:val="en-GB"/>
        </w:rPr>
        <w:t>Accountability</w:t>
      </w:r>
      <w:r w:rsidRPr="0AA6B72E">
        <w:rPr>
          <w:rFonts w:ascii="Arial" w:eastAsia="Arial" w:hAnsi="Arial"/>
          <w:sz w:val="18"/>
          <w:szCs w:val="18"/>
          <w:lang w:val="en-GB"/>
        </w:rPr>
        <w:t xml:space="preserve"> and Integrity Frameworks</w:t>
      </w:r>
      <w:r w:rsidRPr="0AA6B72E">
        <w:rPr>
          <w:rFonts w:ascii="Arial" w:hAnsi="Arial"/>
          <w:sz w:val="18"/>
          <w:szCs w:val="18"/>
        </w:rPr>
        <w:t xml:space="preserve"> </w:t>
      </w:r>
      <w:r w:rsidRPr="00B2347F">
        <w:rPr>
          <w:rFonts w:ascii="Arial" w:hAnsi="Arial"/>
          <w:sz w:val="18"/>
          <w:szCs w:val="18"/>
        </w:rPr>
        <w:t xml:space="preserve">within which duties, roles, responsibilities and rights of all WIPO staff are clearly defined, and administer the “hot line” for reporting </w:t>
      </w:r>
      <w:r>
        <w:rPr>
          <w:rFonts w:ascii="Arial" w:hAnsi="Arial"/>
          <w:sz w:val="18"/>
          <w:szCs w:val="18"/>
        </w:rPr>
        <w:t xml:space="preserve">allegations of </w:t>
      </w:r>
      <w:r w:rsidRPr="00B2347F">
        <w:rPr>
          <w:rFonts w:ascii="Arial" w:hAnsi="Arial"/>
          <w:sz w:val="18"/>
          <w:szCs w:val="18"/>
        </w:rPr>
        <w:t>wrongdoing in WIPO;</w:t>
      </w:r>
    </w:p>
    <w:p w14:paraId="126EBAB6" w14:textId="77777777" w:rsidR="008D2CBF" w:rsidRPr="005773ED" w:rsidRDefault="008D2CBF" w:rsidP="008D2CBF">
      <w:pPr>
        <w:pStyle w:val="ListParagraph"/>
        <w:rPr>
          <w:rFonts w:ascii="Arial" w:hAnsi="Arial"/>
          <w:sz w:val="14"/>
          <w:szCs w:val="14"/>
        </w:rPr>
      </w:pPr>
    </w:p>
    <w:p w14:paraId="3CFD8466" w14:textId="77777777" w:rsidR="008D2CBF" w:rsidRPr="00B2347F" w:rsidRDefault="008D2CBF" w:rsidP="008407D7">
      <w:pPr>
        <w:pStyle w:val="ListParagraph"/>
        <w:numPr>
          <w:ilvl w:val="0"/>
          <w:numId w:val="39"/>
        </w:numPr>
        <w:rPr>
          <w:rFonts w:ascii="Arial" w:hAnsi="Arial"/>
          <w:sz w:val="18"/>
          <w:szCs w:val="18"/>
        </w:rPr>
      </w:pPr>
      <w:r w:rsidRPr="00B2347F">
        <w:rPr>
          <w:rFonts w:ascii="Arial" w:hAnsi="Arial"/>
          <w:sz w:val="18"/>
          <w:szCs w:val="18"/>
        </w:rPr>
        <w:t xml:space="preserve">Contribute to effective oversight coverage in close cooperation with </w:t>
      </w:r>
      <w:r w:rsidRPr="0AA6B72E">
        <w:rPr>
          <w:rFonts w:ascii="Arial" w:hAnsi="Arial"/>
          <w:sz w:val="18"/>
          <w:szCs w:val="18"/>
        </w:rPr>
        <w:t>organizational entities</w:t>
      </w:r>
      <w:r>
        <w:rPr>
          <w:rFonts w:ascii="Arial" w:hAnsi="Arial"/>
          <w:sz w:val="18"/>
          <w:szCs w:val="18"/>
        </w:rPr>
        <w:t>,</w:t>
      </w:r>
      <w:r w:rsidRPr="00B2347F">
        <w:rPr>
          <w:rFonts w:ascii="Arial" w:hAnsi="Arial"/>
          <w:sz w:val="18"/>
          <w:szCs w:val="18"/>
        </w:rPr>
        <w:t xml:space="preserve"> which have a role as a second line of defense function, and by identifying and implementing innovative technologies and practices to ensure effective delivery;</w:t>
      </w:r>
    </w:p>
    <w:p w14:paraId="64CD244E" w14:textId="77777777" w:rsidR="008D2CBF" w:rsidRPr="005773ED" w:rsidRDefault="008D2CBF" w:rsidP="008D2CBF">
      <w:pPr>
        <w:pStyle w:val="ListParagraph"/>
        <w:rPr>
          <w:rFonts w:ascii="Arial" w:hAnsi="Arial"/>
          <w:sz w:val="14"/>
          <w:szCs w:val="14"/>
        </w:rPr>
      </w:pPr>
    </w:p>
    <w:p w14:paraId="2CF6A9B7" w14:textId="5E96576D" w:rsidR="008D2CBF" w:rsidRDefault="008D2CBF" w:rsidP="008407D7">
      <w:pPr>
        <w:pStyle w:val="ListParagraph"/>
        <w:numPr>
          <w:ilvl w:val="0"/>
          <w:numId w:val="39"/>
        </w:numPr>
        <w:rPr>
          <w:rFonts w:ascii="Arial" w:hAnsi="Arial"/>
          <w:sz w:val="18"/>
          <w:szCs w:val="18"/>
        </w:rPr>
      </w:pPr>
      <w:r w:rsidRPr="00B2347F">
        <w:rPr>
          <w:rFonts w:ascii="Arial" w:hAnsi="Arial"/>
          <w:sz w:val="18"/>
          <w:szCs w:val="18"/>
        </w:rPr>
        <w:t xml:space="preserve">Pursue and further develop cross-sectional engagements, including integrity reviews to examine those systems and processes within the </w:t>
      </w:r>
      <w:r>
        <w:rPr>
          <w:rFonts w:ascii="Arial" w:hAnsi="Arial"/>
          <w:sz w:val="18"/>
          <w:szCs w:val="18"/>
        </w:rPr>
        <w:t>O</w:t>
      </w:r>
      <w:r w:rsidRPr="00B2347F">
        <w:rPr>
          <w:rFonts w:ascii="Arial" w:hAnsi="Arial"/>
          <w:sz w:val="18"/>
          <w:szCs w:val="18"/>
        </w:rPr>
        <w:t>rganization carrying high</w:t>
      </w:r>
      <w:r>
        <w:rPr>
          <w:rFonts w:ascii="Arial" w:hAnsi="Arial"/>
          <w:sz w:val="18"/>
          <w:szCs w:val="18"/>
        </w:rPr>
        <w:t>-</w:t>
      </w:r>
      <w:r w:rsidRPr="00B2347F">
        <w:rPr>
          <w:rFonts w:ascii="Arial" w:hAnsi="Arial"/>
          <w:sz w:val="18"/>
          <w:szCs w:val="18"/>
        </w:rPr>
        <w:t>risk exposures to fraud, abuse or misconducts.</w:t>
      </w:r>
    </w:p>
    <w:p w14:paraId="48A4DE5E" w14:textId="77777777" w:rsidR="00E74508" w:rsidRDefault="00E74508" w:rsidP="00E74508">
      <w:pPr>
        <w:pStyle w:val="ListParagraph"/>
        <w:rPr>
          <w:rFonts w:ascii="Arial" w:hAnsi="Arial"/>
          <w:sz w:val="18"/>
          <w:szCs w:val="18"/>
        </w:rPr>
      </w:pPr>
    </w:p>
    <w:p w14:paraId="2174C96A" w14:textId="5116F880" w:rsidR="00E74508" w:rsidRPr="00FA4360" w:rsidRDefault="00E74508" w:rsidP="008407D7">
      <w:pPr>
        <w:pStyle w:val="ListParagraph"/>
        <w:numPr>
          <w:ilvl w:val="0"/>
          <w:numId w:val="39"/>
        </w:numPr>
        <w:rPr>
          <w:rFonts w:ascii="Arial" w:hAnsi="Arial"/>
          <w:sz w:val="18"/>
          <w:szCs w:val="18"/>
        </w:rPr>
      </w:pPr>
      <w:r w:rsidRPr="00FA4360">
        <w:rPr>
          <w:rFonts w:ascii="Arial" w:hAnsi="Arial"/>
          <w:sz w:val="18"/>
          <w:szCs w:val="18"/>
        </w:rPr>
        <w:t>Track implementation of recommendations by all oversight entities and make the status of their implementation available to Member States</w:t>
      </w:r>
      <w:r>
        <w:rPr>
          <w:rFonts w:ascii="Arial" w:hAnsi="Arial"/>
          <w:sz w:val="18"/>
          <w:szCs w:val="18"/>
        </w:rPr>
        <w:t>, through a consolidated platform</w:t>
      </w:r>
      <w:r w:rsidR="00330FCE">
        <w:rPr>
          <w:rFonts w:ascii="Arial" w:hAnsi="Arial"/>
          <w:sz w:val="18"/>
          <w:szCs w:val="18"/>
        </w:rPr>
        <w:t>.</w:t>
      </w:r>
    </w:p>
    <w:p w14:paraId="1D27F39F" w14:textId="77777777" w:rsidR="00E74508" w:rsidRPr="00B2347F" w:rsidRDefault="00E74508" w:rsidP="00E74508">
      <w:pPr>
        <w:pStyle w:val="ListParagraph"/>
        <w:rPr>
          <w:rFonts w:ascii="Arial" w:hAnsi="Arial"/>
          <w:sz w:val="18"/>
          <w:szCs w:val="18"/>
        </w:rPr>
      </w:pPr>
    </w:p>
    <w:p w14:paraId="0DD9A21B" w14:textId="77777777" w:rsidR="008D2CBF" w:rsidRDefault="008D2CBF" w:rsidP="008D2CBF">
      <w:pPr>
        <w:rPr>
          <w:rFonts w:cs="Arial"/>
          <w:color w:val="00B0F0"/>
          <w:szCs w:val="18"/>
          <w:lang w:val="en-US"/>
        </w:rPr>
      </w:pPr>
    </w:p>
    <w:p w14:paraId="712CAA5E" w14:textId="77777777" w:rsidR="008D2CBF" w:rsidRDefault="008D2CBF" w:rsidP="007151FA">
      <w:pPr>
        <w:rPr>
          <w:lang w:val="en-US"/>
        </w:rPr>
      </w:pPr>
    </w:p>
    <w:p w14:paraId="5990B9B4" w14:textId="77777777" w:rsidR="008D2CBF" w:rsidRDefault="008D2CBF" w:rsidP="007151FA">
      <w:pPr>
        <w:rPr>
          <w:lang w:val="en-US"/>
        </w:rPr>
      </w:pPr>
    </w:p>
    <w:p w14:paraId="20311B6A" w14:textId="77777777" w:rsidR="008D2CBF" w:rsidRDefault="008D2CBF" w:rsidP="008D2CBF">
      <w:pPr>
        <w:spacing w:after="200" w:line="276" w:lineRule="auto"/>
        <w:rPr>
          <w:color w:val="005172" w:themeColor="text2"/>
          <w:sz w:val="32"/>
          <w:lang w:val="en-US"/>
        </w:rPr>
      </w:pPr>
      <w:r>
        <w:rPr>
          <w:color w:val="005172" w:themeColor="text2"/>
          <w:sz w:val="32"/>
          <w:lang w:val="en-US"/>
        </w:rPr>
        <w:br w:type="page"/>
      </w:r>
    </w:p>
    <w:p w14:paraId="16F57000" w14:textId="77777777" w:rsidR="008D2CBF" w:rsidRPr="00962512" w:rsidRDefault="008D2CBF" w:rsidP="008D2CBF">
      <w:pPr>
        <w:keepNext/>
        <w:spacing w:before="320" w:after="240"/>
        <w:outlineLvl w:val="2"/>
        <w:rPr>
          <w:color w:val="005172" w:themeColor="text2"/>
          <w:sz w:val="32"/>
          <w:lang w:val="en-US"/>
        </w:rPr>
      </w:pPr>
      <w:r w:rsidRPr="00962512">
        <w:rPr>
          <w:color w:val="005172" w:themeColor="text2"/>
          <w:sz w:val="32"/>
          <w:lang w:val="en-US"/>
        </w:rPr>
        <w:t xml:space="preserve">Risks </w:t>
      </w:r>
    </w:p>
    <w:tbl>
      <w:tblPr>
        <w:tblW w:w="0" w:type="auto"/>
        <w:tblInd w:w="10" w:type="dxa"/>
        <w:tblCellMar>
          <w:left w:w="0" w:type="dxa"/>
          <w:right w:w="0" w:type="dxa"/>
        </w:tblCellMar>
        <w:tblLook w:val="04A0" w:firstRow="1" w:lastRow="0" w:firstColumn="1" w:lastColumn="0" w:noHBand="0" w:noVBand="1"/>
      </w:tblPr>
      <w:tblGrid>
        <w:gridCol w:w="2337"/>
        <w:gridCol w:w="2338"/>
        <w:gridCol w:w="3325"/>
        <w:gridCol w:w="1530"/>
      </w:tblGrid>
      <w:tr w:rsidR="008D2CBF" w:rsidRPr="00962512" w14:paraId="06B3EDB4" w14:textId="77777777" w:rsidTr="008D2CBF">
        <w:trPr>
          <w:trHeight w:val="279"/>
        </w:trPr>
        <w:tc>
          <w:tcPr>
            <w:tcW w:w="2337" w:type="dxa"/>
            <w:tcBorders>
              <w:right w:val="nil"/>
            </w:tcBorders>
            <w:shd w:val="clear" w:color="auto" w:fill="C6CFD7" w:themeFill="accent3" w:themeFillTint="66"/>
            <w:tcMar>
              <w:top w:w="0" w:type="dxa"/>
              <w:left w:w="108" w:type="dxa"/>
              <w:bottom w:w="0" w:type="dxa"/>
              <w:right w:w="108" w:type="dxa"/>
            </w:tcMar>
            <w:hideMark/>
          </w:tcPr>
          <w:p w14:paraId="60D67635" w14:textId="77777777" w:rsidR="008D2CBF" w:rsidRPr="006A497B" w:rsidRDefault="008D2CBF" w:rsidP="008D2CBF">
            <w:pPr>
              <w:autoSpaceDE w:val="0"/>
              <w:autoSpaceDN w:val="0"/>
              <w:spacing w:after="0" w:line="240" w:lineRule="auto"/>
              <w:outlineLvl w:val="2"/>
              <w:rPr>
                <w:rFonts w:ascii="Arial Narrow" w:eastAsia="Times New Roman" w:hAnsi="Arial Narrow" w:cs="Arial"/>
                <w:b/>
                <w:bCs/>
                <w:sz w:val="16"/>
                <w:szCs w:val="14"/>
                <w:lang w:val="en-US"/>
              </w:rPr>
            </w:pPr>
            <w:r w:rsidRPr="006A497B">
              <w:rPr>
                <w:rFonts w:ascii="Arial Narrow" w:eastAsia="Times New Roman" w:hAnsi="Arial Narrow" w:cs="Arial"/>
                <w:b/>
                <w:bCs/>
                <w:sz w:val="16"/>
                <w:szCs w:val="14"/>
                <w:lang w:val="en-US"/>
              </w:rPr>
              <w:t xml:space="preserve">Expected Result </w:t>
            </w:r>
          </w:p>
        </w:tc>
        <w:tc>
          <w:tcPr>
            <w:tcW w:w="2338" w:type="dxa"/>
            <w:tcBorders>
              <w:left w:val="nil"/>
              <w:right w:val="nil"/>
            </w:tcBorders>
            <w:shd w:val="clear" w:color="auto" w:fill="C6CFD7" w:themeFill="accent3" w:themeFillTint="66"/>
            <w:tcMar>
              <w:top w:w="0" w:type="dxa"/>
              <w:left w:w="108" w:type="dxa"/>
              <w:bottom w:w="0" w:type="dxa"/>
              <w:right w:w="108" w:type="dxa"/>
            </w:tcMar>
            <w:hideMark/>
          </w:tcPr>
          <w:p w14:paraId="1E81B0AA" w14:textId="77777777" w:rsidR="008D2CBF" w:rsidRPr="006A497B" w:rsidRDefault="008D2CBF" w:rsidP="008D2CBF">
            <w:pPr>
              <w:autoSpaceDE w:val="0"/>
              <w:autoSpaceDN w:val="0"/>
              <w:spacing w:after="0" w:line="240" w:lineRule="auto"/>
              <w:outlineLvl w:val="2"/>
              <w:rPr>
                <w:rFonts w:ascii="Arial Narrow" w:eastAsia="Times New Roman" w:hAnsi="Arial Narrow" w:cs="Arial"/>
                <w:b/>
                <w:bCs/>
                <w:sz w:val="16"/>
                <w:szCs w:val="14"/>
                <w:lang w:val="en-US"/>
              </w:rPr>
            </w:pPr>
            <w:r w:rsidRPr="006A497B">
              <w:rPr>
                <w:rFonts w:ascii="Arial Narrow" w:eastAsia="Times New Roman" w:hAnsi="Arial Narrow" w:cs="Arial"/>
                <w:b/>
                <w:bCs/>
                <w:sz w:val="16"/>
                <w:szCs w:val="14"/>
                <w:lang w:val="en-US"/>
              </w:rPr>
              <w:t>Risk</w:t>
            </w:r>
          </w:p>
        </w:tc>
        <w:tc>
          <w:tcPr>
            <w:tcW w:w="3325" w:type="dxa"/>
            <w:tcBorders>
              <w:left w:val="nil"/>
              <w:right w:val="nil"/>
            </w:tcBorders>
            <w:shd w:val="clear" w:color="auto" w:fill="C6CFD7" w:themeFill="accent3" w:themeFillTint="66"/>
            <w:tcMar>
              <w:top w:w="0" w:type="dxa"/>
              <w:left w:w="108" w:type="dxa"/>
              <w:bottom w:w="0" w:type="dxa"/>
              <w:right w:w="108" w:type="dxa"/>
            </w:tcMar>
            <w:hideMark/>
          </w:tcPr>
          <w:p w14:paraId="70632253" w14:textId="77777777" w:rsidR="008D2CBF" w:rsidRPr="006A497B" w:rsidRDefault="008D2CBF" w:rsidP="008D2CBF">
            <w:pPr>
              <w:autoSpaceDE w:val="0"/>
              <w:autoSpaceDN w:val="0"/>
              <w:spacing w:after="0" w:line="240" w:lineRule="auto"/>
              <w:outlineLvl w:val="2"/>
              <w:rPr>
                <w:rFonts w:ascii="Arial Narrow" w:eastAsia="Times New Roman" w:hAnsi="Arial Narrow" w:cs="Arial"/>
                <w:b/>
                <w:bCs/>
                <w:sz w:val="16"/>
                <w:szCs w:val="14"/>
                <w:lang w:val="en-US"/>
              </w:rPr>
            </w:pPr>
            <w:r w:rsidRPr="006A497B">
              <w:rPr>
                <w:rFonts w:ascii="Arial Narrow" w:eastAsia="Times New Roman" w:hAnsi="Arial Narrow" w:cs="Arial"/>
                <w:b/>
                <w:bCs/>
                <w:sz w:val="16"/>
                <w:szCs w:val="14"/>
                <w:lang w:val="en-US"/>
              </w:rPr>
              <w:t>Risk Response</w:t>
            </w:r>
          </w:p>
        </w:tc>
        <w:tc>
          <w:tcPr>
            <w:tcW w:w="1530" w:type="dxa"/>
            <w:tcBorders>
              <w:left w:val="nil"/>
            </w:tcBorders>
            <w:shd w:val="clear" w:color="auto" w:fill="C6CFD7" w:themeFill="accent3" w:themeFillTint="66"/>
            <w:tcMar>
              <w:top w:w="0" w:type="dxa"/>
              <w:left w:w="108" w:type="dxa"/>
              <w:bottom w:w="0" w:type="dxa"/>
              <w:right w:w="108" w:type="dxa"/>
            </w:tcMar>
            <w:hideMark/>
          </w:tcPr>
          <w:p w14:paraId="2628CFAD" w14:textId="77777777" w:rsidR="008D2CBF" w:rsidRPr="006A497B" w:rsidRDefault="008D2CBF" w:rsidP="008D2CBF">
            <w:pPr>
              <w:autoSpaceDE w:val="0"/>
              <w:autoSpaceDN w:val="0"/>
              <w:spacing w:after="0" w:line="240" w:lineRule="auto"/>
              <w:outlineLvl w:val="2"/>
              <w:rPr>
                <w:rFonts w:ascii="Arial Narrow" w:eastAsia="Times New Roman" w:hAnsi="Arial Narrow" w:cs="Arial"/>
                <w:b/>
                <w:bCs/>
                <w:sz w:val="16"/>
                <w:szCs w:val="14"/>
                <w:lang w:val="en-US"/>
              </w:rPr>
            </w:pPr>
            <w:r w:rsidRPr="006A497B">
              <w:rPr>
                <w:rFonts w:ascii="Arial Narrow" w:eastAsia="Times New Roman" w:hAnsi="Arial Narrow" w:cs="Arial"/>
                <w:b/>
                <w:bCs/>
                <w:color w:val="000000"/>
                <w:sz w:val="16"/>
                <w:szCs w:val="14"/>
                <w:lang w:val="en-US"/>
              </w:rPr>
              <w:t xml:space="preserve">Target Residual Risk </w:t>
            </w:r>
          </w:p>
        </w:tc>
      </w:tr>
      <w:tr w:rsidR="008D2CBF" w:rsidRPr="00962512" w14:paraId="630D8BE9" w14:textId="77777777" w:rsidTr="008D2CBF">
        <w:trPr>
          <w:trHeight w:val="340"/>
        </w:trPr>
        <w:tc>
          <w:tcPr>
            <w:tcW w:w="9530" w:type="dxa"/>
            <w:gridSpan w:val="4"/>
            <w:shd w:val="clear" w:color="auto" w:fill="EDF0F3" w:themeFill="accent4" w:themeFillTint="33"/>
            <w:tcMar>
              <w:top w:w="0" w:type="dxa"/>
              <w:left w:w="108" w:type="dxa"/>
              <w:bottom w:w="0" w:type="dxa"/>
              <w:right w:w="108" w:type="dxa"/>
            </w:tcMar>
            <w:hideMark/>
          </w:tcPr>
          <w:tbl>
            <w:tblPr>
              <w:tblW w:w="0" w:type="auto"/>
              <w:tblCellMar>
                <w:left w:w="0" w:type="dxa"/>
                <w:right w:w="0" w:type="dxa"/>
              </w:tblCellMar>
              <w:tblLook w:val="04A0" w:firstRow="1" w:lastRow="0" w:firstColumn="1" w:lastColumn="0" w:noHBand="0" w:noVBand="1"/>
            </w:tblPr>
            <w:tblGrid>
              <w:gridCol w:w="1129"/>
              <w:gridCol w:w="7571"/>
            </w:tblGrid>
            <w:tr w:rsidR="008D2CBF" w:rsidRPr="006A497B" w14:paraId="0F207B99" w14:textId="77777777" w:rsidTr="008D2CBF">
              <w:trPr>
                <w:trHeight w:val="134"/>
              </w:trPr>
              <w:tc>
                <w:tcPr>
                  <w:tcW w:w="1129" w:type="dxa"/>
                  <w:tcMar>
                    <w:top w:w="0" w:type="dxa"/>
                    <w:left w:w="108" w:type="dxa"/>
                    <w:bottom w:w="0" w:type="dxa"/>
                    <w:right w:w="108" w:type="dxa"/>
                  </w:tcMar>
                  <w:hideMark/>
                </w:tcPr>
                <w:p w14:paraId="3FB2BB4D" w14:textId="3266E315" w:rsidR="008D2CBF" w:rsidRPr="006A497B" w:rsidRDefault="007C5188" w:rsidP="008D2CBF">
                  <w:pPr>
                    <w:widowControl w:val="0"/>
                    <w:autoSpaceDE w:val="0"/>
                    <w:autoSpaceDN w:val="0"/>
                    <w:spacing w:after="0" w:line="240" w:lineRule="auto"/>
                    <w:ind w:hanging="360"/>
                    <w:jc w:val="right"/>
                    <w:rPr>
                      <w:rFonts w:ascii="Arial Narrow" w:eastAsia="Calibri"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Strategic Pillar 1 </w:t>
                  </w:r>
                  <w:r w:rsidR="008D2CBF" w:rsidRPr="006A497B">
                    <w:rPr>
                      <w:rFonts w:ascii="Arial Narrow" w:eastAsia="Arial Narrow" w:hAnsi="Arial Narrow" w:cs="Arial Narrow"/>
                      <w:i/>
                      <w:iCs/>
                      <w:color w:val="005172" w:themeColor="text2"/>
                      <w:sz w:val="16"/>
                      <w:szCs w:val="16"/>
                      <w:lang w:val="en-US" w:bidi="en-US"/>
                    </w:rPr>
                    <w:t xml:space="preserve">  </w:t>
                  </w:r>
                </w:p>
              </w:tc>
              <w:tc>
                <w:tcPr>
                  <w:tcW w:w="7571" w:type="dxa"/>
                  <w:tcMar>
                    <w:top w:w="0" w:type="dxa"/>
                    <w:left w:w="108" w:type="dxa"/>
                    <w:bottom w:w="0" w:type="dxa"/>
                    <w:right w:w="108" w:type="dxa"/>
                  </w:tcMar>
                </w:tcPr>
                <w:p w14:paraId="46C8598E" w14:textId="77777777" w:rsidR="008D2CBF" w:rsidRPr="006A497B" w:rsidRDefault="008D2CBF" w:rsidP="008D2CBF">
                  <w:pPr>
                    <w:widowControl w:val="0"/>
                    <w:autoSpaceDE w:val="0"/>
                    <w:autoSpaceDN w:val="0"/>
                    <w:spacing w:after="0" w:line="240" w:lineRule="auto"/>
                    <w:rPr>
                      <w:rFonts w:ascii="Arial Narrow" w:eastAsia="Arial Narrow" w:hAnsi="Arial Narrow" w:cs="Arial Narrow"/>
                      <w:i/>
                      <w:color w:val="005172" w:themeColor="text2"/>
                      <w:sz w:val="16"/>
                      <w:szCs w:val="16"/>
                      <w:lang w:val="en-US" w:bidi="en-US"/>
                    </w:rPr>
                  </w:pPr>
                  <w:r w:rsidRPr="006A497B">
                    <w:rPr>
                      <w:rFonts w:ascii="Arial Narrow" w:eastAsia="Arial Narrow" w:hAnsi="Arial Narrow" w:cs="Arial Narrow"/>
                      <w:i/>
                      <w:color w:val="005172" w:themeColor="text2"/>
                      <w:sz w:val="16"/>
                      <w:szCs w:val="16"/>
                      <w:lang w:val="en-US" w:bidi="en-US"/>
                    </w:rPr>
                    <w:t>Reach out worldwide to explain the potential for intellectual property to improve the lives of everyone, everywhere</w:t>
                  </w:r>
                </w:p>
              </w:tc>
            </w:tr>
          </w:tbl>
          <w:p w14:paraId="6C325C58" w14:textId="77777777" w:rsidR="008D2CBF" w:rsidRPr="006A497B" w:rsidRDefault="008D2CBF" w:rsidP="008D2CBF">
            <w:pPr>
              <w:widowControl w:val="0"/>
              <w:autoSpaceDE w:val="0"/>
              <w:autoSpaceDN w:val="0"/>
              <w:spacing w:after="0" w:line="240" w:lineRule="auto"/>
              <w:rPr>
                <w:rFonts w:ascii="Times New Roman" w:eastAsia="Times New Roman" w:hAnsi="Times New Roman" w:cs="Times New Roman"/>
                <w:color w:val="005172" w:themeColor="text2"/>
                <w:sz w:val="20"/>
                <w:szCs w:val="20"/>
                <w:lang w:val="en-US" w:bidi="en-US"/>
              </w:rPr>
            </w:pPr>
          </w:p>
        </w:tc>
      </w:tr>
      <w:tr w:rsidR="008D2CBF" w:rsidRPr="00962512" w14:paraId="23C74381" w14:textId="77777777" w:rsidTr="008D2CBF">
        <w:trPr>
          <w:trHeight w:val="1546"/>
        </w:trPr>
        <w:tc>
          <w:tcPr>
            <w:tcW w:w="2337" w:type="dxa"/>
            <w:shd w:val="clear" w:color="auto" w:fill="FFFFFF"/>
            <w:tcMar>
              <w:top w:w="0" w:type="dxa"/>
              <w:left w:w="108" w:type="dxa"/>
              <w:bottom w:w="0" w:type="dxa"/>
              <w:right w:w="108" w:type="dxa"/>
            </w:tcMar>
            <w:hideMark/>
          </w:tcPr>
          <w:p w14:paraId="19BD51DF" w14:textId="5DB9E013"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rPr>
              <w:t xml:space="preserve">1.1  </w:t>
            </w:r>
            <w:r w:rsidRPr="00962512">
              <w:rPr>
                <w:rFonts w:ascii="Arial Narrow" w:eastAsia="Times New Roman" w:hAnsi="Arial Narrow" w:cs="Arial"/>
                <w:sz w:val="16"/>
                <w:szCs w:val="16"/>
              </w:rPr>
              <w:t>More effective communication and engagement world-wide to raise awareness of and increase knowledge about the potential of IP to improve the lives of everyone, everywhere</w:t>
            </w:r>
          </w:p>
          <w:p w14:paraId="0EFAA4E4" w14:textId="77777777" w:rsidR="008D2CBF" w:rsidRPr="00962512" w:rsidRDefault="008D2CBF" w:rsidP="008D2CBF">
            <w:pPr>
              <w:autoSpaceDE w:val="0"/>
              <w:autoSpaceDN w:val="0"/>
              <w:spacing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b/>
                <w:bCs/>
                <w:i/>
                <w:iCs/>
                <w:sz w:val="16"/>
                <w:szCs w:val="16"/>
                <w:lang w:val="en-US"/>
              </w:rPr>
              <w:t>Medium risk appetite</w:t>
            </w:r>
          </w:p>
        </w:tc>
        <w:tc>
          <w:tcPr>
            <w:tcW w:w="2338" w:type="dxa"/>
            <w:shd w:val="clear" w:color="auto" w:fill="FFFFFF"/>
            <w:tcMar>
              <w:top w:w="0" w:type="dxa"/>
              <w:left w:w="108" w:type="dxa"/>
              <w:bottom w:w="0" w:type="dxa"/>
              <w:right w:w="108" w:type="dxa"/>
            </w:tcMar>
            <w:hideMark/>
          </w:tcPr>
          <w:p w14:paraId="4094803E" w14:textId="77777777"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Ineffective communication and engagement with both an external a</w:t>
            </w:r>
            <w:r>
              <w:rPr>
                <w:rFonts w:ascii="Arial Narrow" w:eastAsia="Times New Roman" w:hAnsi="Arial Narrow" w:cs="Arial"/>
                <w:sz w:val="16"/>
                <w:szCs w:val="16"/>
                <w:lang w:val="en-US"/>
              </w:rPr>
              <w:t xml:space="preserve">nd internal audience can cause </w:t>
            </w:r>
            <w:r w:rsidRPr="00962512">
              <w:rPr>
                <w:rFonts w:ascii="Arial Narrow" w:eastAsia="Times New Roman" w:hAnsi="Arial Narrow" w:cs="Arial"/>
                <w:sz w:val="16"/>
                <w:szCs w:val="16"/>
                <w:lang w:val="en-US"/>
              </w:rPr>
              <w:t>significant harm to the credibility of the WIPO brand.</w:t>
            </w:r>
          </w:p>
        </w:tc>
        <w:tc>
          <w:tcPr>
            <w:tcW w:w="3325" w:type="dxa"/>
            <w:shd w:val="clear" w:color="auto" w:fill="FFFFFF"/>
            <w:tcMar>
              <w:top w:w="0" w:type="dxa"/>
              <w:left w:w="108" w:type="dxa"/>
              <w:bottom w:w="0" w:type="dxa"/>
              <w:right w:w="108" w:type="dxa"/>
            </w:tcMar>
            <w:hideMark/>
          </w:tcPr>
          <w:p w14:paraId="1C0893F5" w14:textId="77777777"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Proactive interaction with stakeholders in a strategic, audience-driven manner, using the full range of communications tools, media awareness and openness in responding to queries to explain how IP can enrich the lives and improve the livelihoods of everyone, everywhere. Strengthened internal communications will help staff collaborate effectively.</w:t>
            </w:r>
          </w:p>
        </w:tc>
        <w:tc>
          <w:tcPr>
            <w:tcW w:w="1530" w:type="dxa"/>
            <w:shd w:val="clear" w:color="auto" w:fill="FFFFFF"/>
            <w:tcMar>
              <w:top w:w="0" w:type="dxa"/>
              <w:left w:w="108" w:type="dxa"/>
              <w:bottom w:w="0" w:type="dxa"/>
              <w:right w:w="108" w:type="dxa"/>
            </w:tcMar>
          </w:tcPr>
          <w:p w14:paraId="1020D1C8" w14:textId="721B4597" w:rsidR="008D2CBF"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Medium – </w:t>
            </w:r>
            <w:r w:rsidRPr="00962512">
              <w:rPr>
                <w:rFonts w:ascii="Arial Narrow" w:eastAsia="Times New Roman" w:hAnsi="Arial Narrow" w:cs="Arial"/>
                <w:sz w:val="16"/>
                <w:szCs w:val="16"/>
                <w:lang w:val="en-US"/>
              </w:rPr>
              <w:t xml:space="preserve"> </w:t>
            </w:r>
          </w:p>
          <w:p w14:paraId="561CACD6" w14:textId="311D160E" w:rsidR="008D2CBF" w:rsidRPr="00962512" w:rsidRDefault="008D2CBF" w:rsidP="00EF3B0C">
            <w:pPr>
              <w:autoSpaceDE w:val="0"/>
              <w:autoSpaceDN w:val="0"/>
              <w:spacing w:after="0" w:line="240"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962512">
              <w:rPr>
                <w:rFonts w:ascii="Arial Narrow" w:eastAsia="Times New Roman" w:hAnsi="Arial Narrow" w:cs="Arial"/>
                <w:sz w:val="16"/>
                <w:szCs w:val="16"/>
                <w:lang w:val="en-US"/>
              </w:rPr>
              <w:t>n line with risk appetite</w:t>
            </w:r>
          </w:p>
          <w:p w14:paraId="251F7D03" w14:textId="77777777" w:rsidR="008D2CBF" w:rsidRPr="00962512" w:rsidRDefault="008D2CBF" w:rsidP="008D2CBF">
            <w:pPr>
              <w:autoSpaceDE w:val="0"/>
              <w:autoSpaceDN w:val="0"/>
              <w:spacing w:after="0" w:line="240" w:lineRule="auto"/>
              <w:outlineLvl w:val="2"/>
              <w:rPr>
                <w:rFonts w:ascii="Arial Narrow" w:eastAsia="Times New Roman" w:hAnsi="Arial Narrow" w:cs="Arial"/>
                <w:sz w:val="20"/>
                <w:szCs w:val="20"/>
                <w:lang w:val="en-US"/>
              </w:rPr>
            </w:pPr>
          </w:p>
          <w:p w14:paraId="440BABD0" w14:textId="77777777" w:rsidR="008D2CBF" w:rsidRPr="00962512" w:rsidRDefault="008D2CBF" w:rsidP="008D2CBF">
            <w:pPr>
              <w:autoSpaceDE w:val="0"/>
              <w:autoSpaceDN w:val="0"/>
              <w:spacing w:after="0" w:line="240" w:lineRule="auto"/>
              <w:outlineLvl w:val="2"/>
              <w:rPr>
                <w:rFonts w:ascii="Arial Narrow" w:eastAsia="Times New Roman" w:hAnsi="Arial Narrow" w:cs="Arial"/>
                <w:sz w:val="20"/>
                <w:szCs w:val="20"/>
                <w:lang w:val="en-US"/>
              </w:rPr>
            </w:pPr>
          </w:p>
          <w:p w14:paraId="0ECB2E98" w14:textId="77777777" w:rsidR="008D2CBF" w:rsidRPr="00962512" w:rsidRDefault="008D2CBF" w:rsidP="008D2CBF">
            <w:pPr>
              <w:autoSpaceDE w:val="0"/>
              <w:autoSpaceDN w:val="0"/>
              <w:spacing w:after="0" w:line="240" w:lineRule="auto"/>
              <w:outlineLvl w:val="2"/>
              <w:rPr>
                <w:rFonts w:ascii="Arial Narrow" w:eastAsia="Times New Roman" w:hAnsi="Arial Narrow" w:cs="Arial"/>
                <w:sz w:val="20"/>
                <w:szCs w:val="20"/>
                <w:lang w:val="en-US"/>
              </w:rPr>
            </w:pPr>
          </w:p>
        </w:tc>
      </w:tr>
      <w:tr w:rsidR="008D2CBF" w:rsidRPr="00962512" w14:paraId="6A050530" w14:textId="77777777" w:rsidTr="008D2CBF">
        <w:tc>
          <w:tcPr>
            <w:tcW w:w="9530" w:type="dxa"/>
            <w:gridSpan w:val="4"/>
            <w:shd w:val="clear" w:color="auto" w:fill="D5DCE4"/>
            <w:tcMar>
              <w:top w:w="0" w:type="dxa"/>
              <w:left w:w="108" w:type="dxa"/>
              <w:bottom w:w="0" w:type="dxa"/>
              <w:right w:w="108" w:type="dxa"/>
            </w:tcMar>
            <w:hideMark/>
          </w:tcPr>
          <w:p w14:paraId="2E756DE0" w14:textId="77777777" w:rsidR="008D2CBF" w:rsidRPr="00962512" w:rsidRDefault="008D2CBF" w:rsidP="008D2CBF">
            <w:pPr>
              <w:widowControl w:val="0"/>
              <w:autoSpaceDE w:val="0"/>
              <w:autoSpaceDN w:val="0"/>
              <w:spacing w:after="0" w:line="240" w:lineRule="auto"/>
              <w:rPr>
                <w:rFonts w:ascii="Times New Roman" w:eastAsia="Times New Roman" w:hAnsi="Times New Roman" w:cs="Times New Roman"/>
                <w:sz w:val="20"/>
                <w:szCs w:val="20"/>
                <w:lang w:val="en-US" w:bidi="en-US"/>
              </w:rPr>
            </w:pPr>
          </w:p>
        </w:tc>
      </w:tr>
      <w:tr w:rsidR="008D2CBF" w:rsidRPr="00962512" w14:paraId="34ACA5B5" w14:textId="77777777" w:rsidTr="008D2CBF">
        <w:trPr>
          <w:trHeight w:val="286"/>
        </w:trPr>
        <w:tc>
          <w:tcPr>
            <w:tcW w:w="9530" w:type="dxa"/>
            <w:gridSpan w:val="4"/>
            <w:shd w:val="clear" w:color="auto" w:fill="EDF0F3" w:themeFill="accent4" w:themeFillTint="33"/>
            <w:tcMar>
              <w:top w:w="0" w:type="dxa"/>
              <w:left w:w="108" w:type="dxa"/>
              <w:bottom w:w="0" w:type="dxa"/>
              <w:right w:w="108" w:type="dxa"/>
            </w:tcMar>
          </w:tcPr>
          <w:tbl>
            <w:tblPr>
              <w:tblpPr w:leftFromText="180" w:rightFromText="180" w:vertAnchor="text" w:horzAnchor="margin" w:tblpY="-72"/>
              <w:tblOverlap w:val="never"/>
              <w:tblW w:w="0" w:type="auto"/>
              <w:tblCellMar>
                <w:left w:w="0" w:type="dxa"/>
                <w:right w:w="0" w:type="dxa"/>
              </w:tblCellMar>
              <w:tblLook w:val="04A0" w:firstRow="1" w:lastRow="0" w:firstColumn="1" w:lastColumn="0" w:noHBand="0" w:noVBand="1"/>
            </w:tblPr>
            <w:tblGrid>
              <w:gridCol w:w="1129"/>
              <w:gridCol w:w="7571"/>
            </w:tblGrid>
            <w:tr w:rsidR="008D2CBF" w:rsidRPr="006A497B" w14:paraId="0BC65B50" w14:textId="77777777" w:rsidTr="008D2CBF">
              <w:trPr>
                <w:trHeight w:val="134"/>
              </w:trPr>
              <w:tc>
                <w:tcPr>
                  <w:tcW w:w="1129" w:type="dxa"/>
                  <w:shd w:val="clear" w:color="auto" w:fill="EDF0F3" w:themeFill="accent4" w:themeFillTint="33"/>
                  <w:tcMar>
                    <w:top w:w="0" w:type="dxa"/>
                    <w:left w:w="108" w:type="dxa"/>
                    <w:bottom w:w="0" w:type="dxa"/>
                    <w:right w:w="108" w:type="dxa"/>
                  </w:tcMar>
                  <w:hideMark/>
                </w:tcPr>
                <w:p w14:paraId="5DA4E1F8" w14:textId="3D758FF4" w:rsidR="008D2CBF" w:rsidRPr="006A497B" w:rsidRDefault="007C5188" w:rsidP="008D2CBF">
                  <w:pPr>
                    <w:widowControl w:val="0"/>
                    <w:autoSpaceDE w:val="0"/>
                    <w:autoSpaceDN w:val="0"/>
                    <w:spacing w:after="0" w:line="240" w:lineRule="auto"/>
                    <w:ind w:hanging="360"/>
                    <w:jc w:val="center"/>
                    <w:rPr>
                      <w:rFonts w:ascii="Arial Narrow" w:eastAsia="Arial Narrow" w:hAnsi="Arial Narrow" w:cs="Arial Narrow"/>
                      <w:color w:val="005172" w:themeColor="text2"/>
                      <w:sz w:val="16"/>
                      <w:szCs w:val="16"/>
                      <w:lang w:val="en-US" w:bidi="en-US"/>
                    </w:rPr>
                  </w:pPr>
                  <w:r>
                    <w:rPr>
                      <w:rFonts w:ascii="Arial Narrow" w:eastAsia="Arial Narrow" w:hAnsi="Arial Narrow" w:cs="Arial Narrow"/>
                      <w:i/>
                      <w:iCs/>
                      <w:color w:val="005172" w:themeColor="text2"/>
                      <w:sz w:val="16"/>
                      <w:szCs w:val="16"/>
                      <w:lang w:val="en-US" w:bidi="en-US"/>
                    </w:rPr>
                    <w:t xml:space="preserve">Foundation </w:t>
                  </w:r>
                </w:p>
              </w:tc>
              <w:tc>
                <w:tcPr>
                  <w:tcW w:w="7571" w:type="dxa"/>
                  <w:shd w:val="clear" w:color="auto" w:fill="EDF0F3" w:themeFill="accent4" w:themeFillTint="33"/>
                  <w:tcMar>
                    <w:top w:w="0" w:type="dxa"/>
                    <w:left w:w="108" w:type="dxa"/>
                    <w:bottom w:w="0" w:type="dxa"/>
                    <w:right w:w="108" w:type="dxa"/>
                  </w:tcMar>
                  <w:hideMark/>
                </w:tcPr>
                <w:p w14:paraId="197DD7A4" w14:textId="77777777" w:rsidR="008D2CBF" w:rsidRPr="006A497B" w:rsidRDefault="008D2CBF" w:rsidP="008D2CBF">
                  <w:pPr>
                    <w:widowControl w:val="0"/>
                    <w:autoSpaceDE w:val="0"/>
                    <w:autoSpaceDN w:val="0"/>
                    <w:spacing w:after="0" w:line="240" w:lineRule="auto"/>
                    <w:rPr>
                      <w:rFonts w:ascii="Arial Narrow" w:eastAsia="Arial Narrow" w:hAnsi="Arial Narrow" w:cs="Arial Narrow"/>
                      <w:color w:val="005172" w:themeColor="text2"/>
                      <w:sz w:val="16"/>
                      <w:szCs w:val="16"/>
                      <w:lang w:val="en-US" w:bidi="en-US"/>
                    </w:rPr>
                  </w:pPr>
                  <w:r w:rsidRPr="006A497B">
                    <w:rPr>
                      <w:rFonts w:ascii="Arial Narrow" w:eastAsia="Arial Narrow" w:hAnsi="Arial Narrow" w:cs="Arial Narrow"/>
                      <w:i/>
                      <w:iCs/>
                      <w:color w:val="005172" w:themeColor="text2"/>
                      <w:sz w:val="16"/>
                      <w:szCs w:val="16"/>
                      <w:lang w:val="en-US" w:bidi="en-US"/>
                    </w:rPr>
                    <w:t>Empower our people to work effectively, collaboratively and innovatively by providing them with the right resources, training and environment</w:t>
                  </w:r>
                </w:p>
              </w:tc>
            </w:tr>
          </w:tbl>
          <w:p w14:paraId="53A9D065" w14:textId="77777777" w:rsidR="008D2CBF" w:rsidRPr="006A497B" w:rsidRDefault="008D2CBF" w:rsidP="008D2CBF">
            <w:pPr>
              <w:widowControl w:val="0"/>
              <w:autoSpaceDE w:val="0"/>
              <w:autoSpaceDN w:val="0"/>
              <w:spacing w:after="0" w:line="240" w:lineRule="auto"/>
              <w:ind w:hanging="360"/>
              <w:jc w:val="center"/>
              <w:rPr>
                <w:rFonts w:ascii="Arial Narrow" w:eastAsia="Arial Narrow" w:hAnsi="Arial Narrow" w:cs="Arial Narrow"/>
                <w:i/>
                <w:iCs/>
                <w:color w:val="005172" w:themeColor="text2"/>
                <w:sz w:val="16"/>
                <w:szCs w:val="16"/>
                <w:lang w:val="en-US" w:bidi="en-US"/>
              </w:rPr>
            </w:pPr>
          </w:p>
        </w:tc>
      </w:tr>
      <w:tr w:rsidR="008D2CBF" w:rsidRPr="00962512" w14:paraId="4E8872B8" w14:textId="77777777" w:rsidTr="008D2CBF">
        <w:trPr>
          <w:trHeight w:val="2005"/>
        </w:trPr>
        <w:tc>
          <w:tcPr>
            <w:tcW w:w="2337" w:type="dxa"/>
            <w:shd w:val="clear" w:color="auto" w:fill="FFFFFF"/>
            <w:tcMar>
              <w:top w:w="0" w:type="dxa"/>
              <w:left w:w="108" w:type="dxa"/>
              <w:bottom w:w="0" w:type="dxa"/>
              <w:right w:w="108" w:type="dxa"/>
            </w:tcMar>
            <w:hideMark/>
          </w:tcPr>
          <w:p w14:paraId="5E5DE3A0" w14:textId="63865C33"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5.1  </w:t>
            </w:r>
            <w:r w:rsidRPr="00962512">
              <w:rPr>
                <w:rFonts w:ascii="Arial Narrow" w:eastAsia="Times New Roman" w:hAnsi="Arial Narrow" w:cs="Arial"/>
                <w:sz w:val="16"/>
                <w:szCs w:val="16"/>
                <w:lang w:val="en-US"/>
              </w:rPr>
              <w:t>A Secretariat that is empowered through a dynamic corporate culture and is provided with the right resources and training to work effectively, collaboratively and innovatively</w:t>
            </w:r>
          </w:p>
          <w:p w14:paraId="52F246EB" w14:textId="77777777" w:rsidR="008D2CBF" w:rsidRPr="00962512" w:rsidRDefault="008D2CBF" w:rsidP="008D2CBF">
            <w:pPr>
              <w:autoSpaceDE w:val="0"/>
              <w:autoSpaceDN w:val="0"/>
              <w:spacing w:after="0" w:line="240" w:lineRule="auto"/>
              <w:outlineLvl w:val="2"/>
              <w:rPr>
                <w:rFonts w:eastAsia="Times New Roman" w:cs="Arial"/>
                <w:sz w:val="16"/>
                <w:szCs w:val="16"/>
                <w:lang w:val="en-US"/>
              </w:rPr>
            </w:pPr>
            <w:r w:rsidRPr="00962512">
              <w:rPr>
                <w:rFonts w:ascii="Arial Narrow" w:eastAsia="Times New Roman" w:hAnsi="Arial Narrow" w:cs="Arial"/>
                <w:b/>
                <w:i/>
                <w:iCs/>
                <w:sz w:val="16"/>
                <w:szCs w:val="16"/>
                <w:lang w:val="en-US"/>
              </w:rPr>
              <w:t>Low risk appetite</w:t>
            </w:r>
          </w:p>
        </w:tc>
        <w:tc>
          <w:tcPr>
            <w:tcW w:w="2338" w:type="dxa"/>
            <w:shd w:val="clear" w:color="auto" w:fill="FFFFFF"/>
            <w:tcMar>
              <w:top w:w="0" w:type="dxa"/>
              <w:left w:w="108" w:type="dxa"/>
              <w:bottom w:w="0" w:type="dxa"/>
              <w:right w:w="108" w:type="dxa"/>
            </w:tcMar>
            <w:hideMark/>
          </w:tcPr>
          <w:p w14:paraId="33977E63" w14:textId="77777777"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Corporate governance and oversight systems prove ineffective, or perceived to be not wholly objective and independent impacting the impartiality and credibility of the work with outcomes and trust diminished.</w:t>
            </w:r>
          </w:p>
        </w:tc>
        <w:tc>
          <w:tcPr>
            <w:tcW w:w="3325" w:type="dxa"/>
            <w:shd w:val="clear" w:color="auto" w:fill="FFFFFF"/>
            <w:tcMar>
              <w:top w:w="0" w:type="dxa"/>
              <w:left w:w="108" w:type="dxa"/>
              <w:bottom w:w="0" w:type="dxa"/>
              <w:right w:w="108" w:type="dxa"/>
            </w:tcMar>
            <w:hideMark/>
          </w:tcPr>
          <w:p w14:paraId="55D86DB6" w14:textId="77777777"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Strong tone at the top for high ethical standards and a streng</w:t>
            </w:r>
            <w:r>
              <w:rPr>
                <w:rFonts w:ascii="Arial Narrow" w:eastAsia="Times New Roman" w:hAnsi="Arial Narrow" w:cs="Arial"/>
                <w:sz w:val="16"/>
                <w:szCs w:val="16"/>
                <w:lang w:val="en-US"/>
              </w:rPr>
              <w:t>thening of the ethics function.</w:t>
            </w:r>
            <w:r w:rsidRPr="00962512">
              <w:rPr>
                <w:rFonts w:ascii="Arial Narrow" w:eastAsia="Times New Roman" w:hAnsi="Arial Narrow" w:cs="Arial"/>
                <w:sz w:val="16"/>
                <w:szCs w:val="16"/>
                <w:lang w:val="en-US"/>
              </w:rPr>
              <w:t xml:space="preserve"> Adherence to relevant standards and codes as well as the Inter</w:t>
            </w:r>
            <w:r>
              <w:rPr>
                <w:rFonts w:ascii="Arial Narrow" w:eastAsia="Times New Roman" w:hAnsi="Arial Narrow" w:cs="Arial"/>
                <w:sz w:val="16"/>
                <w:szCs w:val="16"/>
                <w:lang w:val="en-US"/>
              </w:rPr>
              <w:t xml:space="preserve">nal Oversight Charter. </w:t>
            </w:r>
            <w:r w:rsidRPr="00962512">
              <w:rPr>
                <w:rFonts w:ascii="Arial Narrow" w:eastAsia="Times New Roman" w:hAnsi="Arial Narrow" w:cs="Arial"/>
                <w:sz w:val="16"/>
                <w:szCs w:val="16"/>
                <w:lang w:val="en-US"/>
              </w:rPr>
              <w:t>Work closely with the IAOC, the External Auditor and the JIU and respond to recommendations for improvements in a timely manner. Establishment and effective operation of streamlined internal bodies ensuring compliance with regulatory framework, risk-based decision making and internal governance.</w:t>
            </w:r>
          </w:p>
        </w:tc>
        <w:tc>
          <w:tcPr>
            <w:tcW w:w="1530" w:type="dxa"/>
            <w:shd w:val="clear" w:color="auto" w:fill="FFFFFF"/>
            <w:tcMar>
              <w:top w:w="0" w:type="dxa"/>
              <w:left w:w="108" w:type="dxa"/>
              <w:bottom w:w="0" w:type="dxa"/>
              <w:right w:w="108" w:type="dxa"/>
            </w:tcMar>
          </w:tcPr>
          <w:p w14:paraId="6AF5BF79" w14:textId="7FB25F57" w:rsidR="008D2CBF"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Low</w:t>
            </w:r>
            <w:r>
              <w:rPr>
                <w:rFonts w:ascii="Arial Narrow" w:eastAsia="Times New Roman" w:hAnsi="Arial Narrow" w:cs="Arial"/>
                <w:sz w:val="16"/>
                <w:szCs w:val="16"/>
                <w:lang w:val="en-US"/>
              </w:rPr>
              <w:t xml:space="preserve"> – </w:t>
            </w:r>
            <w:r w:rsidRPr="00962512">
              <w:rPr>
                <w:rFonts w:ascii="Arial Narrow" w:eastAsia="Times New Roman" w:hAnsi="Arial Narrow" w:cs="Arial"/>
                <w:sz w:val="16"/>
                <w:szCs w:val="16"/>
                <w:lang w:val="en-US"/>
              </w:rPr>
              <w:t xml:space="preserve"> </w:t>
            </w:r>
          </w:p>
          <w:p w14:paraId="70BF756C" w14:textId="08DF4E3E" w:rsidR="008D2CBF" w:rsidRPr="00962512" w:rsidRDefault="008D2CBF" w:rsidP="00EF3B0C">
            <w:pPr>
              <w:autoSpaceDE w:val="0"/>
              <w:autoSpaceDN w:val="0"/>
              <w:spacing w:after="0" w:line="240" w:lineRule="auto"/>
              <w:ind w:right="-20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962512">
              <w:rPr>
                <w:rFonts w:ascii="Arial Narrow" w:eastAsia="Times New Roman" w:hAnsi="Arial Narrow" w:cs="Arial"/>
                <w:sz w:val="16"/>
                <w:szCs w:val="16"/>
                <w:lang w:val="en-US"/>
              </w:rPr>
              <w:t>n line with risk appetite</w:t>
            </w:r>
          </w:p>
          <w:p w14:paraId="7C08A2CC" w14:textId="77777777" w:rsidR="008D2CBF" w:rsidRPr="00962512" w:rsidRDefault="008D2CBF" w:rsidP="008D2CBF">
            <w:pPr>
              <w:autoSpaceDE w:val="0"/>
              <w:autoSpaceDN w:val="0"/>
              <w:spacing w:after="0" w:line="240" w:lineRule="auto"/>
              <w:ind w:left="272"/>
              <w:outlineLvl w:val="2"/>
              <w:rPr>
                <w:rFonts w:eastAsia="Times New Roman" w:cs="Arial"/>
                <w:sz w:val="20"/>
                <w:szCs w:val="20"/>
                <w:lang w:val="en-US"/>
              </w:rPr>
            </w:pPr>
          </w:p>
          <w:p w14:paraId="725A61F8" w14:textId="77777777" w:rsidR="008D2CBF" w:rsidRPr="00962512" w:rsidRDefault="008D2CBF" w:rsidP="008D2CBF">
            <w:pPr>
              <w:autoSpaceDE w:val="0"/>
              <w:autoSpaceDN w:val="0"/>
              <w:spacing w:after="0" w:line="240" w:lineRule="auto"/>
              <w:ind w:left="272"/>
              <w:outlineLvl w:val="2"/>
              <w:rPr>
                <w:rFonts w:eastAsia="Times New Roman" w:cs="Arial"/>
                <w:sz w:val="20"/>
                <w:szCs w:val="20"/>
                <w:lang w:val="en-US"/>
              </w:rPr>
            </w:pPr>
          </w:p>
          <w:p w14:paraId="106D5CA9" w14:textId="77777777" w:rsidR="008D2CBF" w:rsidRPr="00962512" w:rsidRDefault="008D2CBF" w:rsidP="008D2CBF">
            <w:pPr>
              <w:autoSpaceDE w:val="0"/>
              <w:autoSpaceDN w:val="0"/>
              <w:spacing w:after="0" w:line="240" w:lineRule="auto"/>
              <w:outlineLvl w:val="2"/>
              <w:rPr>
                <w:rFonts w:eastAsia="Times New Roman" w:cs="Arial"/>
                <w:sz w:val="20"/>
                <w:szCs w:val="20"/>
                <w:lang w:val="en-US"/>
              </w:rPr>
            </w:pPr>
          </w:p>
        </w:tc>
      </w:tr>
      <w:tr w:rsidR="008D2CBF" w:rsidRPr="00962512" w14:paraId="3FD60DD0" w14:textId="77777777" w:rsidTr="008D2CBF">
        <w:trPr>
          <w:trHeight w:val="1518"/>
        </w:trPr>
        <w:tc>
          <w:tcPr>
            <w:tcW w:w="2337" w:type="dxa"/>
            <w:tcBorders>
              <w:bottom w:val="single" w:sz="4" w:space="0" w:color="CBD4DB" w:themeColor="accent4" w:themeTint="99"/>
            </w:tcBorders>
            <w:shd w:val="clear" w:color="auto" w:fill="FFFFFF"/>
            <w:tcMar>
              <w:top w:w="0" w:type="dxa"/>
              <w:left w:w="108" w:type="dxa"/>
              <w:bottom w:w="0" w:type="dxa"/>
              <w:right w:w="108" w:type="dxa"/>
            </w:tcMar>
            <w:hideMark/>
          </w:tcPr>
          <w:p w14:paraId="63A5E6F1" w14:textId="348BEF76"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25327B">
              <w:rPr>
                <w:rFonts w:ascii="Arial Narrow" w:eastAsia="Times New Roman" w:hAnsi="Arial Narrow" w:cs="Arial"/>
                <w:color w:val="005172" w:themeColor="text2"/>
                <w:sz w:val="16"/>
                <w:szCs w:val="16"/>
                <w:lang w:val="en-US"/>
              </w:rPr>
              <w:t xml:space="preserve">5.1  </w:t>
            </w:r>
            <w:r w:rsidRPr="00962512">
              <w:rPr>
                <w:rFonts w:ascii="Arial Narrow" w:eastAsia="Times New Roman" w:hAnsi="Arial Narrow" w:cs="Arial"/>
                <w:sz w:val="16"/>
                <w:szCs w:val="16"/>
                <w:lang w:val="en-US"/>
              </w:rPr>
              <w:t>A Secretariat that is empowered through a dynamic corporate culture and is provided with the right resources and training to work effectively, collaboratively and innovatively</w:t>
            </w:r>
          </w:p>
          <w:p w14:paraId="6E998D2E" w14:textId="77777777" w:rsidR="008D2CBF" w:rsidRPr="00962512" w:rsidRDefault="008D2CBF" w:rsidP="008D2CBF">
            <w:pPr>
              <w:autoSpaceDE w:val="0"/>
              <w:autoSpaceDN w:val="0"/>
              <w:spacing w:after="0" w:line="240" w:lineRule="auto"/>
              <w:outlineLvl w:val="2"/>
              <w:rPr>
                <w:rFonts w:eastAsia="Times New Roman" w:cs="Arial"/>
                <w:sz w:val="16"/>
                <w:szCs w:val="16"/>
                <w:lang w:val="en-US"/>
              </w:rPr>
            </w:pPr>
            <w:r w:rsidRPr="00962512">
              <w:rPr>
                <w:rFonts w:ascii="Arial Narrow" w:eastAsia="Times New Roman" w:hAnsi="Arial Narrow" w:cs="Arial"/>
                <w:b/>
                <w:bCs/>
                <w:i/>
                <w:iCs/>
                <w:sz w:val="16"/>
                <w:szCs w:val="16"/>
                <w:lang w:val="en-US"/>
              </w:rPr>
              <w:t>Medium risk appetite</w:t>
            </w:r>
          </w:p>
        </w:tc>
        <w:tc>
          <w:tcPr>
            <w:tcW w:w="2338" w:type="dxa"/>
            <w:tcBorders>
              <w:bottom w:val="single" w:sz="4" w:space="0" w:color="CBD4DB" w:themeColor="accent4" w:themeTint="99"/>
            </w:tcBorders>
            <w:shd w:val="clear" w:color="auto" w:fill="FFFFFF"/>
            <w:tcMar>
              <w:top w:w="0" w:type="dxa"/>
              <w:left w:w="108" w:type="dxa"/>
              <w:bottom w:w="0" w:type="dxa"/>
              <w:right w:w="108" w:type="dxa"/>
            </w:tcMar>
            <w:hideMark/>
          </w:tcPr>
          <w:p w14:paraId="13CA118E" w14:textId="244B0473"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 xml:space="preserve">WIPO’s </w:t>
            </w:r>
            <w:r w:rsidR="0020020F">
              <w:rPr>
                <w:rFonts w:ascii="Arial Narrow" w:eastAsia="Times New Roman" w:hAnsi="Arial Narrow" w:cs="Arial"/>
                <w:sz w:val="16"/>
                <w:szCs w:val="16"/>
                <w:lang w:val="en-US"/>
              </w:rPr>
              <w:t>ambitious program of work has a</w:t>
            </w:r>
            <w:r w:rsidRPr="00962512">
              <w:rPr>
                <w:rFonts w:ascii="Arial Narrow" w:eastAsia="Times New Roman" w:hAnsi="Arial Narrow" w:cs="Arial"/>
                <w:sz w:val="16"/>
                <w:szCs w:val="16"/>
                <w:lang w:val="en-US"/>
              </w:rPr>
              <w:t xml:space="preserve"> significant element of change, and there is a risk that the related evolution to a more agile culture and the required competencies may take longer to institutionalize than foreseen.</w:t>
            </w:r>
          </w:p>
        </w:tc>
        <w:tc>
          <w:tcPr>
            <w:tcW w:w="3325" w:type="dxa"/>
            <w:tcBorders>
              <w:bottom w:val="single" w:sz="4" w:space="0" w:color="CBD4DB" w:themeColor="accent4" w:themeTint="99"/>
            </w:tcBorders>
            <w:shd w:val="clear" w:color="auto" w:fill="FFFFFF"/>
            <w:tcMar>
              <w:top w:w="0" w:type="dxa"/>
              <w:left w:w="108" w:type="dxa"/>
              <w:bottom w:w="0" w:type="dxa"/>
              <w:right w:w="108" w:type="dxa"/>
            </w:tcMar>
            <w:hideMark/>
          </w:tcPr>
          <w:p w14:paraId="4A10212B" w14:textId="77777777" w:rsidR="008D2CBF" w:rsidRPr="00962512"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sidRPr="00962512">
              <w:rPr>
                <w:rFonts w:ascii="Arial Narrow" w:eastAsia="Times New Roman" w:hAnsi="Arial Narrow" w:cs="Arial"/>
                <w:sz w:val="16"/>
                <w:szCs w:val="16"/>
                <w:lang w:val="en-US"/>
              </w:rPr>
              <w:t>Increased focus on sourcing talent both externally and internally through a learning and development framework guided by Organizational priorities. Continue to evolve the culture to increase employee engagement and to improve the performance of the Organization.</w:t>
            </w:r>
          </w:p>
        </w:tc>
        <w:tc>
          <w:tcPr>
            <w:tcW w:w="1530" w:type="dxa"/>
            <w:tcBorders>
              <w:bottom w:val="single" w:sz="4" w:space="0" w:color="CBD4DB" w:themeColor="accent4" w:themeTint="99"/>
            </w:tcBorders>
            <w:shd w:val="clear" w:color="auto" w:fill="FFFFFF"/>
            <w:tcMar>
              <w:top w:w="0" w:type="dxa"/>
              <w:left w:w="108" w:type="dxa"/>
              <w:bottom w:w="0" w:type="dxa"/>
              <w:right w:w="108" w:type="dxa"/>
            </w:tcMar>
          </w:tcPr>
          <w:p w14:paraId="67D54B61" w14:textId="72EFF968" w:rsidR="008D2CBF" w:rsidRDefault="008D2CBF" w:rsidP="008D2CBF">
            <w:pPr>
              <w:autoSpaceDE w:val="0"/>
              <w:autoSpaceDN w:val="0"/>
              <w:spacing w:before="89" w:after="0" w:line="240" w:lineRule="auto"/>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Medium –</w:t>
            </w:r>
            <w:r w:rsidRPr="00962512">
              <w:rPr>
                <w:rFonts w:ascii="Arial Narrow" w:eastAsia="Times New Roman" w:hAnsi="Arial Narrow" w:cs="Arial"/>
                <w:sz w:val="16"/>
                <w:szCs w:val="16"/>
                <w:lang w:val="en-US"/>
              </w:rPr>
              <w:t xml:space="preserve"> </w:t>
            </w:r>
          </w:p>
          <w:p w14:paraId="7CB9C37E" w14:textId="0A7DB1D3" w:rsidR="008D2CBF" w:rsidRPr="00962512" w:rsidRDefault="008D2CBF" w:rsidP="00EF3B0C">
            <w:pPr>
              <w:autoSpaceDE w:val="0"/>
              <w:autoSpaceDN w:val="0"/>
              <w:spacing w:after="0" w:line="240" w:lineRule="auto"/>
              <w:ind w:right="-110"/>
              <w:outlineLvl w:val="2"/>
              <w:rPr>
                <w:rFonts w:ascii="Arial Narrow" w:eastAsia="Times New Roman" w:hAnsi="Arial Narrow" w:cs="Arial"/>
                <w:sz w:val="16"/>
                <w:szCs w:val="16"/>
                <w:lang w:val="en-US"/>
              </w:rPr>
            </w:pPr>
            <w:r>
              <w:rPr>
                <w:rFonts w:ascii="Arial Narrow" w:eastAsia="Times New Roman" w:hAnsi="Arial Narrow" w:cs="Arial"/>
                <w:sz w:val="16"/>
                <w:szCs w:val="16"/>
                <w:lang w:val="en-US"/>
              </w:rPr>
              <w:t>i</w:t>
            </w:r>
            <w:r w:rsidRPr="00962512">
              <w:rPr>
                <w:rFonts w:ascii="Arial Narrow" w:eastAsia="Times New Roman" w:hAnsi="Arial Narrow" w:cs="Arial"/>
                <w:sz w:val="16"/>
                <w:szCs w:val="16"/>
                <w:lang w:val="en-US"/>
              </w:rPr>
              <w:t>n line with risk appetite</w:t>
            </w:r>
          </w:p>
          <w:p w14:paraId="7D8DB141" w14:textId="77777777" w:rsidR="008D2CBF" w:rsidRPr="00962512" w:rsidRDefault="008D2CBF" w:rsidP="008D2CBF">
            <w:pPr>
              <w:autoSpaceDE w:val="0"/>
              <w:autoSpaceDN w:val="0"/>
              <w:spacing w:after="0" w:line="240" w:lineRule="auto"/>
              <w:outlineLvl w:val="2"/>
              <w:rPr>
                <w:rFonts w:eastAsia="Times New Roman" w:cs="Arial"/>
                <w:sz w:val="20"/>
                <w:szCs w:val="20"/>
                <w:lang w:val="en-US"/>
              </w:rPr>
            </w:pPr>
          </w:p>
        </w:tc>
      </w:tr>
    </w:tbl>
    <w:p w14:paraId="11DCC081" w14:textId="77777777" w:rsidR="008D2CBF" w:rsidRPr="001C7CF9" w:rsidRDefault="008D2CBF" w:rsidP="008D2CBF">
      <w:pPr>
        <w:spacing w:after="0" w:line="276" w:lineRule="auto"/>
        <w:rPr>
          <w:color w:val="005172" w:themeColor="text2"/>
          <w:szCs w:val="18"/>
          <w:lang w:val="en-US"/>
        </w:rPr>
      </w:pPr>
    </w:p>
    <w:p w14:paraId="5CD1C378" w14:textId="77777777" w:rsidR="008D2CBF" w:rsidRPr="007F1A58" w:rsidRDefault="008D2CBF" w:rsidP="008D2CBF">
      <w:pPr>
        <w:pStyle w:val="Heading1NoNumb"/>
        <w:rPr>
          <w:rFonts w:eastAsia="Times New Roman" w:cs="Arial"/>
          <w:szCs w:val="32"/>
          <w:lang w:val="en-US"/>
        </w:rPr>
      </w:pPr>
      <w:r w:rsidRPr="007F1A58">
        <w:rPr>
          <w:rFonts w:eastAsia="Times New Roman" w:cs="Arial"/>
          <w:szCs w:val="32"/>
          <w:lang w:val="en-US"/>
        </w:rPr>
        <w:t>Expected Results and Performance Indicators</w:t>
      </w:r>
    </w:p>
    <w:tbl>
      <w:tblPr>
        <w:tblStyle w:val="TableGrid"/>
        <w:tblW w:w="97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2435"/>
        <w:gridCol w:w="2436"/>
        <w:gridCol w:w="2436"/>
        <w:gridCol w:w="2396"/>
      </w:tblGrid>
      <w:tr w:rsidR="008D2CBF" w:rsidRPr="00D350B5" w14:paraId="3ADD54A1" w14:textId="77777777" w:rsidTr="008D2CBF">
        <w:trPr>
          <w:cantSplit/>
          <w:trHeight w:val="284"/>
          <w:tblHeader/>
        </w:trPr>
        <w:tc>
          <w:tcPr>
            <w:tcW w:w="2435" w:type="dxa"/>
            <w:shd w:val="clear" w:color="auto" w:fill="C6CFD7" w:themeFill="accent3" w:themeFillTint="66"/>
          </w:tcPr>
          <w:p w14:paraId="7644ABAE" w14:textId="77777777" w:rsidR="008D2CBF" w:rsidRPr="00D350B5" w:rsidRDefault="008D2CBF" w:rsidP="008D2CBF">
            <w:pPr>
              <w:pStyle w:val="TableHeading"/>
              <w:rPr>
                <w:lang w:val="en-US"/>
              </w:rPr>
            </w:pPr>
            <w:r w:rsidRPr="00D350B5">
              <w:rPr>
                <w:lang w:val="en-US"/>
              </w:rPr>
              <w:t>Expected Result</w:t>
            </w:r>
          </w:p>
        </w:tc>
        <w:tc>
          <w:tcPr>
            <w:tcW w:w="2436" w:type="dxa"/>
            <w:shd w:val="clear" w:color="auto" w:fill="C6CFD7" w:themeFill="accent3" w:themeFillTint="66"/>
          </w:tcPr>
          <w:p w14:paraId="437B314A" w14:textId="77777777" w:rsidR="008D2CBF" w:rsidRPr="00D350B5" w:rsidRDefault="008D2CBF" w:rsidP="008D2CBF">
            <w:pPr>
              <w:pStyle w:val="TableHeading"/>
              <w:rPr>
                <w:lang w:val="en-US"/>
              </w:rPr>
            </w:pPr>
            <w:r w:rsidRPr="00D350B5">
              <w:rPr>
                <w:lang w:val="en-US"/>
              </w:rPr>
              <w:t>Performance Indicators</w:t>
            </w:r>
          </w:p>
        </w:tc>
        <w:tc>
          <w:tcPr>
            <w:tcW w:w="2436" w:type="dxa"/>
            <w:shd w:val="clear" w:color="auto" w:fill="C6CFD7" w:themeFill="accent3" w:themeFillTint="66"/>
          </w:tcPr>
          <w:p w14:paraId="681EC01E" w14:textId="77777777" w:rsidR="008D2CBF" w:rsidRPr="00D350B5" w:rsidRDefault="008D2CBF" w:rsidP="008D2CBF">
            <w:pPr>
              <w:pStyle w:val="TableHeading"/>
              <w:rPr>
                <w:lang w:val="en-US"/>
              </w:rPr>
            </w:pPr>
            <w:r w:rsidRPr="00D350B5">
              <w:rPr>
                <w:lang w:val="en-US"/>
              </w:rPr>
              <w:t>Baselines</w:t>
            </w:r>
          </w:p>
        </w:tc>
        <w:tc>
          <w:tcPr>
            <w:tcW w:w="2396" w:type="dxa"/>
            <w:shd w:val="clear" w:color="auto" w:fill="C6CFD7" w:themeFill="accent3" w:themeFillTint="66"/>
          </w:tcPr>
          <w:p w14:paraId="7EBD2FBD" w14:textId="77777777" w:rsidR="008D2CBF" w:rsidRPr="00D350B5" w:rsidRDefault="008D2CBF" w:rsidP="008D2CBF">
            <w:pPr>
              <w:pStyle w:val="TableHeading"/>
              <w:rPr>
                <w:lang w:val="en-US"/>
              </w:rPr>
            </w:pPr>
            <w:r w:rsidRPr="00D350B5">
              <w:rPr>
                <w:lang w:val="en-US"/>
              </w:rPr>
              <w:t>Targets</w:t>
            </w:r>
          </w:p>
        </w:tc>
      </w:tr>
      <w:tr w:rsidR="008D2CBF" w:rsidRPr="007B17FF" w14:paraId="3CF23C2C" w14:textId="77777777" w:rsidTr="001C7CF9">
        <w:trPr>
          <w:cantSplit/>
          <w:trHeight w:val="284"/>
        </w:trPr>
        <w:tc>
          <w:tcPr>
            <w:tcW w:w="2435" w:type="dxa"/>
            <w:shd w:val="clear" w:color="auto" w:fill="EDF0F3" w:themeFill="accent4" w:themeFillTint="33"/>
          </w:tcPr>
          <w:p w14:paraId="58047EC7" w14:textId="77777777" w:rsidR="008D2CBF" w:rsidRPr="007B17FF" w:rsidRDefault="008D2CBF" w:rsidP="008D2CBF">
            <w:pPr>
              <w:pStyle w:val="TableHeading"/>
              <w:rPr>
                <w:b w:val="0"/>
                <w:i/>
                <w:color w:val="005172" w:themeColor="text2"/>
                <w:lang w:val="en-US"/>
              </w:rPr>
            </w:pPr>
            <w:r w:rsidRPr="007B17FF">
              <w:rPr>
                <w:b w:val="0"/>
                <w:i/>
                <w:color w:val="005172" w:themeColor="text2"/>
                <w:lang w:val="en-US"/>
              </w:rPr>
              <w:t xml:space="preserve">Strategic </w:t>
            </w:r>
            <w:r>
              <w:rPr>
                <w:b w:val="0"/>
                <w:i/>
                <w:color w:val="005172" w:themeColor="text2"/>
                <w:lang w:val="en-US"/>
              </w:rPr>
              <w:t>Pillar 1</w:t>
            </w:r>
          </w:p>
        </w:tc>
        <w:tc>
          <w:tcPr>
            <w:tcW w:w="7268" w:type="dxa"/>
            <w:gridSpan w:val="3"/>
            <w:shd w:val="clear" w:color="auto" w:fill="EDF0F3" w:themeFill="accent4" w:themeFillTint="33"/>
          </w:tcPr>
          <w:p w14:paraId="3F806D69" w14:textId="77777777" w:rsidR="008D2CBF" w:rsidRPr="007B17FF" w:rsidRDefault="008D2CBF" w:rsidP="008D2CBF">
            <w:pPr>
              <w:pStyle w:val="TableHeading"/>
              <w:rPr>
                <w:b w:val="0"/>
                <w:i/>
                <w:color w:val="005172" w:themeColor="text2"/>
                <w:lang w:val="en-US"/>
              </w:rPr>
            </w:pPr>
            <w:r w:rsidRPr="00600DFC">
              <w:rPr>
                <w:b w:val="0"/>
                <w:i/>
                <w:color w:val="005172" w:themeColor="text2"/>
                <w:lang w:val="en-US"/>
              </w:rPr>
              <w:t>Reach out worldwide to explain the potential for intellectual property to improve the lives of everyone, everywhere</w:t>
            </w:r>
          </w:p>
        </w:tc>
      </w:tr>
      <w:tr w:rsidR="008D2CBF" w:rsidRPr="00D350B5" w14:paraId="55A883D6" w14:textId="77777777" w:rsidTr="008D2CBF">
        <w:trPr>
          <w:cantSplit/>
          <w:trHeight w:val="194"/>
        </w:trPr>
        <w:tc>
          <w:tcPr>
            <w:tcW w:w="2435" w:type="dxa"/>
            <w:vMerge w:val="restart"/>
            <w:shd w:val="clear" w:color="auto" w:fill="auto"/>
          </w:tcPr>
          <w:p w14:paraId="33FB3475" w14:textId="49183209" w:rsidR="008D2CBF" w:rsidRPr="00D350B5" w:rsidRDefault="008D2CBF" w:rsidP="008D2CBF">
            <w:pPr>
              <w:pStyle w:val="TableTextBold"/>
              <w:rPr>
                <w:lang w:val="en-US"/>
              </w:rPr>
            </w:pPr>
            <w:r>
              <w:rPr>
                <w:rStyle w:val="charColoured"/>
                <w:lang w:val="en-US"/>
              </w:rPr>
              <w:t xml:space="preserve">1.1  </w:t>
            </w:r>
            <w:r w:rsidRPr="00600DFC">
              <w:rPr>
                <w:lang w:val="en-US"/>
              </w:rPr>
              <w:t xml:space="preserve">More effective communication and engagement worldwide to raise awareness of and increase knowledge about the potential of IP to </w:t>
            </w:r>
            <w:r w:rsidRPr="001A78EF">
              <w:rPr>
                <w:lang w:val="en-US"/>
              </w:rPr>
              <w:t>improve the lives of everyone, everywhere</w:t>
            </w:r>
          </w:p>
        </w:tc>
        <w:tc>
          <w:tcPr>
            <w:tcW w:w="2436" w:type="dxa"/>
            <w:shd w:val="clear" w:color="auto" w:fill="auto"/>
          </w:tcPr>
          <w:p w14:paraId="4718497D" w14:textId="77777777" w:rsidR="008D2CBF" w:rsidRPr="00D350B5" w:rsidRDefault="008D2CBF" w:rsidP="008D2CBF">
            <w:pPr>
              <w:pStyle w:val="TableText"/>
              <w:rPr>
                <w:lang w:val="en-US"/>
              </w:rPr>
            </w:pPr>
            <w:r w:rsidRPr="00600DFC">
              <w:rPr>
                <w:lang w:val="en-US"/>
              </w:rPr>
              <w:t>Media mentions of WIPO</w:t>
            </w:r>
          </w:p>
        </w:tc>
        <w:tc>
          <w:tcPr>
            <w:tcW w:w="2436" w:type="dxa"/>
            <w:shd w:val="clear" w:color="auto" w:fill="auto"/>
          </w:tcPr>
          <w:p w14:paraId="09C82A36" w14:textId="77777777" w:rsidR="008D2CBF" w:rsidRPr="00D350B5" w:rsidRDefault="008D2CBF" w:rsidP="008D2CBF">
            <w:pPr>
              <w:pStyle w:val="TableText"/>
              <w:rPr>
                <w:lang w:val="en-US"/>
              </w:rPr>
            </w:pPr>
            <w:r w:rsidRPr="00B65D79">
              <w:rPr>
                <w:szCs w:val="16"/>
              </w:rPr>
              <w:t xml:space="preserve">66,351 </w:t>
            </w:r>
            <w:r>
              <w:rPr>
                <w:szCs w:val="16"/>
              </w:rPr>
              <w:t>(2022)</w:t>
            </w:r>
          </w:p>
        </w:tc>
        <w:tc>
          <w:tcPr>
            <w:tcW w:w="2396" w:type="dxa"/>
            <w:shd w:val="clear" w:color="auto" w:fill="auto"/>
          </w:tcPr>
          <w:p w14:paraId="5F081F60" w14:textId="77777777" w:rsidR="008D2CBF" w:rsidRPr="00D350B5" w:rsidRDefault="008D2CBF" w:rsidP="008D2CBF">
            <w:pPr>
              <w:pStyle w:val="TableText"/>
              <w:rPr>
                <w:lang w:val="en-US"/>
              </w:rPr>
            </w:pPr>
            <w:r>
              <w:rPr>
                <w:szCs w:val="16"/>
                <w:lang w:val="fr-CH"/>
              </w:rPr>
              <w:t>20% increase (biennium)</w:t>
            </w:r>
          </w:p>
        </w:tc>
      </w:tr>
      <w:tr w:rsidR="008D2CBF" w:rsidRPr="00D350B5" w14:paraId="01AA813D" w14:textId="77777777" w:rsidTr="008D2CBF">
        <w:trPr>
          <w:cantSplit/>
          <w:trHeight w:val="483"/>
        </w:trPr>
        <w:tc>
          <w:tcPr>
            <w:tcW w:w="2435" w:type="dxa"/>
            <w:vMerge/>
            <w:shd w:val="clear" w:color="auto" w:fill="auto"/>
          </w:tcPr>
          <w:p w14:paraId="3CD67A0A" w14:textId="77777777" w:rsidR="008D2CBF" w:rsidRDefault="008D2CBF" w:rsidP="008D2CBF">
            <w:pPr>
              <w:pStyle w:val="TableTextBold"/>
              <w:rPr>
                <w:rStyle w:val="charColoured"/>
              </w:rPr>
            </w:pPr>
          </w:p>
        </w:tc>
        <w:tc>
          <w:tcPr>
            <w:tcW w:w="2436" w:type="dxa"/>
            <w:shd w:val="clear" w:color="auto" w:fill="auto"/>
          </w:tcPr>
          <w:p w14:paraId="0B14AE8C" w14:textId="77777777" w:rsidR="008D2CBF" w:rsidRPr="00600DFC" w:rsidRDefault="008D2CBF" w:rsidP="008D2CBF">
            <w:pPr>
              <w:pStyle w:val="TableText"/>
              <w:rPr>
                <w:lang w:val="en-US"/>
              </w:rPr>
            </w:pPr>
            <w:r w:rsidRPr="002527DD">
              <w:rPr>
                <w:lang w:val="en-US"/>
              </w:rPr>
              <w:t>Reach of WIPO’s main social media presences</w:t>
            </w:r>
          </w:p>
        </w:tc>
        <w:tc>
          <w:tcPr>
            <w:tcW w:w="2436" w:type="dxa"/>
            <w:shd w:val="clear" w:color="auto" w:fill="auto"/>
          </w:tcPr>
          <w:p w14:paraId="3378ED54" w14:textId="77777777" w:rsidR="008D2CBF" w:rsidRDefault="008D2CBF" w:rsidP="008D2CBF">
            <w:pPr>
              <w:pStyle w:val="TableText"/>
              <w:ind w:left="29" w:hanging="29"/>
              <w:rPr>
                <w:szCs w:val="16"/>
                <w:lang w:val="en-US"/>
              </w:rPr>
            </w:pPr>
            <w:r>
              <w:rPr>
                <w:szCs w:val="16"/>
                <w:lang w:val="en-US"/>
              </w:rPr>
              <w:t>Total no. of followers: 376,672 (+18%)</w:t>
            </w:r>
          </w:p>
          <w:p w14:paraId="41357965" w14:textId="77777777" w:rsidR="008D2CBF" w:rsidRPr="00D9354A" w:rsidRDefault="008D2CBF" w:rsidP="008407D7">
            <w:pPr>
              <w:pStyle w:val="TableText"/>
              <w:numPr>
                <w:ilvl w:val="0"/>
                <w:numId w:val="41"/>
              </w:numPr>
              <w:ind w:left="211" w:hanging="149"/>
              <w:rPr>
                <w:szCs w:val="16"/>
                <w:lang w:val="en-US"/>
              </w:rPr>
            </w:pPr>
            <w:r w:rsidRPr="00D9354A">
              <w:rPr>
                <w:szCs w:val="16"/>
                <w:lang w:val="en-US"/>
              </w:rPr>
              <w:t>Twitter: 124,815</w:t>
            </w:r>
          </w:p>
          <w:p w14:paraId="3B7EF547" w14:textId="77777777" w:rsidR="008D2CBF" w:rsidRPr="00D9354A" w:rsidRDefault="008D2CBF" w:rsidP="008407D7">
            <w:pPr>
              <w:pStyle w:val="TableText"/>
              <w:numPr>
                <w:ilvl w:val="0"/>
                <w:numId w:val="41"/>
              </w:numPr>
              <w:ind w:left="211" w:hanging="149"/>
              <w:rPr>
                <w:szCs w:val="16"/>
                <w:lang w:val="en-US"/>
              </w:rPr>
            </w:pPr>
            <w:r w:rsidRPr="00D9354A">
              <w:rPr>
                <w:szCs w:val="16"/>
                <w:lang w:val="en-US"/>
              </w:rPr>
              <w:t>LinkedIn: 158,192</w:t>
            </w:r>
          </w:p>
          <w:p w14:paraId="1094799D" w14:textId="77777777" w:rsidR="008D2CBF" w:rsidRPr="00D9354A" w:rsidRDefault="008D2CBF" w:rsidP="008407D7">
            <w:pPr>
              <w:pStyle w:val="TableText"/>
              <w:numPr>
                <w:ilvl w:val="0"/>
                <w:numId w:val="41"/>
              </w:numPr>
              <w:ind w:left="211" w:hanging="149"/>
              <w:rPr>
                <w:szCs w:val="16"/>
                <w:lang w:val="en-US"/>
              </w:rPr>
            </w:pPr>
            <w:r w:rsidRPr="00D9354A">
              <w:rPr>
                <w:szCs w:val="16"/>
                <w:lang w:val="en-US"/>
              </w:rPr>
              <w:t>Facebook: 87,759</w:t>
            </w:r>
          </w:p>
          <w:p w14:paraId="2B0A4731" w14:textId="77777777" w:rsidR="008D2CBF" w:rsidRDefault="008D2CBF" w:rsidP="008407D7">
            <w:pPr>
              <w:pStyle w:val="TableText"/>
              <w:numPr>
                <w:ilvl w:val="0"/>
                <w:numId w:val="41"/>
              </w:numPr>
              <w:ind w:left="211" w:hanging="149"/>
              <w:rPr>
                <w:szCs w:val="16"/>
              </w:rPr>
            </w:pPr>
            <w:r w:rsidRPr="00D9354A">
              <w:rPr>
                <w:szCs w:val="16"/>
                <w:lang w:val="en-US"/>
              </w:rPr>
              <w:t>Instagram: 5,906</w:t>
            </w:r>
          </w:p>
          <w:p w14:paraId="4459DD65" w14:textId="77777777" w:rsidR="008D2CBF" w:rsidRPr="00D350B5" w:rsidRDefault="008D2CBF" w:rsidP="008D2CBF">
            <w:pPr>
              <w:pStyle w:val="TableText"/>
              <w:rPr>
                <w:lang w:val="en-US"/>
              </w:rPr>
            </w:pPr>
            <w:r>
              <w:rPr>
                <w:noProof/>
                <w:szCs w:val="16"/>
              </w:rPr>
              <w:t>(end 2022)</w:t>
            </w:r>
          </w:p>
        </w:tc>
        <w:tc>
          <w:tcPr>
            <w:tcW w:w="2396" w:type="dxa"/>
            <w:shd w:val="clear" w:color="auto" w:fill="auto"/>
          </w:tcPr>
          <w:p w14:paraId="468F472E" w14:textId="77777777" w:rsidR="008D2CBF" w:rsidRPr="00D350B5" w:rsidRDefault="008D2CBF" w:rsidP="008D2CBF">
            <w:pPr>
              <w:pStyle w:val="TableText"/>
              <w:rPr>
                <w:lang w:val="en-US"/>
              </w:rPr>
            </w:pPr>
            <w:r w:rsidRPr="00B65D79">
              <w:rPr>
                <w:szCs w:val="16"/>
                <w:lang w:val="en-US"/>
              </w:rPr>
              <w:t xml:space="preserve">≥ </w:t>
            </w:r>
            <w:r>
              <w:rPr>
                <w:szCs w:val="16"/>
                <w:lang w:val="en-US"/>
              </w:rPr>
              <w:t>6</w:t>
            </w:r>
            <w:r w:rsidRPr="00B65D79">
              <w:rPr>
                <w:szCs w:val="16"/>
                <w:lang w:val="en-US"/>
              </w:rPr>
              <w:t>00,000 followers across all social media presences at the end of the biennium</w:t>
            </w:r>
          </w:p>
        </w:tc>
      </w:tr>
      <w:tr w:rsidR="008D2CBF" w:rsidRPr="00D350B5" w14:paraId="3C68611B" w14:textId="77777777" w:rsidTr="008D2CBF">
        <w:trPr>
          <w:cantSplit/>
          <w:trHeight w:val="559"/>
        </w:trPr>
        <w:tc>
          <w:tcPr>
            <w:tcW w:w="2435" w:type="dxa"/>
            <w:vMerge/>
            <w:shd w:val="clear" w:color="auto" w:fill="auto"/>
          </w:tcPr>
          <w:p w14:paraId="052CA641" w14:textId="77777777" w:rsidR="008D2CBF" w:rsidRDefault="008D2CBF" w:rsidP="008D2CBF">
            <w:pPr>
              <w:pStyle w:val="TableTextBold"/>
              <w:rPr>
                <w:rStyle w:val="charColoured"/>
              </w:rPr>
            </w:pPr>
          </w:p>
        </w:tc>
        <w:tc>
          <w:tcPr>
            <w:tcW w:w="2436" w:type="dxa"/>
            <w:shd w:val="clear" w:color="auto" w:fill="auto"/>
          </w:tcPr>
          <w:p w14:paraId="1CF2BBB9" w14:textId="77777777" w:rsidR="008D2CBF" w:rsidRPr="009F0F9C" w:rsidRDefault="008D2CBF" w:rsidP="008D2CBF">
            <w:pPr>
              <w:pStyle w:val="TableText"/>
              <w:rPr>
                <w:lang w:val="en-US"/>
              </w:rPr>
            </w:pPr>
            <w:r w:rsidRPr="00600DFC">
              <w:rPr>
                <w:lang w:val="en-US"/>
              </w:rPr>
              <w:t>Level of satisfaction of Member States and other stakeholders with the organization of events</w:t>
            </w:r>
          </w:p>
        </w:tc>
        <w:tc>
          <w:tcPr>
            <w:tcW w:w="2436" w:type="dxa"/>
            <w:shd w:val="clear" w:color="auto" w:fill="auto"/>
          </w:tcPr>
          <w:p w14:paraId="271863D8" w14:textId="77777777" w:rsidR="008D2CBF" w:rsidRPr="00D350B5" w:rsidRDefault="008D2CBF" w:rsidP="008D2CBF">
            <w:pPr>
              <w:pStyle w:val="TableText"/>
              <w:rPr>
                <w:lang w:val="en-US"/>
              </w:rPr>
            </w:pPr>
            <w:r>
              <w:rPr>
                <w:lang w:val="en-US"/>
              </w:rPr>
              <w:t>91%</w:t>
            </w:r>
          </w:p>
        </w:tc>
        <w:tc>
          <w:tcPr>
            <w:tcW w:w="2396" w:type="dxa"/>
            <w:shd w:val="clear" w:color="auto" w:fill="auto"/>
          </w:tcPr>
          <w:p w14:paraId="6DBB102C" w14:textId="77777777" w:rsidR="008D2CBF" w:rsidRPr="00D350B5" w:rsidRDefault="008D2CBF" w:rsidP="008D2CBF">
            <w:pPr>
              <w:pStyle w:val="TableText"/>
              <w:rPr>
                <w:lang w:val="en-US"/>
              </w:rPr>
            </w:pPr>
            <w:r w:rsidRPr="002F1B0D">
              <w:rPr>
                <w:szCs w:val="16"/>
                <w:lang w:val="en-US"/>
              </w:rPr>
              <w:t>≥ 85% satisfied or very satisfied</w:t>
            </w:r>
          </w:p>
        </w:tc>
      </w:tr>
      <w:tr w:rsidR="008D2CBF" w:rsidRPr="00D350B5" w14:paraId="475939D6" w14:textId="77777777" w:rsidTr="008D2CBF">
        <w:trPr>
          <w:cantSplit/>
          <w:trHeight w:val="559"/>
        </w:trPr>
        <w:tc>
          <w:tcPr>
            <w:tcW w:w="2435" w:type="dxa"/>
            <w:vMerge/>
            <w:shd w:val="clear" w:color="auto" w:fill="auto"/>
          </w:tcPr>
          <w:p w14:paraId="0B622772" w14:textId="77777777" w:rsidR="008D2CBF" w:rsidRDefault="008D2CBF" w:rsidP="008D2CBF">
            <w:pPr>
              <w:pStyle w:val="TableTextBold"/>
              <w:rPr>
                <w:rStyle w:val="charColoured"/>
              </w:rPr>
            </w:pPr>
          </w:p>
        </w:tc>
        <w:tc>
          <w:tcPr>
            <w:tcW w:w="2436" w:type="dxa"/>
            <w:shd w:val="clear" w:color="auto" w:fill="auto"/>
          </w:tcPr>
          <w:p w14:paraId="4F9003B3" w14:textId="77777777" w:rsidR="008D2CBF" w:rsidRPr="00600DFC" w:rsidRDefault="008D2CBF" w:rsidP="008D2CBF">
            <w:pPr>
              <w:pStyle w:val="TableText"/>
              <w:rPr>
                <w:lang w:val="en-US"/>
              </w:rPr>
            </w:pPr>
            <w:r w:rsidRPr="007D4F2D">
              <w:t>% of WIPO Flagship Publications for which the Executive Summary is translated into all official UN languages</w:t>
            </w:r>
          </w:p>
        </w:tc>
        <w:tc>
          <w:tcPr>
            <w:tcW w:w="2436" w:type="dxa"/>
            <w:shd w:val="clear" w:color="auto" w:fill="auto"/>
          </w:tcPr>
          <w:p w14:paraId="62EAC836" w14:textId="77777777" w:rsidR="008D2CBF" w:rsidRDefault="008D2CBF" w:rsidP="008D2CBF">
            <w:pPr>
              <w:pStyle w:val="TableText"/>
              <w:rPr>
                <w:lang w:val="en-US"/>
              </w:rPr>
            </w:pPr>
            <w:r>
              <w:rPr>
                <w:szCs w:val="16"/>
              </w:rPr>
              <w:t>100% (7 out of 7 Flagship Publications published in 2022)</w:t>
            </w:r>
          </w:p>
        </w:tc>
        <w:tc>
          <w:tcPr>
            <w:tcW w:w="2396" w:type="dxa"/>
            <w:shd w:val="clear" w:color="auto" w:fill="auto"/>
          </w:tcPr>
          <w:p w14:paraId="640FA5D1" w14:textId="77777777" w:rsidR="008D2CBF" w:rsidRPr="00A20FC2" w:rsidRDefault="008D2CBF" w:rsidP="008D2CBF">
            <w:pPr>
              <w:pStyle w:val="TableText"/>
              <w:rPr>
                <w:lang w:val="en-US"/>
              </w:rPr>
            </w:pPr>
            <w:r>
              <w:rPr>
                <w:lang w:val="en-US"/>
              </w:rPr>
              <w:t>100%</w:t>
            </w:r>
          </w:p>
        </w:tc>
      </w:tr>
      <w:tr w:rsidR="008D2CBF" w:rsidRPr="00D350B5" w14:paraId="6830EE28" w14:textId="77777777" w:rsidTr="008D2CBF">
        <w:trPr>
          <w:cantSplit/>
          <w:trHeight w:val="559"/>
        </w:trPr>
        <w:tc>
          <w:tcPr>
            <w:tcW w:w="2435" w:type="dxa"/>
            <w:vMerge/>
            <w:shd w:val="clear" w:color="auto" w:fill="auto"/>
          </w:tcPr>
          <w:p w14:paraId="450CAAB2" w14:textId="77777777" w:rsidR="008D2CBF" w:rsidRDefault="008D2CBF" w:rsidP="008D2CBF">
            <w:pPr>
              <w:pStyle w:val="TableTextBold"/>
              <w:rPr>
                <w:rStyle w:val="charColoured"/>
              </w:rPr>
            </w:pPr>
          </w:p>
        </w:tc>
        <w:tc>
          <w:tcPr>
            <w:tcW w:w="2436" w:type="dxa"/>
            <w:shd w:val="clear" w:color="auto" w:fill="auto"/>
          </w:tcPr>
          <w:p w14:paraId="11FD5458" w14:textId="77777777" w:rsidR="008D2CBF" w:rsidRPr="00600DFC" w:rsidRDefault="008D2CBF" w:rsidP="008D2CBF">
            <w:pPr>
              <w:pStyle w:val="TableText"/>
              <w:rPr>
                <w:lang w:val="en-US"/>
              </w:rPr>
            </w:pPr>
            <w:r w:rsidRPr="007D4F2D">
              <w:t>% of WIPO global publications on substantive IP topics published in 202</w:t>
            </w:r>
            <w:r>
              <w:t>4</w:t>
            </w:r>
            <w:r w:rsidRPr="007D4F2D">
              <w:t>/2</w:t>
            </w:r>
            <w:r>
              <w:t>5</w:t>
            </w:r>
            <w:r w:rsidRPr="007D4F2D">
              <w:t xml:space="preserve"> and translated into all official UN languages</w:t>
            </w:r>
          </w:p>
        </w:tc>
        <w:tc>
          <w:tcPr>
            <w:tcW w:w="2436" w:type="dxa"/>
            <w:shd w:val="clear" w:color="auto" w:fill="auto"/>
          </w:tcPr>
          <w:p w14:paraId="3E997A1A" w14:textId="3F15B2D3" w:rsidR="008D2CBF" w:rsidRPr="00D56D8E" w:rsidRDefault="008D2CBF" w:rsidP="008D2CBF">
            <w:pPr>
              <w:pStyle w:val="TableText"/>
              <w:rPr>
                <w:lang w:val="en-US"/>
              </w:rPr>
            </w:pPr>
            <w:r w:rsidRPr="00D56D8E">
              <w:rPr>
                <w:lang w:val="en-US"/>
              </w:rPr>
              <w:t>50% (4 out of 8) (end 2022)</w:t>
            </w:r>
            <w:r w:rsidR="00FF2DE1">
              <w:rPr>
                <w:rStyle w:val="FootnoteReference"/>
                <w:lang w:val="en-US"/>
              </w:rPr>
              <w:footnoteReference w:id="16"/>
            </w:r>
          </w:p>
        </w:tc>
        <w:tc>
          <w:tcPr>
            <w:tcW w:w="2396" w:type="dxa"/>
            <w:shd w:val="clear" w:color="auto" w:fill="auto"/>
          </w:tcPr>
          <w:p w14:paraId="20EE11E3" w14:textId="77777777" w:rsidR="008D2CBF" w:rsidRPr="00A20FC2" w:rsidRDefault="008D2CBF" w:rsidP="008D2CBF">
            <w:pPr>
              <w:pStyle w:val="TableText"/>
              <w:rPr>
                <w:lang w:val="en-US"/>
              </w:rPr>
            </w:pPr>
            <w:r>
              <w:rPr>
                <w:lang w:val="en-US"/>
              </w:rPr>
              <w:t>100%</w:t>
            </w:r>
          </w:p>
        </w:tc>
      </w:tr>
      <w:tr w:rsidR="008D2CBF" w:rsidRPr="00D350B5" w14:paraId="50B1099C" w14:textId="77777777" w:rsidTr="001C7CF9">
        <w:trPr>
          <w:cantSplit/>
          <w:trHeight w:val="42"/>
        </w:trPr>
        <w:tc>
          <w:tcPr>
            <w:tcW w:w="2435" w:type="dxa"/>
            <w:vMerge/>
            <w:shd w:val="clear" w:color="auto" w:fill="auto"/>
          </w:tcPr>
          <w:p w14:paraId="382D5351" w14:textId="77777777" w:rsidR="008D2CBF" w:rsidRDefault="008D2CBF" w:rsidP="008D2CBF">
            <w:pPr>
              <w:pStyle w:val="TableTextBold"/>
              <w:rPr>
                <w:rStyle w:val="charColoured"/>
              </w:rPr>
            </w:pPr>
          </w:p>
        </w:tc>
        <w:tc>
          <w:tcPr>
            <w:tcW w:w="2436" w:type="dxa"/>
            <w:vMerge w:val="restart"/>
            <w:shd w:val="clear" w:color="auto" w:fill="auto"/>
          </w:tcPr>
          <w:p w14:paraId="3DE21BA6" w14:textId="77777777" w:rsidR="008D2CBF" w:rsidRPr="00600DFC" w:rsidRDefault="008D2CBF" w:rsidP="008D2CBF">
            <w:pPr>
              <w:pStyle w:val="TableText"/>
              <w:rPr>
                <w:lang w:val="en-US"/>
              </w:rPr>
            </w:pPr>
            <w:r w:rsidRPr="00762FC1">
              <w:t>% of web-based content available in all official UN languages</w:t>
            </w:r>
          </w:p>
        </w:tc>
        <w:tc>
          <w:tcPr>
            <w:tcW w:w="2436" w:type="dxa"/>
          </w:tcPr>
          <w:p w14:paraId="264B8540" w14:textId="77777777" w:rsidR="008D2CBF" w:rsidRPr="00833A39" w:rsidRDefault="008D2CBF" w:rsidP="008D2CBF">
            <w:pPr>
              <w:pStyle w:val="TableText"/>
              <w:rPr>
                <w:szCs w:val="16"/>
              </w:rPr>
            </w:pPr>
            <w:r w:rsidRPr="00833A39">
              <w:rPr>
                <w:szCs w:val="16"/>
              </w:rPr>
              <w:t xml:space="preserve">Top level </w:t>
            </w:r>
            <w:r>
              <w:rPr>
                <w:szCs w:val="16"/>
              </w:rPr>
              <w:t>p</w:t>
            </w:r>
            <w:r w:rsidRPr="00833A39">
              <w:rPr>
                <w:szCs w:val="16"/>
              </w:rPr>
              <w:t>ages: tbd</w:t>
            </w:r>
          </w:p>
        </w:tc>
        <w:tc>
          <w:tcPr>
            <w:tcW w:w="2396" w:type="dxa"/>
            <w:shd w:val="clear" w:color="auto" w:fill="auto"/>
          </w:tcPr>
          <w:p w14:paraId="3A43A8D7" w14:textId="77777777" w:rsidR="008D2CBF" w:rsidRPr="00A20FC2" w:rsidRDefault="008D2CBF" w:rsidP="008D2CBF">
            <w:pPr>
              <w:pStyle w:val="TableText"/>
              <w:rPr>
                <w:lang w:val="en-US"/>
              </w:rPr>
            </w:pPr>
            <w:r>
              <w:rPr>
                <w:lang w:val="en-US"/>
              </w:rPr>
              <w:t>100%</w:t>
            </w:r>
          </w:p>
        </w:tc>
      </w:tr>
      <w:tr w:rsidR="008D2CBF" w:rsidRPr="00D350B5" w14:paraId="0DC5B871" w14:textId="77777777" w:rsidTr="001C7CF9">
        <w:trPr>
          <w:cantSplit/>
          <w:trHeight w:val="240"/>
        </w:trPr>
        <w:tc>
          <w:tcPr>
            <w:tcW w:w="2435" w:type="dxa"/>
            <w:shd w:val="clear" w:color="auto" w:fill="auto"/>
          </w:tcPr>
          <w:p w14:paraId="32CA86C8" w14:textId="77777777" w:rsidR="008D2CBF" w:rsidRDefault="008D2CBF" w:rsidP="008D2CBF">
            <w:pPr>
              <w:pStyle w:val="TableTextBold"/>
              <w:rPr>
                <w:rStyle w:val="charColoured"/>
              </w:rPr>
            </w:pPr>
          </w:p>
        </w:tc>
        <w:tc>
          <w:tcPr>
            <w:tcW w:w="2436" w:type="dxa"/>
            <w:vMerge/>
            <w:shd w:val="clear" w:color="auto" w:fill="auto"/>
          </w:tcPr>
          <w:p w14:paraId="1EA169B8" w14:textId="77777777" w:rsidR="008D2CBF" w:rsidRPr="00762FC1" w:rsidRDefault="008D2CBF" w:rsidP="008D2CBF">
            <w:pPr>
              <w:pStyle w:val="TableText"/>
            </w:pPr>
          </w:p>
        </w:tc>
        <w:tc>
          <w:tcPr>
            <w:tcW w:w="2436" w:type="dxa"/>
            <w:vAlign w:val="center"/>
          </w:tcPr>
          <w:p w14:paraId="31618120" w14:textId="77777777" w:rsidR="008D2CBF" w:rsidRPr="00833A39" w:rsidRDefault="008D2CBF" w:rsidP="008D2CBF">
            <w:pPr>
              <w:pStyle w:val="TableText"/>
              <w:rPr>
                <w:szCs w:val="16"/>
              </w:rPr>
            </w:pPr>
            <w:r w:rsidRPr="00833A39">
              <w:rPr>
                <w:szCs w:val="16"/>
              </w:rPr>
              <w:t>New or updated substantive web-content: tbd</w:t>
            </w:r>
          </w:p>
        </w:tc>
        <w:tc>
          <w:tcPr>
            <w:tcW w:w="2396" w:type="dxa"/>
            <w:shd w:val="clear" w:color="auto" w:fill="auto"/>
          </w:tcPr>
          <w:p w14:paraId="04A374D5" w14:textId="77777777" w:rsidR="008D2CBF" w:rsidRDefault="008D2CBF" w:rsidP="008D2CBF">
            <w:pPr>
              <w:pStyle w:val="TableText"/>
              <w:rPr>
                <w:lang w:val="en-US"/>
              </w:rPr>
            </w:pPr>
            <w:r w:rsidRPr="002F1B0D">
              <w:rPr>
                <w:szCs w:val="16"/>
                <w:lang w:val="en-US"/>
              </w:rPr>
              <w:t>≥ 85%</w:t>
            </w:r>
          </w:p>
        </w:tc>
      </w:tr>
      <w:tr w:rsidR="008D2CBF" w:rsidRPr="00D350B5" w14:paraId="716D8D68" w14:textId="77777777" w:rsidTr="001C7CF9">
        <w:trPr>
          <w:cantSplit/>
          <w:trHeight w:val="294"/>
        </w:trPr>
        <w:tc>
          <w:tcPr>
            <w:tcW w:w="2435" w:type="dxa"/>
            <w:tcBorders>
              <w:bottom w:val="single" w:sz="4" w:space="0" w:color="CBD4DB" w:themeColor="accent4" w:themeTint="99"/>
            </w:tcBorders>
            <w:shd w:val="clear" w:color="auto" w:fill="auto"/>
          </w:tcPr>
          <w:p w14:paraId="75418F34" w14:textId="77777777" w:rsidR="008D2CBF" w:rsidRDefault="008D2CBF" w:rsidP="008D2CBF">
            <w:pPr>
              <w:pStyle w:val="TableTextBold"/>
              <w:rPr>
                <w:rStyle w:val="charColoured"/>
              </w:rPr>
            </w:pPr>
          </w:p>
        </w:tc>
        <w:tc>
          <w:tcPr>
            <w:tcW w:w="2436" w:type="dxa"/>
            <w:vMerge/>
            <w:tcBorders>
              <w:bottom w:val="single" w:sz="4" w:space="0" w:color="CBD4DB" w:themeColor="accent4" w:themeTint="99"/>
            </w:tcBorders>
            <w:shd w:val="clear" w:color="auto" w:fill="auto"/>
          </w:tcPr>
          <w:p w14:paraId="6F1FBB05" w14:textId="77777777" w:rsidR="008D2CBF" w:rsidRPr="00762FC1" w:rsidRDefault="008D2CBF" w:rsidP="008D2CBF">
            <w:pPr>
              <w:pStyle w:val="TableText"/>
            </w:pPr>
          </w:p>
        </w:tc>
        <w:tc>
          <w:tcPr>
            <w:tcW w:w="2436" w:type="dxa"/>
            <w:tcBorders>
              <w:bottom w:val="single" w:sz="4" w:space="0" w:color="CBD4DB" w:themeColor="accent4" w:themeTint="99"/>
            </w:tcBorders>
            <w:vAlign w:val="center"/>
          </w:tcPr>
          <w:p w14:paraId="7C013C7E" w14:textId="77777777" w:rsidR="008D2CBF" w:rsidRDefault="008D2CBF" w:rsidP="008D2CBF">
            <w:pPr>
              <w:pStyle w:val="TableText"/>
              <w:rPr>
                <w:szCs w:val="16"/>
              </w:rPr>
            </w:pPr>
            <w:r w:rsidRPr="00833A39">
              <w:rPr>
                <w:szCs w:val="16"/>
              </w:rPr>
              <w:t>Database content:  tbd</w:t>
            </w:r>
          </w:p>
          <w:p w14:paraId="2F5695D8" w14:textId="4D5CCBBF" w:rsidR="001A3F3C" w:rsidRPr="001A3F3C" w:rsidRDefault="001A3F3C" w:rsidP="008D2CBF">
            <w:pPr>
              <w:pStyle w:val="TableText"/>
              <w:rPr>
                <w:sz w:val="6"/>
                <w:szCs w:val="16"/>
              </w:rPr>
            </w:pPr>
          </w:p>
        </w:tc>
        <w:tc>
          <w:tcPr>
            <w:tcW w:w="2396" w:type="dxa"/>
            <w:tcBorders>
              <w:bottom w:val="single" w:sz="4" w:space="0" w:color="CBD4DB" w:themeColor="accent4" w:themeTint="99"/>
            </w:tcBorders>
            <w:shd w:val="clear" w:color="auto" w:fill="auto"/>
          </w:tcPr>
          <w:p w14:paraId="27BF5005" w14:textId="77777777" w:rsidR="008D2CBF" w:rsidRDefault="008D2CBF" w:rsidP="008D2CBF">
            <w:pPr>
              <w:pStyle w:val="TableText"/>
              <w:rPr>
                <w:lang w:val="en-US"/>
              </w:rPr>
            </w:pPr>
            <w:r>
              <w:rPr>
                <w:lang w:val="en-US"/>
              </w:rPr>
              <w:t>100%</w:t>
            </w:r>
          </w:p>
        </w:tc>
      </w:tr>
      <w:tr w:rsidR="008D2CBF" w:rsidRPr="00D350B5" w14:paraId="13F58F50" w14:textId="77777777" w:rsidTr="008D2CBF">
        <w:trPr>
          <w:cantSplit/>
          <w:trHeight w:val="284"/>
        </w:trPr>
        <w:tc>
          <w:tcPr>
            <w:tcW w:w="2435" w:type="dxa"/>
            <w:shd w:val="clear" w:color="auto" w:fill="EDF0F3" w:themeFill="accent4" w:themeFillTint="33"/>
          </w:tcPr>
          <w:p w14:paraId="12D6B476" w14:textId="5C18CDEF" w:rsidR="008D2CBF" w:rsidRDefault="008D2CBF" w:rsidP="008D2CBF">
            <w:pPr>
              <w:pStyle w:val="TableTextBold"/>
              <w:rPr>
                <w:rStyle w:val="charColoured"/>
              </w:rPr>
            </w:pPr>
            <w:r w:rsidRPr="007B17FF">
              <w:rPr>
                <w:b w:val="0"/>
                <w:i/>
                <w:color w:val="005172" w:themeColor="text2"/>
                <w:lang w:val="en-US"/>
              </w:rPr>
              <w:t xml:space="preserve">Strategic </w:t>
            </w:r>
            <w:r>
              <w:rPr>
                <w:b w:val="0"/>
                <w:i/>
                <w:color w:val="005172" w:themeColor="text2"/>
                <w:lang w:val="en-US"/>
              </w:rPr>
              <w:t>Pillar 2</w:t>
            </w:r>
          </w:p>
        </w:tc>
        <w:tc>
          <w:tcPr>
            <w:tcW w:w="7268" w:type="dxa"/>
            <w:gridSpan w:val="3"/>
            <w:shd w:val="clear" w:color="auto" w:fill="EDF0F3" w:themeFill="accent4" w:themeFillTint="33"/>
          </w:tcPr>
          <w:p w14:paraId="51D5D913" w14:textId="77777777" w:rsidR="008D2CBF" w:rsidRDefault="008D2CBF" w:rsidP="008D2CBF">
            <w:pPr>
              <w:pStyle w:val="TableText"/>
              <w:ind w:right="41"/>
              <w:rPr>
                <w:lang w:val="en-US"/>
              </w:rPr>
            </w:pPr>
            <w:r w:rsidRPr="000B735E">
              <w:rPr>
                <w:i/>
                <w:color w:val="005172" w:themeColor="text2"/>
                <w:lang w:val="en-US"/>
              </w:rPr>
              <w:t>Bring people together and partner with stakeholders to shape the future of the global intellectual property ecosystem</w:t>
            </w:r>
          </w:p>
        </w:tc>
      </w:tr>
      <w:tr w:rsidR="008D2CBF" w:rsidRPr="00D350B5" w14:paraId="38D68D74" w14:textId="77777777" w:rsidTr="008D2CBF">
        <w:trPr>
          <w:cantSplit/>
          <w:trHeight w:val="1075"/>
        </w:trPr>
        <w:tc>
          <w:tcPr>
            <w:tcW w:w="2435" w:type="dxa"/>
            <w:shd w:val="clear" w:color="auto" w:fill="auto"/>
          </w:tcPr>
          <w:p w14:paraId="4E87A8A2" w14:textId="77777777" w:rsidR="008D2CBF" w:rsidRPr="00D350B5" w:rsidRDefault="008D2CBF" w:rsidP="008D2CBF">
            <w:pPr>
              <w:pStyle w:val="TableTextBold"/>
              <w:rPr>
                <w:lang w:val="en-US"/>
              </w:rPr>
            </w:pPr>
            <w:r>
              <w:rPr>
                <w:rStyle w:val="charColoured"/>
              </w:rPr>
              <w:t xml:space="preserve">2.2  </w:t>
            </w:r>
            <w:r w:rsidRPr="000B735E">
              <w:rPr>
                <w:lang w:val="en-US"/>
              </w:rPr>
              <w:t>WIPO brings the international community together to proactively address emerging issues and policy challenges at the global level relating to IP, innovation and creativity</w:t>
            </w:r>
          </w:p>
        </w:tc>
        <w:tc>
          <w:tcPr>
            <w:tcW w:w="2436" w:type="dxa"/>
            <w:shd w:val="clear" w:color="auto" w:fill="auto"/>
          </w:tcPr>
          <w:p w14:paraId="455D2E03" w14:textId="77777777" w:rsidR="008D2CBF" w:rsidRPr="00D350B5" w:rsidRDefault="008D2CBF" w:rsidP="008D2CBF">
            <w:pPr>
              <w:pStyle w:val="TableText"/>
              <w:rPr>
                <w:lang w:val="en-US"/>
              </w:rPr>
            </w:pPr>
            <w:r w:rsidRPr="005447FE">
              <w:rPr>
                <w:lang w:val="en-US"/>
              </w:rPr>
              <w:t>Level of satisfaction of delegates attending the GAs and other Meetings</w:t>
            </w:r>
          </w:p>
        </w:tc>
        <w:tc>
          <w:tcPr>
            <w:tcW w:w="2436" w:type="dxa"/>
            <w:shd w:val="clear" w:color="auto" w:fill="auto"/>
          </w:tcPr>
          <w:p w14:paraId="22BAF6CB" w14:textId="77777777" w:rsidR="008D2CBF" w:rsidRPr="00D350B5" w:rsidRDefault="008D2CBF" w:rsidP="008D2CBF">
            <w:pPr>
              <w:pStyle w:val="TableText"/>
              <w:rPr>
                <w:lang w:val="en-US"/>
              </w:rPr>
            </w:pPr>
            <w:r>
              <w:rPr>
                <w:lang w:val="en-US"/>
              </w:rPr>
              <w:t>93%</w:t>
            </w:r>
          </w:p>
        </w:tc>
        <w:tc>
          <w:tcPr>
            <w:tcW w:w="2396" w:type="dxa"/>
            <w:shd w:val="clear" w:color="auto" w:fill="auto"/>
          </w:tcPr>
          <w:p w14:paraId="799A8B15" w14:textId="77777777" w:rsidR="008D2CBF" w:rsidRPr="00D350B5" w:rsidRDefault="008D2CBF" w:rsidP="008D2CBF">
            <w:pPr>
              <w:pStyle w:val="TableText"/>
              <w:rPr>
                <w:lang w:val="en-US"/>
              </w:rPr>
            </w:pPr>
            <w:r w:rsidRPr="002F1B0D">
              <w:rPr>
                <w:szCs w:val="16"/>
                <w:lang w:val="en-US"/>
              </w:rPr>
              <w:t>≥</w:t>
            </w:r>
            <w:r>
              <w:rPr>
                <w:szCs w:val="16"/>
                <w:lang w:val="en-US"/>
              </w:rPr>
              <w:t xml:space="preserve"> 85% satisfied or very satisfied</w:t>
            </w:r>
          </w:p>
        </w:tc>
      </w:tr>
      <w:tr w:rsidR="008D2CBF" w:rsidRPr="00D350B5" w14:paraId="63F88663" w14:textId="77777777" w:rsidTr="008D2CBF">
        <w:trPr>
          <w:cantSplit/>
          <w:trHeight w:val="519"/>
        </w:trPr>
        <w:tc>
          <w:tcPr>
            <w:tcW w:w="2435" w:type="dxa"/>
            <w:shd w:val="clear" w:color="auto" w:fill="EDF0F3" w:themeFill="accent4" w:themeFillTint="33"/>
          </w:tcPr>
          <w:p w14:paraId="19FD797A" w14:textId="77777777" w:rsidR="008D2CBF" w:rsidRDefault="008D2CBF" w:rsidP="008D2CBF">
            <w:pPr>
              <w:pStyle w:val="TableTextBold"/>
              <w:rPr>
                <w:rStyle w:val="charColoured"/>
              </w:rPr>
            </w:pPr>
            <w:r w:rsidRPr="007B17FF">
              <w:rPr>
                <w:b w:val="0"/>
                <w:i/>
                <w:color w:val="005172" w:themeColor="text2"/>
                <w:lang w:val="en-US"/>
              </w:rPr>
              <w:t xml:space="preserve">Strategic </w:t>
            </w:r>
            <w:r>
              <w:rPr>
                <w:b w:val="0"/>
                <w:i/>
                <w:color w:val="005172" w:themeColor="text2"/>
                <w:lang w:val="en-US"/>
              </w:rPr>
              <w:t>Pillar 4</w:t>
            </w:r>
          </w:p>
        </w:tc>
        <w:tc>
          <w:tcPr>
            <w:tcW w:w="7268" w:type="dxa"/>
            <w:gridSpan w:val="3"/>
            <w:shd w:val="clear" w:color="auto" w:fill="EDF0F3" w:themeFill="accent4" w:themeFillTint="33"/>
          </w:tcPr>
          <w:p w14:paraId="2C2A0B19" w14:textId="77777777" w:rsidR="008D2CBF" w:rsidRPr="00D350B5" w:rsidRDefault="008D2CBF" w:rsidP="008D2CBF">
            <w:pPr>
              <w:pStyle w:val="TableText"/>
              <w:rPr>
                <w:lang w:val="en-US"/>
              </w:rPr>
            </w:pPr>
            <w:r w:rsidRPr="007B17FF">
              <w:rPr>
                <w:i/>
                <w:color w:val="005172" w:themeColor="text2"/>
                <w:lang w:val="en-US"/>
              </w:rPr>
              <w:t>Support governments, enterprises, communities and individuals to use intellectual property as a tool for growth and sustainable development</w:t>
            </w:r>
          </w:p>
        </w:tc>
      </w:tr>
      <w:tr w:rsidR="008D2CBF" w:rsidRPr="00D350B5" w14:paraId="7B00C261" w14:textId="77777777" w:rsidTr="008D2CBF">
        <w:trPr>
          <w:cantSplit/>
          <w:trHeight w:val="582"/>
        </w:trPr>
        <w:tc>
          <w:tcPr>
            <w:tcW w:w="2435" w:type="dxa"/>
            <w:shd w:val="clear" w:color="auto" w:fill="auto"/>
          </w:tcPr>
          <w:p w14:paraId="504868AB" w14:textId="0E5C7147" w:rsidR="008D2CBF" w:rsidRDefault="008D2CBF" w:rsidP="008D2CBF">
            <w:pPr>
              <w:pStyle w:val="TableTextBold"/>
              <w:rPr>
                <w:rStyle w:val="charColoured"/>
              </w:rPr>
            </w:pPr>
            <w:r w:rsidRPr="00A94D2B">
              <w:rPr>
                <w:rStyle w:val="charColoured"/>
                <w:szCs w:val="16"/>
                <w:lang w:val="en-US"/>
              </w:rPr>
              <w:t xml:space="preserve">4.1  </w:t>
            </w:r>
            <w:r w:rsidR="001048EB">
              <w:rPr>
                <w:szCs w:val="16"/>
              </w:rPr>
              <w:t>More effective use of a balanced IP system to support growth</w:t>
            </w:r>
            <w:r w:rsidR="006367C5">
              <w:rPr>
                <w:szCs w:val="16"/>
              </w:rPr>
              <w:t xml:space="preserve"> </w:t>
            </w:r>
            <w:r w:rsidRPr="00A94D2B">
              <w:rPr>
                <w:szCs w:val="16"/>
              </w:rPr>
              <w:t>and development of all Member States and their relevant regions and sub-regions, including through the mainstreaming of the Development Agenda recommendations</w:t>
            </w:r>
          </w:p>
        </w:tc>
        <w:tc>
          <w:tcPr>
            <w:tcW w:w="2436" w:type="dxa"/>
            <w:shd w:val="clear" w:color="auto" w:fill="auto"/>
          </w:tcPr>
          <w:p w14:paraId="04E446C2" w14:textId="02EC7ADC" w:rsidR="008D2CBF" w:rsidRPr="005447FE" w:rsidRDefault="008D2CBF" w:rsidP="008D2CBF">
            <w:pPr>
              <w:pStyle w:val="TableText"/>
              <w:rPr>
                <w:lang w:val="en-US"/>
              </w:rPr>
            </w:pPr>
            <w:r w:rsidRPr="00FB2BB5">
              <w:rPr>
                <w:lang w:val="en-US"/>
              </w:rPr>
              <w:t xml:space="preserve">Progress on the implementation of the </w:t>
            </w:r>
            <w:r>
              <w:rPr>
                <w:lang w:val="en-US"/>
              </w:rPr>
              <w:t xml:space="preserve">WIPO </w:t>
            </w:r>
            <w:r w:rsidRPr="00FB2BB5">
              <w:rPr>
                <w:lang w:val="en-US"/>
              </w:rPr>
              <w:t>IP</w:t>
            </w:r>
            <w:r>
              <w:rPr>
                <w:lang w:val="en-US"/>
              </w:rPr>
              <w:t xml:space="preserve"> Gender Action Plan (IPGAP)</w:t>
            </w:r>
            <w:r w:rsidR="00EC58F3">
              <w:rPr>
                <w:lang w:val="en-US"/>
              </w:rPr>
              <w:t xml:space="preserve"> </w:t>
            </w:r>
            <w:r w:rsidR="00EC58F3" w:rsidRPr="006772B2">
              <w:rPr>
                <w:lang w:val="en-US"/>
              </w:rPr>
              <w:t>and any future revisions</w:t>
            </w:r>
          </w:p>
        </w:tc>
        <w:tc>
          <w:tcPr>
            <w:tcW w:w="2436" w:type="dxa"/>
            <w:shd w:val="clear" w:color="auto" w:fill="auto"/>
          </w:tcPr>
          <w:p w14:paraId="447B43C3" w14:textId="77777777" w:rsidR="008D2CBF" w:rsidRPr="00833A39" w:rsidRDefault="008D2CBF" w:rsidP="008D2CBF">
            <w:pPr>
              <w:pStyle w:val="TableText"/>
              <w:rPr>
                <w:color w:val="FF0000"/>
                <w:lang w:val="en-US"/>
              </w:rPr>
            </w:pPr>
            <w:r>
              <w:rPr>
                <w:lang w:val="en-US"/>
              </w:rPr>
              <w:t>Not available</w:t>
            </w:r>
          </w:p>
        </w:tc>
        <w:tc>
          <w:tcPr>
            <w:tcW w:w="2396" w:type="dxa"/>
            <w:shd w:val="clear" w:color="auto" w:fill="auto"/>
          </w:tcPr>
          <w:p w14:paraId="47E36E06" w14:textId="77777777" w:rsidR="008D2CBF" w:rsidRPr="00833A39" w:rsidRDefault="008D2CBF" w:rsidP="008D2CBF">
            <w:pPr>
              <w:pStyle w:val="TableText"/>
              <w:rPr>
                <w:color w:val="FF0000"/>
                <w:lang w:val="en-US"/>
              </w:rPr>
            </w:pPr>
            <w:r w:rsidRPr="00A72B25">
              <w:rPr>
                <w:lang w:val="en-US"/>
              </w:rPr>
              <w:t>tbd</w:t>
            </w:r>
          </w:p>
        </w:tc>
      </w:tr>
      <w:tr w:rsidR="008D2CBF" w:rsidRPr="00D350B5" w14:paraId="2DB64307" w14:textId="77777777" w:rsidTr="008D2CBF">
        <w:trPr>
          <w:cantSplit/>
          <w:trHeight w:val="427"/>
        </w:trPr>
        <w:tc>
          <w:tcPr>
            <w:tcW w:w="2435" w:type="dxa"/>
            <w:shd w:val="clear" w:color="auto" w:fill="EDF0F3" w:themeFill="accent4" w:themeFillTint="33"/>
          </w:tcPr>
          <w:p w14:paraId="672DFA26" w14:textId="77777777" w:rsidR="008D2CBF" w:rsidRDefault="008D2CBF" w:rsidP="008D2CBF">
            <w:pPr>
              <w:pStyle w:val="TableTextBold"/>
              <w:rPr>
                <w:rStyle w:val="charColoured"/>
              </w:rPr>
            </w:pPr>
            <w:r>
              <w:rPr>
                <w:b w:val="0"/>
                <w:i/>
                <w:color w:val="005172" w:themeColor="text2"/>
                <w:lang w:val="en-US"/>
              </w:rPr>
              <w:t>Foundation</w:t>
            </w:r>
          </w:p>
        </w:tc>
        <w:tc>
          <w:tcPr>
            <w:tcW w:w="7268" w:type="dxa"/>
            <w:gridSpan w:val="3"/>
            <w:shd w:val="clear" w:color="auto" w:fill="EDF0F3" w:themeFill="accent4" w:themeFillTint="33"/>
          </w:tcPr>
          <w:p w14:paraId="69E267D5" w14:textId="77777777" w:rsidR="008D2CBF" w:rsidRPr="007737C2" w:rsidRDefault="008D2CBF" w:rsidP="008D2CBF">
            <w:pPr>
              <w:pStyle w:val="TableText"/>
              <w:rPr>
                <w:lang w:val="en-US"/>
              </w:rPr>
            </w:pPr>
            <w:r w:rsidRPr="009C3D9E">
              <w:rPr>
                <w:i/>
                <w:color w:val="005172" w:themeColor="text2"/>
                <w:lang w:val="en-US"/>
              </w:rPr>
              <w:t>Empower our people to work effectively, collaboratively and innovatively by providing them with the right resources, training and environment</w:t>
            </w:r>
          </w:p>
        </w:tc>
      </w:tr>
      <w:tr w:rsidR="008D2CBF" w:rsidRPr="00D350B5" w14:paraId="74C6323C" w14:textId="77777777" w:rsidTr="008D2CBF">
        <w:trPr>
          <w:cantSplit/>
          <w:trHeight w:val="194"/>
        </w:trPr>
        <w:tc>
          <w:tcPr>
            <w:tcW w:w="2435" w:type="dxa"/>
            <w:vMerge w:val="restart"/>
            <w:shd w:val="clear" w:color="auto" w:fill="auto"/>
          </w:tcPr>
          <w:p w14:paraId="4436258E" w14:textId="1CF2935F" w:rsidR="008D2CBF" w:rsidRDefault="009740EF" w:rsidP="008D2CBF">
            <w:pPr>
              <w:pStyle w:val="TableTextBold"/>
              <w:rPr>
                <w:rStyle w:val="charColoured"/>
              </w:rPr>
            </w:pPr>
            <w:r>
              <w:rPr>
                <w:rStyle w:val="charColoured"/>
              </w:rPr>
              <w:t xml:space="preserve">5.1  </w:t>
            </w:r>
            <w:r w:rsidRPr="000B735E">
              <w:rPr>
                <w:lang w:val="en-US"/>
              </w:rPr>
              <w:t xml:space="preserve">A Secretariat that is empowered through a </w:t>
            </w:r>
            <w:r w:rsidRPr="00793B5D">
              <w:rPr>
                <w:lang w:val="en-US"/>
              </w:rPr>
              <w:t>dynamic corporate culture and is provided with the right resources and training to work effectively, collaboratively and innovatively</w:t>
            </w:r>
          </w:p>
        </w:tc>
        <w:tc>
          <w:tcPr>
            <w:tcW w:w="2436" w:type="dxa"/>
            <w:shd w:val="clear" w:color="auto" w:fill="auto"/>
          </w:tcPr>
          <w:p w14:paraId="6C4B9366" w14:textId="77777777" w:rsidR="008D2CBF" w:rsidRPr="00D350B5" w:rsidRDefault="008D2CBF" w:rsidP="008D2CBF">
            <w:pPr>
              <w:pStyle w:val="TableText"/>
              <w:rPr>
                <w:lang w:val="en-US"/>
              </w:rPr>
            </w:pPr>
            <w:r w:rsidRPr="000B735E">
              <w:rPr>
                <w:lang w:val="en-US"/>
              </w:rPr>
              <w:t>Employee Engagement</w:t>
            </w:r>
            <w:r w:rsidRPr="002527DD">
              <w:rPr>
                <w:lang w:val="en-US"/>
              </w:rPr>
              <w:t>: % of satisfaction working at WIPO</w:t>
            </w:r>
          </w:p>
        </w:tc>
        <w:tc>
          <w:tcPr>
            <w:tcW w:w="2436" w:type="dxa"/>
            <w:shd w:val="clear" w:color="auto" w:fill="auto"/>
          </w:tcPr>
          <w:p w14:paraId="2A628F97" w14:textId="77777777" w:rsidR="008D2CBF" w:rsidRPr="00D350B5" w:rsidRDefault="008D2CBF" w:rsidP="008D2CBF">
            <w:pPr>
              <w:pStyle w:val="TableText"/>
              <w:rPr>
                <w:lang w:val="en-US"/>
              </w:rPr>
            </w:pPr>
            <w:r>
              <w:rPr>
                <w:lang w:val="en-US"/>
              </w:rPr>
              <w:t>e-Sat: 74 (2020/21)</w:t>
            </w:r>
          </w:p>
        </w:tc>
        <w:tc>
          <w:tcPr>
            <w:tcW w:w="2396" w:type="dxa"/>
            <w:shd w:val="clear" w:color="auto" w:fill="auto"/>
          </w:tcPr>
          <w:p w14:paraId="222B5E1D" w14:textId="77777777" w:rsidR="008D2CBF" w:rsidRPr="00D350B5" w:rsidRDefault="008D2CBF" w:rsidP="008D2CBF">
            <w:pPr>
              <w:pStyle w:val="TableText"/>
              <w:rPr>
                <w:lang w:val="en-US"/>
              </w:rPr>
            </w:pPr>
            <w:r w:rsidRPr="002F1B0D">
              <w:rPr>
                <w:szCs w:val="16"/>
              </w:rPr>
              <w:t>Improvement over previous survey</w:t>
            </w:r>
          </w:p>
        </w:tc>
      </w:tr>
      <w:tr w:rsidR="00407EAB" w:rsidRPr="00D350B5" w14:paraId="11620F9A" w14:textId="77777777" w:rsidTr="001C7CF9">
        <w:trPr>
          <w:cantSplit/>
          <w:trHeight w:val="168"/>
        </w:trPr>
        <w:tc>
          <w:tcPr>
            <w:tcW w:w="2435" w:type="dxa"/>
            <w:vMerge/>
            <w:shd w:val="clear" w:color="auto" w:fill="auto"/>
          </w:tcPr>
          <w:p w14:paraId="72820E5F" w14:textId="77777777" w:rsidR="00407EAB" w:rsidRDefault="00407EAB" w:rsidP="009719EF">
            <w:pPr>
              <w:pStyle w:val="TableTextBold"/>
              <w:rPr>
                <w:rStyle w:val="charColoured"/>
              </w:rPr>
            </w:pPr>
          </w:p>
        </w:tc>
        <w:tc>
          <w:tcPr>
            <w:tcW w:w="2436" w:type="dxa"/>
            <w:shd w:val="clear" w:color="auto" w:fill="auto"/>
          </w:tcPr>
          <w:p w14:paraId="026E45FB" w14:textId="474FB753" w:rsidR="00407EAB" w:rsidRPr="00D350B5" w:rsidRDefault="00407EAB" w:rsidP="009719EF">
            <w:pPr>
              <w:pStyle w:val="TableText"/>
              <w:rPr>
                <w:lang w:val="en-US"/>
              </w:rPr>
            </w:pPr>
            <w:r w:rsidRPr="000B735E">
              <w:rPr>
                <w:lang w:val="en-US"/>
              </w:rPr>
              <w:t>Gender : % of women at P4 to D2 level</w:t>
            </w:r>
          </w:p>
        </w:tc>
        <w:tc>
          <w:tcPr>
            <w:tcW w:w="2436" w:type="dxa"/>
            <w:shd w:val="clear" w:color="auto" w:fill="auto"/>
          </w:tcPr>
          <w:p w14:paraId="5B7F5E36" w14:textId="77777777" w:rsidR="00407EAB" w:rsidRPr="00D350B5" w:rsidRDefault="00407EAB" w:rsidP="009719EF">
            <w:pPr>
              <w:pStyle w:val="TableText"/>
              <w:rPr>
                <w:lang w:val="en-US"/>
              </w:rPr>
            </w:pPr>
            <w:r>
              <w:rPr>
                <w:lang w:val="en-US"/>
              </w:rPr>
              <w:t xml:space="preserve">P4 - </w:t>
            </w:r>
            <w:r w:rsidRPr="00982353">
              <w:rPr>
                <w:lang w:val="en-US"/>
              </w:rPr>
              <w:t>50.5%</w:t>
            </w:r>
          </w:p>
        </w:tc>
        <w:tc>
          <w:tcPr>
            <w:tcW w:w="2396" w:type="dxa"/>
            <w:vMerge w:val="restart"/>
            <w:shd w:val="clear" w:color="auto" w:fill="auto"/>
          </w:tcPr>
          <w:p w14:paraId="4B6A88FD" w14:textId="77777777" w:rsidR="00407EAB" w:rsidRPr="00F34506" w:rsidRDefault="00407EAB" w:rsidP="00F34506">
            <w:pPr>
              <w:pStyle w:val="TableText"/>
              <w:rPr>
                <w:lang w:val="en-US"/>
              </w:rPr>
            </w:pPr>
            <w:r w:rsidRPr="00F34506">
              <w:rPr>
                <w:lang w:val="en-US"/>
              </w:rPr>
              <w:t>Improvement over the last biennium towards gender equality</w:t>
            </w:r>
          </w:p>
          <w:p w14:paraId="404E2805" w14:textId="09C9DBEB" w:rsidR="00407EAB" w:rsidRPr="00EA1593" w:rsidRDefault="00407EAB" w:rsidP="009719EF">
            <w:pPr>
              <w:pStyle w:val="TableText"/>
              <w:rPr>
                <w:lang w:val="en-US"/>
              </w:rPr>
            </w:pPr>
          </w:p>
        </w:tc>
      </w:tr>
      <w:tr w:rsidR="00407EAB" w:rsidRPr="00D350B5" w14:paraId="65D79816" w14:textId="77777777" w:rsidTr="001C7CF9">
        <w:trPr>
          <w:cantSplit/>
          <w:trHeight w:val="186"/>
        </w:trPr>
        <w:tc>
          <w:tcPr>
            <w:tcW w:w="2435" w:type="dxa"/>
            <w:vMerge/>
            <w:shd w:val="clear" w:color="auto" w:fill="auto"/>
          </w:tcPr>
          <w:p w14:paraId="79FD3ADE" w14:textId="77777777" w:rsidR="00407EAB" w:rsidRDefault="00407EAB" w:rsidP="009719EF">
            <w:pPr>
              <w:pStyle w:val="TableTextBold"/>
              <w:rPr>
                <w:rStyle w:val="charColoured"/>
              </w:rPr>
            </w:pPr>
          </w:p>
        </w:tc>
        <w:tc>
          <w:tcPr>
            <w:tcW w:w="2436" w:type="dxa"/>
            <w:shd w:val="clear" w:color="auto" w:fill="auto"/>
          </w:tcPr>
          <w:p w14:paraId="02C85222" w14:textId="77777777" w:rsidR="00407EAB" w:rsidRPr="000B735E" w:rsidRDefault="00407EAB" w:rsidP="009719EF">
            <w:pPr>
              <w:pStyle w:val="TableText"/>
              <w:rPr>
                <w:lang w:val="en-US"/>
              </w:rPr>
            </w:pPr>
          </w:p>
        </w:tc>
        <w:tc>
          <w:tcPr>
            <w:tcW w:w="2436" w:type="dxa"/>
            <w:shd w:val="clear" w:color="auto" w:fill="auto"/>
          </w:tcPr>
          <w:p w14:paraId="5A03A303" w14:textId="77777777" w:rsidR="00407EAB" w:rsidRPr="00D350B5" w:rsidRDefault="00407EAB" w:rsidP="009719EF">
            <w:pPr>
              <w:pStyle w:val="TableText"/>
              <w:rPr>
                <w:lang w:val="en-US"/>
              </w:rPr>
            </w:pPr>
            <w:r>
              <w:rPr>
                <w:lang w:val="en-US"/>
              </w:rPr>
              <w:t xml:space="preserve">P5 - </w:t>
            </w:r>
            <w:r w:rsidRPr="00982353">
              <w:rPr>
                <w:lang w:val="en-US"/>
              </w:rPr>
              <w:t>28.</w:t>
            </w:r>
            <w:r>
              <w:rPr>
                <w:lang w:val="en-US"/>
              </w:rPr>
              <w:t>8</w:t>
            </w:r>
            <w:r w:rsidRPr="00982353">
              <w:rPr>
                <w:lang w:val="en-US"/>
              </w:rPr>
              <w:t>%</w:t>
            </w:r>
          </w:p>
        </w:tc>
        <w:tc>
          <w:tcPr>
            <w:tcW w:w="2396" w:type="dxa"/>
            <w:vMerge/>
            <w:shd w:val="clear" w:color="auto" w:fill="auto"/>
          </w:tcPr>
          <w:p w14:paraId="5891A0ED" w14:textId="6BD35FDA" w:rsidR="00407EAB" w:rsidRPr="00EA1593" w:rsidRDefault="00407EAB" w:rsidP="009719EF">
            <w:pPr>
              <w:pStyle w:val="TableText"/>
              <w:rPr>
                <w:lang w:val="en-US"/>
              </w:rPr>
            </w:pPr>
          </w:p>
        </w:tc>
      </w:tr>
      <w:tr w:rsidR="00407EAB" w:rsidRPr="00D350B5" w14:paraId="22E1028B" w14:textId="77777777" w:rsidTr="001C7CF9">
        <w:trPr>
          <w:cantSplit/>
          <w:trHeight w:val="195"/>
        </w:trPr>
        <w:tc>
          <w:tcPr>
            <w:tcW w:w="2435" w:type="dxa"/>
            <w:vMerge/>
            <w:shd w:val="clear" w:color="auto" w:fill="auto"/>
          </w:tcPr>
          <w:p w14:paraId="1AF264BA" w14:textId="77777777" w:rsidR="00407EAB" w:rsidRDefault="00407EAB" w:rsidP="009719EF">
            <w:pPr>
              <w:pStyle w:val="TableTextBold"/>
              <w:rPr>
                <w:rStyle w:val="charColoured"/>
              </w:rPr>
            </w:pPr>
          </w:p>
        </w:tc>
        <w:tc>
          <w:tcPr>
            <w:tcW w:w="2436" w:type="dxa"/>
            <w:shd w:val="clear" w:color="auto" w:fill="auto"/>
          </w:tcPr>
          <w:p w14:paraId="600EFA27" w14:textId="77777777" w:rsidR="00407EAB" w:rsidRPr="000B735E" w:rsidRDefault="00407EAB" w:rsidP="009719EF">
            <w:pPr>
              <w:pStyle w:val="TableText"/>
              <w:rPr>
                <w:lang w:val="en-US"/>
              </w:rPr>
            </w:pPr>
          </w:p>
        </w:tc>
        <w:tc>
          <w:tcPr>
            <w:tcW w:w="2436" w:type="dxa"/>
            <w:shd w:val="clear" w:color="auto" w:fill="auto"/>
          </w:tcPr>
          <w:p w14:paraId="399F880E" w14:textId="77777777" w:rsidR="00407EAB" w:rsidRPr="00D350B5" w:rsidRDefault="00407EAB" w:rsidP="009719EF">
            <w:pPr>
              <w:pStyle w:val="TableText"/>
              <w:rPr>
                <w:lang w:val="en-US"/>
              </w:rPr>
            </w:pPr>
            <w:r>
              <w:rPr>
                <w:lang w:val="en-US"/>
              </w:rPr>
              <w:t xml:space="preserve">D1 - </w:t>
            </w:r>
            <w:r w:rsidRPr="00982353">
              <w:rPr>
                <w:lang w:val="en-US"/>
              </w:rPr>
              <w:t>34.4%</w:t>
            </w:r>
          </w:p>
        </w:tc>
        <w:tc>
          <w:tcPr>
            <w:tcW w:w="2396" w:type="dxa"/>
            <w:vMerge/>
            <w:shd w:val="clear" w:color="auto" w:fill="auto"/>
          </w:tcPr>
          <w:p w14:paraId="38334B6A" w14:textId="3A44E01F" w:rsidR="00407EAB" w:rsidRPr="00EA1593" w:rsidRDefault="00407EAB" w:rsidP="009719EF">
            <w:pPr>
              <w:pStyle w:val="TableText"/>
              <w:rPr>
                <w:lang w:val="en-US"/>
              </w:rPr>
            </w:pPr>
          </w:p>
        </w:tc>
      </w:tr>
      <w:tr w:rsidR="00407EAB" w:rsidRPr="00D350B5" w14:paraId="7611196A" w14:textId="77777777" w:rsidTr="00721D32">
        <w:trPr>
          <w:cantSplit/>
          <w:trHeight w:val="222"/>
        </w:trPr>
        <w:tc>
          <w:tcPr>
            <w:tcW w:w="2435" w:type="dxa"/>
            <w:vMerge/>
            <w:shd w:val="clear" w:color="auto" w:fill="auto"/>
          </w:tcPr>
          <w:p w14:paraId="2D2B4A97" w14:textId="77777777" w:rsidR="00407EAB" w:rsidRDefault="00407EAB" w:rsidP="009719EF">
            <w:pPr>
              <w:pStyle w:val="TableTextBold"/>
              <w:rPr>
                <w:rStyle w:val="charColoured"/>
              </w:rPr>
            </w:pPr>
          </w:p>
        </w:tc>
        <w:tc>
          <w:tcPr>
            <w:tcW w:w="2436" w:type="dxa"/>
            <w:shd w:val="clear" w:color="auto" w:fill="auto"/>
          </w:tcPr>
          <w:p w14:paraId="70D95041" w14:textId="77777777" w:rsidR="00407EAB" w:rsidRPr="000B735E" w:rsidRDefault="00407EAB" w:rsidP="009719EF">
            <w:pPr>
              <w:pStyle w:val="TableText"/>
              <w:rPr>
                <w:lang w:val="en-US"/>
              </w:rPr>
            </w:pPr>
          </w:p>
        </w:tc>
        <w:tc>
          <w:tcPr>
            <w:tcW w:w="2436" w:type="dxa"/>
            <w:shd w:val="clear" w:color="auto" w:fill="auto"/>
          </w:tcPr>
          <w:p w14:paraId="5BE8BFCD" w14:textId="77777777" w:rsidR="00407EAB" w:rsidRPr="00D350B5" w:rsidRDefault="00407EAB" w:rsidP="009719EF">
            <w:pPr>
              <w:pStyle w:val="TableText"/>
              <w:rPr>
                <w:lang w:val="en-US"/>
              </w:rPr>
            </w:pPr>
            <w:r>
              <w:rPr>
                <w:lang w:val="en-US"/>
              </w:rPr>
              <w:t xml:space="preserve">D2 - </w:t>
            </w:r>
            <w:r w:rsidRPr="00982353">
              <w:rPr>
                <w:lang w:val="en-US"/>
              </w:rPr>
              <w:t>18.2%</w:t>
            </w:r>
          </w:p>
        </w:tc>
        <w:tc>
          <w:tcPr>
            <w:tcW w:w="2396" w:type="dxa"/>
            <w:vMerge/>
            <w:shd w:val="clear" w:color="auto" w:fill="auto"/>
          </w:tcPr>
          <w:p w14:paraId="0B1314C9" w14:textId="15D6A68B" w:rsidR="00407EAB" w:rsidRPr="00EA1593" w:rsidRDefault="00407EAB" w:rsidP="009719EF">
            <w:pPr>
              <w:pStyle w:val="TableText"/>
              <w:rPr>
                <w:lang w:val="en-US"/>
              </w:rPr>
            </w:pPr>
          </w:p>
        </w:tc>
      </w:tr>
      <w:tr w:rsidR="008D2CBF" w:rsidRPr="00D350B5" w14:paraId="4BE58E35" w14:textId="77777777" w:rsidTr="00721D32">
        <w:trPr>
          <w:cantSplit/>
          <w:trHeight w:val="393"/>
        </w:trPr>
        <w:tc>
          <w:tcPr>
            <w:tcW w:w="2435" w:type="dxa"/>
            <w:vMerge/>
            <w:shd w:val="clear" w:color="auto" w:fill="auto"/>
          </w:tcPr>
          <w:p w14:paraId="0908F2C5" w14:textId="77777777" w:rsidR="008D2CBF" w:rsidRPr="00882348" w:rsidRDefault="008D2CBF" w:rsidP="008D2CBF">
            <w:pPr>
              <w:pStyle w:val="TableTextBold"/>
              <w:rPr>
                <w:rStyle w:val="charColoured"/>
              </w:rPr>
            </w:pPr>
          </w:p>
        </w:tc>
        <w:tc>
          <w:tcPr>
            <w:tcW w:w="2436" w:type="dxa"/>
            <w:shd w:val="clear" w:color="auto" w:fill="auto"/>
          </w:tcPr>
          <w:p w14:paraId="37561B66" w14:textId="77777777" w:rsidR="008D2CBF" w:rsidRPr="00882348" w:rsidRDefault="008D2CBF" w:rsidP="008D2CBF">
            <w:pPr>
              <w:pStyle w:val="TableText"/>
              <w:rPr>
                <w:lang w:val="en-US"/>
              </w:rPr>
            </w:pPr>
            <w:r w:rsidRPr="00FB2BB5">
              <w:rPr>
                <w:lang w:val="en-US"/>
              </w:rPr>
              <w:t>Progress on the implementation of</w:t>
            </w:r>
            <w:r>
              <w:rPr>
                <w:lang w:val="en-US"/>
              </w:rPr>
              <w:t xml:space="preserve"> the WIPO</w:t>
            </w:r>
            <w:r w:rsidRPr="00FB2BB5">
              <w:rPr>
                <w:lang w:val="en-US"/>
              </w:rPr>
              <w:t xml:space="preserve"> </w:t>
            </w:r>
            <w:r w:rsidRPr="00822978">
              <w:rPr>
                <w:lang w:val="en-US"/>
              </w:rPr>
              <w:t>Disability Inclusion Strategy</w:t>
            </w:r>
          </w:p>
        </w:tc>
        <w:tc>
          <w:tcPr>
            <w:tcW w:w="2436" w:type="dxa"/>
            <w:shd w:val="clear" w:color="auto" w:fill="auto"/>
          </w:tcPr>
          <w:p w14:paraId="7D65FBDB" w14:textId="77777777" w:rsidR="008D2CBF" w:rsidRPr="00D350B5" w:rsidRDefault="008D2CBF" w:rsidP="008D2CBF">
            <w:pPr>
              <w:pStyle w:val="TableText"/>
              <w:rPr>
                <w:lang w:val="en-US"/>
              </w:rPr>
            </w:pPr>
            <w:r>
              <w:rPr>
                <w:lang w:val="en-US"/>
              </w:rPr>
              <w:t>Not available</w:t>
            </w:r>
          </w:p>
        </w:tc>
        <w:tc>
          <w:tcPr>
            <w:tcW w:w="2396" w:type="dxa"/>
            <w:shd w:val="clear" w:color="auto" w:fill="auto"/>
          </w:tcPr>
          <w:p w14:paraId="4C7BFEAA" w14:textId="77777777" w:rsidR="008D2CBF" w:rsidRPr="007B2AD7" w:rsidRDefault="008D2CBF" w:rsidP="008D2CBF">
            <w:pPr>
              <w:pStyle w:val="TableText"/>
              <w:rPr>
                <w:highlight w:val="yellow"/>
                <w:lang w:val="en-US"/>
              </w:rPr>
            </w:pPr>
            <w:r w:rsidRPr="007B2AD7">
              <w:rPr>
                <w:lang w:val="en-US"/>
              </w:rPr>
              <w:t>tbd</w:t>
            </w:r>
          </w:p>
        </w:tc>
      </w:tr>
      <w:tr w:rsidR="008D2CBF" w:rsidRPr="00D350B5" w14:paraId="7FFDC9DE" w14:textId="77777777" w:rsidTr="002356E0">
        <w:trPr>
          <w:cantSplit/>
          <w:trHeight w:val="357"/>
        </w:trPr>
        <w:tc>
          <w:tcPr>
            <w:tcW w:w="2435" w:type="dxa"/>
            <w:vMerge/>
            <w:shd w:val="clear" w:color="auto" w:fill="auto"/>
          </w:tcPr>
          <w:p w14:paraId="408D67E9" w14:textId="77777777" w:rsidR="008D2CBF" w:rsidRPr="00882348" w:rsidRDefault="008D2CBF" w:rsidP="008D2CBF">
            <w:pPr>
              <w:pStyle w:val="TableTextBold"/>
              <w:rPr>
                <w:rStyle w:val="charColoured"/>
              </w:rPr>
            </w:pPr>
          </w:p>
        </w:tc>
        <w:tc>
          <w:tcPr>
            <w:tcW w:w="2436" w:type="dxa"/>
            <w:shd w:val="clear" w:color="auto" w:fill="auto"/>
          </w:tcPr>
          <w:p w14:paraId="0BD83BA0" w14:textId="77777777" w:rsidR="008D2CBF" w:rsidRPr="00882348" w:rsidRDefault="008D2CBF" w:rsidP="008D2CBF">
            <w:pPr>
              <w:pStyle w:val="TableText"/>
              <w:rPr>
                <w:lang w:val="en-US"/>
              </w:rPr>
            </w:pPr>
            <w:r w:rsidRPr="005D3E1E">
              <w:rPr>
                <w:lang w:val="en-US"/>
              </w:rPr>
              <w:t>% of UN SWAP requirements met or exceeded</w:t>
            </w:r>
          </w:p>
        </w:tc>
        <w:tc>
          <w:tcPr>
            <w:tcW w:w="2436" w:type="dxa"/>
            <w:shd w:val="clear" w:color="auto" w:fill="auto"/>
          </w:tcPr>
          <w:p w14:paraId="017424C6" w14:textId="77777777" w:rsidR="008D2CBF" w:rsidRPr="00D350B5" w:rsidRDefault="008D2CBF" w:rsidP="008D2CBF">
            <w:pPr>
              <w:pStyle w:val="TableText"/>
              <w:rPr>
                <w:lang w:val="en-US"/>
              </w:rPr>
            </w:pPr>
            <w:r>
              <w:rPr>
                <w:lang w:val="en-US"/>
              </w:rPr>
              <w:t>50%</w:t>
            </w:r>
          </w:p>
        </w:tc>
        <w:tc>
          <w:tcPr>
            <w:tcW w:w="2396" w:type="dxa"/>
            <w:shd w:val="clear" w:color="auto" w:fill="auto"/>
          </w:tcPr>
          <w:p w14:paraId="5FB36385" w14:textId="4C0DD8A7" w:rsidR="008D2CBF" w:rsidRPr="007B2AD7" w:rsidRDefault="0020020F" w:rsidP="0020020F">
            <w:pPr>
              <w:pStyle w:val="TableText"/>
              <w:rPr>
                <w:highlight w:val="yellow"/>
                <w:lang w:val="en-US"/>
              </w:rPr>
            </w:pPr>
            <w:r w:rsidRPr="0020020F">
              <w:rPr>
                <w:lang w:val="en-US"/>
              </w:rPr>
              <w:t>70%</w:t>
            </w:r>
          </w:p>
        </w:tc>
      </w:tr>
      <w:tr w:rsidR="008D2CBF" w:rsidRPr="00D350B5" w14:paraId="36B00485" w14:textId="77777777" w:rsidTr="002356E0">
        <w:trPr>
          <w:cantSplit/>
          <w:trHeight w:val="194"/>
        </w:trPr>
        <w:tc>
          <w:tcPr>
            <w:tcW w:w="2435" w:type="dxa"/>
            <w:vMerge w:val="restart"/>
            <w:shd w:val="clear" w:color="auto" w:fill="auto"/>
          </w:tcPr>
          <w:p w14:paraId="46364C2C" w14:textId="5F568C67" w:rsidR="008D2CBF" w:rsidRDefault="008D2CBF" w:rsidP="008D2CBF">
            <w:pPr>
              <w:pStyle w:val="TableTextBold"/>
              <w:rPr>
                <w:rStyle w:val="charColoured"/>
              </w:rPr>
            </w:pPr>
          </w:p>
        </w:tc>
        <w:tc>
          <w:tcPr>
            <w:tcW w:w="2436" w:type="dxa"/>
            <w:shd w:val="clear" w:color="auto" w:fill="auto"/>
          </w:tcPr>
          <w:p w14:paraId="2C151E02" w14:textId="77777777" w:rsidR="008D2CBF" w:rsidRPr="003638D1" w:rsidDel="002527DD" w:rsidRDefault="008D2CBF" w:rsidP="008D2CBF">
            <w:pPr>
              <w:pStyle w:val="TableText"/>
            </w:pPr>
            <w:r w:rsidRPr="00882348">
              <w:rPr>
                <w:lang w:val="en-US"/>
              </w:rPr>
              <w:t xml:space="preserve">Geographical </w:t>
            </w:r>
            <w:r>
              <w:rPr>
                <w:lang w:val="en-US"/>
              </w:rPr>
              <w:t>Diversity</w:t>
            </w:r>
            <w:r w:rsidRPr="00882348">
              <w:rPr>
                <w:lang w:val="en-US"/>
              </w:rPr>
              <w:t xml:space="preserve">: </w:t>
            </w:r>
            <w:r w:rsidRPr="003638D1">
              <w:rPr>
                <w:lang w:val="en-US"/>
              </w:rPr>
              <w:t>% per region as per 1975 Accord</w:t>
            </w:r>
          </w:p>
        </w:tc>
        <w:tc>
          <w:tcPr>
            <w:tcW w:w="2436" w:type="dxa"/>
            <w:shd w:val="clear" w:color="auto" w:fill="auto"/>
          </w:tcPr>
          <w:p w14:paraId="412D0D64" w14:textId="77777777" w:rsidR="008D2CBF" w:rsidRPr="00D350B5" w:rsidRDefault="008D2CBF" w:rsidP="008D2CBF">
            <w:pPr>
              <w:pStyle w:val="TableText"/>
              <w:rPr>
                <w:lang w:val="en-US"/>
              </w:rPr>
            </w:pPr>
            <w:r w:rsidRPr="004A6253">
              <w:rPr>
                <w:szCs w:val="16"/>
                <w:lang w:val="en-US"/>
              </w:rPr>
              <w:t xml:space="preserve">Africa: </w:t>
            </w:r>
            <w:r>
              <w:rPr>
                <w:szCs w:val="16"/>
                <w:lang w:val="en-US"/>
              </w:rPr>
              <w:t>11.2</w:t>
            </w:r>
            <w:r w:rsidRPr="004A6253">
              <w:rPr>
                <w:szCs w:val="16"/>
                <w:lang w:val="en-US"/>
              </w:rPr>
              <w:t>%</w:t>
            </w:r>
          </w:p>
        </w:tc>
        <w:tc>
          <w:tcPr>
            <w:tcW w:w="2396" w:type="dxa"/>
            <w:vMerge w:val="restart"/>
            <w:shd w:val="clear" w:color="auto" w:fill="auto"/>
          </w:tcPr>
          <w:p w14:paraId="786786EC" w14:textId="77777777" w:rsidR="008D2CBF" w:rsidRPr="00D350B5" w:rsidRDefault="008D2CBF" w:rsidP="008D2CBF">
            <w:pPr>
              <w:pStyle w:val="TableText"/>
              <w:rPr>
                <w:lang w:val="en-US"/>
              </w:rPr>
            </w:pPr>
            <w:r w:rsidRPr="004A6253">
              <w:rPr>
                <w:szCs w:val="16"/>
                <w:lang w:val="en-US"/>
              </w:rPr>
              <w:t>Agreement among Member States on WIPO's policy on geographical distribution</w:t>
            </w:r>
          </w:p>
        </w:tc>
      </w:tr>
      <w:tr w:rsidR="008D2CBF" w:rsidRPr="00D350B5" w14:paraId="54AF6274" w14:textId="77777777" w:rsidTr="008D2CBF">
        <w:trPr>
          <w:cantSplit/>
          <w:trHeight w:val="213"/>
        </w:trPr>
        <w:tc>
          <w:tcPr>
            <w:tcW w:w="2435" w:type="dxa"/>
            <w:vMerge/>
            <w:shd w:val="clear" w:color="auto" w:fill="auto"/>
          </w:tcPr>
          <w:p w14:paraId="19AA34AA" w14:textId="77777777" w:rsidR="008D2CBF" w:rsidRPr="00882348" w:rsidRDefault="008D2CBF" w:rsidP="008D2CBF">
            <w:pPr>
              <w:pStyle w:val="TableTextBold"/>
              <w:rPr>
                <w:rStyle w:val="charColoured"/>
              </w:rPr>
            </w:pPr>
          </w:p>
        </w:tc>
        <w:tc>
          <w:tcPr>
            <w:tcW w:w="2436" w:type="dxa"/>
            <w:shd w:val="clear" w:color="auto" w:fill="auto"/>
          </w:tcPr>
          <w:p w14:paraId="31B32923" w14:textId="77777777" w:rsidR="008D2CBF" w:rsidRPr="00882348" w:rsidRDefault="008D2CBF" w:rsidP="008D2CBF">
            <w:pPr>
              <w:pStyle w:val="TableText"/>
              <w:rPr>
                <w:lang w:val="en-US"/>
              </w:rPr>
            </w:pPr>
          </w:p>
        </w:tc>
        <w:tc>
          <w:tcPr>
            <w:tcW w:w="2436" w:type="dxa"/>
            <w:shd w:val="clear" w:color="auto" w:fill="auto"/>
          </w:tcPr>
          <w:p w14:paraId="413DF337" w14:textId="77777777" w:rsidR="008D2CBF" w:rsidRPr="00D350B5" w:rsidRDefault="008D2CBF" w:rsidP="008D2CBF">
            <w:pPr>
              <w:pStyle w:val="TableText"/>
              <w:rPr>
                <w:lang w:val="en-US"/>
              </w:rPr>
            </w:pPr>
            <w:r w:rsidRPr="004A6253">
              <w:rPr>
                <w:szCs w:val="16"/>
                <w:lang w:val="en-US"/>
              </w:rPr>
              <w:t>Asia and th</w:t>
            </w:r>
            <w:r>
              <w:rPr>
                <w:szCs w:val="16"/>
                <w:lang w:val="en-US"/>
              </w:rPr>
              <w:t>e Pacific: 20.1</w:t>
            </w:r>
            <w:r w:rsidRPr="004A6253">
              <w:rPr>
                <w:szCs w:val="16"/>
                <w:lang w:val="en-US"/>
              </w:rPr>
              <w:t>%</w:t>
            </w:r>
          </w:p>
        </w:tc>
        <w:tc>
          <w:tcPr>
            <w:tcW w:w="2396" w:type="dxa"/>
            <w:vMerge/>
            <w:shd w:val="clear" w:color="auto" w:fill="auto"/>
          </w:tcPr>
          <w:p w14:paraId="00A8541C" w14:textId="77777777" w:rsidR="008D2CBF" w:rsidRPr="004A6253" w:rsidRDefault="008D2CBF" w:rsidP="008D2CBF">
            <w:pPr>
              <w:pStyle w:val="TableText"/>
              <w:rPr>
                <w:szCs w:val="16"/>
                <w:lang w:val="en-US"/>
              </w:rPr>
            </w:pPr>
          </w:p>
        </w:tc>
      </w:tr>
      <w:tr w:rsidR="008D2CBF" w:rsidRPr="00D350B5" w14:paraId="5C6D83B0" w14:textId="77777777" w:rsidTr="001C7CF9">
        <w:trPr>
          <w:cantSplit/>
          <w:trHeight w:val="177"/>
        </w:trPr>
        <w:tc>
          <w:tcPr>
            <w:tcW w:w="2435" w:type="dxa"/>
            <w:vMerge/>
            <w:shd w:val="clear" w:color="auto" w:fill="auto"/>
          </w:tcPr>
          <w:p w14:paraId="6760E364" w14:textId="77777777" w:rsidR="008D2CBF" w:rsidRPr="00882348" w:rsidRDefault="008D2CBF" w:rsidP="008D2CBF">
            <w:pPr>
              <w:pStyle w:val="TableTextBold"/>
              <w:rPr>
                <w:rStyle w:val="charColoured"/>
              </w:rPr>
            </w:pPr>
          </w:p>
        </w:tc>
        <w:tc>
          <w:tcPr>
            <w:tcW w:w="2436" w:type="dxa"/>
            <w:shd w:val="clear" w:color="auto" w:fill="auto"/>
          </w:tcPr>
          <w:p w14:paraId="0B00642C" w14:textId="77777777" w:rsidR="008D2CBF" w:rsidRPr="00882348" w:rsidRDefault="008D2CBF" w:rsidP="008D2CBF">
            <w:pPr>
              <w:pStyle w:val="TableText"/>
              <w:rPr>
                <w:lang w:val="en-US"/>
              </w:rPr>
            </w:pPr>
          </w:p>
        </w:tc>
        <w:tc>
          <w:tcPr>
            <w:tcW w:w="2436" w:type="dxa"/>
            <w:shd w:val="clear" w:color="auto" w:fill="auto"/>
          </w:tcPr>
          <w:p w14:paraId="290FB497" w14:textId="77777777" w:rsidR="008D2CBF" w:rsidRPr="00D350B5" w:rsidRDefault="008D2CBF" w:rsidP="008D2CBF">
            <w:pPr>
              <w:pStyle w:val="TableText"/>
              <w:rPr>
                <w:lang w:val="en-US"/>
              </w:rPr>
            </w:pPr>
            <w:r w:rsidRPr="004A6253">
              <w:rPr>
                <w:szCs w:val="16"/>
                <w:lang w:val="en-US"/>
              </w:rPr>
              <w:t>Eastern and Ce</w:t>
            </w:r>
            <w:r>
              <w:rPr>
                <w:szCs w:val="16"/>
                <w:lang w:val="en-US"/>
              </w:rPr>
              <w:t>ntral Europe &amp; Central Asia: 8.9</w:t>
            </w:r>
            <w:r w:rsidRPr="004A6253">
              <w:rPr>
                <w:szCs w:val="16"/>
                <w:lang w:val="en-US"/>
              </w:rPr>
              <w:t>%</w:t>
            </w:r>
          </w:p>
        </w:tc>
        <w:tc>
          <w:tcPr>
            <w:tcW w:w="2396" w:type="dxa"/>
            <w:vMerge/>
            <w:shd w:val="clear" w:color="auto" w:fill="auto"/>
          </w:tcPr>
          <w:p w14:paraId="5A8FDF11" w14:textId="77777777" w:rsidR="008D2CBF" w:rsidRPr="004A6253" w:rsidRDefault="008D2CBF" w:rsidP="008D2CBF">
            <w:pPr>
              <w:pStyle w:val="TableText"/>
              <w:rPr>
                <w:szCs w:val="16"/>
                <w:lang w:val="en-US"/>
              </w:rPr>
            </w:pPr>
          </w:p>
        </w:tc>
      </w:tr>
      <w:tr w:rsidR="008D2CBF" w:rsidRPr="00D350B5" w14:paraId="48FB723D" w14:textId="77777777" w:rsidTr="001C7CF9">
        <w:trPr>
          <w:cantSplit/>
          <w:trHeight w:val="159"/>
        </w:trPr>
        <w:tc>
          <w:tcPr>
            <w:tcW w:w="2435" w:type="dxa"/>
            <w:shd w:val="clear" w:color="auto" w:fill="auto"/>
          </w:tcPr>
          <w:p w14:paraId="7061E215" w14:textId="77777777" w:rsidR="008D2CBF" w:rsidRPr="00882348" w:rsidRDefault="008D2CBF" w:rsidP="008D2CBF">
            <w:pPr>
              <w:pStyle w:val="TableTextBold"/>
              <w:rPr>
                <w:rStyle w:val="charColoured"/>
              </w:rPr>
            </w:pPr>
          </w:p>
        </w:tc>
        <w:tc>
          <w:tcPr>
            <w:tcW w:w="2436" w:type="dxa"/>
            <w:shd w:val="clear" w:color="auto" w:fill="auto"/>
          </w:tcPr>
          <w:p w14:paraId="762B3616" w14:textId="77777777" w:rsidR="008D2CBF" w:rsidRPr="00882348" w:rsidRDefault="008D2CBF" w:rsidP="008D2CBF">
            <w:pPr>
              <w:pStyle w:val="TableText"/>
              <w:rPr>
                <w:lang w:val="en-US"/>
              </w:rPr>
            </w:pPr>
          </w:p>
        </w:tc>
        <w:tc>
          <w:tcPr>
            <w:tcW w:w="2436" w:type="dxa"/>
            <w:shd w:val="clear" w:color="auto" w:fill="auto"/>
          </w:tcPr>
          <w:p w14:paraId="72C6F0EF" w14:textId="77777777" w:rsidR="008D2CBF" w:rsidRPr="00D350B5" w:rsidRDefault="008D2CBF" w:rsidP="008D2CBF">
            <w:pPr>
              <w:pStyle w:val="TableText"/>
              <w:rPr>
                <w:lang w:val="en-US"/>
              </w:rPr>
            </w:pPr>
            <w:r w:rsidRPr="004A6253">
              <w:rPr>
                <w:szCs w:val="16"/>
                <w:lang w:val="en-US"/>
              </w:rPr>
              <w:t>Lati</w:t>
            </w:r>
            <w:r>
              <w:rPr>
                <w:szCs w:val="16"/>
                <w:lang w:val="en-US"/>
              </w:rPr>
              <w:t>n America and the Caribbean: 8.4</w:t>
            </w:r>
            <w:r w:rsidRPr="004A6253">
              <w:rPr>
                <w:szCs w:val="16"/>
                <w:lang w:val="en-US"/>
              </w:rPr>
              <w:t>%</w:t>
            </w:r>
          </w:p>
        </w:tc>
        <w:tc>
          <w:tcPr>
            <w:tcW w:w="2396" w:type="dxa"/>
            <w:shd w:val="clear" w:color="auto" w:fill="auto"/>
          </w:tcPr>
          <w:p w14:paraId="55160645" w14:textId="77777777" w:rsidR="008D2CBF" w:rsidRPr="004A6253" w:rsidRDefault="008D2CBF" w:rsidP="008D2CBF">
            <w:pPr>
              <w:pStyle w:val="TableText"/>
              <w:rPr>
                <w:szCs w:val="16"/>
                <w:lang w:val="en-US"/>
              </w:rPr>
            </w:pPr>
          </w:p>
        </w:tc>
      </w:tr>
      <w:tr w:rsidR="008D2CBF" w:rsidRPr="00D350B5" w14:paraId="56CB098A" w14:textId="77777777" w:rsidTr="001C7CF9">
        <w:trPr>
          <w:cantSplit/>
          <w:trHeight w:val="114"/>
        </w:trPr>
        <w:tc>
          <w:tcPr>
            <w:tcW w:w="2435" w:type="dxa"/>
            <w:shd w:val="clear" w:color="auto" w:fill="auto"/>
          </w:tcPr>
          <w:p w14:paraId="715A5A96" w14:textId="77777777" w:rsidR="008D2CBF" w:rsidRPr="00882348" w:rsidRDefault="008D2CBF" w:rsidP="008D2CBF">
            <w:pPr>
              <w:pStyle w:val="TableTextBold"/>
              <w:rPr>
                <w:rStyle w:val="charColoured"/>
              </w:rPr>
            </w:pPr>
          </w:p>
        </w:tc>
        <w:tc>
          <w:tcPr>
            <w:tcW w:w="2436" w:type="dxa"/>
            <w:shd w:val="clear" w:color="auto" w:fill="auto"/>
          </w:tcPr>
          <w:p w14:paraId="325210D3" w14:textId="77777777" w:rsidR="008D2CBF" w:rsidRPr="00882348" w:rsidRDefault="008D2CBF" w:rsidP="008D2CBF">
            <w:pPr>
              <w:pStyle w:val="TableText"/>
              <w:rPr>
                <w:lang w:val="en-US"/>
              </w:rPr>
            </w:pPr>
          </w:p>
        </w:tc>
        <w:tc>
          <w:tcPr>
            <w:tcW w:w="2436" w:type="dxa"/>
            <w:shd w:val="clear" w:color="auto" w:fill="auto"/>
          </w:tcPr>
          <w:p w14:paraId="115C2A86" w14:textId="77777777" w:rsidR="008D2CBF" w:rsidRPr="00D350B5" w:rsidRDefault="008D2CBF" w:rsidP="008D2CBF">
            <w:pPr>
              <w:pStyle w:val="TableText"/>
              <w:rPr>
                <w:lang w:val="en-US"/>
              </w:rPr>
            </w:pPr>
            <w:r w:rsidRPr="004A6253">
              <w:rPr>
                <w:szCs w:val="16"/>
                <w:lang w:val="en-US"/>
              </w:rPr>
              <w:t>Middle East: 2</w:t>
            </w:r>
            <w:r>
              <w:rPr>
                <w:szCs w:val="16"/>
                <w:lang w:val="en-US"/>
              </w:rPr>
              <w:t>.1</w:t>
            </w:r>
            <w:r w:rsidRPr="004A6253">
              <w:rPr>
                <w:szCs w:val="16"/>
                <w:lang w:val="en-US"/>
              </w:rPr>
              <w:t>%</w:t>
            </w:r>
          </w:p>
        </w:tc>
        <w:tc>
          <w:tcPr>
            <w:tcW w:w="2396" w:type="dxa"/>
            <w:shd w:val="clear" w:color="auto" w:fill="auto"/>
          </w:tcPr>
          <w:p w14:paraId="17D80F2E" w14:textId="77777777" w:rsidR="008D2CBF" w:rsidRPr="004A6253" w:rsidRDefault="008D2CBF" w:rsidP="008D2CBF">
            <w:pPr>
              <w:pStyle w:val="TableText"/>
              <w:rPr>
                <w:szCs w:val="16"/>
                <w:lang w:val="en-US"/>
              </w:rPr>
            </w:pPr>
          </w:p>
        </w:tc>
      </w:tr>
      <w:tr w:rsidR="008D2CBF" w:rsidRPr="00D350B5" w14:paraId="6562D080" w14:textId="77777777" w:rsidTr="000257FB">
        <w:trPr>
          <w:cantSplit/>
          <w:trHeight w:val="141"/>
        </w:trPr>
        <w:tc>
          <w:tcPr>
            <w:tcW w:w="2435" w:type="dxa"/>
            <w:shd w:val="clear" w:color="auto" w:fill="auto"/>
          </w:tcPr>
          <w:p w14:paraId="4639C4F4" w14:textId="77777777" w:rsidR="008D2CBF" w:rsidRPr="00882348" w:rsidRDefault="008D2CBF" w:rsidP="008D2CBF">
            <w:pPr>
              <w:pStyle w:val="TableTextBold"/>
              <w:rPr>
                <w:rStyle w:val="charColoured"/>
              </w:rPr>
            </w:pPr>
          </w:p>
        </w:tc>
        <w:tc>
          <w:tcPr>
            <w:tcW w:w="2436" w:type="dxa"/>
            <w:shd w:val="clear" w:color="auto" w:fill="auto"/>
          </w:tcPr>
          <w:p w14:paraId="3145ABF8" w14:textId="77777777" w:rsidR="008D2CBF" w:rsidRPr="00882348" w:rsidRDefault="008D2CBF" w:rsidP="008D2CBF">
            <w:pPr>
              <w:pStyle w:val="TableText"/>
              <w:rPr>
                <w:lang w:val="en-US"/>
              </w:rPr>
            </w:pPr>
          </w:p>
        </w:tc>
        <w:tc>
          <w:tcPr>
            <w:tcW w:w="2436" w:type="dxa"/>
            <w:shd w:val="clear" w:color="auto" w:fill="auto"/>
          </w:tcPr>
          <w:p w14:paraId="58E30F13" w14:textId="77777777" w:rsidR="008D2CBF" w:rsidRPr="00D350B5" w:rsidRDefault="008D2CBF" w:rsidP="008D2CBF">
            <w:pPr>
              <w:pStyle w:val="TableText"/>
              <w:rPr>
                <w:lang w:val="en-US"/>
              </w:rPr>
            </w:pPr>
            <w:r w:rsidRPr="004A6253">
              <w:rPr>
                <w:szCs w:val="16"/>
                <w:lang w:val="en-US"/>
              </w:rPr>
              <w:t xml:space="preserve">North </w:t>
            </w:r>
            <w:r>
              <w:rPr>
                <w:szCs w:val="16"/>
                <w:lang w:val="en-US"/>
              </w:rPr>
              <w:t>America: 10.5</w:t>
            </w:r>
            <w:r w:rsidRPr="004A6253">
              <w:rPr>
                <w:szCs w:val="16"/>
                <w:lang w:val="en-US"/>
              </w:rPr>
              <w:t>%</w:t>
            </w:r>
          </w:p>
        </w:tc>
        <w:tc>
          <w:tcPr>
            <w:tcW w:w="2396" w:type="dxa"/>
            <w:shd w:val="clear" w:color="auto" w:fill="auto"/>
          </w:tcPr>
          <w:p w14:paraId="19C63EC5" w14:textId="77777777" w:rsidR="008D2CBF" w:rsidRPr="004A6253" w:rsidRDefault="008D2CBF" w:rsidP="008D2CBF">
            <w:pPr>
              <w:pStyle w:val="TableText"/>
              <w:rPr>
                <w:szCs w:val="16"/>
                <w:lang w:val="en-US"/>
              </w:rPr>
            </w:pPr>
          </w:p>
        </w:tc>
      </w:tr>
      <w:tr w:rsidR="008D2CBF" w:rsidRPr="00D350B5" w14:paraId="47A2AB56" w14:textId="77777777" w:rsidTr="000257FB">
        <w:trPr>
          <w:cantSplit/>
          <w:trHeight w:val="321"/>
        </w:trPr>
        <w:tc>
          <w:tcPr>
            <w:tcW w:w="2435" w:type="dxa"/>
            <w:shd w:val="clear" w:color="auto" w:fill="auto"/>
          </w:tcPr>
          <w:p w14:paraId="1AE59C8A" w14:textId="77777777" w:rsidR="008D2CBF" w:rsidRPr="00882348" w:rsidRDefault="008D2CBF" w:rsidP="008D2CBF">
            <w:pPr>
              <w:pStyle w:val="TableTextBold"/>
              <w:rPr>
                <w:rStyle w:val="charColoured"/>
              </w:rPr>
            </w:pPr>
          </w:p>
        </w:tc>
        <w:tc>
          <w:tcPr>
            <w:tcW w:w="2436" w:type="dxa"/>
            <w:shd w:val="clear" w:color="auto" w:fill="auto"/>
          </w:tcPr>
          <w:p w14:paraId="75B30C08" w14:textId="77777777" w:rsidR="008D2CBF" w:rsidRPr="00882348" w:rsidRDefault="008D2CBF" w:rsidP="008D2CBF">
            <w:pPr>
              <w:pStyle w:val="TableText"/>
              <w:rPr>
                <w:lang w:val="en-US"/>
              </w:rPr>
            </w:pPr>
          </w:p>
        </w:tc>
        <w:tc>
          <w:tcPr>
            <w:tcW w:w="2436" w:type="dxa"/>
            <w:shd w:val="clear" w:color="auto" w:fill="auto"/>
          </w:tcPr>
          <w:p w14:paraId="70E18E0F" w14:textId="77777777" w:rsidR="008D2CBF" w:rsidRPr="00D350B5" w:rsidRDefault="008D2CBF" w:rsidP="008D2CBF">
            <w:pPr>
              <w:pStyle w:val="TableText"/>
              <w:rPr>
                <w:lang w:val="en-US"/>
              </w:rPr>
            </w:pPr>
            <w:r>
              <w:rPr>
                <w:szCs w:val="16"/>
                <w:lang w:val="en-US"/>
              </w:rPr>
              <w:t>Western Europe: 38</w:t>
            </w:r>
            <w:r w:rsidRPr="004A6253">
              <w:rPr>
                <w:szCs w:val="16"/>
                <w:lang w:val="en-US"/>
              </w:rPr>
              <w:t>.9%</w:t>
            </w:r>
          </w:p>
        </w:tc>
        <w:tc>
          <w:tcPr>
            <w:tcW w:w="2396" w:type="dxa"/>
            <w:shd w:val="clear" w:color="auto" w:fill="auto"/>
          </w:tcPr>
          <w:p w14:paraId="1813B8BB" w14:textId="77777777" w:rsidR="008D2CBF" w:rsidRPr="004A6253" w:rsidRDefault="008D2CBF" w:rsidP="008D2CBF">
            <w:pPr>
              <w:pStyle w:val="TableText"/>
              <w:rPr>
                <w:szCs w:val="16"/>
                <w:lang w:val="en-US"/>
              </w:rPr>
            </w:pPr>
          </w:p>
        </w:tc>
      </w:tr>
      <w:tr w:rsidR="000257FB" w:rsidRPr="00D350B5" w14:paraId="2916D11D" w14:textId="77777777" w:rsidTr="000257FB">
        <w:trPr>
          <w:cantSplit/>
          <w:trHeight w:val="321"/>
        </w:trPr>
        <w:tc>
          <w:tcPr>
            <w:tcW w:w="2435" w:type="dxa"/>
            <w:tcBorders>
              <w:bottom w:val="single" w:sz="4" w:space="0" w:color="D9D9D9" w:themeColor="background1" w:themeShade="D9"/>
            </w:tcBorders>
            <w:shd w:val="clear" w:color="auto" w:fill="auto"/>
          </w:tcPr>
          <w:p w14:paraId="2E216F69" w14:textId="77777777" w:rsidR="000257FB" w:rsidRPr="00882348" w:rsidRDefault="000257FB" w:rsidP="008D2CBF">
            <w:pPr>
              <w:pStyle w:val="TableTextBold"/>
              <w:rPr>
                <w:rStyle w:val="charColoured"/>
              </w:rPr>
            </w:pPr>
          </w:p>
        </w:tc>
        <w:tc>
          <w:tcPr>
            <w:tcW w:w="2436" w:type="dxa"/>
            <w:tcBorders>
              <w:bottom w:val="single" w:sz="4" w:space="0" w:color="D9D9D9" w:themeColor="background1" w:themeShade="D9"/>
            </w:tcBorders>
            <w:shd w:val="clear" w:color="auto" w:fill="auto"/>
          </w:tcPr>
          <w:p w14:paraId="53BBEC21" w14:textId="7B426769" w:rsidR="000257FB" w:rsidRPr="00882348" w:rsidRDefault="000257FB" w:rsidP="008D2CBF">
            <w:pPr>
              <w:pStyle w:val="TableText"/>
              <w:rPr>
                <w:lang w:val="en-US"/>
              </w:rPr>
            </w:pPr>
            <w:r w:rsidRPr="00352BE8">
              <w:rPr>
                <w:rFonts w:cs="Arial"/>
                <w:color w:val="000000"/>
                <w:szCs w:val="16"/>
              </w:rPr>
              <w:t xml:space="preserve">% of WIPO employees who have completed </w:t>
            </w:r>
            <w:r>
              <w:rPr>
                <w:rFonts w:cs="Arial"/>
                <w:color w:val="000000"/>
                <w:szCs w:val="16"/>
              </w:rPr>
              <w:t>mandatory training on “Working Together H</w:t>
            </w:r>
            <w:r w:rsidRPr="00352BE8">
              <w:rPr>
                <w:rFonts w:cs="Arial"/>
                <w:color w:val="000000"/>
                <w:szCs w:val="16"/>
              </w:rPr>
              <w:t>armoniously</w:t>
            </w:r>
            <w:r>
              <w:rPr>
                <w:rFonts w:cs="Arial"/>
                <w:color w:val="000000"/>
                <w:szCs w:val="16"/>
              </w:rPr>
              <w:t>”</w:t>
            </w:r>
          </w:p>
        </w:tc>
        <w:tc>
          <w:tcPr>
            <w:tcW w:w="2436" w:type="dxa"/>
            <w:tcBorders>
              <w:bottom w:val="single" w:sz="4" w:space="0" w:color="D9D9D9" w:themeColor="background1" w:themeShade="D9"/>
            </w:tcBorders>
            <w:shd w:val="clear" w:color="auto" w:fill="auto"/>
          </w:tcPr>
          <w:p w14:paraId="6B5E97C9" w14:textId="5850B56F" w:rsidR="000257FB" w:rsidRDefault="000257FB" w:rsidP="008D2CBF">
            <w:pPr>
              <w:pStyle w:val="TableText"/>
              <w:rPr>
                <w:szCs w:val="16"/>
                <w:lang w:val="en-US"/>
              </w:rPr>
            </w:pPr>
            <w:r>
              <w:rPr>
                <w:szCs w:val="16"/>
                <w:lang w:val="en-US"/>
              </w:rPr>
              <w:t>tbd</w:t>
            </w:r>
          </w:p>
        </w:tc>
        <w:tc>
          <w:tcPr>
            <w:tcW w:w="2396" w:type="dxa"/>
            <w:tcBorders>
              <w:bottom w:val="single" w:sz="4" w:space="0" w:color="D9D9D9" w:themeColor="background1" w:themeShade="D9"/>
            </w:tcBorders>
            <w:shd w:val="clear" w:color="auto" w:fill="auto"/>
          </w:tcPr>
          <w:p w14:paraId="26F1E625" w14:textId="1F42AE87" w:rsidR="000257FB" w:rsidRPr="004A6253" w:rsidRDefault="000257FB" w:rsidP="008D2CBF">
            <w:pPr>
              <w:pStyle w:val="TableText"/>
              <w:rPr>
                <w:szCs w:val="16"/>
                <w:lang w:val="en-US"/>
              </w:rPr>
            </w:pPr>
            <w:r>
              <w:rPr>
                <w:szCs w:val="16"/>
                <w:lang w:val="en-US"/>
              </w:rPr>
              <w:t>tbd</w:t>
            </w:r>
          </w:p>
        </w:tc>
      </w:tr>
      <w:tr w:rsidR="008D2CBF" w:rsidRPr="00D350B5" w14:paraId="527420D0" w14:textId="77777777" w:rsidTr="008D2CBF">
        <w:trPr>
          <w:cantSplit/>
          <w:trHeight w:val="193"/>
        </w:trPr>
        <w:tc>
          <w:tcPr>
            <w:tcW w:w="2435" w:type="dxa"/>
            <w:vMerge w:val="restart"/>
            <w:tcBorders>
              <w:top w:val="single" w:sz="4" w:space="0" w:color="D9D9D9" w:themeColor="background1" w:themeShade="D9"/>
            </w:tcBorders>
            <w:shd w:val="clear" w:color="auto" w:fill="auto"/>
          </w:tcPr>
          <w:p w14:paraId="4693CE12" w14:textId="77777777" w:rsidR="008D2CBF" w:rsidRDefault="008D2CBF" w:rsidP="008D2CBF">
            <w:pPr>
              <w:pStyle w:val="TableTextBold"/>
              <w:rPr>
                <w:rStyle w:val="charColoured"/>
              </w:rPr>
            </w:pPr>
            <w:r>
              <w:rPr>
                <w:rStyle w:val="charColoured"/>
              </w:rPr>
              <w:t xml:space="preserve">5.3  </w:t>
            </w:r>
            <w:r w:rsidRPr="005447FE">
              <w:rPr>
                <w:lang w:val="en-US"/>
              </w:rPr>
              <w:t>Sound and prudent financial management and effective corporate governance and oversight</w:t>
            </w:r>
          </w:p>
        </w:tc>
        <w:tc>
          <w:tcPr>
            <w:tcW w:w="2436" w:type="dxa"/>
            <w:tcBorders>
              <w:top w:val="single" w:sz="4" w:space="0" w:color="D9D9D9" w:themeColor="background1" w:themeShade="D9"/>
            </w:tcBorders>
            <w:shd w:val="clear" w:color="auto" w:fill="auto"/>
          </w:tcPr>
          <w:p w14:paraId="2F555B7C" w14:textId="77777777" w:rsidR="008D2CBF" w:rsidRPr="00D350B5" w:rsidRDefault="008D2CBF" w:rsidP="008D2CBF">
            <w:pPr>
              <w:pStyle w:val="TableText"/>
              <w:rPr>
                <w:lang w:val="en-US"/>
              </w:rPr>
            </w:pPr>
            <w:r w:rsidRPr="005447FE">
              <w:rPr>
                <w:lang w:val="en-US"/>
              </w:rPr>
              <w:t>No interference and perceived independence by key stakeholders</w:t>
            </w:r>
          </w:p>
        </w:tc>
        <w:tc>
          <w:tcPr>
            <w:tcW w:w="2436" w:type="dxa"/>
            <w:tcBorders>
              <w:top w:val="single" w:sz="4" w:space="0" w:color="D9D9D9" w:themeColor="background1" w:themeShade="D9"/>
            </w:tcBorders>
            <w:shd w:val="clear" w:color="auto" w:fill="auto"/>
          </w:tcPr>
          <w:p w14:paraId="78A380CE" w14:textId="77777777" w:rsidR="008D2CBF" w:rsidRPr="00A2657D" w:rsidRDefault="008D2CBF" w:rsidP="008D2CBF">
            <w:pPr>
              <w:pStyle w:val="TableText"/>
              <w:rPr>
                <w:szCs w:val="16"/>
                <w:lang w:val="en-US"/>
              </w:rPr>
            </w:pPr>
            <w:r w:rsidRPr="00A2657D">
              <w:rPr>
                <w:szCs w:val="16"/>
                <w:lang w:val="en-US"/>
              </w:rPr>
              <w:t xml:space="preserve">No interference in IOD's work,       </w:t>
            </w:r>
          </w:p>
          <w:p w14:paraId="33915A18" w14:textId="77777777" w:rsidR="008D2CBF" w:rsidRPr="00D350B5" w:rsidRDefault="008D2CBF" w:rsidP="008D2CBF">
            <w:pPr>
              <w:pStyle w:val="TableText"/>
              <w:rPr>
                <w:lang w:val="en-US"/>
              </w:rPr>
            </w:pPr>
            <w:r w:rsidRPr="00A2657D">
              <w:rPr>
                <w:szCs w:val="16"/>
                <w:lang w:val="en-US"/>
              </w:rPr>
              <w:t>as reflected in the annual report: WO/PBC/36/5</w:t>
            </w:r>
          </w:p>
        </w:tc>
        <w:tc>
          <w:tcPr>
            <w:tcW w:w="2396" w:type="dxa"/>
            <w:tcBorders>
              <w:top w:val="single" w:sz="4" w:space="0" w:color="D9D9D9" w:themeColor="background1" w:themeShade="D9"/>
            </w:tcBorders>
            <w:shd w:val="clear" w:color="auto" w:fill="auto"/>
          </w:tcPr>
          <w:p w14:paraId="6A3A1CEA" w14:textId="77777777" w:rsidR="008D2CBF" w:rsidRPr="00D350B5" w:rsidRDefault="008D2CBF" w:rsidP="008D2CBF">
            <w:pPr>
              <w:pStyle w:val="TableText"/>
              <w:rPr>
                <w:lang w:val="en-US"/>
              </w:rPr>
            </w:pPr>
            <w:r w:rsidRPr="004A6253">
              <w:rPr>
                <w:szCs w:val="16"/>
              </w:rPr>
              <w:t>No interference</w:t>
            </w:r>
          </w:p>
        </w:tc>
      </w:tr>
      <w:tr w:rsidR="008D2CBF" w:rsidRPr="00D350B5" w14:paraId="313B3A75" w14:textId="77777777" w:rsidTr="008D2CBF">
        <w:trPr>
          <w:cantSplit/>
          <w:trHeight w:val="319"/>
        </w:trPr>
        <w:tc>
          <w:tcPr>
            <w:tcW w:w="2435" w:type="dxa"/>
            <w:vMerge/>
            <w:tcBorders>
              <w:bottom w:val="single" w:sz="4" w:space="0" w:color="D9D9D9" w:themeColor="background1" w:themeShade="D9"/>
            </w:tcBorders>
            <w:shd w:val="clear" w:color="auto" w:fill="auto"/>
          </w:tcPr>
          <w:p w14:paraId="4C1BA34E" w14:textId="77777777" w:rsidR="008D2CBF" w:rsidRDefault="008D2CBF" w:rsidP="008D2CBF">
            <w:pPr>
              <w:pStyle w:val="TableTextBold"/>
              <w:rPr>
                <w:rStyle w:val="charColoured"/>
              </w:rPr>
            </w:pPr>
          </w:p>
        </w:tc>
        <w:tc>
          <w:tcPr>
            <w:tcW w:w="2436" w:type="dxa"/>
            <w:tcBorders>
              <w:bottom w:val="single" w:sz="4" w:space="0" w:color="D9D9D9" w:themeColor="background1" w:themeShade="D9"/>
            </w:tcBorders>
            <w:shd w:val="clear" w:color="auto" w:fill="auto"/>
          </w:tcPr>
          <w:p w14:paraId="5B54B5B6" w14:textId="77777777" w:rsidR="008D2CBF" w:rsidRPr="00D350B5" w:rsidRDefault="008D2CBF" w:rsidP="008D2CBF">
            <w:pPr>
              <w:pStyle w:val="TableText"/>
              <w:rPr>
                <w:lang w:val="en-US"/>
              </w:rPr>
            </w:pPr>
            <w:r w:rsidRPr="005447FE">
              <w:rPr>
                <w:lang w:val="en-US"/>
              </w:rPr>
              <w:t>No. of oversight recommendations accepted</w:t>
            </w:r>
          </w:p>
        </w:tc>
        <w:tc>
          <w:tcPr>
            <w:tcW w:w="2436" w:type="dxa"/>
            <w:tcBorders>
              <w:bottom w:val="single" w:sz="4" w:space="0" w:color="D9D9D9" w:themeColor="background1" w:themeShade="D9"/>
            </w:tcBorders>
            <w:shd w:val="clear" w:color="auto" w:fill="auto"/>
          </w:tcPr>
          <w:p w14:paraId="5BCBE0CE" w14:textId="77777777" w:rsidR="008D2CBF" w:rsidRPr="00D350B5" w:rsidRDefault="008D2CBF" w:rsidP="008D2CBF">
            <w:pPr>
              <w:pStyle w:val="TableText"/>
              <w:rPr>
                <w:lang w:val="en-US"/>
              </w:rPr>
            </w:pPr>
            <w:r w:rsidRPr="00BA5FB3">
              <w:rPr>
                <w:szCs w:val="16"/>
              </w:rPr>
              <w:t>100% of recommendations were accepted</w:t>
            </w:r>
          </w:p>
        </w:tc>
        <w:tc>
          <w:tcPr>
            <w:tcW w:w="2396" w:type="dxa"/>
            <w:tcBorders>
              <w:bottom w:val="single" w:sz="4" w:space="0" w:color="D9D9D9" w:themeColor="background1" w:themeShade="D9"/>
            </w:tcBorders>
            <w:shd w:val="clear" w:color="auto" w:fill="auto"/>
          </w:tcPr>
          <w:p w14:paraId="377C28EF" w14:textId="77777777" w:rsidR="008D2CBF" w:rsidRPr="00D350B5" w:rsidRDefault="008D2CBF" w:rsidP="008D2CBF">
            <w:pPr>
              <w:pStyle w:val="TableText"/>
              <w:rPr>
                <w:lang w:val="en-US"/>
              </w:rPr>
            </w:pPr>
            <w:r>
              <w:rPr>
                <w:szCs w:val="16"/>
              </w:rPr>
              <w:t>9</w:t>
            </w:r>
            <w:r w:rsidRPr="00BA5FB3">
              <w:rPr>
                <w:szCs w:val="16"/>
              </w:rPr>
              <w:t>0% of recommendations accepted</w:t>
            </w:r>
          </w:p>
        </w:tc>
      </w:tr>
    </w:tbl>
    <w:p w14:paraId="483E67FB" w14:textId="77777777" w:rsidR="008D2CBF" w:rsidRPr="006A497B" w:rsidRDefault="008D2CBF" w:rsidP="008D2CBF">
      <w:pPr>
        <w:spacing w:after="0" w:line="276" w:lineRule="auto"/>
        <w:rPr>
          <w:color w:val="005172" w:themeColor="text2"/>
          <w:sz w:val="32"/>
          <w:szCs w:val="32"/>
        </w:rPr>
      </w:pPr>
    </w:p>
    <w:p w14:paraId="1D27DAFB" w14:textId="77777777" w:rsidR="008D2CBF" w:rsidRDefault="008D2CBF" w:rsidP="008D2CBF">
      <w:pPr>
        <w:spacing w:after="200" w:line="276" w:lineRule="auto"/>
        <w:rPr>
          <w:color w:val="005172" w:themeColor="text2"/>
          <w:sz w:val="32"/>
          <w:szCs w:val="32"/>
          <w:lang w:val="en-US"/>
        </w:rPr>
      </w:pPr>
      <w:r>
        <w:rPr>
          <w:color w:val="005172" w:themeColor="text2"/>
          <w:sz w:val="32"/>
          <w:szCs w:val="32"/>
          <w:lang w:val="en-US"/>
        </w:rPr>
        <w:br w:type="page"/>
      </w:r>
    </w:p>
    <w:p w14:paraId="1D089E03" w14:textId="77777777" w:rsidR="008D2CBF" w:rsidRDefault="008D2CBF" w:rsidP="008D2CBF">
      <w:pPr>
        <w:spacing w:after="0" w:line="276" w:lineRule="auto"/>
        <w:rPr>
          <w:color w:val="005172" w:themeColor="text2"/>
          <w:sz w:val="32"/>
          <w:szCs w:val="32"/>
          <w:lang w:val="en-US"/>
        </w:rPr>
      </w:pPr>
      <w:r w:rsidRPr="006A497B">
        <w:rPr>
          <w:color w:val="005172" w:themeColor="text2"/>
          <w:sz w:val="32"/>
          <w:szCs w:val="32"/>
          <w:lang w:val="en-US"/>
        </w:rPr>
        <w:t>Resources</w:t>
      </w:r>
    </w:p>
    <w:p w14:paraId="6EA28FDC" w14:textId="77777777" w:rsidR="008D2CBF" w:rsidRPr="0043679A" w:rsidRDefault="008D2CBF" w:rsidP="008D2CBF">
      <w:pPr>
        <w:spacing w:after="0" w:line="276" w:lineRule="auto"/>
        <w:rPr>
          <w:color w:val="005172" w:themeColor="text2"/>
          <w:sz w:val="24"/>
          <w:szCs w:val="32"/>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D2CBF" w:rsidRPr="00192178" w14:paraId="5E852B0F" w14:textId="77777777" w:rsidTr="008D2CBF">
        <w:trPr>
          <w:trHeight w:val="80"/>
        </w:trPr>
        <w:tc>
          <w:tcPr>
            <w:tcW w:w="9638" w:type="dxa"/>
          </w:tcPr>
          <w:p w14:paraId="6D75E2A8" w14:textId="77777777" w:rsidR="008D2CBF" w:rsidRPr="00034525" w:rsidRDefault="008D2CBF" w:rsidP="001A3F3C">
            <w:pPr>
              <w:spacing w:after="60" w:line="240" w:lineRule="auto"/>
              <w:jc w:val="center"/>
              <w:rPr>
                <w:rFonts w:cs="Arial"/>
                <w:b/>
                <w:bCs/>
                <w:color w:val="005172"/>
                <w:sz w:val="16"/>
                <w:szCs w:val="16"/>
              </w:rPr>
            </w:pPr>
            <w:r w:rsidRPr="00F26256">
              <w:rPr>
                <w:rFonts w:asciiTheme="majorHAnsi" w:hAnsiTheme="majorHAnsi" w:cstheme="majorHAnsi"/>
                <w:b/>
                <w:bCs/>
                <w:color w:val="005172"/>
                <w:szCs w:val="18"/>
              </w:rPr>
              <w:t>Administration, Finance and Management and the Office of the Director General</w:t>
            </w:r>
            <w:r>
              <w:rPr>
                <w:rFonts w:cs="Arial"/>
                <w:b/>
                <w:bCs/>
                <w:color w:val="005172"/>
                <w:szCs w:val="16"/>
              </w:rPr>
              <w:t xml:space="preserve">: </w:t>
            </w:r>
            <w:r w:rsidRPr="00034525">
              <w:rPr>
                <w:rFonts w:cs="Arial"/>
                <w:b/>
                <w:bCs/>
                <w:color w:val="005172"/>
                <w:szCs w:val="16"/>
              </w:rPr>
              <w:t>Resources by Cost Category</w:t>
            </w:r>
          </w:p>
        </w:tc>
      </w:tr>
      <w:tr w:rsidR="008D2CBF" w:rsidRPr="00192178" w14:paraId="6B131D6C" w14:textId="77777777" w:rsidTr="008D2CBF">
        <w:trPr>
          <w:trHeight w:val="15"/>
        </w:trPr>
        <w:tc>
          <w:tcPr>
            <w:tcW w:w="9638" w:type="dxa"/>
          </w:tcPr>
          <w:p w14:paraId="4C6C1FF7" w14:textId="2565CDC5" w:rsidR="008D2CBF" w:rsidRPr="00034525" w:rsidRDefault="008D2CBF" w:rsidP="005A1D34">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05434A6F" w14:textId="0B749306" w:rsidR="00BE531B" w:rsidRPr="00721D32" w:rsidRDefault="00BE531B" w:rsidP="00792A58">
      <w:pPr>
        <w:spacing w:after="0"/>
        <w:rPr>
          <w:rFonts w:asciiTheme="minorHAnsi" w:hAnsiTheme="minorHAnsi"/>
          <w:sz w:val="8"/>
          <w:szCs w:val="8"/>
        </w:rPr>
      </w:pPr>
    </w:p>
    <w:tbl>
      <w:tblPr>
        <w:tblW w:w="9186" w:type="dxa"/>
        <w:jc w:val="center"/>
        <w:tblLook w:val="04A0" w:firstRow="1" w:lastRow="0" w:firstColumn="1" w:lastColumn="0" w:noHBand="0" w:noVBand="1"/>
      </w:tblPr>
      <w:tblGrid>
        <w:gridCol w:w="253"/>
        <w:gridCol w:w="222"/>
        <w:gridCol w:w="2959"/>
        <w:gridCol w:w="253"/>
        <w:gridCol w:w="1053"/>
        <w:gridCol w:w="1172"/>
        <w:gridCol w:w="1172"/>
        <w:gridCol w:w="1053"/>
        <w:gridCol w:w="1054"/>
      </w:tblGrid>
      <w:tr w:rsidR="00BE531B" w:rsidRPr="00BE531B" w14:paraId="3FD2418D" w14:textId="77777777" w:rsidTr="0096174B">
        <w:trPr>
          <w:trHeight w:val="422"/>
          <w:jc w:val="center"/>
        </w:trPr>
        <w:tc>
          <w:tcPr>
            <w:tcW w:w="3682" w:type="dxa"/>
            <w:gridSpan w:val="4"/>
            <w:vMerge w:val="restart"/>
            <w:tcBorders>
              <w:top w:val="nil"/>
              <w:left w:val="nil"/>
              <w:bottom w:val="nil"/>
              <w:right w:val="nil"/>
            </w:tcBorders>
            <w:shd w:val="clear" w:color="000000" w:fill="C7CFD8"/>
            <w:hideMark/>
          </w:tcPr>
          <w:p w14:paraId="772E3124" w14:textId="26E04852" w:rsidR="00BE531B" w:rsidRPr="00BE531B" w:rsidRDefault="00BE531B" w:rsidP="00BE531B">
            <w:pPr>
              <w:spacing w:after="0" w:line="240" w:lineRule="auto"/>
              <w:rPr>
                <w:rFonts w:ascii="Arial Narrow" w:eastAsia="Times New Roman" w:hAnsi="Arial Narrow" w:cs="Times New Roman"/>
                <w:b/>
                <w:bCs/>
                <w:i/>
                <w:iCs/>
                <w:sz w:val="16"/>
                <w:szCs w:val="16"/>
                <w:lang w:val="en-US"/>
              </w:rPr>
            </w:pPr>
            <w:r w:rsidRPr="00BE531B">
              <w:rPr>
                <w:rFonts w:ascii="Arial Narrow" w:eastAsia="Times New Roman" w:hAnsi="Arial Narrow" w:cs="Times New Roman"/>
                <w:b/>
                <w:bCs/>
                <w:i/>
                <w:iCs/>
                <w:sz w:val="16"/>
                <w:szCs w:val="16"/>
                <w:lang w:val="en-US"/>
              </w:rPr>
              <w:t> </w:t>
            </w:r>
          </w:p>
        </w:tc>
        <w:tc>
          <w:tcPr>
            <w:tcW w:w="1053" w:type="dxa"/>
            <w:vMerge w:val="restart"/>
            <w:tcBorders>
              <w:top w:val="nil"/>
              <w:left w:val="nil"/>
              <w:bottom w:val="nil"/>
              <w:right w:val="nil"/>
            </w:tcBorders>
            <w:shd w:val="clear" w:color="000000" w:fill="C7CFD8"/>
            <w:vAlign w:val="center"/>
            <w:hideMark/>
          </w:tcPr>
          <w:p w14:paraId="4220253E"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xml:space="preserve"> 2024/25 </w:t>
            </w:r>
            <w:r w:rsidRPr="00BE531B">
              <w:rPr>
                <w:rFonts w:ascii="Arial Narrow" w:eastAsia="Times New Roman" w:hAnsi="Arial Narrow" w:cs="Times New Roman"/>
                <w:b/>
                <w:bCs/>
                <w:sz w:val="16"/>
                <w:szCs w:val="16"/>
                <w:lang w:val="en-US"/>
              </w:rPr>
              <w:br/>
              <w:t>Proposed</w:t>
            </w:r>
            <w:r w:rsidRPr="00BE531B">
              <w:rPr>
                <w:rFonts w:ascii="Arial Narrow" w:eastAsia="Times New Roman" w:hAnsi="Arial Narrow" w:cs="Times New Roman"/>
                <w:b/>
                <w:bCs/>
                <w:sz w:val="16"/>
                <w:szCs w:val="16"/>
                <w:lang w:val="en-US"/>
              </w:rPr>
              <w:br/>
              <w:t xml:space="preserve"> Budget </w:t>
            </w:r>
          </w:p>
        </w:tc>
        <w:tc>
          <w:tcPr>
            <w:tcW w:w="1172" w:type="dxa"/>
            <w:vMerge w:val="restart"/>
            <w:tcBorders>
              <w:top w:val="nil"/>
              <w:left w:val="nil"/>
              <w:bottom w:val="nil"/>
              <w:right w:val="nil"/>
            </w:tcBorders>
            <w:shd w:val="clear" w:color="000000" w:fill="C7CFD8"/>
            <w:vAlign w:val="center"/>
            <w:hideMark/>
          </w:tcPr>
          <w:p w14:paraId="66419C67"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xml:space="preserve"> 2022/23</w:t>
            </w:r>
            <w:r w:rsidRPr="00BE531B">
              <w:rPr>
                <w:rFonts w:ascii="Arial Narrow" w:eastAsia="Times New Roman" w:hAnsi="Arial Narrow" w:cs="Times New Roman"/>
                <w:b/>
                <w:bCs/>
                <w:sz w:val="16"/>
                <w:szCs w:val="16"/>
                <w:lang w:val="en-US"/>
              </w:rPr>
              <w:br/>
              <w:t xml:space="preserve"> PoW&amp;B </w:t>
            </w:r>
          </w:p>
        </w:tc>
        <w:tc>
          <w:tcPr>
            <w:tcW w:w="1172" w:type="dxa"/>
            <w:vMerge w:val="restart"/>
            <w:tcBorders>
              <w:top w:val="nil"/>
              <w:left w:val="nil"/>
              <w:bottom w:val="nil"/>
              <w:right w:val="nil"/>
            </w:tcBorders>
            <w:shd w:val="clear" w:color="000000" w:fill="C7CFD8"/>
            <w:vAlign w:val="center"/>
            <w:hideMark/>
          </w:tcPr>
          <w:p w14:paraId="7E1A164C"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xml:space="preserve"> 2022/23 </w:t>
            </w:r>
            <w:r w:rsidRPr="00BE531B">
              <w:rPr>
                <w:rFonts w:ascii="Arial Narrow" w:eastAsia="Times New Roman" w:hAnsi="Arial Narrow" w:cs="Times New Roman"/>
                <w:b/>
                <w:bCs/>
                <w:sz w:val="16"/>
                <w:szCs w:val="16"/>
                <w:lang w:val="en-US"/>
              </w:rPr>
              <w:br/>
              <w:t>Budget after</w:t>
            </w:r>
            <w:r w:rsidRPr="00BE531B">
              <w:rPr>
                <w:rFonts w:ascii="Arial Narrow" w:eastAsia="Times New Roman" w:hAnsi="Arial Narrow" w:cs="Times New Roman"/>
                <w:b/>
                <w:bCs/>
                <w:sz w:val="16"/>
                <w:szCs w:val="16"/>
                <w:lang w:val="en-US"/>
              </w:rPr>
              <w:br/>
              <w:t xml:space="preserve"> Transfers </w:t>
            </w:r>
          </w:p>
        </w:tc>
        <w:tc>
          <w:tcPr>
            <w:tcW w:w="2107" w:type="dxa"/>
            <w:gridSpan w:val="2"/>
            <w:tcBorders>
              <w:top w:val="nil"/>
              <w:left w:val="nil"/>
              <w:bottom w:val="single" w:sz="4" w:space="0" w:color="748B9E"/>
              <w:right w:val="nil"/>
            </w:tcBorders>
            <w:shd w:val="clear" w:color="000000" w:fill="C7CFD8"/>
            <w:vAlign w:val="center"/>
            <w:hideMark/>
          </w:tcPr>
          <w:p w14:paraId="49D65D9E" w14:textId="77777777" w:rsidR="00BE531B" w:rsidRPr="00BE531B" w:rsidRDefault="00BE531B" w:rsidP="00BE531B">
            <w:pPr>
              <w:spacing w:after="0" w:line="240" w:lineRule="auto"/>
              <w:jc w:val="center"/>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xml:space="preserve">2024/25 </w:t>
            </w:r>
            <w:r w:rsidRPr="00BE531B">
              <w:rPr>
                <w:rFonts w:ascii="Arial Narrow" w:eastAsia="Times New Roman" w:hAnsi="Arial Narrow" w:cs="Times New Roman"/>
                <w:b/>
                <w:bCs/>
                <w:sz w:val="16"/>
                <w:szCs w:val="16"/>
                <w:lang w:val="en-US"/>
              </w:rPr>
              <w:br/>
              <w:t xml:space="preserve">vs. 2022/23 PoW&amp;B </w:t>
            </w:r>
          </w:p>
        </w:tc>
      </w:tr>
      <w:tr w:rsidR="00BE531B" w:rsidRPr="00BE531B" w14:paraId="61AF576A" w14:textId="77777777" w:rsidTr="0096174B">
        <w:trPr>
          <w:trHeight w:val="317"/>
          <w:jc w:val="center"/>
        </w:trPr>
        <w:tc>
          <w:tcPr>
            <w:tcW w:w="3682" w:type="dxa"/>
            <w:gridSpan w:val="4"/>
            <w:vMerge/>
            <w:tcBorders>
              <w:top w:val="nil"/>
              <w:left w:val="nil"/>
              <w:bottom w:val="nil"/>
              <w:right w:val="nil"/>
            </w:tcBorders>
            <w:vAlign w:val="center"/>
            <w:hideMark/>
          </w:tcPr>
          <w:p w14:paraId="00299F2F" w14:textId="77777777" w:rsidR="00BE531B" w:rsidRPr="00BE531B" w:rsidRDefault="00BE531B" w:rsidP="00BE531B">
            <w:pPr>
              <w:spacing w:after="0" w:line="240" w:lineRule="auto"/>
              <w:rPr>
                <w:rFonts w:ascii="Arial Narrow" w:eastAsia="Times New Roman" w:hAnsi="Arial Narrow" w:cs="Times New Roman"/>
                <w:b/>
                <w:bCs/>
                <w:i/>
                <w:iCs/>
                <w:sz w:val="16"/>
                <w:szCs w:val="16"/>
                <w:lang w:val="en-US"/>
              </w:rPr>
            </w:pPr>
          </w:p>
        </w:tc>
        <w:tc>
          <w:tcPr>
            <w:tcW w:w="1053" w:type="dxa"/>
            <w:vMerge/>
            <w:tcBorders>
              <w:top w:val="nil"/>
              <w:left w:val="nil"/>
              <w:bottom w:val="nil"/>
              <w:right w:val="nil"/>
            </w:tcBorders>
            <w:vAlign w:val="center"/>
            <w:hideMark/>
          </w:tcPr>
          <w:p w14:paraId="57CC8332"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vMerge/>
            <w:tcBorders>
              <w:top w:val="nil"/>
              <w:left w:val="nil"/>
              <w:bottom w:val="nil"/>
              <w:right w:val="nil"/>
            </w:tcBorders>
            <w:vAlign w:val="center"/>
            <w:hideMark/>
          </w:tcPr>
          <w:p w14:paraId="5BD20D0D"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vMerge/>
            <w:tcBorders>
              <w:top w:val="nil"/>
              <w:left w:val="nil"/>
              <w:bottom w:val="nil"/>
              <w:right w:val="nil"/>
            </w:tcBorders>
            <w:vAlign w:val="center"/>
            <w:hideMark/>
          </w:tcPr>
          <w:p w14:paraId="244B8590"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053" w:type="dxa"/>
            <w:tcBorders>
              <w:top w:val="nil"/>
              <w:left w:val="nil"/>
              <w:bottom w:val="nil"/>
              <w:right w:val="nil"/>
            </w:tcBorders>
            <w:shd w:val="clear" w:color="000000" w:fill="C7CFD8"/>
            <w:vAlign w:val="center"/>
            <w:hideMark/>
          </w:tcPr>
          <w:p w14:paraId="004FB6FD" w14:textId="77777777" w:rsidR="00BE531B" w:rsidRPr="00BE531B" w:rsidRDefault="00BE531B" w:rsidP="00BE531B">
            <w:pPr>
              <w:spacing w:after="0" w:line="240" w:lineRule="auto"/>
              <w:ind w:firstLineChars="100" w:firstLine="160"/>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xml:space="preserve"> Amount </w:t>
            </w:r>
          </w:p>
        </w:tc>
        <w:tc>
          <w:tcPr>
            <w:tcW w:w="1054" w:type="dxa"/>
            <w:tcBorders>
              <w:top w:val="nil"/>
              <w:left w:val="nil"/>
              <w:bottom w:val="nil"/>
              <w:right w:val="nil"/>
            </w:tcBorders>
            <w:shd w:val="clear" w:color="000000" w:fill="C7CFD8"/>
            <w:vAlign w:val="center"/>
            <w:hideMark/>
          </w:tcPr>
          <w:p w14:paraId="0D2BBAF1" w14:textId="77777777" w:rsidR="00BE531B" w:rsidRPr="00BE531B" w:rsidRDefault="00BE531B" w:rsidP="00BE531B">
            <w:pPr>
              <w:spacing w:after="0" w:line="240" w:lineRule="auto"/>
              <w:ind w:firstLineChars="200" w:firstLine="320"/>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w:t>
            </w:r>
          </w:p>
        </w:tc>
      </w:tr>
      <w:tr w:rsidR="00BE531B" w:rsidRPr="00BE531B" w14:paraId="31EECF64" w14:textId="77777777" w:rsidTr="008A121C">
        <w:trPr>
          <w:trHeight w:hRule="exact" w:val="216"/>
          <w:jc w:val="center"/>
        </w:trPr>
        <w:tc>
          <w:tcPr>
            <w:tcW w:w="3682" w:type="dxa"/>
            <w:gridSpan w:val="4"/>
            <w:tcBorders>
              <w:top w:val="nil"/>
              <w:left w:val="nil"/>
              <w:bottom w:val="nil"/>
              <w:right w:val="nil"/>
            </w:tcBorders>
            <w:shd w:val="clear" w:color="auto" w:fill="auto"/>
            <w:noWrap/>
            <w:hideMark/>
          </w:tcPr>
          <w:p w14:paraId="1EB957A4" w14:textId="77777777" w:rsidR="00BE531B" w:rsidRPr="00BE531B" w:rsidRDefault="00BE531B" w:rsidP="00BE531B">
            <w:pPr>
              <w:spacing w:after="0" w:line="240" w:lineRule="auto"/>
              <w:rPr>
                <w:rFonts w:ascii="Arial Narrow" w:eastAsia="Times New Roman" w:hAnsi="Arial Narrow" w:cs="Times New Roman"/>
                <w:b/>
                <w:bCs/>
                <w:color w:val="005172"/>
                <w:sz w:val="16"/>
                <w:szCs w:val="16"/>
                <w:lang w:val="en-US"/>
              </w:rPr>
            </w:pPr>
            <w:r w:rsidRPr="00BE531B">
              <w:rPr>
                <w:rFonts w:ascii="Arial Narrow" w:eastAsia="Times New Roman" w:hAnsi="Arial Narrow" w:cs="Times New Roman"/>
                <w:b/>
                <w:bCs/>
                <w:color w:val="005172"/>
                <w:sz w:val="16"/>
                <w:szCs w:val="16"/>
                <w:lang w:val="en-US"/>
              </w:rPr>
              <w:t>A. Personnel Resources</w:t>
            </w:r>
          </w:p>
        </w:tc>
        <w:tc>
          <w:tcPr>
            <w:tcW w:w="1053" w:type="dxa"/>
            <w:tcBorders>
              <w:top w:val="nil"/>
              <w:left w:val="nil"/>
              <w:bottom w:val="nil"/>
              <w:right w:val="nil"/>
            </w:tcBorders>
            <w:shd w:val="clear" w:color="auto" w:fill="auto"/>
            <w:noWrap/>
            <w:hideMark/>
          </w:tcPr>
          <w:p w14:paraId="4763E679" w14:textId="77777777" w:rsidR="00BE531B" w:rsidRPr="00BE531B" w:rsidRDefault="00BE531B" w:rsidP="00BE531B">
            <w:pPr>
              <w:spacing w:after="0" w:line="240" w:lineRule="auto"/>
              <w:rPr>
                <w:rFonts w:ascii="Arial Narrow" w:eastAsia="Times New Roman" w:hAnsi="Arial Narrow" w:cs="Times New Roman"/>
                <w:b/>
                <w:bCs/>
                <w:color w:val="005172"/>
                <w:sz w:val="16"/>
                <w:szCs w:val="16"/>
                <w:lang w:val="en-US"/>
              </w:rPr>
            </w:pPr>
          </w:p>
        </w:tc>
        <w:tc>
          <w:tcPr>
            <w:tcW w:w="1172" w:type="dxa"/>
            <w:tcBorders>
              <w:top w:val="nil"/>
              <w:left w:val="nil"/>
              <w:bottom w:val="nil"/>
              <w:right w:val="nil"/>
            </w:tcBorders>
            <w:shd w:val="clear" w:color="auto" w:fill="auto"/>
            <w:noWrap/>
            <w:hideMark/>
          </w:tcPr>
          <w:p w14:paraId="5E8D9D20"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79D1C769"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7FDC11D5"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38A520F9"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r>
      <w:tr w:rsidR="00BE531B" w:rsidRPr="00BE531B" w14:paraId="4DF0C685" w14:textId="77777777" w:rsidTr="008A121C">
        <w:trPr>
          <w:trHeight w:hRule="exact" w:val="216"/>
          <w:jc w:val="center"/>
        </w:trPr>
        <w:tc>
          <w:tcPr>
            <w:tcW w:w="250" w:type="dxa"/>
            <w:tcBorders>
              <w:top w:val="nil"/>
              <w:left w:val="nil"/>
              <w:bottom w:val="nil"/>
              <w:right w:val="nil"/>
            </w:tcBorders>
            <w:shd w:val="clear" w:color="auto" w:fill="auto"/>
            <w:noWrap/>
            <w:hideMark/>
          </w:tcPr>
          <w:p w14:paraId="31970E7D"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xml:space="preserve">   </w:t>
            </w:r>
          </w:p>
        </w:tc>
        <w:tc>
          <w:tcPr>
            <w:tcW w:w="220" w:type="dxa"/>
            <w:tcBorders>
              <w:top w:val="nil"/>
              <w:left w:val="nil"/>
              <w:bottom w:val="nil"/>
              <w:right w:val="nil"/>
            </w:tcBorders>
            <w:shd w:val="clear" w:color="auto" w:fill="auto"/>
            <w:noWrap/>
            <w:hideMark/>
          </w:tcPr>
          <w:p w14:paraId="0B139F1D" w14:textId="77777777" w:rsidR="00BE531B" w:rsidRPr="00BE531B" w:rsidRDefault="00BE531B" w:rsidP="00BE531B">
            <w:pPr>
              <w:spacing w:after="0" w:line="240" w:lineRule="auto"/>
              <w:rPr>
                <w:rFonts w:ascii="Arial Narrow" w:eastAsia="Times New Roman" w:hAnsi="Arial Narrow" w:cs="Times New Roman"/>
                <w:sz w:val="16"/>
                <w:szCs w:val="16"/>
                <w:lang w:val="en-US"/>
              </w:rPr>
            </w:pPr>
          </w:p>
        </w:tc>
        <w:tc>
          <w:tcPr>
            <w:tcW w:w="2959" w:type="dxa"/>
            <w:tcBorders>
              <w:top w:val="nil"/>
              <w:left w:val="nil"/>
              <w:bottom w:val="nil"/>
              <w:right w:val="nil"/>
            </w:tcBorders>
            <w:shd w:val="clear" w:color="auto" w:fill="auto"/>
            <w:noWrap/>
            <w:hideMark/>
          </w:tcPr>
          <w:p w14:paraId="0ACBDCE0"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Posts</w:t>
            </w:r>
          </w:p>
        </w:tc>
        <w:tc>
          <w:tcPr>
            <w:tcW w:w="252" w:type="dxa"/>
            <w:tcBorders>
              <w:top w:val="nil"/>
              <w:left w:val="nil"/>
              <w:bottom w:val="nil"/>
              <w:right w:val="nil"/>
            </w:tcBorders>
            <w:shd w:val="clear" w:color="auto" w:fill="auto"/>
            <w:noWrap/>
            <w:hideMark/>
          </w:tcPr>
          <w:p w14:paraId="49E53FD6"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7ACED30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157,078</w:t>
            </w:r>
          </w:p>
        </w:tc>
        <w:tc>
          <w:tcPr>
            <w:tcW w:w="1172" w:type="dxa"/>
            <w:tcBorders>
              <w:top w:val="nil"/>
              <w:left w:val="nil"/>
              <w:bottom w:val="nil"/>
              <w:right w:val="nil"/>
            </w:tcBorders>
            <w:shd w:val="clear" w:color="auto" w:fill="auto"/>
            <w:noWrap/>
            <w:hideMark/>
          </w:tcPr>
          <w:p w14:paraId="6B81942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128,531</w:t>
            </w:r>
          </w:p>
        </w:tc>
        <w:tc>
          <w:tcPr>
            <w:tcW w:w="1172" w:type="dxa"/>
            <w:tcBorders>
              <w:top w:val="nil"/>
              <w:left w:val="nil"/>
              <w:bottom w:val="nil"/>
              <w:right w:val="nil"/>
            </w:tcBorders>
            <w:shd w:val="clear" w:color="auto" w:fill="auto"/>
            <w:noWrap/>
            <w:hideMark/>
          </w:tcPr>
          <w:p w14:paraId="651E287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123,613</w:t>
            </w:r>
          </w:p>
        </w:tc>
        <w:tc>
          <w:tcPr>
            <w:tcW w:w="1053" w:type="dxa"/>
            <w:tcBorders>
              <w:top w:val="nil"/>
              <w:left w:val="nil"/>
              <w:bottom w:val="nil"/>
              <w:right w:val="nil"/>
            </w:tcBorders>
            <w:shd w:val="clear" w:color="auto" w:fill="auto"/>
            <w:noWrap/>
            <w:hideMark/>
          </w:tcPr>
          <w:p w14:paraId="5104086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28,547</w:t>
            </w:r>
          </w:p>
        </w:tc>
        <w:tc>
          <w:tcPr>
            <w:tcW w:w="1054" w:type="dxa"/>
            <w:tcBorders>
              <w:top w:val="nil"/>
              <w:left w:val="nil"/>
              <w:bottom w:val="nil"/>
              <w:right w:val="nil"/>
            </w:tcBorders>
            <w:shd w:val="clear" w:color="auto" w:fill="auto"/>
            <w:noWrap/>
            <w:hideMark/>
          </w:tcPr>
          <w:p w14:paraId="22C3D5E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22%</w:t>
            </w:r>
          </w:p>
        </w:tc>
      </w:tr>
      <w:tr w:rsidR="00BE531B" w:rsidRPr="00BE531B" w14:paraId="2DEEC986" w14:textId="77777777" w:rsidTr="008A121C">
        <w:trPr>
          <w:trHeight w:hRule="exact" w:val="216"/>
          <w:jc w:val="center"/>
        </w:trPr>
        <w:tc>
          <w:tcPr>
            <w:tcW w:w="250" w:type="dxa"/>
            <w:tcBorders>
              <w:top w:val="nil"/>
              <w:left w:val="nil"/>
              <w:bottom w:val="nil"/>
              <w:right w:val="nil"/>
            </w:tcBorders>
            <w:shd w:val="clear" w:color="auto" w:fill="auto"/>
            <w:noWrap/>
            <w:hideMark/>
          </w:tcPr>
          <w:p w14:paraId="28FCB57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01CB0F5F"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66196143"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Temporary Staff</w:t>
            </w:r>
          </w:p>
        </w:tc>
        <w:tc>
          <w:tcPr>
            <w:tcW w:w="252" w:type="dxa"/>
            <w:tcBorders>
              <w:top w:val="nil"/>
              <w:left w:val="nil"/>
              <w:bottom w:val="nil"/>
              <w:right w:val="nil"/>
            </w:tcBorders>
            <w:shd w:val="clear" w:color="auto" w:fill="auto"/>
            <w:noWrap/>
            <w:hideMark/>
          </w:tcPr>
          <w:p w14:paraId="76B5388E"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2147A20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5,116</w:t>
            </w:r>
          </w:p>
        </w:tc>
        <w:tc>
          <w:tcPr>
            <w:tcW w:w="1172" w:type="dxa"/>
            <w:tcBorders>
              <w:top w:val="nil"/>
              <w:left w:val="nil"/>
              <w:bottom w:val="nil"/>
              <w:right w:val="nil"/>
            </w:tcBorders>
            <w:shd w:val="clear" w:color="auto" w:fill="auto"/>
            <w:noWrap/>
            <w:hideMark/>
          </w:tcPr>
          <w:p w14:paraId="5420164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3,461</w:t>
            </w:r>
          </w:p>
        </w:tc>
        <w:tc>
          <w:tcPr>
            <w:tcW w:w="1172" w:type="dxa"/>
            <w:tcBorders>
              <w:top w:val="nil"/>
              <w:left w:val="nil"/>
              <w:bottom w:val="nil"/>
              <w:right w:val="nil"/>
            </w:tcBorders>
            <w:shd w:val="clear" w:color="auto" w:fill="auto"/>
            <w:noWrap/>
            <w:hideMark/>
          </w:tcPr>
          <w:p w14:paraId="6E026D1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7,666</w:t>
            </w:r>
          </w:p>
        </w:tc>
        <w:tc>
          <w:tcPr>
            <w:tcW w:w="1053" w:type="dxa"/>
            <w:tcBorders>
              <w:top w:val="nil"/>
              <w:left w:val="nil"/>
              <w:bottom w:val="nil"/>
              <w:right w:val="nil"/>
            </w:tcBorders>
            <w:shd w:val="clear" w:color="auto" w:fill="auto"/>
            <w:noWrap/>
            <w:hideMark/>
          </w:tcPr>
          <w:p w14:paraId="6E1EFA8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1,655</w:t>
            </w:r>
          </w:p>
        </w:tc>
        <w:tc>
          <w:tcPr>
            <w:tcW w:w="1054" w:type="dxa"/>
            <w:tcBorders>
              <w:top w:val="nil"/>
              <w:left w:val="nil"/>
              <w:bottom w:val="nil"/>
              <w:right w:val="nil"/>
            </w:tcBorders>
            <w:shd w:val="clear" w:color="auto" w:fill="auto"/>
            <w:noWrap/>
            <w:hideMark/>
          </w:tcPr>
          <w:p w14:paraId="357D95F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48%</w:t>
            </w:r>
          </w:p>
        </w:tc>
      </w:tr>
      <w:tr w:rsidR="00BE531B" w:rsidRPr="00BE531B" w14:paraId="72626546" w14:textId="77777777" w:rsidTr="008A121C">
        <w:trPr>
          <w:trHeight w:hRule="exact" w:val="216"/>
          <w:jc w:val="center"/>
        </w:trPr>
        <w:tc>
          <w:tcPr>
            <w:tcW w:w="250" w:type="dxa"/>
            <w:tcBorders>
              <w:top w:val="nil"/>
              <w:left w:val="nil"/>
              <w:bottom w:val="nil"/>
              <w:right w:val="nil"/>
            </w:tcBorders>
            <w:shd w:val="clear" w:color="auto" w:fill="auto"/>
            <w:noWrap/>
            <w:hideMark/>
          </w:tcPr>
          <w:p w14:paraId="3CB5D44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269D5CEB"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7E0274E4"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Other Staff Costs</w:t>
            </w:r>
          </w:p>
        </w:tc>
        <w:tc>
          <w:tcPr>
            <w:tcW w:w="252" w:type="dxa"/>
            <w:tcBorders>
              <w:top w:val="nil"/>
              <w:left w:val="nil"/>
              <w:bottom w:val="nil"/>
              <w:right w:val="nil"/>
            </w:tcBorders>
            <w:shd w:val="clear" w:color="auto" w:fill="auto"/>
            <w:noWrap/>
            <w:hideMark/>
          </w:tcPr>
          <w:p w14:paraId="3F4B40A5"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44FBD07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3,152</w:t>
            </w:r>
          </w:p>
        </w:tc>
        <w:tc>
          <w:tcPr>
            <w:tcW w:w="1172" w:type="dxa"/>
            <w:tcBorders>
              <w:top w:val="nil"/>
              <w:left w:val="nil"/>
              <w:bottom w:val="nil"/>
              <w:right w:val="nil"/>
            </w:tcBorders>
            <w:shd w:val="clear" w:color="auto" w:fill="auto"/>
            <w:noWrap/>
            <w:hideMark/>
          </w:tcPr>
          <w:p w14:paraId="0B79F70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3,152</w:t>
            </w:r>
          </w:p>
        </w:tc>
        <w:tc>
          <w:tcPr>
            <w:tcW w:w="1172" w:type="dxa"/>
            <w:tcBorders>
              <w:top w:val="nil"/>
              <w:left w:val="nil"/>
              <w:bottom w:val="nil"/>
              <w:right w:val="nil"/>
            </w:tcBorders>
            <w:shd w:val="clear" w:color="auto" w:fill="auto"/>
            <w:noWrap/>
            <w:hideMark/>
          </w:tcPr>
          <w:p w14:paraId="610649B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3,152</w:t>
            </w:r>
          </w:p>
        </w:tc>
        <w:tc>
          <w:tcPr>
            <w:tcW w:w="1053" w:type="dxa"/>
            <w:tcBorders>
              <w:top w:val="nil"/>
              <w:left w:val="nil"/>
              <w:bottom w:val="nil"/>
              <w:right w:val="nil"/>
            </w:tcBorders>
            <w:shd w:val="clear" w:color="auto" w:fill="auto"/>
            <w:noWrap/>
            <w:hideMark/>
          </w:tcPr>
          <w:p w14:paraId="4946D59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w:t>
            </w:r>
          </w:p>
        </w:tc>
        <w:tc>
          <w:tcPr>
            <w:tcW w:w="1054" w:type="dxa"/>
            <w:tcBorders>
              <w:top w:val="nil"/>
              <w:left w:val="nil"/>
              <w:bottom w:val="nil"/>
              <w:right w:val="nil"/>
            </w:tcBorders>
            <w:shd w:val="clear" w:color="auto" w:fill="auto"/>
            <w:noWrap/>
            <w:hideMark/>
          </w:tcPr>
          <w:p w14:paraId="3D7CA8B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0%</w:t>
            </w:r>
          </w:p>
        </w:tc>
      </w:tr>
      <w:tr w:rsidR="00BE531B" w:rsidRPr="00BE531B" w14:paraId="7A6254D4" w14:textId="77777777" w:rsidTr="008A121C">
        <w:trPr>
          <w:trHeight w:hRule="exact" w:val="216"/>
          <w:jc w:val="center"/>
        </w:trPr>
        <w:tc>
          <w:tcPr>
            <w:tcW w:w="250" w:type="dxa"/>
            <w:tcBorders>
              <w:top w:val="single" w:sz="4" w:space="0" w:color="C7CFD8"/>
              <w:left w:val="nil"/>
              <w:bottom w:val="single" w:sz="8" w:space="0" w:color="C7CFD8"/>
              <w:right w:val="nil"/>
            </w:tcBorders>
            <w:shd w:val="clear" w:color="auto" w:fill="auto"/>
            <w:noWrap/>
            <w:hideMark/>
          </w:tcPr>
          <w:p w14:paraId="43D42FFB"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3179" w:type="dxa"/>
            <w:gridSpan w:val="2"/>
            <w:tcBorders>
              <w:top w:val="single" w:sz="4" w:space="0" w:color="C7CFD8"/>
              <w:left w:val="nil"/>
              <w:bottom w:val="single" w:sz="8" w:space="0" w:color="C7CFD8"/>
              <w:right w:val="nil"/>
            </w:tcBorders>
            <w:shd w:val="clear" w:color="auto" w:fill="auto"/>
            <w:noWrap/>
            <w:vAlign w:val="center"/>
            <w:hideMark/>
          </w:tcPr>
          <w:p w14:paraId="3E418C45"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Total A</w:t>
            </w:r>
          </w:p>
        </w:tc>
        <w:tc>
          <w:tcPr>
            <w:tcW w:w="252" w:type="dxa"/>
            <w:tcBorders>
              <w:top w:val="single" w:sz="4" w:space="0" w:color="C7CFD8"/>
              <w:left w:val="nil"/>
              <w:bottom w:val="single" w:sz="8" w:space="0" w:color="C7CFD8"/>
              <w:right w:val="nil"/>
            </w:tcBorders>
            <w:shd w:val="clear" w:color="auto" w:fill="auto"/>
            <w:noWrap/>
            <w:hideMark/>
          </w:tcPr>
          <w:p w14:paraId="73AF15F8"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1053" w:type="dxa"/>
            <w:tcBorders>
              <w:top w:val="single" w:sz="4" w:space="0" w:color="C7CFD8"/>
              <w:left w:val="nil"/>
              <w:bottom w:val="single" w:sz="8" w:space="0" w:color="C7CFD8"/>
              <w:right w:val="nil"/>
            </w:tcBorders>
            <w:shd w:val="clear" w:color="auto" w:fill="auto"/>
            <w:noWrap/>
            <w:vAlign w:val="center"/>
            <w:hideMark/>
          </w:tcPr>
          <w:p w14:paraId="1EEAC24F"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165,346</w:t>
            </w:r>
          </w:p>
        </w:tc>
        <w:tc>
          <w:tcPr>
            <w:tcW w:w="1172" w:type="dxa"/>
            <w:tcBorders>
              <w:top w:val="single" w:sz="4" w:space="0" w:color="C7CFD8"/>
              <w:left w:val="nil"/>
              <w:bottom w:val="single" w:sz="8" w:space="0" w:color="C7CFD8"/>
              <w:right w:val="nil"/>
            </w:tcBorders>
            <w:shd w:val="clear" w:color="auto" w:fill="auto"/>
            <w:noWrap/>
            <w:vAlign w:val="center"/>
            <w:hideMark/>
          </w:tcPr>
          <w:p w14:paraId="2F2D03E0"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135,144</w:t>
            </w:r>
          </w:p>
        </w:tc>
        <w:tc>
          <w:tcPr>
            <w:tcW w:w="1172" w:type="dxa"/>
            <w:tcBorders>
              <w:top w:val="single" w:sz="4" w:space="0" w:color="C7CFD8"/>
              <w:left w:val="nil"/>
              <w:bottom w:val="single" w:sz="8" w:space="0" w:color="C7CFD8"/>
              <w:right w:val="nil"/>
            </w:tcBorders>
            <w:shd w:val="clear" w:color="auto" w:fill="auto"/>
            <w:noWrap/>
            <w:vAlign w:val="center"/>
            <w:hideMark/>
          </w:tcPr>
          <w:p w14:paraId="6CFA8489"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134,432</w:t>
            </w:r>
          </w:p>
        </w:tc>
        <w:tc>
          <w:tcPr>
            <w:tcW w:w="1053" w:type="dxa"/>
            <w:tcBorders>
              <w:top w:val="single" w:sz="4" w:space="0" w:color="C7CFD8"/>
              <w:left w:val="nil"/>
              <w:bottom w:val="single" w:sz="8" w:space="0" w:color="C7CFD8"/>
              <w:right w:val="nil"/>
            </w:tcBorders>
            <w:shd w:val="clear" w:color="auto" w:fill="auto"/>
            <w:noWrap/>
            <w:vAlign w:val="center"/>
            <w:hideMark/>
          </w:tcPr>
          <w:p w14:paraId="61BB65A4"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30,202</w:t>
            </w:r>
          </w:p>
        </w:tc>
        <w:tc>
          <w:tcPr>
            <w:tcW w:w="1054" w:type="dxa"/>
            <w:tcBorders>
              <w:top w:val="single" w:sz="4" w:space="0" w:color="C7CFD8"/>
              <w:left w:val="nil"/>
              <w:bottom w:val="single" w:sz="8" w:space="0" w:color="C7CFD8"/>
              <w:right w:val="nil"/>
            </w:tcBorders>
            <w:shd w:val="clear" w:color="auto" w:fill="auto"/>
            <w:noWrap/>
            <w:vAlign w:val="center"/>
            <w:hideMark/>
          </w:tcPr>
          <w:p w14:paraId="6D3737BE"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22%</w:t>
            </w:r>
          </w:p>
        </w:tc>
      </w:tr>
      <w:tr w:rsidR="00BE531B" w:rsidRPr="00BE531B" w14:paraId="213878B3" w14:textId="77777777" w:rsidTr="008A121C">
        <w:trPr>
          <w:trHeight w:hRule="exact" w:val="216"/>
          <w:jc w:val="center"/>
        </w:trPr>
        <w:tc>
          <w:tcPr>
            <w:tcW w:w="3682" w:type="dxa"/>
            <w:gridSpan w:val="4"/>
            <w:tcBorders>
              <w:top w:val="nil"/>
              <w:left w:val="nil"/>
              <w:bottom w:val="nil"/>
              <w:right w:val="nil"/>
            </w:tcBorders>
            <w:shd w:val="clear" w:color="auto" w:fill="auto"/>
            <w:noWrap/>
            <w:hideMark/>
          </w:tcPr>
          <w:p w14:paraId="295D3CEE" w14:textId="77777777" w:rsidR="00BE531B" w:rsidRPr="00BE531B" w:rsidRDefault="00BE531B" w:rsidP="00BE531B">
            <w:pPr>
              <w:spacing w:after="0" w:line="240" w:lineRule="auto"/>
              <w:rPr>
                <w:rFonts w:ascii="Arial Narrow" w:eastAsia="Times New Roman" w:hAnsi="Arial Narrow" w:cs="Times New Roman"/>
                <w:b/>
                <w:bCs/>
                <w:color w:val="005172"/>
                <w:sz w:val="16"/>
                <w:szCs w:val="16"/>
                <w:lang w:val="en-US"/>
              </w:rPr>
            </w:pPr>
            <w:r w:rsidRPr="00BE531B">
              <w:rPr>
                <w:rFonts w:ascii="Arial Narrow" w:eastAsia="Times New Roman" w:hAnsi="Arial Narrow" w:cs="Times New Roman"/>
                <w:b/>
                <w:bCs/>
                <w:color w:val="005172"/>
                <w:sz w:val="16"/>
                <w:szCs w:val="16"/>
                <w:lang w:val="en-US"/>
              </w:rPr>
              <w:t>B. Non-personnel Resources</w:t>
            </w:r>
          </w:p>
        </w:tc>
        <w:tc>
          <w:tcPr>
            <w:tcW w:w="1053" w:type="dxa"/>
            <w:tcBorders>
              <w:top w:val="nil"/>
              <w:left w:val="nil"/>
              <w:bottom w:val="nil"/>
              <w:right w:val="nil"/>
            </w:tcBorders>
            <w:shd w:val="clear" w:color="auto" w:fill="auto"/>
            <w:noWrap/>
            <w:hideMark/>
          </w:tcPr>
          <w:p w14:paraId="78F7504C" w14:textId="77777777" w:rsidR="00BE531B" w:rsidRPr="00BE531B" w:rsidRDefault="00BE531B" w:rsidP="00BE531B">
            <w:pPr>
              <w:spacing w:after="0" w:line="240" w:lineRule="auto"/>
              <w:rPr>
                <w:rFonts w:ascii="Arial Narrow" w:eastAsia="Times New Roman" w:hAnsi="Arial Narrow" w:cs="Times New Roman"/>
                <w:b/>
                <w:bCs/>
                <w:color w:val="005172"/>
                <w:sz w:val="16"/>
                <w:szCs w:val="16"/>
                <w:lang w:val="en-US"/>
              </w:rPr>
            </w:pPr>
          </w:p>
        </w:tc>
        <w:tc>
          <w:tcPr>
            <w:tcW w:w="1172" w:type="dxa"/>
            <w:tcBorders>
              <w:top w:val="nil"/>
              <w:left w:val="nil"/>
              <w:bottom w:val="nil"/>
              <w:right w:val="nil"/>
            </w:tcBorders>
            <w:shd w:val="clear" w:color="auto" w:fill="auto"/>
            <w:noWrap/>
            <w:hideMark/>
          </w:tcPr>
          <w:p w14:paraId="42D06BA5"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50BE727B"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353AB4D9"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2838AC58"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6039E6E0" w14:textId="77777777" w:rsidTr="008A121C">
        <w:trPr>
          <w:trHeight w:hRule="exact" w:val="216"/>
          <w:jc w:val="center"/>
        </w:trPr>
        <w:tc>
          <w:tcPr>
            <w:tcW w:w="250" w:type="dxa"/>
            <w:tcBorders>
              <w:top w:val="nil"/>
              <w:left w:val="nil"/>
              <w:bottom w:val="nil"/>
              <w:right w:val="nil"/>
            </w:tcBorders>
            <w:shd w:val="clear" w:color="auto" w:fill="auto"/>
            <w:noWrap/>
            <w:hideMark/>
          </w:tcPr>
          <w:p w14:paraId="0E7B1E82"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431" w:type="dxa"/>
            <w:gridSpan w:val="3"/>
            <w:tcBorders>
              <w:top w:val="nil"/>
              <w:left w:val="nil"/>
              <w:bottom w:val="nil"/>
              <w:right w:val="nil"/>
            </w:tcBorders>
            <w:shd w:val="clear" w:color="auto" w:fill="auto"/>
            <w:noWrap/>
            <w:hideMark/>
          </w:tcPr>
          <w:p w14:paraId="244E0C8A"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Internships and WIPO Fellowships</w:t>
            </w:r>
          </w:p>
        </w:tc>
        <w:tc>
          <w:tcPr>
            <w:tcW w:w="1053" w:type="dxa"/>
            <w:tcBorders>
              <w:top w:val="nil"/>
              <w:left w:val="nil"/>
              <w:bottom w:val="nil"/>
              <w:right w:val="nil"/>
            </w:tcBorders>
            <w:shd w:val="clear" w:color="auto" w:fill="auto"/>
            <w:noWrap/>
            <w:hideMark/>
          </w:tcPr>
          <w:p w14:paraId="6143BD28"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tcBorders>
              <w:top w:val="nil"/>
              <w:left w:val="nil"/>
              <w:bottom w:val="nil"/>
              <w:right w:val="nil"/>
            </w:tcBorders>
            <w:shd w:val="clear" w:color="auto" w:fill="auto"/>
            <w:noWrap/>
            <w:hideMark/>
          </w:tcPr>
          <w:p w14:paraId="7EBC9C1E"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24BE1D04"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2C6BEE82"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43A9B2B7"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56F1C391" w14:textId="77777777" w:rsidTr="008A121C">
        <w:trPr>
          <w:trHeight w:hRule="exact" w:val="216"/>
          <w:jc w:val="center"/>
        </w:trPr>
        <w:tc>
          <w:tcPr>
            <w:tcW w:w="250" w:type="dxa"/>
            <w:tcBorders>
              <w:top w:val="nil"/>
              <w:left w:val="nil"/>
              <w:bottom w:val="nil"/>
              <w:right w:val="nil"/>
            </w:tcBorders>
            <w:shd w:val="clear" w:color="auto" w:fill="auto"/>
            <w:noWrap/>
            <w:hideMark/>
          </w:tcPr>
          <w:p w14:paraId="285B1BC2"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20" w:type="dxa"/>
            <w:tcBorders>
              <w:top w:val="nil"/>
              <w:left w:val="nil"/>
              <w:bottom w:val="nil"/>
              <w:right w:val="nil"/>
            </w:tcBorders>
            <w:shd w:val="clear" w:color="auto" w:fill="auto"/>
            <w:noWrap/>
            <w:hideMark/>
          </w:tcPr>
          <w:p w14:paraId="4A44A908"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471583A7"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Internships</w:t>
            </w:r>
          </w:p>
        </w:tc>
        <w:tc>
          <w:tcPr>
            <w:tcW w:w="252" w:type="dxa"/>
            <w:tcBorders>
              <w:top w:val="nil"/>
              <w:left w:val="nil"/>
              <w:bottom w:val="nil"/>
              <w:right w:val="nil"/>
            </w:tcBorders>
            <w:shd w:val="clear" w:color="auto" w:fill="auto"/>
            <w:noWrap/>
            <w:hideMark/>
          </w:tcPr>
          <w:p w14:paraId="1F687F27"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06E2BAB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189</w:t>
            </w:r>
          </w:p>
        </w:tc>
        <w:tc>
          <w:tcPr>
            <w:tcW w:w="1172" w:type="dxa"/>
            <w:tcBorders>
              <w:top w:val="nil"/>
              <w:left w:val="nil"/>
              <w:bottom w:val="nil"/>
              <w:right w:val="nil"/>
            </w:tcBorders>
            <w:shd w:val="clear" w:color="auto" w:fill="auto"/>
            <w:noWrap/>
            <w:hideMark/>
          </w:tcPr>
          <w:p w14:paraId="43218CC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226</w:t>
            </w:r>
          </w:p>
        </w:tc>
        <w:tc>
          <w:tcPr>
            <w:tcW w:w="1172" w:type="dxa"/>
            <w:tcBorders>
              <w:top w:val="nil"/>
              <w:left w:val="nil"/>
              <w:bottom w:val="nil"/>
              <w:right w:val="nil"/>
            </w:tcBorders>
            <w:shd w:val="clear" w:color="auto" w:fill="auto"/>
            <w:noWrap/>
            <w:hideMark/>
          </w:tcPr>
          <w:p w14:paraId="792315D1"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654</w:t>
            </w:r>
          </w:p>
        </w:tc>
        <w:tc>
          <w:tcPr>
            <w:tcW w:w="1053" w:type="dxa"/>
            <w:tcBorders>
              <w:top w:val="nil"/>
              <w:left w:val="nil"/>
              <w:bottom w:val="nil"/>
              <w:right w:val="nil"/>
            </w:tcBorders>
            <w:shd w:val="clear" w:color="auto" w:fill="auto"/>
            <w:noWrap/>
            <w:hideMark/>
          </w:tcPr>
          <w:p w14:paraId="5208FD7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(37)</w:t>
            </w:r>
          </w:p>
        </w:tc>
        <w:tc>
          <w:tcPr>
            <w:tcW w:w="1054" w:type="dxa"/>
            <w:tcBorders>
              <w:top w:val="nil"/>
              <w:left w:val="nil"/>
              <w:bottom w:val="nil"/>
              <w:right w:val="nil"/>
            </w:tcBorders>
            <w:shd w:val="clear" w:color="auto" w:fill="auto"/>
            <w:noWrap/>
            <w:hideMark/>
          </w:tcPr>
          <w:p w14:paraId="3DF0B8E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-17%</w:t>
            </w:r>
          </w:p>
        </w:tc>
      </w:tr>
      <w:tr w:rsidR="00BE531B" w:rsidRPr="00BE531B" w14:paraId="10A3A4EB" w14:textId="77777777" w:rsidTr="008A121C">
        <w:trPr>
          <w:trHeight w:hRule="exact" w:val="216"/>
          <w:jc w:val="center"/>
        </w:trPr>
        <w:tc>
          <w:tcPr>
            <w:tcW w:w="250" w:type="dxa"/>
            <w:tcBorders>
              <w:top w:val="nil"/>
              <w:left w:val="nil"/>
              <w:bottom w:val="nil"/>
              <w:right w:val="nil"/>
            </w:tcBorders>
            <w:shd w:val="clear" w:color="auto" w:fill="auto"/>
            <w:noWrap/>
            <w:hideMark/>
          </w:tcPr>
          <w:p w14:paraId="13E8691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56157CC3"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11602F04"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WIPO Fellowships</w:t>
            </w:r>
          </w:p>
        </w:tc>
        <w:tc>
          <w:tcPr>
            <w:tcW w:w="252" w:type="dxa"/>
            <w:tcBorders>
              <w:top w:val="nil"/>
              <w:left w:val="nil"/>
              <w:bottom w:val="nil"/>
              <w:right w:val="nil"/>
            </w:tcBorders>
            <w:shd w:val="clear" w:color="auto" w:fill="auto"/>
            <w:noWrap/>
            <w:hideMark/>
          </w:tcPr>
          <w:p w14:paraId="31F86EB1"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22BB45A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1,280</w:t>
            </w:r>
          </w:p>
        </w:tc>
        <w:tc>
          <w:tcPr>
            <w:tcW w:w="1172" w:type="dxa"/>
            <w:tcBorders>
              <w:top w:val="nil"/>
              <w:left w:val="nil"/>
              <w:bottom w:val="nil"/>
              <w:right w:val="nil"/>
            </w:tcBorders>
            <w:shd w:val="clear" w:color="auto" w:fill="auto"/>
            <w:noWrap/>
            <w:hideMark/>
          </w:tcPr>
          <w:p w14:paraId="056C113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154</w:t>
            </w:r>
          </w:p>
        </w:tc>
        <w:tc>
          <w:tcPr>
            <w:tcW w:w="1172" w:type="dxa"/>
            <w:tcBorders>
              <w:top w:val="nil"/>
              <w:left w:val="nil"/>
              <w:bottom w:val="nil"/>
              <w:right w:val="nil"/>
            </w:tcBorders>
            <w:shd w:val="clear" w:color="auto" w:fill="auto"/>
            <w:noWrap/>
            <w:hideMark/>
          </w:tcPr>
          <w:p w14:paraId="1DDCC33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423</w:t>
            </w:r>
          </w:p>
        </w:tc>
        <w:tc>
          <w:tcPr>
            <w:tcW w:w="1053" w:type="dxa"/>
            <w:tcBorders>
              <w:top w:val="nil"/>
              <w:left w:val="nil"/>
              <w:bottom w:val="nil"/>
              <w:right w:val="nil"/>
            </w:tcBorders>
            <w:shd w:val="clear" w:color="auto" w:fill="auto"/>
            <w:noWrap/>
            <w:hideMark/>
          </w:tcPr>
          <w:p w14:paraId="39391DB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1,126</w:t>
            </w:r>
          </w:p>
        </w:tc>
        <w:tc>
          <w:tcPr>
            <w:tcW w:w="1054" w:type="dxa"/>
            <w:tcBorders>
              <w:top w:val="nil"/>
              <w:left w:val="nil"/>
              <w:bottom w:val="nil"/>
              <w:right w:val="nil"/>
            </w:tcBorders>
            <w:shd w:val="clear" w:color="auto" w:fill="auto"/>
            <w:noWrap/>
            <w:hideMark/>
          </w:tcPr>
          <w:p w14:paraId="5F3508E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+100%</w:t>
            </w:r>
          </w:p>
        </w:tc>
      </w:tr>
      <w:tr w:rsidR="00BE531B" w:rsidRPr="00BE531B" w14:paraId="390F8135"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70FA8FC7"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576ABF46"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3538D58B"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1053" w:type="dxa"/>
            <w:tcBorders>
              <w:top w:val="nil"/>
              <w:left w:val="nil"/>
              <w:bottom w:val="single" w:sz="4" w:space="0" w:color="C7CFD8"/>
              <w:right w:val="nil"/>
            </w:tcBorders>
            <w:shd w:val="clear" w:color="auto" w:fill="auto"/>
            <w:noWrap/>
            <w:hideMark/>
          </w:tcPr>
          <w:p w14:paraId="60650BA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1,469</w:t>
            </w:r>
          </w:p>
        </w:tc>
        <w:tc>
          <w:tcPr>
            <w:tcW w:w="1172" w:type="dxa"/>
            <w:tcBorders>
              <w:top w:val="nil"/>
              <w:left w:val="nil"/>
              <w:bottom w:val="single" w:sz="4" w:space="0" w:color="C7CFD8"/>
              <w:right w:val="nil"/>
            </w:tcBorders>
            <w:shd w:val="clear" w:color="auto" w:fill="auto"/>
            <w:noWrap/>
            <w:hideMark/>
          </w:tcPr>
          <w:p w14:paraId="1F7D4E41"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380</w:t>
            </w:r>
          </w:p>
        </w:tc>
        <w:tc>
          <w:tcPr>
            <w:tcW w:w="1172" w:type="dxa"/>
            <w:tcBorders>
              <w:top w:val="nil"/>
              <w:left w:val="nil"/>
              <w:bottom w:val="single" w:sz="4" w:space="0" w:color="C7CFD8"/>
              <w:right w:val="nil"/>
            </w:tcBorders>
            <w:shd w:val="clear" w:color="auto" w:fill="auto"/>
            <w:noWrap/>
            <w:hideMark/>
          </w:tcPr>
          <w:p w14:paraId="252FD0C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1,077</w:t>
            </w:r>
          </w:p>
        </w:tc>
        <w:tc>
          <w:tcPr>
            <w:tcW w:w="1053" w:type="dxa"/>
            <w:tcBorders>
              <w:top w:val="nil"/>
              <w:left w:val="nil"/>
              <w:bottom w:val="single" w:sz="4" w:space="0" w:color="C7CFD8"/>
              <w:right w:val="nil"/>
            </w:tcBorders>
            <w:shd w:val="clear" w:color="auto" w:fill="auto"/>
            <w:noWrap/>
            <w:hideMark/>
          </w:tcPr>
          <w:p w14:paraId="36685E5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1,089</w:t>
            </w:r>
          </w:p>
        </w:tc>
        <w:tc>
          <w:tcPr>
            <w:tcW w:w="1054" w:type="dxa"/>
            <w:tcBorders>
              <w:top w:val="nil"/>
              <w:left w:val="nil"/>
              <w:bottom w:val="single" w:sz="4" w:space="0" w:color="C7CFD8"/>
              <w:right w:val="nil"/>
            </w:tcBorders>
            <w:shd w:val="clear" w:color="auto" w:fill="auto"/>
            <w:noWrap/>
            <w:hideMark/>
          </w:tcPr>
          <w:p w14:paraId="5CF834D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+100%</w:t>
            </w:r>
          </w:p>
        </w:tc>
      </w:tr>
      <w:tr w:rsidR="00BE531B" w:rsidRPr="00BE531B" w14:paraId="525C189A" w14:textId="77777777" w:rsidTr="008A121C">
        <w:trPr>
          <w:trHeight w:hRule="exact" w:val="216"/>
          <w:jc w:val="center"/>
        </w:trPr>
        <w:tc>
          <w:tcPr>
            <w:tcW w:w="250" w:type="dxa"/>
            <w:tcBorders>
              <w:top w:val="nil"/>
              <w:left w:val="nil"/>
              <w:bottom w:val="nil"/>
              <w:right w:val="nil"/>
            </w:tcBorders>
            <w:shd w:val="clear" w:color="auto" w:fill="auto"/>
            <w:noWrap/>
            <w:hideMark/>
          </w:tcPr>
          <w:p w14:paraId="22DCA01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3431" w:type="dxa"/>
            <w:gridSpan w:val="3"/>
            <w:tcBorders>
              <w:top w:val="nil"/>
              <w:left w:val="nil"/>
              <w:bottom w:val="nil"/>
              <w:right w:val="nil"/>
            </w:tcBorders>
            <w:shd w:val="clear" w:color="auto" w:fill="auto"/>
            <w:noWrap/>
            <w:hideMark/>
          </w:tcPr>
          <w:p w14:paraId="04F5E03B"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Travel, Training and Grants</w:t>
            </w:r>
          </w:p>
        </w:tc>
        <w:tc>
          <w:tcPr>
            <w:tcW w:w="1053" w:type="dxa"/>
            <w:tcBorders>
              <w:top w:val="nil"/>
              <w:left w:val="nil"/>
              <w:bottom w:val="nil"/>
              <w:right w:val="nil"/>
            </w:tcBorders>
            <w:shd w:val="clear" w:color="auto" w:fill="auto"/>
            <w:noWrap/>
            <w:hideMark/>
          </w:tcPr>
          <w:p w14:paraId="67A7FD6A"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tcBorders>
              <w:top w:val="nil"/>
              <w:left w:val="nil"/>
              <w:bottom w:val="nil"/>
              <w:right w:val="nil"/>
            </w:tcBorders>
            <w:shd w:val="clear" w:color="auto" w:fill="auto"/>
            <w:noWrap/>
            <w:hideMark/>
          </w:tcPr>
          <w:p w14:paraId="32B1BE60"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67E12DCF"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44A73C3C"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5EBEA210"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081F571F" w14:textId="77777777" w:rsidTr="008A121C">
        <w:trPr>
          <w:trHeight w:hRule="exact" w:val="216"/>
          <w:jc w:val="center"/>
        </w:trPr>
        <w:tc>
          <w:tcPr>
            <w:tcW w:w="250" w:type="dxa"/>
            <w:tcBorders>
              <w:top w:val="nil"/>
              <w:left w:val="nil"/>
              <w:bottom w:val="nil"/>
              <w:right w:val="nil"/>
            </w:tcBorders>
            <w:shd w:val="clear" w:color="auto" w:fill="auto"/>
            <w:noWrap/>
            <w:hideMark/>
          </w:tcPr>
          <w:p w14:paraId="3228AF27"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20" w:type="dxa"/>
            <w:tcBorders>
              <w:top w:val="nil"/>
              <w:left w:val="nil"/>
              <w:bottom w:val="nil"/>
              <w:right w:val="nil"/>
            </w:tcBorders>
            <w:shd w:val="clear" w:color="auto" w:fill="auto"/>
            <w:noWrap/>
            <w:hideMark/>
          </w:tcPr>
          <w:p w14:paraId="5DD43186"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307CD106"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Staff Missions</w:t>
            </w:r>
          </w:p>
        </w:tc>
        <w:tc>
          <w:tcPr>
            <w:tcW w:w="252" w:type="dxa"/>
            <w:tcBorders>
              <w:top w:val="nil"/>
              <w:left w:val="nil"/>
              <w:bottom w:val="nil"/>
              <w:right w:val="nil"/>
            </w:tcBorders>
            <w:shd w:val="clear" w:color="auto" w:fill="auto"/>
            <w:noWrap/>
            <w:hideMark/>
          </w:tcPr>
          <w:p w14:paraId="3F6BA9DF"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2060AFE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1,613</w:t>
            </w:r>
          </w:p>
        </w:tc>
        <w:tc>
          <w:tcPr>
            <w:tcW w:w="1172" w:type="dxa"/>
            <w:tcBorders>
              <w:top w:val="nil"/>
              <w:left w:val="nil"/>
              <w:bottom w:val="nil"/>
              <w:right w:val="nil"/>
            </w:tcBorders>
            <w:shd w:val="clear" w:color="auto" w:fill="auto"/>
            <w:noWrap/>
            <w:hideMark/>
          </w:tcPr>
          <w:p w14:paraId="3849B76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1,625</w:t>
            </w:r>
          </w:p>
        </w:tc>
        <w:tc>
          <w:tcPr>
            <w:tcW w:w="1172" w:type="dxa"/>
            <w:tcBorders>
              <w:top w:val="nil"/>
              <w:left w:val="nil"/>
              <w:bottom w:val="nil"/>
              <w:right w:val="nil"/>
            </w:tcBorders>
            <w:shd w:val="clear" w:color="auto" w:fill="auto"/>
            <w:noWrap/>
            <w:hideMark/>
          </w:tcPr>
          <w:p w14:paraId="7F0D5C2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1,359</w:t>
            </w:r>
          </w:p>
        </w:tc>
        <w:tc>
          <w:tcPr>
            <w:tcW w:w="1053" w:type="dxa"/>
            <w:tcBorders>
              <w:top w:val="nil"/>
              <w:left w:val="nil"/>
              <w:bottom w:val="nil"/>
              <w:right w:val="nil"/>
            </w:tcBorders>
            <w:shd w:val="clear" w:color="auto" w:fill="auto"/>
            <w:noWrap/>
            <w:hideMark/>
          </w:tcPr>
          <w:p w14:paraId="3E963D4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w:t>
            </w:r>
          </w:p>
        </w:tc>
        <w:tc>
          <w:tcPr>
            <w:tcW w:w="1054" w:type="dxa"/>
            <w:tcBorders>
              <w:top w:val="nil"/>
              <w:left w:val="nil"/>
              <w:bottom w:val="nil"/>
              <w:right w:val="nil"/>
            </w:tcBorders>
            <w:shd w:val="clear" w:color="auto" w:fill="auto"/>
            <w:noWrap/>
            <w:hideMark/>
          </w:tcPr>
          <w:p w14:paraId="24B9D4A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w:t>
            </w:r>
          </w:p>
        </w:tc>
      </w:tr>
      <w:tr w:rsidR="00BE531B" w:rsidRPr="00BE531B" w14:paraId="1DB367ED" w14:textId="77777777" w:rsidTr="008A121C">
        <w:trPr>
          <w:trHeight w:hRule="exact" w:val="216"/>
          <w:jc w:val="center"/>
        </w:trPr>
        <w:tc>
          <w:tcPr>
            <w:tcW w:w="250" w:type="dxa"/>
            <w:tcBorders>
              <w:top w:val="nil"/>
              <w:left w:val="nil"/>
              <w:bottom w:val="nil"/>
              <w:right w:val="nil"/>
            </w:tcBorders>
            <w:shd w:val="clear" w:color="auto" w:fill="auto"/>
            <w:noWrap/>
            <w:hideMark/>
          </w:tcPr>
          <w:p w14:paraId="355DF4F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708A6943"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08F51386"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Third-party Travel</w:t>
            </w:r>
          </w:p>
        </w:tc>
        <w:tc>
          <w:tcPr>
            <w:tcW w:w="252" w:type="dxa"/>
            <w:tcBorders>
              <w:top w:val="nil"/>
              <w:left w:val="nil"/>
              <w:bottom w:val="nil"/>
              <w:right w:val="nil"/>
            </w:tcBorders>
            <w:shd w:val="clear" w:color="auto" w:fill="auto"/>
            <w:noWrap/>
            <w:hideMark/>
          </w:tcPr>
          <w:p w14:paraId="3CFAA99C"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7749ACC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1,148</w:t>
            </w:r>
          </w:p>
        </w:tc>
        <w:tc>
          <w:tcPr>
            <w:tcW w:w="1172" w:type="dxa"/>
            <w:tcBorders>
              <w:top w:val="nil"/>
              <w:left w:val="nil"/>
              <w:bottom w:val="nil"/>
              <w:right w:val="nil"/>
            </w:tcBorders>
            <w:shd w:val="clear" w:color="auto" w:fill="auto"/>
            <w:noWrap/>
            <w:hideMark/>
          </w:tcPr>
          <w:p w14:paraId="6075FF5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712</w:t>
            </w:r>
          </w:p>
        </w:tc>
        <w:tc>
          <w:tcPr>
            <w:tcW w:w="1172" w:type="dxa"/>
            <w:tcBorders>
              <w:top w:val="nil"/>
              <w:left w:val="nil"/>
              <w:bottom w:val="nil"/>
              <w:right w:val="nil"/>
            </w:tcBorders>
            <w:shd w:val="clear" w:color="auto" w:fill="auto"/>
            <w:noWrap/>
            <w:hideMark/>
          </w:tcPr>
          <w:p w14:paraId="29D2B87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507</w:t>
            </w:r>
          </w:p>
        </w:tc>
        <w:tc>
          <w:tcPr>
            <w:tcW w:w="1053" w:type="dxa"/>
            <w:tcBorders>
              <w:top w:val="nil"/>
              <w:left w:val="nil"/>
              <w:bottom w:val="nil"/>
              <w:right w:val="nil"/>
            </w:tcBorders>
            <w:shd w:val="clear" w:color="auto" w:fill="auto"/>
            <w:noWrap/>
            <w:hideMark/>
          </w:tcPr>
          <w:p w14:paraId="13FB04E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436</w:t>
            </w:r>
          </w:p>
        </w:tc>
        <w:tc>
          <w:tcPr>
            <w:tcW w:w="1054" w:type="dxa"/>
            <w:tcBorders>
              <w:top w:val="nil"/>
              <w:left w:val="nil"/>
              <w:bottom w:val="nil"/>
              <w:right w:val="nil"/>
            </w:tcBorders>
            <w:shd w:val="clear" w:color="auto" w:fill="auto"/>
            <w:noWrap/>
            <w:hideMark/>
          </w:tcPr>
          <w:p w14:paraId="1FF88FD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61%</w:t>
            </w:r>
          </w:p>
        </w:tc>
      </w:tr>
      <w:tr w:rsidR="00BE531B" w:rsidRPr="00BE531B" w14:paraId="508F8EDB"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06A6BEC0"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45F08273"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36C9402F"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1053" w:type="dxa"/>
            <w:tcBorders>
              <w:top w:val="nil"/>
              <w:left w:val="nil"/>
              <w:bottom w:val="single" w:sz="4" w:space="0" w:color="C7CFD8"/>
              <w:right w:val="nil"/>
            </w:tcBorders>
            <w:shd w:val="clear" w:color="auto" w:fill="auto"/>
            <w:noWrap/>
            <w:hideMark/>
          </w:tcPr>
          <w:p w14:paraId="61B00CB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2,761</w:t>
            </w:r>
          </w:p>
        </w:tc>
        <w:tc>
          <w:tcPr>
            <w:tcW w:w="1172" w:type="dxa"/>
            <w:tcBorders>
              <w:top w:val="nil"/>
              <w:left w:val="nil"/>
              <w:bottom w:val="single" w:sz="4" w:space="0" w:color="C7CFD8"/>
              <w:right w:val="nil"/>
            </w:tcBorders>
            <w:shd w:val="clear" w:color="auto" w:fill="auto"/>
            <w:noWrap/>
            <w:hideMark/>
          </w:tcPr>
          <w:p w14:paraId="39E4807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2,337</w:t>
            </w:r>
          </w:p>
        </w:tc>
        <w:tc>
          <w:tcPr>
            <w:tcW w:w="1172" w:type="dxa"/>
            <w:tcBorders>
              <w:top w:val="nil"/>
              <w:left w:val="nil"/>
              <w:bottom w:val="single" w:sz="4" w:space="0" w:color="C7CFD8"/>
              <w:right w:val="nil"/>
            </w:tcBorders>
            <w:shd w:val="clear" w:color="auto" w:fill="auto"/>
            <w:noWrap/>
            <w:hideMark/>
          </w:tcPr>
          <w:p w14:paraId="0E20AFE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1,866</w:t>
            </w:r>
          </w:p>
        </w:tc>
        <w:tc>
          <w:tcPr>
            <w:tcW w:w="1053" w:type="dxa"/>
            <w:tcBorders>
              <w:top w:val="nil"/>
              <w:left w:val="nil"/>
              <w:bottom w:val="single" w:sz="4" w:space="0" w:color="C7CFD8"/>
              <w:right w:val="nil"/>
            </w:tcBorders>
            <w:shd w:val="clear" w:color="auto" w:fill="auto"/>
            <w:noWrap/>
            <w:hideMark/>
          </w:tcPr>
          <w:p w14:paraId="170992A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424</w:t>
            </w:r>
          </w:p>
        </w:tc>
        <w:tc>
          <w:tcPr>
            <w:tcW w:w="1054" w:type="dxa"/>
            <w:tcBorders>
              <w:top w:val="nil"/>
              <w:left w:val="nil"/>
              <w:bottom w:val="single" w:sz="4" w:space="0" w:color="C7CFD8"/>
              <w:right w:val="nil"/>
            </w:tcBorders>
            <w:shd w:val="clear" w:color="auto" w:fill="auto"/>
            <w:noWrap/>
            <w:hideMark/>
          </w:tcPr>
          <w:p w14:paraId="654CDB8D"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18%</w:t>
            </w:r>
          </w:p>
        </w:tc>
      </w:tr>
      <w:tr w:rsidR="00BE531B" w:rsidRPr="00BE531B" w14:paraId="3EE3DBC0" w14:textId="77777777" w:rsidTr="008A121C">
        <w:trPr>
          <w:trHeight w:hRule="exact" w:val="216"/>
          <w:jc w:val="center"/>
        </w:trPr>
        <w:tc>
          <w:tcPr>
            <w:tcW w:w="250" w:type="dxa"/>
            <w:tcBorders>
              <w:top w:val="nil"/>
              <w:left w:val="nil"/>
              <w:bottom w:val="nil"/>
              <w:right w:val="nil"/>
            </w:tcBorders>
            <w:shd w:val="clear" w:color="auto" w:fill="auto"/>
            <w:noWrap/>
            <w:hideMark/>
          </w:tcPr>
          <w:p w14:paraId="2E68513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3431" w:type="dxa"/>
            <w:gridSpan w:val="3"/>
            <w:tcBorders>
              <w:top w:val="nil"/>
              <w:left w:val="nil"/>
              <w:bottom w:val="nil"/>
              <w:right w:val="nil"/>
            </w:tcBorders>
            <w:shd w:val="clear" w:color="auto" w:fill="auto"/>
            <w:noWrap/>
            <w:hideMark/>
          </w:tcPr>
          <w:p w14:paraId="73003C70"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Contractual Services</w:t>
            </w:r>
          </w:p>
        </w:tc>
        <w:tc>
          <w:tcPr>
            <w:tcW w:w="1053" w:type="dxa"/>
            <w:tcBorders>
              <w:top w:val="nil"/>
              <w:left w:val="nil"/>
              <w:bottom w:val="nil"/>
              <w:right w:val="nil"/>
            </w:tcBorders>
            <w:shd w:val="clear" w:color="auto" w:fill="auto"/>
            <w:noWrap/>
            <w:hideMark/>
          </w:tcPr>
          <w:p w14:paraId="6B1B7AE3"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tcBorders>
              <w:top w:val="nil"/>
              <w:left w:val="nil"/>
              <w:bottom w:val="nil"/>
              <w:right w:val="nil"/>
            </w:tcBorders>
            <w:shd w:val="clear" w:color="auto" w:fill="auto"/>
            <w:noWrap/>
            <w:hideMark/>
          </w:tcPr>
          <w:p w14:paraId="18464D61"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5C133FE7"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69876D90"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0B8315B1"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03CCDA6F" w14:textId="77777777" w:rsidTr="008A121C">
        <w:trPr>
          <w:trHeight w:hRule="exact" w:val="216"/>
          <w:jc w:val="center"/>
        </w:trPr>
        <w:tc>
          <w:tcPr>
            <w:tcW w:w="250" w:type="dxa"/>
            <w:tcBorders>
              <w:top w:val="nil"/>
              <w:left w:val="nil"/>
              <w:bottom w:val="nil"/>
              <w:right w:val="nil"/>
            </w:tcBorders>
            <w:shd w:val="clear" w:color="auto" w:fill="auto"/>
            <w:noWrap/>
            <w:hideMark/>
          </w:tcPr>
          <w:p w14:paraId="46723449"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20" w:type="dxa"/>
            <w:tcBorders>
              <w:top w:val="nil"/>
              <w:left w:val="nil"/>
              <w:bottom w:val="nil"/>
              <w:right w:val="nil"/>
            </w:tcBorders>
            <w:shd w:val="clear" w:color="auto" w:fill="auto"/>
            <w:noWrap/>
            <w:hideMark/>
          </w:tcPr>
          <w:p w14:paraId="264C9EB3"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64710C1F"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Conferences</w:t>
            </w:r>
          </w:p>
        </w:tc>
        <w:tc>
          <w:tcPr>
            <w:tcW w:w="252" w:type="dxa"/>
            <w:tcBorders>
              <w:top w:val="nil"/>
              <w:left w:val="nil"/>
              <w:bottom w:val="nil"/>
              <w:right w:val="nil"/>
            </w:tcBorders>
            <w:shd w:val="clear" w:color="auto" w:fill="auto"/>
            <w:noWrap/>
            <w:hideMark/>
          </w:tcPr>
          <w:p w14:paraId="5FEAEBF5"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526B090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1,643</w:t>
            </w:r>
          </w:p>
        </w:tc>
        <w:tc>
          <w:tcPr>
            <w:tcW w:w="1172" w:type="dxa"/>
            <w:tcBorders>
              <w:top w:val="nil"/>
              <w:left w:val="nil"/>
              <w:bottom w:val="nil"/>
              <w:right w:val="nil"/>
            </w:tcBorders>
            <w:shd w:val="clear" w:color="auto" w:fill="auto"/>
            <w:noWrap/>
            <w:hideMark/>
          </w:tcPr>
          <w:p w14:paraId="6F45D7A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1,249</w:t>
            </w:r>
          </w:p>
        </w:tc>
        <w:tc>
          <w:tcPr>
            <w:tcW w:w="1172" w:type="dxa"/>
            <w:tcBorders>
              <w:top w:val="nil"/>
              <w:left w:val="nil"/>
              <w:bottom w:val="nil"/>
              <w:right w:val="nil"/>
            </w:tcBorders>
            <w:shd w:val="clear" w:color="auto" w:fill="auto"/>
            <w:noWrap/>
            <w:hideMark/>
          </w:tcPr>
          <w:p w14:paraId="657050B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1,618</w:t>
            </w:r>
          </w:p>
        </w:tc>
        <w:tc>
          <w:tcPr>
            <w:tcW w:w="1053" w:type="dxa"/>
            <w:tcBorders>
              <w:top w:val="nil"/>
              <w:left w:val="nil"/>
              <w:bottom w:val="nil"/>
              <w:right w:val="nil"/>
            </w:tcBorders>
            <w:shd w:val="clear" w:color="auto" w:fill="auto"/>
            <w:noWrap/>
            <w:hideMark/>
          </w:tcPr>
          <w:p w14:paraId="20D5EF0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394</w:t>
            </w:r>
          </w:p>
        </w:tc>
        <w:tc>
          <w:tcPr>
            <w:tcW w:w="1054" w:type="dxa"/>
            <w:tcBorders>
              <w:top w:val="nil"/>
              <w:left w:val="nil"/>
              <w:bottom w:val="nil"/>
              <w:right w:val="nil"/>
            </w:tcBorders>
            <w:shd w:val="clear" w:color="auto" w:fill="auto"/>
            <w:noWrap/>
            <w:hideMark/>
          </w:tcPr>
          <w:p w14:paraId="4A3F91E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32%</w:t>
            </w:r>
          </w:p>
        </w:tc>
      </w:tr>
      <w:tr w:rsidR="00BE531B" w:rsidRPr="00BE531B" w14:paraId="3FE29E51" w14:textId="77777777" w:rsidTr="008A121C">
        <w:trPr>
          <w:trHeight w:hRule="exact" w:val="216"/>
          <w:jc w:val="center"/>
        </w:trPr>
        <w:tc>
          <w:tcPr>
            <w:tcW w:w="250" w:type="dxa"/>
            <w:tcBorders>
              <w:top w:val="nil"/>
              <w:left w:val="nil"/>
              <w:bottom w:val="nil"/>
              <w:right w:val="nil"/>
            </w:tcBorders>
            <w:shd w:val="clear" w:color="auto" w:fill="auto"/>
            <w:noWrap/>
            <w:hideMark/>
          </w:tcPr>
          <w:p w14:paraId="64E4787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2BED4FA8"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4A15BA3F"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Publishing</w:t>
            </w:r>
          </w:p>
        </w:tc>
        <w:tc>
          <w:tcPr>
            <w:tcW w:w="252" w:type="dxa"/>
            <w:tcBorders>
              <w:top w:val="nil"/>
              <w:left w:val="nil"/>
              <w:bottom w:val="nil"/>
              <w:right w:val="nil"/>
            </w:tcBorders>
            <w:shd w:val="clear" w:color="auto" w:fill="auto"/>
            <w:noWrap/>
            <w:hideMark/>
          </w:tcPr>
          <w:p w14:paraId="3E96D10A"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3ADE316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w:t>
            </w:r>
          </w:p>
        </w:tc>
        <w:tc>
          <w:tcPr>
            <w:tcW w:w="1172" w:type="dxa"/>
            <w:tcBorders>
              <w:top w:val="nil"/>
              <w:left w:val="nil"/>
              <w:bottom w:val="nil"/>
              <w:right w:val="nil"/>
            </w:tcBorders>
            <w:shd w:val="clear" w:color="auto" w:fill="auto"/>
            <w:noWrap/>
            <w:hideMark/>
          </w:tcPr>
          <w:p w14:paraId="791AA5F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w:t>
            </w:r>
          </w:p>
        </w:tc>
        <w:tc>
          <w:tcPr>
            <w:tcW w:w="1172" w:type="dxa"/>
            <w:tcBorders>
              <w:top w:val="nil"/>
              <w:left w:val="nil"/>
              <w:bottom w:val="nil"/>
              <w:right w:val="nil"/>
            </w:tcBorders>
            <w:shd w:val="clear" w:color="auto" w:fill="auto"/>
            <w:noWrap/>
            <w:hideMark/>
          </w:tcPr>
          <w:p w14:paraId="0E5DFB9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w:t>
            </w:r>
          </w:p>
        </w:tc>
        <w:tc>
          <w:tcPr>
            <w:tcW w:w="1053" w:type="dxa"/>
            <w:tcBorders>
              <w:top w:val="nil"/>
              <w:left w:val="nil"/>
              <w:bottom w:val="nil"/>
              <w:right w:val="nil"/>
            </w:tcBorders>
            <w:shd w:val="clear" w:color="auto" w:fill="auto"/>
            <w:noWrap/>
            <w:hideMark/>
          </w:tcPr>
          <w:p w14:paraId="468A1AF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w:t>
            </w:r>
          </w:p>
        </w:tc>
        <w:tc>
          <w:tcPr>
            <w:tcW w:w="1054" w:type="dxa"/>
            <w:tcBorders>
              <w:top w:val="nil"/>
              <w:left w:val="nil"/>
              <w:bottom w:val="nil"/>
              <w:right w:val="nil"/>
            </w:tcBorders>
            <w:shd w:val="clear" w:color="auto" w:fill="auto"/>
            <w:noWrap/>
            <w:hideMark/>
          </w:tcPr>
          <w:p w14:paraId="3B3A1FC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n/a</w:t>
            </w:r>
          </w:p>
        </w:tc>
      </w:tr>
      <w:tr w:rsidR="00BE531B" w:rsidRPr="00BE531B" w14:paraId="783EBAD8" w14:textId="77777777" w:rsidTr="008A121C">
        <w:trPr>
          <w:trHeight w:hRule="exact" w:val="216"/>
          <w:jc w:val="center"/>
        </w:trPr>
        <w:tc>
          <w:tcPr>
            <w:tcW w:w="250" w:type="dxa"/>
            <w:tcBorders>
              <w:top w:val="nil"/>
              <w:left w:val="nil"/>
              <w:bottom w:val="nil"/>
              <w:right w:val="nil"/>
            </w:tcBorders>
            <w:shd w:val="clear" w:color="auto" w:fill="auto"/>
            <w:noWrap/>
            <w:hideMark/>
          </w:tcPr>
          <w:p w14:paraId="73E04EA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7F367CF0"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noWrap/>
            <w:hideMark/>
          </w:tcPr>
          <w:p w14:paraId="6863F168"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Individual Contractual Services</w:t>
            </w:r>
          </w:p>
        </w:tc>
        <w:tc>
          <w:tcPr>
            <w:tcW w:w="1053" w:type="dxa"/>
            <w:tcBorders>
              <w:top w:val="nil"/>
              <w:left w:val="nil"/>
              <w:bottom w:val="nil"/>
              <w:right w:val="nil"/>
            </w:tcBorders>
            <w:shd w:val="clear" w:color="auto" w:fill="auto"/>
            <w:noWrap/>
            <w:hideMark/>
          </w:tcPr>
          <w:p w14:paraId="5D31041D"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11,561</w:t>
            </w:r>
          </w:p>
        </w:tc>
        <w:tc>
          <w:tcPr>
            <w:tcW w:w="1172" w:type="dxa"/>
            <w:tcBorders>
              <w:top w:val="nil"/>
              <w:left w:val="nil"/>
              <w:bottom w:val="nil"/>
              <w:right w:val="nil"/>
            </w:tcBorders>
            <w:shd w:val="clear" w:color="auto" w:fill="auto"/>
            <w:noWrap/>
            <w:hideMark/>
          </w:tcPr>
          <w:p w14:paraId="3C77A48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11,204</w:t>
            </w:r>
          </w:p>
        </w:tc>
        <w:tc>
          <w:tcPr>
            <w:tcW w:w="1172" w:type="dxa"/>
            <w:tcBorders>
              <w:top w:val="nil"/>
              <w:left w:val="nil"/>
              <w:bottom w:val="nil"/>
              <w:right w:val="nil"/>
            </w:tcBorders>
            <w:shd w:val="clear" w:color="auto" w:fill="auto"/>
            <w:noWrap/>
            <w:hideMark/>
          </w:tcPr>
          <w:p w14:paraId="54EEA5C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11,720</w:t>
            </w:r>
          </w:p>
        </w:tc>
        <w:tc>
          <w:tcPr>
            <w:tcW w:w="1053" w:type="dxa"/>
            <w:tcBorders>
              <w:top w:val="nil"/>
              <w:left w:val="nil"/>
              <w:bottom w:val="nil"/>
              <w:right w:val="nil"/>
            </w:tcBorders>
            <w:shd w:val="clear" w:color="auto" w:fill="auto"/>
            <w:noWrap/>
            <w:hideMark/>
          </w:tcPr>
          <w:p w14:paraId="625AB6F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357</w:t>
            </w:r>
          </w:p>
        </w:tc>
        <w:tc>
          <w:tcPr>
            <w:tcW w:w="1054" w:type="dxa"/>
            <w:tcBorders>
              <w:top w:val="nil"/>
              <w:left w:val="nil"/>
              <w:bottom w:val="nil"/>
              <w:right w:val="nil"/>
            </w:tcBorders>
            <w:shd w:val="clear" w:color="auto" w:fill="auto"/>
            <w:noWrap/>
            <w:hideMark/>
          </w:tcPr>
          <w:p w14:paraId="4D2AA66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w:t>
            </w:r>
          </w:p>
        </w:tc>
      </w:tr>
      <w:tr w:rsidR="00BE531B" w:rsidRPr="00BE531B" w14:paraId="0FA49A38" w14:textId="77777777" w:rsidTr="008A121C">
        <w:trPr>
          <w:trHeight w:hRule="exact" w:val="216"/>
          <w:jc w:val="center"/>
        </w:trPr>
        <w:tc>
          <w:tcPr>
            <w:tcW w:w="250" w:type="dxa"/>
            <w:tcBorders>
              <w:top w:val="nil"/>
              <w:left w:val="nil"/>
              <w:bottom w:val="nil"/>
              <w:right w:val="nil"/>
            </w:tcBorders>
            <w:shd w:val="clear" w:color="auto" w:fill="auto"/>
            <w:noWrap/>
            <w:hideMark/>
          </w:tcPr>
          <w:p w14:paraId="1992F33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358983D6"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noWrap/>
            <w:hideMark/>
          </w:tcPr>
          <w:p w14:paraId="77937012"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Other Contractual Services</w:t>
            </w:r>
          </w:p>
        </w:tc>
        <w:tc>
          <w:tcPr>
            <w:tcW w:w="1053" w:type="dxa"/>
            <w:tcBorders>
              <w:top w:val="nil"/>
              <w:left w:val="nil"/>
              <w:bottom w:val="nil"/>
              <w:right w:val="nil"/>
            </w:tcBorders>
            <w:shd w:val="clear" w:color="auto" w:fill="auto"/>
            <w:noWrap/>
            <w:hideMark/>
          </w:tcPr>
          <w:p w14:paraId="6E3F5FB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76,696</w:t>
            </w:r>
          </w:p>
        </w:tc>
        <w:tc>
          <w:tcPr>
            <w:tcW w:w="1172" w:type="dxa"/>
            <w:tcBorders>
              <w:top w:val="nil"/>
              <w:left w:val="nil"/>
              <w:bottom w:val="nil"/>
              <w:right w:val="nil"/>
            </w:tcBorders>
            <w:shd w:val="clear" w:color="auto" w:fill="auto"/>
            <w:noWrap/>
            <w:hideMark/>
          </w:tcPr>
          <w:p w14:paraId="1048E9F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60,125</w:t>
            </w:r>
          </w:p>
        </w:tc>
        <w:tc>
          <w:tcPr>
            <w:tcW w:w="1172" w:type="dxa"/>
            <w:tcBorders>
              <w:top w:val="nil"/>
              <w:left w:val="nil"/>
              <w:bottom w:val="nil"/>
              <w:right w:val="nil"/>
            </w:tcBorders>
            <w:shd w:val="clear" w:color="auto" w:fill="auto"/>
            <w:noWrap/>
            <w:hideMark/>
          </w:tcPr>
          <w:p w14:paraId="5843AE5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58,936</w:t>
            </w:r>
          </w:p>
        </w:tc>
        <w:tc>
          <w:tcPr>
            <w:tcW w:w="1053" w:type="dxa"/>
            <w:tcBorders>
              <w:top w:val="nil"/>
              <w:left w:val="nil"/>
              <w:bottom w:val="nil"/>
              <w:right w:val="nil"/>
            </w:tcBorders>
            <w:shd w:val="clear" w:color="auto" w:fill="auto"/>
            <w:noWrap/>
            <w:hideMark/>
          </w:tcPr>
          <w:p w14:paraId="37855AF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16,571</w:t>
            </w:r>
          </w:p>
        </w:tc>
        <w:tc>
          <w:tcPr>
            <w:tcW w:w="1054" w:type="dxa"/>
            <w:tcBorders>
              <w:top w:val="nil"/>
              <w:left w:val="nil"/>
              <w:bottom w:val="nil"/>
              <w:right w:val="nil"/>
            </w:tcBorders>
            <w:shd w:val="clear" w:color="auto" w:fill="auto"/>
            <w:noWrap/>
            <w:hideMark/>
          </w:tcPr>
          <w:p w14:paraId="11FF712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28%</w:t>
            </w:r>
          </w:p>
        </w:tc>
      </w:tr>
      <w:tr w:rsidR="00BE531B" w:rsidRPr="00BE531B" w14:paraId="44FD9B3A"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38BD20E6"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4AA3E721"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0CE6B316"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1053" w:type="dxa"/>
            <w:tcBorders>
              <w:top w:val="nil"/>
              <w:left w:val="nil"/>
              <w:bottom w:val="single" w:sz="4" w:space="0" w:color="C7CFD8"/>
              <w:right w:val="nil"/>
            </w:tcBorders>
            <w:shd w:val="clear" w:color="auto" w:fill="auto"/>
            <w:noWrap/>
            <w:hideMark/>
          </w:tcPr>
          <w:p w14:paraId="0970FB2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89,900</w:t>
            </w:r>
          </w:p>
        </w:tc>
        <w:tc>
          <w:tcPr>
            <w:tcW w:w="1172" w:type="dxa"/>
            <w:tcBorders>
              <w:top w:val="nil"/>
              <w:left w:val="nil"/>
              <w:bottom w:val="single" w:sz="4" w:space="0" w:color="C7CFD8"/>
              <w:right w:val="nil"/>
            </w:tcBorders>
            <w:shd w:val="clear" w:color="auto" w:fill="auto"/>
            <w:noWrap/>
            <w:hideMark/>
          </w:tcPr>
          <w:p w14:paraId="4E5FEEC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72,578</w:t>
            </w:r>
          </w:p>
        </w:tc>
        <w:tc>
          <w:tcPr>
            <w:tcW w:w="1172" w:type="dxa"/>
            <w:tcBorders>
              <w:top w:val="nil"/>
              <w:left w:val="nil"/>
              <w:bottom w:val="single" w:sz="4" w:space="0" w:color="C7CFD8"/>
              <w:right w:val="nil"/>
            </w:tcBorders>
            <w:shd w:val="clear" w:color="auto" w:fill="auto"/>
            <w:noWrap/>
            <w:hideMark/>
          </w:tcPr>
          <w:p w14:paraId="5158C39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72,276</w:t>
            </w:r>
          </w:p>
        </w:tc>
        <w:tc>
          <w:tcPr>
            <w:tcW w:w="1053" w:type="dxa"/>
            <w:tcBorders>
              <w:top w:val="nil"/>
              <w:left w:val="nil"/>
              <w:bottom w:val="single" w:sz="4" w:space="0" w:color="C7CFD8"/>
              <w:right w:val="nil"/>
            </w:tcBorders>
            <w:shd w:val="clear" w:color="auto" w:fill="auto"/>
            <w:noWrap/>
            <w:hideMark/>
          </w:tcPr>
          <w:p w14:paraId="5554CD5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17,322</w:t>
            </w:r>
          </w:p>
        </w:tc>
        <w:tc>
          <w:tcPr>
            <w:tcW w:w="1054" w:type="dxa"/>
            <w:tcBorders>
              <w:top w:val="nil"/>
              <w:left w:val="nil"/>
              <w:bottom w:val="single" w:sz="4" w:space="0" w:color="C7CFD8"/>
              <w:right w:val="nil"/>
            </w:tcBorders>
            <w:shd w:val="clear" w:color="auto" w:fill="auto"/>
            <w:noWrap/>
            <w:hideMark/>
          </w:tcPr>
          <w:p w14:paraId="3155D5F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24%</w:t>
            </w:r>
          </w:p>
        </w:tc>
      </w:tr>
      <w:tr w:rsidR="00BE531B" w:rsidRPr="00BE531B" w14:paraId="177655A6" w14:textId="77777777" w:rsidTr="008A121C">
        <w:trPr>
          <w:trHeight w:hRule="exact" w:val="216"/>
          <w:jc w:val="center"/>
        </w:trPr>
        <w:tc>
          <w:tcPr>
            <w:tcW w:w="250" w:type="dxa"/>
            <w:tcBorders>
              <w:top w:val="nil"/>
              <w:left w:val="nil"/>
              <w:bottom w:val="nil"/>
              <w:right w:val="nil"/>
            </w:tcBorders>
            <w:shd w:val="clear" w:color="auto" w:fill="auto"/>
            <w:noWrap/>
            <w:hideMark/>
          </w:tcPr>
          <w:p w14:paraId="5038D2A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3179" w:type="dxa"/>
            <w:gridSpan w:val="2"/>
            <w:tcBorders>
              <w:top w:val="nil"/>
              <w:left w:val="nil"/>
              <w:bottom w:val="nil"/>
              <w:right w:val="nil"/>
            </w:tcBorders>
            <w:shd w:val="clear" w:color="auto" w:fill="auto"/>
            <w:noWrap/>
            <w:hideMark/>
          </w:tcPr>
          <w:p w14:paraId="2EF5BDDD"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Finance Costs</w:t>
            </w:r>
          </w:p>
        </w:tc>
        <w:tc>
          <w:tcPr>
            <w:tcW w:w="252" w:type="dxa"/>
            <w:tcBorders>
              <w:top w:val="nil"/>
              <w:left w:val="nil"/>
              <w:bottom w:val="nil"/>
              <w:right w:val="nil"/>
            </w:tcBorders>
            <w:shd w:val="clear" w:color="auto" w:fill="auto"/>
            <w:noWrap/>
            <w:hideMark/>
          </w:tcPr>
          <w:p w14:paraId="24818A6C"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053" w:type="dxa"/>
            <w:tcBorders>
              <w:top w:val="nil"/>
              <w:left w:val="nil"/>
              <w:bottom w:val="nil"/>
              <w:right w:val="nil"/>
            </w:tcBorders>
            <w:shd w:val="clear" w:color="auto" w:fill="auto"/>
            <w:noWrap/>
            <w:hideMark/>
          </w:tcPr>
          <w:p w14:paraId="18A8217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500</w:t>
            </w:r>
          </w:p>
        </w:tc>
        <w:tc>
          <w:tcPr>
            <w:tcW w:w="1172" w:type="dxa"/>
            <w:tcBorders>
              <w:top w:val="nil"/>
              <w:left w:val="nil"/>
              <w:bottom w:val="nil"/>
              <w:right w:val="nil"/>
            </w:tcBorders>
            <w:shd w:val="clear" w:color="auto" w:fill="auto"/>
            <w:noWrap/>
            <w:hideMark/>
          </w:tcPr>
          <w:p w14:paraId="05195A2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2,480</w:t>
            </w:r>
          </w:p>
        </w:tc>
        <w:tc>
          <w:tcPr>
            <w:tcW w:w="1172" w:type="dxa"/>
            <w:tcBorders>
              <w:top w:val="nil"/>
              <w:left w:val="nil"/>
              <w:bottom w:val="nil"/>
              <w:right w:val="nil"/>
            </w:tcBorders>
            <w:shd w:val="clear" w:color="auto" w:fill="auto"/>
            <w:noWrap/>
            <w:hideMark/>
          </w:tcPr>
          <w:p w14:paraId="38A373C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408</w:t>
            </w:r>
          </w:p>
        </w:tc>
        <w:tc>
          <w:tcPr>
            <w:tcW w:w="1053" w:type="dxa"/>
            <w:tcBorders>
              <w:top w:val="nil"/>
              <w:left w:val="nil"/>
              <w:bottom w:val="nil"/>
              <w:right w:val="nil"/>
            </w:tcBorders>
            <w:shd w:val="clear" w:color="auto" w:fill="auto"/>
            <w:noWrap/>
            <w:hideMark/>
          </w:tcPr>
          <w:p w14:paraId="719DD10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(1,980)</w:t>
            </w:r>
          </w:p>
        </w:tc>
        <w:tc>
          <w:tcPr>
            <w:tcW w:w="1054" w:type="dxa"/>
            <w:tcBorders>
              <w:top w:val="nil"/>
              <w:left w:val="nil"/>
              <w:bottom w:val="nil"/>
              <w:right w:val="nil"/>
            </w:tcBorders>
            <w:shd w:val="clear" w:color="auto" w:fill="auto"/>
            <w:noWrap/>
            <w:hideMark/>
          </w:tcPr>
          <w:p w14:paraId="4E686EF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-80%</w:t>
            </w:r>
          </w:p>
        </w:tc>
      </w:tr>
      <w:tr w:rsidR="00BE531B" w:rsidRPr="00BE531B" w14:paraId="6CBB976D"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31C07934"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3FF686B3"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6F9A4D74"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 </w:t>
            </w:r>
          </w:p>
        </w:tc>
        <w:tc>
          <w:tcPr>
            <w:tcW w:w="1053" w:type="dxa"/>
            <w:tcBorders>
              <w:top w:val="nil"/>
              <w:left w:val="nil"/>
              <w:bottom w:val="single" w:sz="4" w:space="0" w:color="C7CFD8"/>
              <w:right w:val="nil"/>
            </w:tcBorders>
            <w:shd w:val="clear" w:color="auto" w:fill="auto"/>
            <w:noWrap/>
            <w:hideMark/>
          </w:tcPr>
          <w:p w14:paraId="0D9A3F7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500</w:t>
            </w:r>
          </w:p>
        </w:tc>
        <w:tc>
          <w:tcPr>
            <w:tcW w:w="1172" w:type="dxa"/>
            <w:tcBorders>
              <w:top w:val="nil"/>
              <w:left w:val="nil"/>
              <w:bottom w:val="single" w:sz="4" w:space="0" w:color="C7CFD8"/>
              <w:right w:val="nil"/>
            </w:tcBorders>
            <w:shd w:val="clear" w:color="auto" w:fill="auto"/>
            <w:noWrap/>
            <w:hideMark/>
          </w:tcPr>
          <w:p w14:paraId="7181C0D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2,480</w:t>
            </w:r>
          </w:p>
        </w:tc>
        <w:tc>
          <w:tcPr>
            <w:tcW w:w="1172" w:type="dxa"/>
            <w:tcBorders>
              <w:top w:val="nil"/>
              <w:left w:val="nil"/>
              <w:bottom w:val="single" w:sz="4" w:space="0" w:color="C7CFD8"/>
              <w:right w:val="nil"/>
            </w:tcBorders>
            <w:shd w:val="clear" w:color="auto" w:fill="auto"/>
            <w:noWrap/>
            <w:hideMark/>
          </w:tcPr>
          <w:p w14:paraId="19CF3D8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408</w:t>
            </w:r>
          </w:p>
        </w:tc>
        <w:tc>
          <w:tcPr>
            <w:tcW w:w="1053" w:type="dxa"/>
            <w:tcBorders>
              <w:top w:val="nil"/>
              <w:left w:val="nil"/>
              <w:bottom w:val="single" w:sz="4" w:space="0" w:color="C7CFD8"/>
              <w:right w:val="nil"/>
            </w:tcBorders>
            <w:shd w:val="clear" w:color="auto" w:fill="auto"/>
            <w:noWrap/>
            <w:hideMark/>
          </w:tcPr>
          <w:p w14:paraId="3E77A2E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(1,980)</w:t>
            </w:r>
          </w:p>
        </w:tc>
        <w:tc>
          <w:tcPr>
            <w:tcW w:w="1054" w:type="dxa"/>
            <w:tcBorders>
              <w:top w:val="nil"/>
              <w:left w:val="nil"/>
              <w:bottom w:val="single" w:sz="4" w:space="0" w:color="C7CFD8"/>
              <w:right w:val="nil"/>
            </w:tcBorders>
            <w:shd w:val="clear" w:color="auto" w:fill="auto"/>
            <w:noWrap/>
            <w:hideMark/>
          </w:tcPr>
          <w:p w14:paraId="0EB2643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-80%</w:t>
            </w:r>
          </w:p>
        </w:tc>
      </w:tr>
      <w:tr w:rsidR="00BE531B" w:rsidRPr="00BE531B" w14:paraId="53409743" w14:textId="77777777" w:rsidTr="008A121C">
        <w:trPr>
          <w:trHeight w:hRule="exact" w:val="216"/>
          <w:jc w:val="center"/>
        </w:trPr>
        <w:tc>
          <w:tcPr>
            <w:tcW w:w="250" w:type="dxa"/>
            <w:tcBorders>
              <w:top w:val="nil"/>
              <w:left w:val="nil"/>
              <w:bottom w:val="nil"/>
              <w:right w:val="nil"/>
            </w:tcBorders>
            <w:shd w:val="clear" w:color="auto" w:fill="auto"/>
            <w:noWrap/>
            <w:hideMark/>
          </w:tcPr>
          <w:p w14:paraId="73AD1DB1"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3179" w:type="dxa"/>
            <w:gridSpan w:val="2"/>
            <w:tcBorders>
              <w:top w:val="nil"/>
              <w:left w:val="nil"/>
              <w:bottom w:val="nil"/>
              <w:right w:val="nil"/>
            </w:tcBorders>
            <w:shd w:val="clear" w:color="auto" w:fill="auto"/>
            <w:noWrap/>
            <w:hideMark/>
          </w:tcPr>
          <w:p w14:paraId="5358FB1F"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Operating Expenses</w:t>
            </w:r>
          </w:p>
        </w:tc>
        <w:tc>
          <w:tcPr>
            <w:tcW w:w="252" w:type="dxa"/>
            <w:tcBorders>
              <w:top w:val="nil"/>
              <w:left w:val="nil"/>
              <w:bottom w:val="nil"/>
              <w:right w:val="nil"/>
            </w:tcBorders>
            <w:shd w:val="clear" w:color="auto" w:fill="auto"/>
            <w:noWrap/>
            <w:hideMark/>
          </w:tcPr>
          <w:p w14:paraId="17A6BCCA"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053" w:type="dxa"/>
            <w:tcBorders>
              <w:top w:val="nil"/>
              <w:left w:val="nil"/>
              <w:bottom w:val="nil"/>
              <w:right w:val="nil"/>
            </w:tcBorders>
            <w:shd w:val="clear" w:color="auto" w:fill="auto"/>
            <w:noWrap/>
            <w:hideMark/>
          </w:tcPr>
          <w:p w14:paraId="72A553C4"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4B8B83DC"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424E59ED"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52DCAC1E"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76C3DEA0"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3E7D03F1" w14:textId="77777777" w:rsidTr="008A121C">
        <w:trPr>
          <w:trHeight w:hRule="exact" w:val="216"/>
          <w:jc w:val="center"/>
        </w:trPr>
        <w:tc>
          <w:tcPr>
            <w:tcW w:w="250" w:type="dxa"/>
            <w:tcBorders>
              <w:top w:val="nil"/>
              <w:left w:val="nil"/>
              <w:bottom w:val="nil"/>
              <w:right w:val="nil"/>
            </w:tcBorders>
            <w:shd w:val="clear" w:color="auto" w:fill="auto"/>
            <w:noWrap/>
            <w:hideMark/>
          </w:tcPr>
          <w:p w14:paraId="6FF7B7FC"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20" w:type="dxa"/>
            <w:tcBorders>
              <w:top w:val="nil"/>
              <w:left w:val="nil"/>
              <w:bottom w:val="nil"/>
              <w:right w:val="nil"/>
            </w:tcBorders>
            <w:shd w:val="clear" w:color="auto" w:fill="auto"/>
            <w:noWrap/>
            <w:hideMark/>
          </w:tcPr>
          <w:p w14:paraId="0D5A25CD"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noWrap/>
            <w:hideMark/>
          </w:tcPr>
          <w:p w14:paraId="5668E8A3"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Premises &amp; Maintenance</w:t>
            </w:r>
          </w:p>
        </w:tc>
        <w:tc>
          <w:tcPr>
            <w:tcW w:w="1053" w:type="dxa"/>
            <w:tcBorders>
              <w:top w:val="nil"/>
              <w:left w:val="nil"/>
              <w:bottom w:val="nil"/>
              <w:right w:val="nil"/>
            </w:tcBorders>
            <w:shd w:val="clear" w:color="auto" w:fill="auto"/>
            <w:noWrap/>
            <w:hideMark/>
          </w:tcPr>
          <w:p w14:paraId="11B193C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48,147</w:t>
            </w:r>
          </w:p>
        </w:tc>
        <w:tc>
          <w:tcPr>
            <w:tcW w:w="1172" w:type="dxa"/>
            <w:tcBorders>
              <w:top w:val="nil"/>
              <w:left w:val="nil"/>
              <w:bottom w:val="nil"/>
              <w:right w:val="nil"/>
            </w:tcBorders>
            <w:shd w:val="clear" w:color="auto" w:fill="auto"/>
            <w:noWrap/>
            <w:hideMark/>
          </w:tcPr>
          <w:p w14:paraId="647EF59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42,690</w:t>
            </w:r>
          </w:p>
        </w:tc>
        <w:tc>
          <w:tcPr>
            <w:tcW w:w="1172" w:type="dxa"/>
            <w:tcBorders>
              <w:top w:val="nil"/>
              <w:left w:val="nil"/>
              <w:bottom w:val="nil"/>
              <w:right w:val="nil"/>
            </w:tcBorders>
            <w:shd w:val="clear" w:color="auto" w:fill="auto"/>
            <w:noWrap/>
            <w:hideMark/>
          </w:tcPr>
          <w:p w14:paraId="75A143F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44,775</w:t>
            </w:r>
          </w:p>
        </w:tc>
        <w:tc>
          <w:tcPr>
            <w:tcW w:w="1053" w:type="dxa"/>
            <w:tcBorders>
              <w:top w:val="nil"/>
              <w:left w:val="nil"/>
              <w:bottom w:val="nil"/>
              <w:right w:val="nil"/>
            </w:tcBorders>
            <w:shd w:val="clear" w:color="auto" w:fill="auto"/>
            <w:noWrap/>
            <w:hideMark/>
          </w:tcPr>
          <w:p w14:paraId="46B9B3A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5,458</w:t>
            </w:r>
          </w:p>
        </w:tc>
        <w:tc>
          <w:tcPr>
            <w:tcW w:w="1054" w:type="dxa"/>
            <w:tcBorders>
              <w:top w:val="nil"/>
              <w:left w:val="nil"/>
              <w:bottom w:val="nil"/>
              <w:right w:val="nil"/>
            </w:tcBorders>
            <w:shd w:val="clear" w:color="auto" w:fill="auto"/>
            <w:noWrap/>
            <w:hideMark/>
          </w:tcPr>
          <w:p w14:paraId="5D2DBB7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13%</w:t>
            </w:r>
          </w:p>
        </w:tc>
      </w:tr>
      <w:tr w:rsidR="00BE531B" w:rsidRPr="00BE531B" w14:paraId="784E0895" w14:textId="77777777" w:rsidTr="008A121C">
        <w:trPr>
          <w:trHeight w:hRule="exact" w:val="216"/>
          <w:jc w:val="center"/>
        </w:trPr>
        <w:tc>
          <w:tcPr>
            <w:tcW w:w="250" w:type="dxa"/>
            <w:tcBorders>
              <w:top w:val="nil"/>
              <w:left w:val="nil"/>
              <w:bottom w:val="nil"/>
              <w:right w:val="nil"/>
            </w:tcBorders>
            <w:shd w:val="clear" w:color="auto" w:fill="auto"/>
            <w:noWrap/>
            <w:hideMark/>
          </w:tcPr>
          <w:p w14:paraId="5D0D143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59CE19E9"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52C4F0DC"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Communication</w:t>
            </w:r>
          </w:p>
        </w:tc>
        <w:tc>
          <w:tcPr>
            <w:tcW w:w="252" w:type="dxa"/>
            <w:tcBorders>
              <w:top w:val="nil"/>
              <w:left w:val="nil"/>
              <w:bottom w:val="nil"/>
              <w:right w:val="nil"/>
            </w:tcBorders>
            <w:shd w:val="clear" w:color="auto" w:fill="auto"/>
            <w:noWrap/>
            <w:hideMark/>
          </w:tcPr>
          <w:p w14:paraId="6859135E"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3C48E91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1,578</w:t>
            </w:r>
          </w:p>
        </w:tc>
        <w:tc>
          <w:tcPr>
            <w:tcW w:w="1172" w:type="dxa"/>
            <w:tcBorders>
              <w:top w:val="nil"/>
              <w:left w:val="nil"/>
              <w:bottom w:val="nil"/>
              <w:right w:val="nil"/>
            </w:tcBorders>
            <w:shd w:val="clear" w:color="auto" w:fill="auto"/>
            <w:noWrap/>
            <w:hideMark/>
          </w:tcPr>
          <w:p w14:paraId="54241A4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1,797</w:t>
            </w:r>
          </w:p>
        </w:tc>
        <w:tc>
          <w:tcPr>
            <w:tcW w:w="1172" w:type="dxa"/>
            <w:tcBorders>
              <w:top w:val="nil"/>
              <w:left w:val="nil"/>
              <w:bottom w:val="nil"/>
              <w:right w:val="nil"/>
            </w:tcBorders>
            <w:shd w:val="clear" w:color="auto" w:fill="auto"/>
            <w:noWrap/>
            <w:hideMark/>
          </w:tcPr>
          <w:p w14:paraId="08113C1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1,785</w:t>
            </w:r>
          </w:p>
        </w:tc>
        <w:tc>
          <w:tcPr>
            <w:tcW w:w="1053" w:type="dxa"/>
            <w:tcBorders>
              <w:top w:val="nil"/>
              <w:left w:val="nil"/>
              <w:bottom w:val="nil"/>
              <w:right w:val="nil"/>
            </w:tcBorders>
            <w:shd w:val="clear" w:color="auto" w:fill="auto"/>
            <w:noWrap/>
            <w:hideMark/>
          </w:tcPr>
          <w:p w14:paraId="1839E79D"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(219)</w:t>
            </w:r>
          </w:p>
        </w:tc>
        <w:tc>
          <w:tcPr>
            <w:tcW w:w="1054" w:type="dxa"/>
            <w:tcBorders>
              <w:top w:val="nil"/>
              <w:left w:val="nil"/>
              <w:bottom w:val="nil"/>
              <w:right w:val="nil"/>
            </w:tcBorders>
            <w:shd w:val="clear" w:color="auto" w:fill="auto"/>
            <w:noWrap/>
            <w:hideMark/>
          </w:tcPr>
          <w:p w14:paraId="0077358D"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w:t>
            </w:r>
          </w:p>
        </w:tc>
      </w:tr>
      <w:tr w:rsidR="00BE531B" w:rsidRPr="00BE531B" w14:paraId="484F20F6" w14:textId="77777777" w:rsidTr="008A121C">
        <w:trPr>
          <w:trHeight w:hRule="exact" w:val="216"/>
          <w:jc w:val="center"/>
        </w:trPr>
        <w:tc>
          <w:tcPr>
            <w:tcW w:w="250" w:type="dxa"/>
            <w:tcBorders>
              <w:top w:val="nil"/>
              <w:left w:val="nil"/>
              <w:bottom w:val="nil"/>
              <w:right w:val="nil"/>
            </w:tcBorders>
            <w:shd w:val="clear" w:color="auto" w:fill="auto"/>
            <w:noWrap/>
            <w:hideMark/>
          </w:tcPr>
          <w:p w14:paraId="64AC3C5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3E93662A"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hideMark/>
          </w:tcPr>
          <w:p w14:paraId="37C33891"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Representation &amp; Other Operating Expenses</w:t>
            </w:r>
          </w:p>
        </w:tc>
        <w:tc>
          <w:tcPr>
            <w:tcW w:w="1053" w:type="dxa"/>
            <w:tcBorders>
              <w:top w:val="nil"/>
              <w:left w:val="nil"/>
              <w:bottom w:val="nil"/>
              <w:right w:val="nil"/>
            </w:tcBorders>
            <w:shd w:val="clear" w:color="auto" w:fill="auto"/>
            <w:noWrap/>
            <w:hideMark/>
          </w:tcPr>
          <w:p w14:paraId="575DEE5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1,326</w:t>
            </w:r>
          </w:p>
        </w:tc>
        <w:tc>
          <w:tcPr>
            <w:tcW w:w="1172" w:type="dxa"/>
            <w:tcBorders>
              <w:top w:val="nil"/>
              <w:left w:val="nil"/>
              <w:bottom w:val="nil"/>
              <w:right w:val="nil"/>
            </w:tcBorders>
            <w:shd w:val="clear" w:color="auto" w:fill="auto"/>
            <w:noWrap/>
            <w:hideMark/>
          </w:tcPr>
          <w:p w14:paraId="498C528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1,147</w:t>
            </w:r>
          </w:p>
        </w:tc>
        <w:tc>
          <w:tcPr>
            <w:tcW w:w="1172" w:type="dxa"/>
            <w:tcBorders>
              <w:top w:val="nil"/>
              <w:left w:val="nil"/>
              <w:bottom w:val="nil"/>
              <w:right w:val="nil"/>
            </w:tcBorders>
            <w:shd w:val="clear" w:color="auto" w:fill="auto"/>
            <w:noWrap/>
            <w:hideMark/>
          </w:tcPr>
          <w:p w14:paraId="2746A1E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1,291</w:t>
            </w:r>
          </w:p>
        </w:tc>
        <w:tc>
          <w:tcPr>
            <w:tcW w:w="1053" w:type="dxa"/>
            <w:tcBorders>
              <w:top w:val="nil"/>
              <w:left w:val="nil"/>
              <w:bottom w:val="nil"/>
              <w:right w:val="nil"/>
            </w:tcBorders>
            <w:shd w:val="clear" w:color="auto" w:fill="auto"/>
            <w:noWrap/>
            <w:hideMark/>
          </w:tcPr>
          <w:p w14:paraId="5BBD7F0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179</w:t>
            </w:r>
          </w:p>
        </w:tc>
        <w:tc>
          <w:tcPr>
            <w:tcW w:w="1054" w:type="dxa"/>
            <w:tcBorders>
              <w:top w:val="nil"/>
              <w:left w:val="nil"/>
              <w:bottom w:val="nil"/>
              <w:right w:val="nil"/>
            </w:tcBorders>
            <w:shd w:val="clear" w:color="auto" w:fill="auto"/>
            <w:noWrap/>
            <w:hideMark/>
          </w:tcPr>
          <w:p w14:paraId="0FBFB35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16%</w:t>
            </w:r>
          </w:p>
        </w:tc>
      </w:tr>
      <w:tr w:rsidR="00BE531B" w:rsidRPr="00BE531B" w14:paraId="4B5F8BB3" w14:textId="77777777" w:rsidTr="008A121C">
        <w:trPr>
          <w:trHeight w:hRule="exact" w:val="216"/>
          <w:jc w:val="center"/>
        </w:trPr>
        <w:tc>
          <w:tcPr>
            <w:tcW w:w="250" w:type="dxa"/>
            <w:tcBorders>
              <w:top w:val="nil"/>
              <w:left w:val="nil"/>
              <w:bottom w:val="nil"/>
              <w:right w:val="nil"/>
            </w:tcBorders>
            <w:shd w:val="clear" w:color="auto" w:fill="auto"/>
            <w:noWrap/>
            <w:hideMark/>
          </w:tcPr>
          <w:p w14:paraId="1EB064D8"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70198663"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959" w:type="dxa"/>
            <w:tcBorders>
              <w:top w:val="nil"/>
              <w:left w:val="nil"/>
              <w:bottom w:val="nil"/>
              <w:right w:val="nil"/>
            </w:tcBorders>
            <w:shd w:val="clear" w:color="auto" w:fill="auto"/>
            <w:noWrap/>
            <w:hideMark/>
          </w:tcPr>
          <w:p w14:paraId="1E456E97"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UN Joint Services</w:t>
            </w:r>
          </w:p>
        </w:tc>
        <w:tc>
          <w:tcPr>
            <w:tcW w:w="252" w:type="dxa"/>
            <w:tcBorders>
              <w:top w:val="nil"/>
              <w:left w:val="nil"/>
              <w:bottom w:val="nil"/>
              <w:right w:val="nil"/>
            </w:tcBorders>
            <w:shd w:val="clear" w:color="auto" w:fill="auto"/>
            <w:noWrap/>
            <w:hideMark/>
          </w:tcPr>
          <w:p w14:paraId="68B05C9D"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p>
        </w:tc>
        <w:tc>
          <w:tcPr>
            <w:tcW w:w="1053" w:type="dxa"/>
            <w:tcBorders>
              <w:top w:val="nil"/>
              <w:left w:val="nil"/>
              <w:bottom w:val="nil"/>
              <w:right w:val="nil"/>
            </w:tcBorders>
            <w:shd w:val="clear" w:color="auto" w:fill="auto"/>
            <w:noWrap/>
            <w:hideMark/>
          </w:tcPr>
          <w:p w14:paraId="50DDD0F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1,319</w:t>
            </w:r>
          </w:p>
        </w:tc>
        <w:tc>
          <w:tcPr>
            <w:tcW w:w="1172" w:type="dxa"/>
            <w:tcBorders>
              <w:top w:val="nil"/>
              <w:left w:val="nil"/>
              <w:bottom w:val="nil"/>
              <w:right w:val="nil"/>
            </w:tcBorders>
            <w:shd w:val="clear" w:color="auto" w:fill="auto"/>
            <w:noWrap/>
            <w:hideMark/>
          </w:tcPr>
          <w:p w14:paraId="68A797E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1,222</w:t>
            </w:r>
          </w:p>
        </w:tc>
        <w:tc>
          <w:tcPr>
            <w:tcW w:w="1172" w:type="dxa"/>
            <w:tcBorders>
              <w:top w:val="nil"/>
              <w:left w:val="nil"/>
              <w:bottom w:val="nil"/>
              <w:right w:val="nil"/>
            </w:tcBorders>
            <w:shd w:val="clear" w:color="auto" w:fill="auto"/>
            <w:noWrap/>
            <w:hideMark/>
          </w:tcPr>
          <w:p w14:paraId="007C88BD"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1,206</w:t>
            </w:r>
          </w:p>
        </w:tc>
        <w:tc>
          <w:tcPr>
            <w:tcW w:w="1053" w:type="dxa"/>
            <w:tcBorders>
              <w:top w:val="nil"/>
              <w:left w:val="nil"/>
              <w:bottom w:val="nil"/>
              <w:right w:val="nil"/>
            </w:tcBorders>
            <w:shd w:val="clear" w:color="auto" w:fill="auto"/>
            <w:noWrap/>
            <w:hideMark/>
          </w:tcPr>
          <w:p w14:paraId="44967721"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97</w:t>
            </w:r>
          </w:p>
        </w:tc>
        <w:tc>
          <w:tcPr>
            <w:tcW w:w="1054" w:type="dxa"/>
            <w:tcBorders>
              <w:top w:val="nil"/>
              <w:left w:val="nil"/>
              <w:bottom w:val="nil"/>
              <w:right w:val="nil"/>
            </w:tcBorders>
            <w:shd w:val="clear" w:color="auto" w:fill="auto"/>
            <w:noWrap/>
            <w:hideMark/>
          </w:tcPr>
          <w:p w14:paraId="5B64F6D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w:t>
            </w:r>
          </w:p>
        </w:tc>
      </w:tr>
      <w:tr w:rsidR="00BE531B" w:rsidRPr="00BE531B" w14:paraId="365708D4"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2B7F1ED5" w14:textId="77777777" w:rsidR="00BE531B" w:rsidRPr="00BE531B" w:rsidRDefault="00BE531B" w:rsidP="00BE531B">
            <w:pPr>
              <w:spacing w:after="0" w:line="240" w:lineRule="auto"/>
              <w:rPr>
                <w:rFonts w:ascii="Arial Narrow" w:eastAsia="Times New Roman" w:hAnsi="Arial Narrow" w:cs="Times New Roman"/>
                <w:b/>
                <w:bCs/>
                <w:i/>
                <w:iCs/>
                <w:sz w:val="16"/>
                <w:szCs w:val="16"/>
                <w:lang w:val="en-US"/>
              </w:rPr>
            </w:pPr>
            <w:r w:rsidRPr="00BE531B">
              <w:rPr>
                <w:rFonts w:ascii="Arial Narrow" w:eastAsia="Times New Roman" w:hAnsi="Arial Narrow" w:cs="Times New Roman"/>
                <w:b/>
                <w:bCs/>
                <w:i/>
                <w:i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46CE8BD3"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7CD6EB33"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 </w:t>
            </w:r>
          </w:p>
        </w:tc>
        <w:tc>
          <w:tcPr>
            <w:tcW w:w="1053" w:type="dxa"/>
            <w:tcBorders>
              <w:top w:val="nil"/>
              <w:left w:val="nil"/>
              <w:bottom w:val="single" w:sz="4" w:space="0" w:color="C7CFD8"/>
              <w:right w:val="nil"/>
            </w:tcBorders>
            <w:shd w:val="clear" w:color="auto" w:fill="auto"/>
            <w:noWrap/>
            <w:hideMark/>
          </w:tcPr>
          <w:p w14:paraId="5C0A03A7"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52,370</w:t>
            </w:r>
          </w:p>
        </w:tc>
        <w:tc>
          <w:tcPr>
            <w:tcW w:w="1172" w:type="dxa"/>
            <w:tcBorders>
              <w:top w:val="nil"/>
              <w:left w:val="nil"/>
              <w:bottom w:val="single" w:sz="4" w:space="0" w:color="C7CFD8"/>
              <w:right w:val="nil"/>
            </w:tcBorders>
            <w:shd w:val="clear" w:color="auto" w:fill="auto"/>
            <w:noWrap/>
            <w:hideMark/>
          </w:tcPr>
          <w:p w14:paraId="073B0EE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46,856</w:t>
            </w:r>
          </w:p>
        </w:tc>
        <w:tc>
          <w:tcPr>
            <w:tcW w:w="1172" w:type="dxa"/>
            <w:tcBorders>
              <w:top w:val="nil"/>
              <w:left w:val="nil"/>
              <w:bottom w:val="single" w:sz="4" w:space="0" w:color="C7CFD8"/>
              <w:right w:val="nil"/>
            </w:tcBorders>
            <w:shd w:val="clear" w:color="auto" w:fill="auto"/>
            <w:noWrap/>
            <w:hideMark/>
          </w:tcPr>
          <w:p w14:paraId="7FB6DF8C"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49,056</w:t>
            </w:r>
          </w:p>
        </w:tc>
        <w:tc>
          <w:tcPr>
            <w:tcW w:w="1053" w:type="dxa"/>
            <w:tcBorders>
              <w:top w:val="nil"/>
              <w:left w:val="nil"/>
              <w:bottom w:val="single" w:sz="4" w:space="0" w:color="C7CFD8"/>
              <w:right w:val="nil"/>
            </w:tcBorders>
            <w:shd w:val="clear" w:color="auto" w:fill="auto"/>
            <w:noWrap/>
            <w:hideMark/>
          </w:tcPr>
          <w:p w14:paraId="25AAE9D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5,515</w:t>
            </w:r>
          </w:p>
        </w:tc>
        <w:tc>
          <w:tcPr>
            <w:tcW w:w="1054" w:type="dxa"/>
            <w:tcBorders>
              <w:top w:val="nil"/>
              <w:left w:val="nil"/>
              <w:bottom w:val="single" w:sz="4" w:space="0" w:color="C7CFD8"/>
              <w:right w:val="nil"/>
            </w:tcBorders>
            <w:shd w:val="clear" w:color="auto" w:fill="auto"/>
            <w:noWrap/>
            <w:hideMark/>
          </w:tcPr>
          <w:p w14:paraId="28D9607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w:t>
            </w:r>
          </w:p>
        </w:tc>
      </w:tr>
      <w:tr w:rsidR="00BE531B" w:rsidRPr="00BE531B" w14:paraId="3AC37396" w14:textId="77777777" w:rsidTr="008A121C">
        <w:trPr>
          <w:trHeight w:hRule="exact" w:val="216"/>
          <w:jc w:val="center"/>
        </w:trPr>
        <w:tc>
          <w:tcPr>
            <w:tcW w:w="250" w:type="dxa"/>
            <w:tcBorders>
              <w:top w:val="nil"/>
              <w:left w:val="nil"/>
              <w:bottom w:val="nil"/>
              <w:right w:val="nil"/>
            </w:tcBorders>
            <w:shd w:val="clear" w:color="auto" w:fill="auto"/>
            <w:noWrap/>
            <w:hideMark/>
          </w:tcPr>
          <w:p w14:paraId="43FA850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3431" w:type="dxa"/>
            <w:gridSpan w:val="3"/>
            <w:tcBorders>
              <w:top w:val="nil"/>
              <w:left w:val="nil"/>
              <w:bottom w:val="nil"/>
              <w:right w:val="nil"/>
            </w:tcBorders>
            <w:shd w:val="clear" w:color="auto" w:fill="auto"/>
            <w:noWrap/>
            <w:hideMark/>
          </w:tcPr>
          <w:p w14:paraId="7CCF5455"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Equipment and Supplies</w:t>
            </w:r>
          </w:p>
        </w:tc>
        <w:tc>
          <w:tcPr>
            <w:tcW w:w="1053" w:type="dxa"/>
            <w:tcBorders>
              <w:top w:val="nil"/>
              <w:left w:val="nil"/>
              <w:bottom w:val="nil"/>
              <w:right w:val="nil"/>
            </w:tcBorders>
            <w:shd w:val="clear" w:color="auto" w:fill="auto"/>
            <w:noWrap/>
            <w:hideMark/>
          </w:tcPr>
          <w:p w14:paraId="38E33073"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p>
        </w:tc>
        <w:tc>
          <w:tcPr>
            <w:tcW w:w="1172" w:type="dxa"/>
            <w:tcBorders>
              <w:top w:val="nil"/>
              <w:left w:val="nil"/>
              <w:bottom w:val="nil"/>
              <w:right w:val="nil"/>
            </w:tcBorders>
            <w:shd w:val="clear" w:color="auto" w:fill="auto"/>
            <w:noWrap/>
            <w:hideMark/>
          </w:tcPr>
          <w:p w14:paraId="7EC67115"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172" w:type="dxa"/>
            <w:tcBorders>
              <w:top w:val="nil"/>
              <w:left w:val="nil"/>
              <w:bottom w:val="nil"/>
              <w:right w:val="nil"/>
            </w:tcBorders>
            <w:shd w:val="clear" w:color="auto" w:fill="auto"/>
            <w:noWrap/>
            <w:hideMark/>
          </w:tcPr>
          <w:p w14:paraId="1DED3382"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3" w:type="dxa"/>
            <w:tcBorders>
              <w:top w:val="nil"/>
              <w:left w:val="nil"/>
              <w:bottom w:val="nil"/>
              <w:right w:val="nil"/>
            </w:tcBorders>
            <w:shd w:val="clear" w:color="auto" w:fill="auto"/>
            <w:noWrap/>
            <w:hideMark/>
          </w:tcPr>
          <w:p w14:paraId="2FDDC5E3"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hideMark/>
          </w:tcPr>
          <w:p w14:paraId="69FD7020" w14:textId="77777777" w:rsidR="00BE531B" w:rsidRPr="00BE531B" w:rsidRDefault="00BE531B" w:rsidP="00BE531B">
            <w:pPr>
              <w:spacing w:after="0" w:line="240" w:lineRule="auto"/>
              <w:jc w:val="right"/>
              <w:rPr>
                <w:rFonts w:ascii="Times New Roman" w:eastAsia="Times New Roman" w:hAnsi="Times New Roman" w:cs="Times New Roman"/>
                <w:sz w:val="20"/>
                <w:szCs w:val="20"/>
                <w:lang w:val="en-US"/>
              </w:rPr>
            </w:pPr>
          </w:p>
        </w:tc>
      </w:tr>
      <w:tr w:rsidR="00BE531B" w:rsidRPr="00BE531B" w14:paraId="313CD1F5" w14:textId="77777777" w:rsidTr="008A121C">
        <w:trPr>
          <w:trHeight w:hRule="exact" w:val="216"/>
          <w:jc w:val="center"/>
        </w:trPr>
        <w:tc>
          <w:tcPr>
            <w:tcW w:w="250" w:type="dxa"/>
            <w:tcBorders>
              <w:top w:val="nil"/>
              <w:left w:val="nil"/>
              <w:bottom w:val="nil"/>
              <w:right w:val="nil"/>
            </w:tcBorders>
            <w:shd w:val="clear" w:color="auto" w:fill="auto"/>
            <w:noWrap/>
            <w:hideMark/>
          </w:tcPr>
          <w:p w14:paraId="773613E9"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220" w:type="dxa"/>
            <w:tcBorders>
              <w:top w:val="nil"/>
              <w:left w:val="nil"/>
              <w:bottom w:val="nil"/>
              <w:right w:val="nil"/>
            </w:tcBorders>
            <w:shd w:val="clear" w:color="auto" w:fill="auto"/>
            <w:noWrap/>
            <w:hideMark/>
          </w:tcPr>
          <w:p w14:paraId="70A6CA5A"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noWrap/>
            <w:hideMark/>
          </w:tcPr>
          <w:p w14:paraId="49ADD083"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Furniture &amp; Equipment</w:t>
            </w:r>
          </w:p>
        </w:tc>
        <w:tc>
          <w:tcPr>
            <w:tcW w:w="1053" w:type="dxa"/>
            <w:tcBorders>
              <w:top w:val="nil"/>
              <w:left w:val="nil"/>
              <w:bottom w:val="nil"/>
              <w:right w:val="nil"/>
            </w:tcBorders>
            <w:shd w:val="clear" w:color="auto" w:fill="auto"/>
            <w:noWrap/>
            <w:hideMark/>
          </w:tcPr>
          <w:p w14:paraId="2C25082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867</w:t>
            </w:r>
          </w:p>
        </w:tc>
        <w:tc>
          <w:tcPr>
            <w:tcW w:w="1172" w:type="dxa"/>
            <w:tcBorders>
              <w:top w:val="nil"/>
              <w:left w:val="nil"/>
              <w:bottom w:val="nil"/>
              <w:right w:val="nil"/>
            </w:tcBorders>
            <w:shd w:val="clear" w:color="auto" w:fill="auto"/>
            <w:noWrap/>
            <w:hideMark/>
          </w:tcPr>
          <w:p w14:paraId="23B5D253"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872</w:t>
            </w:r>
          </w:p>
        </w:tc>
        <w:tc>
          <w:tcPr>
            <w:tcW w:w="1172" w:type="dxa"/>
            <w:tcBorders>
              <w:top w:val="nil"/>
              <w:left w:val="nil"/>
              <w:bottom w:val="nil"/>
              <w:right w:val="nil"/>
            </w:tcBorders>
            <w:shd w:val="clear" w:color="auto" w:fill="auto"/>
            <w:noWrap/>
            <w:hideMark/>
          </w:tcPr>
          <w:p w14:paraId="1152890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1,205</w:t>
            </w:r>
          </w:p>
        </w:tc>
        <w:tc>
          <w:tcPr>
            <w:tcW w:w="1053" w:type="dxa"/>
            <w:tcBorders>
              <w:top w:val="nil"/>
              <w:left w:val="nil"/>
              <w:bottom w:val="nil"/>
              <w:right w:val="nil"/>
            </w:tcBorders>
            <w:shd w:val="clear" w:color="auto" w:fill="auto"/>
            <w:noWrap/>
            <w:hideMark/>
          </w:tcPr>
          <w:p w14:paraId="26609BD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(4)</w:t>
            </w:r>
          </w:p>
        </w:tc>
        <w:tc>
          <w:tcPr>
            <w:tcW w:w="1054" w:type="dxa"/>
            <w:tcBorders>
              <w:top w:val="nil"/>
              <w:left w:val="nil"/>
              <w:bottom w:val="nil"/>
              <w:right w:val="nil"/>
            </w:tcBorders>
            <w:shd w:val="clear" w:color="auto" w:fill="auto"/>
            <w:noWrap/>
            <w:hideMark/>
          </w:tcPr>
          <w:p w14:paraId="6346E144"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w:t>
            </w:r>
          </w:p>
        </w:tc>
      </w:tr>
      <w:tr w:rsidR="00BE531B" w:rsidRPr="00BE531B" w14:paraId="75D751C7" w14:textId="77777777" w:rsidTr="008A121C">
        <w:trPr>
          <w:trHeight w:hRule="exact" w:val="216"/>
          <w:jc w:val="center"/>
        </w:trPr>
        <w:tc>
          <w:tcPr>
            <w:tcW w:w="250" w:type="dxa"/>
            <w:tcBorders>
              <w:top w:val="nil"/>
              <w:left w:val="nil"/>
              <w:bottom w:val="nil"/>
              <w:right w:val="nil"/>
            </w:tcBorders>
            <w:shd w:val="clear" w:color="auto" w:fill="auto"/>
            <w:noWrap/>
            <w:hideMark/>
          </w:tcPr>
          <w:p w14:paraId="054F7F32"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p>
        </w:tc>
        <w:tc>
          <w:tcPr>
            <w:tcW w:w="220" w:type="dxa"/>
            <w:tcBorders>
              <w:top w:val="nil"/>
              <w:left w:val="nil"/>
              <w:bottom w:val="nil"/>
              <w:right w:val="nil"/>
            </w:tcBorders>
            <w:shd w:val="clear" w:color="auto" w:fill="auto"/>
            <w:noWrap/>
            <w:hideMark/>
          </w:tcPr>
          <w:p w14:paraId="55CF56D0" w14:textId="77777777" w:rsidR="00BE531B" w:rsidRPr="00BE531B" w:rsidRDefault="00BE531B" w:rsidP="00BE531B">
            <w:pPr>
              <w:spacing w:after="0" w:line="240" w:lineRule="auto"/>
              <w:rPr>
                <w:rFonts w:ascii="Times New Roman" w:eastAsia="Times New Roman" w:hAnsi="Times New Roman" w:cs="Times New Roman"/>
                <w:sz w:val="20"/>
                <w:szCs w:val="20"/>
                <w:lang w:val="en-US"/>
              </w:rPr>
            </w:pPr>
          </w:p>
        </w:tc>
        <w:tc>
          <w:tcPr>
            <w:tcW w:w="3211" w:type="dxa"/>
            <w:gridSpan w:val="2"/>
            <w:tcBorders>
              <w:top w:val="nil"/>
              <w:left w:val="nil"/>
              <w:bottom w:val="nil"/>
              <w:right w:val="nil"/>
            </w:tcBorders>
            <w:shd w:val="clear" w:color="auto" w:fill="auto"/>
            <w:noWrap/>
            <w:hideMark/>
          </w:tcPr>
          <w:p w14:paraId="0E424581"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Supplies &amp; Materials</w:t>
            </w:r>
          </w:p>
        </w:tc>
        <w:tc>
          <w:tcPr>
            <w:tcW w:w="1053" w:type="dxa"/>
            <w:tcBorders>
              <w:top w:val="nil"/>
              <w:left w:val="nil"/>
              <w:bottom w:val="nil"/>
              <w:right w:val="nil"/>
            </w:tcBorders>
            <w:shd w:val="clear" w:color="auto" w:fill="auto"/>
            <w:noWrap/>
            <w:hideMark/>
          </w:tcPr>
          <w:p w14:paraId="1F711479"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2,649</w:t>
            </w:r>
          </w:p>
        </w:tc>
        <w:tc>
          <w:tcPr>
            <w:tcW w:w="1172" w:type="dxa"/>
            <w:tcBorders>
              <w:top w:val="nil"/>
              <w:left w:val="nil"/>
              <w:bottom w:val="nil"/>
              <w:right w:val="nil"/>
            </w:tcBorders>
            <w:shd w:val="clear" w:color="auto" w:fill="auto"/>
            <w:noWrap/>
            <w:hideMark/>
          </w:tcPr>
          <w:p w14:paraId="502B18AF"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2,377</w:t>
            </w:r>
          </w:p>
        </w:tc>
        <w:tc>
          <w:tcPr>
            <w:tcW w:w="1172" w:type="dxa"/>
            <w:tcBorders>
              <w:top w:val="nil"/>
              <w:left w:val="nil"/>
              <w:bottom w:val="nil"/>
              <w:right w:val="nil"/>
            </w:tcBorders>
            <w:shd w:val="clear" w:color="auto" w:fill="auto"/>
            <w:noWrap/>
            <w:hideMark/>
          </w:tcPr>
          <w:p w14:paraId="205ECA4B"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1,887</w:t>
            </w:r>
          </w:p>
        </w:tc>
        <w:tc>
          <w:tcPr>
            <w:tcW w:w="1053" w:type="dxa"/>
            <w:tcBorders>
              <w:top w:val="nil"/>
              <w:left w:val="nil"/>
              <w:bottom w:val="nil"/>
              <w:right w:val="nil"/>
            </w:tcBorders>
            <w:shd w:val="clear" w:color="auto" w:fill="auto"/>
            <w:noWrap/>
            <w:hideMark/>
          </w:tcPr>
          <w:p w14:paraId="6F83551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272</w:t>
            </w:r>
          </w:p>
        </w:tc>
        <w:tc>
          <w:tcPr>
            <w:tcW w:w="1054" w:type="dxa"/>
            <w:tcBorders>
              <w:top w:val="nil"/>
              <w:left w:val="nil"/>
              <w:bottom w:val="nil"/>
              <w:right w:val="nil"/>
            </w:tcBorders>
            <w:shd w:val="clear" w:color="auto" w:fill="auto"/>
            <w:noWrap/>
            <w:hideMark/>
          </w:tcPr>
          <w:p w14:paraId="1C6550BE"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11%</w:t>
            </w:r>
          </w:p>
        </w:tc>
      </w:tr>
      <w:tr w:rsidR="00BE531B" w:rsidRPr="00BE531B" w14:paraId="49DF79EE" w14:textId="77777777" w:rsidTr="008A121C">
        <w:trPr>
          <w:trHeight w:hRule="exact" w:val="216"/>
          <w:jc w:val="center"/>
        </w:trPr>
        <w:tc>
          <w:tcPr>
            <w:tcW w:w="250" w:type="dxa"/>
            <w:tcBorders>
              <w:top w:val="nil"/>
              <w:left w:val="nil"/>
              <w:bottom w:val="single" w:sz="4" w:space="0" w:color="C7CFD8"/>
              <w:right w:val="nil"/>
            </w:tcBorders>
            <w:shd w:val="clear" w:color="auto" w:fill="auto"/>
            <w:noWrap/>
            <w:hideMark/>
          </w:tcPr>
          <w:p w14:paraId="60692771" w14:textId="77777777" w:rsidR="00BE531B" w:rsidRPr="00BE531B" w:rsidRDefault="00BE531B" w:rsidP="00BE531B">
            <w:pPr>
              <w:spacing w:after="0" w:line="240" w:lineRule="auto"/>
              <w:rPr>
                <w:rFonts w:ascii="Arial Narrow" w:eastAsia="Times New Roman" w:hAnsi="Arial Narrow" w:cs="Times New Roman"/>
                <w:b/>
                <w:bCs/>
                <w:i/>
                <w:iCs/>
                <w:sz w:val="16"/>
                <w:szCs w:val="16"/>
                <w:lang w:val="en-US"/>
              </w:rPr>
            </w:pPr>
            <w:r w:rsidRPr="00BE531B">
              <w:rPr>
                <w:rFonts w:ascii="Arial Narrow" w:eastAsia="Times New Roman" w:hAnsi="Arial Narrow" w:cs="Times New Roman"/>
                <w:b/>
                <w:bCs/>
                <w:i/>
                <w:iCs/>
                <w:sz w:val="16"/>
                <w:szCs w:val="16"/>
                <w:lang w:val="en-US"/>
              </w:rPr>
              <w:t> </w:t>
            </w:r>
          </w:p>
        </w:tc>
        <w:tc>
          <w:tcPr>
            <w:tcW w:w="3179" w:type="dxa"/>
            <w:gridSpan w:val="2"/>
            <w:tcBorders>
              <w:top w:val="nil"/>
              <w:left w:val="nil"/>
              <w:bottom w:val="single" w:sz="4" w:space="0" w:color="C7CFD8"/>
              <w:right w:val="nil"/>
            </w:tcBorders>
            <w:shd w:val="clear" w:color="auto" w:fill="auto"/>
            <w:noWrap/>
            <w:hideMark/>
          </w:tcPr>
          <w:p w14:paraId="3D1B0679" w14:textId="77777777" w:rsidR="00BE531B" w:rsidRPr="00BE531B" w:rsidRDefault="00BE531B" w:rsidP="00BE531B">
            <w:pPr>
              <w:spacing w:after="0" w:line="240" w:lineRule="auto"/>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Sub-total</w:t>
            </w:r>
          </w:p>
        </w:tc>
        <w:tc>
          <w:tcPr>
            <w:tcW w:w="252" w:type="dxa"/>
            <w:tcBorders>
              <w:top w:val="nil"/>
              <w:left w:val="nil"/>
              <w:bottom w:val="single" w:sz="4" w:space="0" w:color="C7CFD8"/>
              <w:right w:val="nil"/>
            </w:tcBorders>
            <w:shd w:val="clear" w:color="auto" w:fill="auto"/>
            <w:noWrap/>
            <w:hideMark/>
          </w:tcPr>
          <w:p w14:paraId="50D4236D" w14:textId="77777777" w:rsidR="00BE531B" w:rsidRPr="00BE531B" w:rsidRDefault="00BE531B" w:rsidP="00BE531B">
            <w:pPr>
              <w:spacing w:after="0" w:line="240" w:lineRule="auto"/>
              <w:rPr>
                <w:rFonts w:ascii="Arial Narrow" w:eastAsia="Times New Roman" w:hAnsi="Arial Narrow" w:cs="Times New Roman"/>
                <w:i/>
                <w:iCs/>
                <w:sz w:val="16"/>
                <w:szCs w:val="16"/>
                <w:lang w:val="en-US"/>
              </w:rPr>
            </w:pPr>
            <w:r w:rsidRPr="00BE531B">
              <w:rPr>
                <w:rFonts w:ascii="Arial Narrow" w:eastAsia="Times New Roman" w:hAnsi="Arial Narrow" w:cs="Times New Roman"/>
                <w:i/>
                <w:iCs/>
                <w:sz w:val="16"/>
                <w:szCs w:val="16"/>
                <w:lang w:val="en-US"/>
              </w:rPr>
              <w:t> </w:t>
            </w:r>
          </w:p>
        </w:tc>
        <w:tc>
          <w:tcPr>
            <w:tcW w:w="1053" w:type="dxa"/>
            <w:tcBorders>
              <w:top w:val="nil"/>
              <w:left w:val="nil"/>
              <w:bottom w:val="single" w:sz="4" w:space="0" w:color="C7CFD8"/>
              <w:right w:val="nil"/>
            </w:tcBorders>
            <w:shd w:val="clear" w:color="auto" w:fill="auto"/>
            <w:noWrap/>
            <w:hideMark/>
          </w:tcPr>
          <w:p w14:paraId="755FF3C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3,516</w:t>
            </w:r>
          </w:p>
        </w:tc>
        <w:tc>
          <w:tcPr>
            <w:tcW w:w="1172" w:type="dxa"/>
            <w:tcBorders>
              <w:top w:val="nil"/>
              <w:left w:val="nil"/>
              <w:bottom w:val="single" w:sz="4" w:space="0" w:color="C7CFD8"/>
              <w:right w:val="nil"/>
            </w:tcBorders>
            <w:shd w:val="clear" w:color="auto" w:fill="auto"/>
            <w:noWrap/>
            <w:hideMark/>
          </w:tcPr>
          <w:p w14:paraId="7D17D156"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3,249</w:t>
            </w:r>
          </w:p>
        </w:tc>
        <w:tc>
          <w:tcPr>
            <w:tcW w:w="1172" w:type="dxa"/>
            <w:tcBorders>
              <w:top w:val="nil"/>
              <w:left w:val="nil"/>
              <w:bottom w:val="single" w:sz="4" w:space="0" w:color="C7CFD8"/>
              <w:right w:val="nil"/>
            </w:tcBorders>
            <w:shd w:val="clear" w:color="auto" w:fill="auto"/>
            <w:noWrap/>
            <w:hideMark/>
          </w:tcPr>
          <w:p w14:paraId="15C6CB5A"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3,091</w:t>
            </w:r>
          </w:p>
        </w:tc>
        <w:tc>
          <w:tcPr>
            <w:tcW w:w="1053" w:type="dxa"/>
            <w:tcBorders>
              <w:top w:val="nil"/>
              <w:left w:val="nil"/>
              <w:bottom w:val="single" w:sz="4" w:space="0" w:color="C7CFD8"/>
              <w:right w:val="nil"/>
            </w:tcBorders>
            <w:shd w:val="clear" w:color="auto" w:fill="auto"/>
            <w:noWrap/>
            <w:hideMark/>
          </w:tcPr>
          <w:p w14:paraId="0673FFF5"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268</w:t>
            </w:r>
          </w:p>
        </w:tc>
        <w:tc>
          <w:tcPr>
            <w:tcW w:w="1054" w:type="dxa"/>
            <w:tcBorders>
              <w:top w:val="nil"/>
              <w:left w:val="nil"/>
              <w:bottom w:val="single" w:sz="4" w:space="0" w:color="C7CFD8"/>
              <w:right w:val="nil"/>
            </w:tcBorders>
            <w:shd w:val="clear" w:color="auto" w:fill="auto"/>
            <w:noWrap/>
            <w:hideMark/>
          </w:tcPr>
          <w:p w14:paraId="2B2F1FB0" w14:textId="77777777" w:rsidR="00BE531B" w:rsidRPr="00BE531B" w:rsidRDefault="00BE531B" w:rsidP="00BE531B">
            <w:pPr>
              <w:spacing w:after="0" w:line="240" w:lineRule="auto"/>
              <w:jc w:val="right"/>
              <w:rPr>
                <w:rFonts w:ascii="Arial Narrow" w:eastAsia="Times New Roman" w:hAnsi="Arial Narrow" w:cs="Times New Roman"/>
                <w:sz w:val="16"/>
                <w:szCs w:val="16"/>
                <w:lang w:val="en-US"/>
              </w:rPr>
            </w:pPr>
            <w:r w:rsidRPr="00BE531B">
              <w:rPr>
                <w:rFonts w:ascii="Arial Narrow" w:eastAsia="Times New Roman" w:hAnsi="Arial Narrow" w:cs="Times New Roman"/>
                <w:sz w:val="16"/>
                <w:szCs w:val="16"/>
                <w:lang w:val="en-US"/>
              </w:rPr>
              <w:t>8%</w:t>
            </w:r>
          </w:p>
        </w:tc>
      </w:tr>
      <w:tr w:rsidR="00BE531B" w:rsidRPr="00BE531B" w14:paraId="5F96DF5A" w14:textId="77777777" w:rsidTr="008A121C">
        <w:trPr>
          <w:trHeight w:hRule="exact" w:val="216"/>
          <w:jc w:val="center"/>
        </w:trPr>
        <w:tc>
          <w:tcPr>
            <w:tcW w:w="250" w:type="dxa"/>
            <w:tcBorders>
              <w:top w:val="nil"/>
              <w:left w:val="nil"/>
              <w:bottom w:val="single" w:sz="8" w:space="0" w:color="C7CFD8"/>
              <w:right w:val="nil"/>
            </w:tcBorders>
            <w:shd w:val="clear" w:color="auto" w:fill="auto"/>
            <w:noWrap/>
            <w:hideMark/>
          </w:tcPr>
          <w:p w14:paraId="1D5574E2"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single" w:sz="4" w:space="0" w:color="C7CFD8"/>
              <w:left w:val="nil"/>
              <w:bottom w:val="single" w:sz="8" w:space="0" w:color="C7CFD8"/>
              <w:right w:val="nil"/>
            </w:tcBorders>
            <w:shd w:val="clear" w:color="auto" w:fill="auto"/>
            <w:noWrap/>
            <w:vAlign w:val="center"/>
            <w:hideMark/>
          </w:tcPr>
          <w:p w14:paraId="7271B846"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Total B</w:t>
            </w:r>
          </w:p>
        </w:tc>
        <w:tc>
          <w:tcPr>
            <w:tcW w:w="252" w:type="dxa"/>
            <w:tcBorders>
              <w:top w:val="nil"/>
              <w:left w:val="nil"/>
              <w:bottom w:val="single" w:sz="8" w:space="0" w:color="C7CFD8"/>
              <w:right w:val="nil"/>
            </w:tcBorders>
            <w:shd w:val="clear" w:color="auto" w:fill="auto"/>
            <w:noWrap/>
            <w:hideMark/>
          </w:tcPr>
          <w:p w14:paraId="0FB73BC9"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1053" w:type="dxa"/>
            <w:tcBorders>
              <w:top w:val="nil"/>
              <w:left w:val="nil"/>
              <w:bottom w:val="single" w:sz="8" w:space="0" w:color="C7CFD8"/>
              <w:right w:val="nil"/>
            </w:tcBorders>
            <w:shd w:val="clear" w:color="auto" w:fill="auto"/>
            <w:noWrap/>
            <w:vAlign w:val="center"/>
            <w:hideMark/>
          </w:tcPr>
          <w:p w14:paraId="037D464B"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150,517</w:t>
            </w:r>
          </w:p>
        </w:tc>
        <w:tc>
          <w:tcPr>
            <w:tcW w:w="1172" w:type="dxa"/>
            <w:tcBorders>
              <w:top w:val="nil"/>
              <w:left w:val="nil"/>
              <w:bottom w:val="single" w:sz="8" w:space="0" w:color="C7CFD8"/>
              <w:right w:val="nil"/>
            </w:tcBorders>
            <w:shd w:val="clear" w:color="auto" w:fill="auto"/>
            <w:noWrap/>
            <w:vAlign w:val="center"/>
            <w:hideMark/>
          </w:tcPr>
          <w:p w14:paraId="77FE6E87"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127,879</w:t>
            </w:r>
          </w:p>
        </w:tc>
        <w:tc>
          <w:tcPr>
            <w:tcW w:w="1172" w:type="dxa"/>
            <w:tcBorders>
              <w:top w:val="nil"/>
              <w:left w:val="nil"/>
              <w:bottom w:val="single" w:sz="8" w:space="0" w:color="C7CFD8"/>
              <w:right w:val="nil"/>
            </w:tcBorders>
            <w:shd w:val="clear" w:color="auto" w:fill="auto"/>
            <w:noWrap/>
            <w:vAlign w:val="center"/>
            <w:hideMark/>
          </w:tcPr>
          <w:p w14:paraId="76E33597"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127,775</w:t>
            </w:r>
          </w:p>
        </w:tc>
        <w:tc>
          <w:tcPr>
            <w:tcW w:w="1053" w:type="dxa"/>
            <w:tcBorders>
              <w:top w:val="nil"/>
              <w:left w:val="nil"/>
              <w:bottom w:val="single" w:sz="8" w:space="0" w:color="C7CFD8"/>
              <w:right w:val="nil"/>
            </w:tcBorders>
            <w:shd w:val="clear" w:color="auto" w:fill="auto"/>
            <w:noWrap/>
            <w:vAlign w:val="center"/>
            <w:hideMark/>
          </w:tcPr>
          <w:p w14:paraId="058BC823"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22,638</w:t>
            </w:r>
          </w:p>
        </w:tc>
        <w:tc>
          <w:tcPr>
            <w:tcW w:w="1054" w:type="dxa"/>
            <w:tcBorders>
              <w:top w:val="nil"/>
              <w:left w:val="nil"/>
              <w:bottom w:val="single" w:sz="8" w:space="0" w:color="C7CFD8"/>
              <w:right w:val="nil"/>
            </w:tcBorders>
            <w:shd w:val="clear" w:color="auto" w:fill="auto"/>
            <w:noWrap/>
            <w:vAlign w:val="center"/>
            <w:hideMark/>
          </w:tcPr>
          <w:p w14:paraId="5E8997F1"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18%</w:t>
            </w:r>
          </w:p>
        </w:tc>
      </w:tr>
      <w:tr w:rsidR="00BE531B" w:rsidRPr="00BE531B" w14:paraId="19107189" w14:textId="77777777" w:rsidTr="008A121C">
        <w:trPr>
          <w:trHeight w:hRule="exact" w:val="216"/>
          <w:jc w:val="center"/>
        </w:trPr>
        <w:tc>
          <w:tcPr>
            <w:tcW w:w="250" w:type="dxa"/>
            <w:tcBorders>
              <w:top w:val="nil"/>
              <w:left w:val="nil"/>
              <w:bottom w:val="single" w:sz="8" w:space="0" w:color="C7CFD8"/>
              <w:right w:val="nil"/>
            </w:tcBorders>
            <w:shd w:val="clear" w:color="auto" w:fill="auto"/>
            <w:noWrap/>
            <w:hideMark/>
          </w:tcPr>
          <w:p w14:paraId="3A0361A1"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3179" w:type="dxa"/>
            <w:gridSpan w:val="2"/>
            <w:tcBorders>
              <w:top w:val="nil"/>
              <w:left w:val="nil"/>
              <w:bottom w:val="single" w:sz="8" w:space="0" w:color="C7CFD8"/>
              <w:right w:val="nil"/>
            </w:tcBorders>
            <w:shd w:val="clear" w:color="auto" w:fill="auto"/>
            <w:noWrap/>
            <w:vAlign w:val="center"/>
            <w:hideMark/>
          </w:tcPr>
          <w:p w14:paraId="2EC5207A" w14:textId="77777777" w:rsidR="00BE531B" w:rsidRPr="00BE531B" w:rsidRDefault="00BE531B" w:rsidP="00BE531B">
            <w:pPr>
              <w:spacing w:after="0" w:line="240" w:lineRule="auto"/>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TOTAL</w:t>
            </w:r>
          </w:p>
        </w:tc>
        <w:tc>
          <w:tcPr>
            <w:tcW w:w="252" w:type="dxa"/>
            <w:tcBorders>
              <w:top w:val="nil"/>
              <w:left w:val="nil"/>
              <w:bottom w:val="single" w:sz="8" w:space="0" w:color="C7CFD8"/>
              <w:right w:val="nil"/>
            </w:tcBorders>
            <w:shd w:val="clear" w:color="auto" w:fill="auto"/>
            <w:noWrap/>
            <w:hideMark/>
          </w:tcPr>
          <w:p w14:paraId="5B7BAAA1" w14:textId="77777777" w:rsidR="00BE531B" w:rsidRPr="00BE531B" w:rsidRDefault="00BE531B" w:rsidP="00BE531B">
            <w:pPr>
              <w:spacing w:after="0" w:line="240" w:lineRule="auto"/>
              <w:jc w:val="center"/>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 </w:t>
            </w:r>
          </w:p>
        </w:tc>
        <w:tc>
          <w:tcPr>
            <w:tcW w:w="1053" w:type="dxa"/>
            <w:tcBorders>
              <w:top w:val="nil"/>
              <w:left w:val="nil"/>
              <w:bottom w:val="single" w:sz="8" w:space="0" w:color="C7CFD8"/>
              <w:right w:val="nil"/>
            </w:tcBorders>
            <w:shd w:val="clear" w:color="auto" w:fill="auto"/>
            <w:noWrap/>
            <w:vAlign w:val="center"/>
            <w:hideMark/>
          </w:tcPr>
          <w:p w14:paraId="324DD92D"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315,863</w:t>
            </w:r>
          </w:p>
        </w:tc>
        <w:tc>
          <w:tcPr>
            <w:tcW w:w="1172" w:type="dxa"/>
            <w:tcBorders>
              <w:top w:val="nil"/>
              <w:left w:val="nil"/>
              <w:bottom w:val="single" w:sz="8" w:space="0" w:color="C7CFD8"/>
              <w:right w:val="nil"/>
            </w:tcBorders>
            <w:shd w:val="clear" w:color="auto" w:fill="auto"/>
            <w:noWrap/>
            <w:vAlign w:val="center"/>
            <w:hideMark/>
          </w:tcPr>
          <w:p w14:paraId="6F916265"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263,023</w:t>
            </w:r>
          </w:p>
        </w:tc>
        <w:tc>
          <w:tcPr>
            <w:tcW w:w="1172" w:type="dxa"/>
            <w:tcBorders>
              <w:top w:val="nil"/>
              <w:left w:val="nil"/>
              <w:bottom w:val="single" w:sz="8" w:space="0" w:color="C7CFD8"/>
              <w:right w:val="nil"/>
            </w:tcBorders>
            <w:shd w:val="clear" w:color="auto" w:fill="auto"/>
            <w:noWrap/>
            <w:vAlign w:val="center"/>
            <w:hideMark/>
          </w:tcPr>
          <w:p w14:paraId="3778AEBC"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262,207</w:t>
            </w:r>
          </w:p>
        </w:tc>
        <w:tc>
          <w:tcPr>
            <w:tcW w:w="1053" w:type="dxa"/>
            <w:tcBorders>
              <w:top w:val="nil"/>
              <w:left w:val="nil"/>
              <w:bottom w:val="single" w:sz="8" w:space="0" w:color="C7CFD8"/>
              <w:right w:val="nil"/>
            </w:tcBorders>
            <w:shd w:val="clear" w:color="auto" w:fill="auto"/>
            <w:noWrap/>
            <w:vAlign w:val="center"/>
            <w:hideMark/>
          </w:tcPr>
          <w:p w14:paraId="2BD42775"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52,840</w:t>
            </w:r>
          </w:p>
        </w:tc>
        <w:tc>
          <w:tcPr>
            <w:tcW w:w="1054" w:type="dxa"/>
            <w:tcBorders>
              <w:top w:val="nil"/>
              <w:left w:val="nil"/>
              <w:bottom w:val="single" w:sz="8" w:space="0" w:color="C7CFD8"/>
              <w:right w:val="nil"/>
            </w:tcBorders>
            <w:shd w:val="clear" w:color="auto" w:fill="auto"/>
            <w:noWrap/>
            <w:vAlign w:val="center"/>
            <w:hideMark/>
          </w:tcPr>
          <w:p w14:paraId="04FA8016" w14:textId="77777777" w:rsidR="00BE531B" w:rsidRPr="00BE531B" w:rsidRDefault="00BE531B" w:rsidP="00BE531B">
            <w:pPr>
              <w:spacing w:after="0" w:line="240" w:lineRule="auto"/>
              <w:jc w:val="right"/>
              <w:rPr>
                <w:rFonts w:ascii="Arial Narrow" w:eastAsia="Times New Roman" w:hAnsi="Arial Narrow" w:cs="Times New Roman"/>
                <w:b/>
                <w:bCs/>
                <w:sz w:val="16"/>
                <w:szCs w:val="16"/>
                <w:lang w:val="en-US"/>
              </w:rPr>
            </w:pPr>
            <w:r w:rsidRPr="00BE531B">
              <w:rPr>
                <w:rFonts w:ascii="Arial Narrow" w:eastAsia="Times New Roman" w:hAnsi="Arial Narrow" w:cs="Times New Roman"/>
                <w:b/>
                <w:bCs/>
                <w:sz w:val="16"/>
                <w:szCs w:val="16"/>
                <w:lang w:val="en-US"/>
              </w:rPr>
              <w:t>20%</w:t>
            </w:r>
          </w:p>
        </w:tc>
      </w:tr>
    </w:tbl>
    <w:p w14:paraId="3D38D5D1" w14:textId="3DFC19BF" w:rsidR="008D2CBF" w:rsidRDefault="008D2CBF" w:rsidP="008D2CBF">
      <w:pPr>
        <w:rPr>
          <w:rFonts w:cs="Arial"/>
          <w:szCs w:val="18"/>
        </w:rPr>
      </w:pPr>
    </w:p>
    <w:p w14:paraId="50A12518" w14:textId="77777777" w:rsidR="00B21A76" w:rsidRDefault="00B21A76">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2"/>
      </w:tblGrid>
      <w:tr w:rsidR="008D2CBF" w:rsidRPr="00034525" w14:paraId="0DE6D5E1" w14:textId="77777777" w:rsidTr="008D2CBF">
        <w:trPr>
          <w:trHeight w:val="72"/>
        </w:trPr>
        <w:tc>
          <w:tcPr>
            <w:tcW w:w="9422" w:type="dxa"/>
          </w:tcPr>
          <w:p w14:paraId="77A664AA" w14:textId="399CD4EC" w:rsidR="001A3F3C" w:rsidRDefault="001A3F3C" w:rsidP="008D2CBF">
            <w:pPr>
              <w:spacing w:after="0" w:line="240" w:lineRule="auto"/>
              <w:jc w:val="center"/>
              <w:rPr>
                <w:rFonts w:asciiTheme="majorHAnsi" w:hAnsiTheme="majorHAnsi" w:cstheme="majorHAnsi"/>
                <w:b/>
                <w:bCs/>
                <w:color w:val="005172"/>
                <w:szCs w:val="18"/>
              </w:rPr>
            </w:pPr>
          </w:p>
          <w:p w14:paraId="7B2D24B9" w14:textId="4E784971" w:rsidR="008D2CBF" w:rsidRPr="00034525" w:rsidRDefault="008D2CBF" w:rsidP="001A3F3C">
            <w:pPr>
              <w:spacing w:after="60" w:line="240" w:lineRule="auto"/>
              <w:jc w:val="center"/>
              <w:rPr>
                <w:rFonts w:cs="Arial"/>
                <w:b/>
                <w:bCs/>
                <w:color w:val="005172"/>
                <w:sz w:val="16"/>
                <w:szCs w:val="16"/>
              </w:rPr>
            </w:pPr>
            <w:r w:rsidRPr="00F26256">
              <w:rPr>
                <w:rFonts w:asciiTheme="majorHAnsi" w:hAnsiTheme="majorHAnsi" w:cstheme="majorHAnsi"/>
                <w:b/>
                <w:bCs/>
                <w:color w:val="005172"/>
                <w:szCs w:val="18"/>
              </w:rPr>
              <w:t>Administration, Finance and Management and the Office of the Director General</w:t>
            </w:r>
            <w:r>
              <w:rPr>
                <w:rFonts w:cs="Arial"/>
                <w:b/>
                <w:bCs/>
                <w:color w:val="005172"/>
                <w:szCs w:val="16"/>
              </w:rPr>
              <w:t xml:space="preserve">: </w:t>
            </w:r>
            <w:r w:rsidRPr="00034525">
              <w:rPr>
                <w:rFonts w:cs="Arial"/>
                <w:b/>
                <w:bCs/>
                <w:color w:val="005172"/>
                <w:szCs w:val="16"/>
              </w:rPr>
              <w:t>Resources by Result</w:t>
            </w:r>
          </w:p>
        </w:tc>
      </w:tr>
      <w:tr w:rsidR="008D2CBF" w:rsidRPr="00034525" w14:paraId="1A63ADB7" w14:textId="77777777" w:rsidTr="008D2CBF">
        <w:trPr>
          <w:trHeight w:val="80"/>
        </w:trPr>
        <w:tc>
          <w:tcPr>
            <w:tcW w:w="9422" w:type="dxa"/>
          </w:tcPr>
          <w:p w14:paraId="211E16F6" w14:textId="67FBDFA9" w:rsidR="008D2CBF" w:rsidRPr="00034525" w:rsidRDefault="008D2CBF"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06B9E672" w14:textId="1F634288" w:rsidR="00BE531B" w:rsidRDefault="00BE531B" w:rsidP="00792A58">
      <w:pPr>
        <w:spacing w:after="0"/>
        <w:rPr>
          <w:rFonts w:asciiTheme="minorHAnsi" w:hAnsiTheme="minorHAnsi"/>
          <w:sz w:val="22"/>
        </w:rPr>
      </w:pPr>
    </w:p>
    <w:tbl>
      <w:tblPr>
        <w:tblW w:w="9622" w:type="dxa"/>
        <w:tblLook w:val="04A0" w:firstRow="1" w:lastRow="0" w:firstColumn="1" w:lastColumn="0" w:noHBand="0" w:noVBand="1"/>
      </w:tblPr>
      <w:tblGrid>
        <w:gridCol w:w="400"/>
        <w:gridCol w:w="6144"/>
        <w:gridCol w:w="1031"/>
        <w:gridCol w:w="1031"/>
        <w:gridCol w:w="1032"/>
      </w:tblGrid>
      <w:tr w:rsidR="00BE531B" w:rsidRPr="00BE531B" w14:paraId="6B05C5C1" w14:textId="77777777" w:rsidTr="00BE531B">
        <w:trPr>
          <w:divId w:val="254436431"/>
          <w:trHeight w:val="498"/>
        </w:trPr>
        <w:tc>
          <w:tcPr>
            <w:tcW w:w="6525" w:type="dxa"/>
            <w:gridSpan w:val="2"/>
            <w:tcBorders>
              <w:top w:val="nil"/>
              <w:left w:val="nil"/>
              <w:bottom w:val="nil"/>
              <w:right w:val="nil"/>
            </w:tcBorders>
            <w:shd w:val="clear" w:color="000000" w:fill="C7CFD8"/>
            <w:noWrap/>
            <w:vAlign w:val="center"/>
            <w:hideMark/>
          </w:tcPr>
          <w:p w14:paraId="57A90780" w14:textId="7A28B523" w:rsidR="00BE531B" w:rsidRPr="00BE531B" w:rsidRDefault="00BE531B" w:rsidP="00BE531B">
            <w:pPr>
              <w:spacing w:after="0" w:line="240" w:lineRule="auto"/>
              <w:ind w:firstLineChars="100" w:firstLine="160"/>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 xml:space="preserve">Expected Result </w:t>
            </w:r>
          </w:p>
        </w:tc>
        <w:tc>
          <w:tcPr>
            <w:tcW w:w="1032" w:type="dxa"/>
            <w:tcBorders>
              <w:top w:val="nil"/>
              <w:left w:val="nil"/>
              <w:bottom w:val="nil"/>
              <w:right w:val="nil"/>
            </w:tcBorders>
            <w:shd w:val="clear" w:color="000000" w:fill="C7CFD8"/>
            <w:vAlign w:val="center"/>
            <w:hideMark/>
          </w:tcPr>
          <w:p w14:paraId="0A919FB5" w14:textId="77777777" w:rsidR="00BE531B" w:rsidRPr="00BE531B" w:rsidRDefault="00BE531B" w:rsidP="00BE531B">
            <w:pPr>
              <w:spacing w:after="0" w:line="240" w:lineRule="auto"/>
              <w:ind w:firstLineChars="100" w:firstLine="160"/>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 xml:space="preserve"> 2024/25 </w:t>
            </w:r>
            <w:r w:rsidRPr="00BE531B">
              <w:rPr>
                <w:rFonts w:ascii="Arial Narrow" w:eastAsia="Times New Roman" w:hAnsi="Arial Narrow" w:cs="Arial"/>
                <w:b/>
                <w:bCs/>
                <w:sz w:val="16"/>
                <w:szCs w:val="16"/>
                <w:lang w:val="en-US"/>
              </w:rPr>
              <w:br/>
              <w:t>Proposed</w:t>
            </w:r>
            <w:r w:rsidRPr="00BE531B">
              <w:rPr>
                <w:rFonts w:ascii="Arial Narrow" w:eastAsia="Times New Roman" w:hAnsi="Arial Narrow" w:cs="Arial"/>
                <w:b/>
                <w:bCs/>
                <w:sz w:val="16"/>
                <w:szCs w:val="16"/>
                <w:lang w:val="en-US"/>
              </w:rPr>
              <w:br/>
              <w:t xml:space="preserve"> Budget </w:t>
            </w:r>
          </w:p>
        </w:tc>
        <w:tc>
          <w:tcPr>
            <w:tcW w:w="1032" w:type="dxa"/>
            <w:tcBorders>
              <w:top w:val="nil"/>
              <w:left w:val="nil"/>
              <w:bottom w:val="nil"/>
              <w:right w:val="nil"/>
            </w:tcBorders>
            <w:shd w:val="clear" w:color="000000" w:fill="C7CFD8"/>
            <w:vAlign w:val="center"/>
            <w:hideMark/>
          </w:tcPr>
          <w:p w14:paraId="0FA88CF1" w14:textId="77777777" w:rsidR="00BE531B" w:rsidRPr="00BE531B" w:rsidRDefault="00BE531B" w:rsidP="00BE531B">
            <w:pPr>
              <w:spacing w:after="0" w:line="240" w:lineRule="auto"/>
              <w:ind w:firstLineChars="100" w:firstLine="160"/>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 xml:space="preserve"> 2022/23 </w:t>
            </w:r>
            <w:r w:rsidRPr="00BE531B">
              <w:rPr>
                <w:rFonts w:ascii="Arial Narrow" w:eastAsia="Times New Roman" w:hAnsi="Arial Narrow" w:cs="Arial"/>
                <w:b/>
                <w:bCs/>
                <w:sz w:val="16"/>
                <w:szCs w:val="16"/>
                <w:lang w:val="en-US"/>
              </w:rPr>
              <w:br/>
              <w:t xml:space="preserve">PoW&amp;B </w:t>
            </w:r>
          </w:p>
        </w:tc>
        <w:tc>
          <w:tcPr>
            <w:tcW w:w="1033" w:type="dxa"/>
            <w:tcBorders>
              <w:top w:val="nil"/>
              <w:left w:val="nil"/>
              <w:bottom w:val="nil"/>
              <w:right w:val="nil"/>
            </w:tcBorders>
            <w:shd w:val="clear" w:color="000000" w:fill="C7CFD8"/>
            <w:vAlign w:val="center"/>
            <w:hideMark/>
          </w:tcPr>
          <w:p w14:paraId="5033B724" w14:textId="77777777" w:rsidR="00BE531B" w:rsidRPr="00BE531B" w:rsidRDefault="00BE531B" w:rsidP="00BE531B">
            <w:pPr>
              <w:spacing w:after="0" w:line="240" w:lineRule="auto"/>
              <w:ind w:firstLineChars="100" w:firstLine="160"/>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 xml:space="preserve"> 2022/23 </w:t>
            </w:r>
            <w:r w:rsidRPr="00BE531B">
              <w:rPr>
                <w:rFonts w:ascii="Arial Narrow" w:eastAsia="Times New Roman" w:hAnsi="Arial Narrow" w:cs="Arial"/>
                <w:b/>
                <w:bCs/>
                <w:sz w:val="16"/>
                <w:szCs w:val="16"/>
                <w:lang w:val="en-US"/>
              </w:rPr>
              <w:br/>
              <w:t xml:space="preserve">Budget after Transfers </w:t>
            </w:r>
          </w:p>
        </w:tc>
      </w:tr>
      <w:tr w:rsidR="00BE531B" w:rsidRPr="00BE531B" w14:paraId="74E38C61" w14:textId="77777777" w:rsidTr="00BE531B">
        <w:trPr>
          <w:divId w:val="254436431"/>
          <w:trHeight w:val="32"/>
        </w:trPr>
        <w:tc>
          <w:tcPr>
            <w:tcW w:w="375" w:type="dxa"/>
            <w:tcBorders>
              <w:top w:val="nil"/>
              <w:left w:val="nil"/>
              <w:bottom w:val="nil"/>
              <w:right w:val="nil"/>
            </w:tcBorders>
            <w:shd w:val="clear" w:color="auto" w:fill="auto"/>
            <w:noWrap/>
            <w:vAlign w:val="center"/>
            <w:hideMark/>
          </w:tcPr>
          <w:p w14:paraId="5780699C" w14:textId="77777777" w:rsidR="00BE531B" w:rsidRPr="00BE531B" w:rsidRDefault="00BE531B" w:rsidP="00BE531B">
            <w:pPr>
              <w:spacing w:after="0" w:line="240" w:lineRule="auto"/>
              <w:ind w:firstLineChars="100" w:firstLine="160"/>
              <w:jc w:val="right"/>
              <w:rPr>
                <w:rFonts w:ascii="Arial Narrow" w:eastAsia="Times New Roman" w:hAnsi="Arial Narrow" w:cs="Arial"/>
                <w:b/>
                <w:bCs/>
                <w:sz w:val="16"/>
                <w:szCs w:val="16"/>
                <w:lang w:val="en-US"/>
              </w:rPr>
            </w:pPr>
          </w:p>
        </w:tc>
        <w:tc>
          <w:tcPr>
            <w:tcW w:w="6150" w:type="dxa"/>
            <w:tcBorders>
              <w:top w:val="nil"/>
              <w:left w:val="nil"/>
              <w:bottom w:val="nil"/>
              <w:right w:val="nil"/>
            </w:tcBorders>
            <w:shd w:val="clear" w:color="auto" w:fill="auto"/>
            <w:noWrap/>
            <w:vAlign w:val="center"/>
            <w:hideMark/>
          </w:tcPr>
          <w:p w14:paraId="7460601C" w14:textId="77777777" w:rsidR="00BE531B" w:rsidRPr="00BE531B" w:rsidRDefault="00BE531B" w:rsidP="00BE531B">
            <w:pPr>
              <w:spacing w:after="0" w:line="240" w:lineRule="auto"/>
              <w:ind w:firstLineChars="100" w:firstLine="200"/>
              <w:rPr>
                <w:rFonts w:ascii="Times New Roman" w:eastAsia="Times New Roman" w:hAnsi="Times New Roman" w:cs="Times New Roman"/>
                <w:sz w:val="20"/>
                <w:szCs w:val="20"/>
                <w:lang w:val="en-US"/>
              </w:rPr>
            </w:pPr>
          </w:p>
        </w:tc>
        <w:tc>
          <w:tcPr>
            <w:tcW w:w="1032" w:type="dxa"/>
            <w:tcBorders>
              <w:top w:val="nil"/>
              <w:left w:val="nil"/>
              <w:bottom w:val="nil"/>
              <w:right w:val="nil"/>
            </w:tcBorders>
            <w:shd w:val="clear" w:color="auto" w:fill="auto"/>
            <w:noWrap/>
            <w:vAlign w:val="center"/>
            <w:hideMark/>
          </w:tcPr>
          <w:p w14:paraId="3053F53A" w14:textId="77777777" w:rsidR="00BE531B" w:rsidRPr="00BE531B" w:rsidRDefault="00BE531B" w:rsidP="00BE531B">
            <w:pPr>
              <w:spacing w:after="0" w:line="240" w:lineRule="auto"/>
              <w:ind w:firstLineChars="100" w:firstLine="200"/>
              <w:rPr>
                <w:rFonts w:ascii="Times New Roman" w:eastAsia="Times New Roman" w:hAnsi="Times New Roman" w:cs="Times New Roman"/>
                <w:sz w:val="20"/>
                <w:szCs w:val="20"/>
                <w:lang w:val="en-US"/>
              </w:rPr>
            </w:pPr>
          </w:p>
        </w:tc>
        <w:tc>
          <w:tcPr>
            <w:tcW w:w="1032" w:type="dxa"/>
            <w:tcBorders>
              <w:top w:val="nil"/>
              <w:left w:val="nil"/>
              <w:bottom w:val="nil"/>
              <w:right w:val="nil"/>
            </w:tcBorders>
            <w:shd w:val="clear" w:color="auto" w:fill="auto"/>
            <w:vAlign w:val="center"/>
            <w:hideMark/>
          </w:tcPr>
          <w:p w14:paraId="1FF39102" w14:textId="77777777" w:rsidR="00BE531B" w:rsidRPr="00BE531B" w:rsidRDefault="00BE531B" w:rsidP="00BE531B">
            <w:pPr>
              <w:spacing w:after="0" w:line="240" w:lineRule="auto"/>
              <w:ind w:firstLineChars="100" w:firstLine="200"/>
              <w:rPr>
                <w:rFonts w:ascii="Times New Roman" w:eastAsia="Times New Roman" w:hAnsi="Times New Roman" w:cs="Times New Roman"/>
                <w:sz w:val="20"/>
                <w:szCs w:val="20"/>
                <w:lang w:val="en-US"/>
              </w:rPr>
            </w:pPr>
          </w:p>
        </w:tc>
        <w:tc>
          <w:tcPr>
            <w:tcW w:w="1033" w:type="dxa"/>
            <w:tcBorders>
              <w:top w:val="nil"/>
              <w:left w:val="nil"/>
              <w:bottom w:val="nil"/>
              <w:right w:val="nil"/>
            </w:tcBorders>
            <w:shd w:val="clear" w:color="auto" w:fill="auto"/>
            <w:vAlign w:val="center"/>
            <w:hideMark/>
          </w:tcPr>
          <w:p w14:paraId="5E0EB285" w14:textId="77777777" w:rsidR="00BE531B" w:rsidRPr="00BE531B" w:rsidRDefault="00BE531B" w:rsidP="00BE531B">
            <w:pPr>
              <w:spacing w:after="0" w:line="240" w:lineRule="auto"/>
              <w:ind w:firstLineChars="100" w:firstLine="200"/>
              <w:jc w:val="right"/>
              <w:rPr>
                <w:rFonts w:ascii="Times New Roman" w:eastAsia="Times New Roman" w:hAnsi="Times New Roman" w:cs="Times New Roman"/>
                <w:sz w:val="20"/>
                <w:szCs w:val="20"/>
                <w:lang w:val="en-US"/>
              </w:rPr>
            </w:pPr>
          </w:p>
        </w:tc>
      </w:tr>
      <w:tr w:rsidR="00BE531B" w:rsidRPr="00BE531B" w14:paraId="57F06436" w14:textId="77777777" w:rsidTr="00BE531B">
        <w:trPr>
          <w:divId w:val="254436431"/>
          <w:trHeight w:val="335"/>
        </w:trPr>
        <w:tc>
          <w:tcPr>
            <w:tcW w:w="375" w:type="dxa"/>
            <w:tcBorders>
              <w:top w:val="nil"/>
              <w:left w:val="nil"/>
              <w:bottom w:val="nil"/>
              <w:right w:val="nil"/>
            </w:tcBorders>
            <w:shd w:val="clear" w:color="auto" w:fill="auto"/>
            <w:noWrap/>
            <w:hideMark/>
          </w:tcPr>
          <w:p w14:paraId="588D4CF0"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1.1</w:t>
            </w:r>
          </w:p>
        </w:tc>
        <w:tc>
          <w:tcPr>
            <w:tcW w:w="6150" w:type="dxa"/>
            <w:tcBorders>
              <w:top w:val="nil"/>
              <w:left w:val="nil"/>
              <w:bottom w:val="nil"/>
              <w:right w:val="nil"/>
            </w:tcBorders>
            <w:shd w:val="clear" w:color="auto" w:fill="auto"/>
            <w:hideMark/>
          </w:tcPr>
          <w:p w14:paraId="149B7A30"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More effective communication and engagement world-wide to raise awareness of and increase knowledge about the potential of IP to improve the lives of everyone, everywhere</w:t>
            </w:r>
          </w:p>
          <w:p w14:paraId="3FCD7C03" w14:textId="13AAA57D"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491B5D59"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6,024</w:t>
            </w:r>
          </w:p>
        </w:tc>
        <w:tc>
          <w:tcPr>
            <w:tcW w:w="1032" w:type="dxa"/>
            <w:tcBorders>
              <w:top w:val="nil"/>
              <w:left w:val="nil"/>
              <w:bottom w:val="nil"/>
              <w:right w:val="nil"/>
            </w:tcBorders>
            <w:shd w:val="clear" w:color="auto" w:fill="auto"/>
            <w:noWrap/>
            <w:hideMark/>
          </w:tcPr>
          <w:p w14:paraId="39D90C81"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5,549</w:t>
            </w:r>
          </w:p>
        </w:tc>
        <w:tc>
          <w:tcPr>
            <w:tcW w:w="1033" w:type="dxa"/>
            <w:tcBorders>
              <w:top w:val="nil"/>
              <w:left w:val="nil"/>
              <w:bottom w:val="nil"/>
              <w:right w:val="nil"/>
            </w:tcBorders>
            <w:shd w:val="clear" w:color="auto" w:fill="auto"/>
            <w:noWrap/>
            <w:hideMark/>
          </w:tcPr>
          <w:p w14:paraId="56C17D4A"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5,594</w:t>
            </w:r>
          </w:p>
        </w:tc>
      </w:tr>
      <w:tr w:rsidR="00BE531B" w:rsidRPr="00BE531B" w14:paraId="63A830EF" w14:textId="77777777" w:rsidTr="00BE531B">
        <w:trPr>
          <w:divId w:val="254436431"/>
          <w:trHeight w:val="216"/>
        </w:trPr>
        <w:tc>
          <w:tcPr>
            <w:tcW w:w="375" w:type="dxa"/>
            <w:tcBorders>
              <w:top w:val="nil"/>
              <w:left w:val="nil"/>
              <w:bottom w:val="nil"/>
              <w:right w:val="nil"/>
            </w:tcBorders>
            <w:shd w:val="clear" w:color="auto" w:fill="auto"/>
            <w:noWrap/>
            <w:hideMark/>
          </w:tcPr>
          <w:p w14:paraId="3C414DC6"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2.1</w:t>
            </w:r>
          </w:p>
        </w:tc>
        <w:tc>
          <w:tcPr>
            <w:tcW w:w="6150" w:type="dxa"/>
            <w:tcBorders>
              <w:top w:val="nil"/>
              <w:left w:val="nil"/>
              <w:bottom w:val="nil"/>
              <w:right w:val="nil"/>
            </w:tcBorders>
            <w:shd w:val="clear" w:color="auto" w:fill="auto"/>
            <w:hideMark/>
          </w:tcPr>
          <w:p w14:paraId="1DF06340"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Development of balanced and effective international normative frameworks for IP</w:t>
            </w:r>
          </w:p>
          <w:p w14:paraId="30517CD2" w14:textId="1C9BBEB8"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412E609A"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1,981</w:t>
            </w:r>
          </w:p>
        </w:tc>
        <w:tc>
          <w:tcPr>
            <w:tcW w:w="1032" w:type="dxa"/>
            <w:tcBorders>
              <w:top w:val="nil"/>
              <w:left w:val="nil"/>
              <w:bottom w:val="nil"/>
              <w:right w:val="nil"/>
            </w:tcBorders>
            <w:shd w:val="clear" w:color="auto" w:fill="auto"/>
            <w:noWrap/>
            <w:hideMark/>
          </w:tcPr>
          <w:p w14:paraId="2B3CC565"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1,315</w:t>
            </w:r>
          </w:p>
        </w:tc>
        <w:tc>
          <w:tcPr>
            <w:tcW w:w="1033" w:type="dxa"/>
            <w:tcBorders>
              <w:top w:val="nil"/>
              <w:left w:val="nil"/>
              <w:bottom w:val="nil"/>
              <w:right w:val="nil"/>
            </w:tcBorders>
            <w:shd w:val="clear" w:color="auto" w:fill="auto"/>
            <w:noWrap/>
            <w:hideMark/>
          </w:tcPr>
          <w:p w14:paraId="556D782D"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1,746</w:t>
            </w:r>
          </w:p>
        </w:tc>
      </w:tr>
      <w:tr w:rsidR="00BE531B" w:rsidRPr="00BE531B" w14:paraId="02B31243" w14:textId="77777777" w:rsidTr="00BE531B">
        <w:trPr>
          <w:divId w:val="254436431"/>
          <w:trHeight w:val="335"/>
        </w:trPr>
        <w:tc>
          <w:tcPr>
            <w:tcW w:w="375" w:type="dxa"/>
            <w:tcBorders>
              <w:top w:val="nil"/>
              <w:left w:val="nil"/>
              <w:bottom w:val="nil"/>
              <w:right w:val="nil"/>
            </w:tcBorders>
            <w:shd w:val="clear" w:color="auto" w:fill="auto"/>
            <w:noWrap/>
            <w:hideMark/>
          </w:tcPr>
          <w:p w14:paraId="466A31D1"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2.2</w:t>
            </w:r>
          </w:p>
        </w:tc>
        <w:tc>
          <w:tcPr>
            <w:tcW w:w="6150" w:type="dxa"/>
            <w:tcBorders>
              <w:top w:val="nil"/>
              <w:left w:val="nil"/>
              <w:bottom w:val="nil"/>
              <w:right w:val="nil"/>
            </w:tcBorders>
            <w:shd w:val="clear" w:color="auto" w:fill="auto"/>
            <w:hideMark/>
          </w:tcPr>
          <w:p w14:paraId="11CB7479"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WIPO brings the international community together to proactively address emerging issues and policy challenges at the global level relating to IP, innovation and creativity</w:t>
            </w:r>
          </w:p>
          <w:p w14:paraId="7305F577" w14:textId="3540CB7E"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46A6CE91"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7,080</w:t>
            </w:r>
          </w:p>
        </w:tc>
        <w:tc>
          <w:tcPr>
            <w:tcW w:w="1032" w:type="dxa"/>
            <w:tcBorders>
              <w:top w:val="nil"/>
              <w:left w:val="nil"/>
              <w:bottom w:val="nil"/>
              <w:right w:val="nil"/>
            </w:tcBorders>
            <w:shd w:val="clear" w:color="auto" w:fill="auto"/>
            <w:noWrap/>
            <w:hideMark/>
          </w:tcPr>
          <w:p w14:paraId="084F5FBB"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7,580</w:t>
            </w:r>
          </w:p>
        </w:tc>
        <w:tc>
          <w:tcPr>
            <w:tcW w:w="1033" w:type="dxa"/>
            <w:tcBorders>
              <w:top w:val="nil"/>
              <w:left w:val="nil"/>
              <w:bottom w:val="nil"/>
              <w:right w:val="nil"/>
            </w:tcBorders>
            <w:shd w:val="clear" w:color="auto" w:fill="auto"/>
            <w:noWrap/>
            <w:hideMark/>
          </w:tcPr>
          <w:p w14:paraId="68182E3F"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7,345</w:t>
            </w:r>
          </w:p>
        </w:tc>
      </w:tr>
      <w:tr w:rsidR="00BE531B" w:rsidRPr="00BE531B" w14:paraId="6E030CCD" w14:textId="77777777" w:rsidTr="00BE531B">
        <w:trPr>
          <w:divId w:val="254436431"/>
          <w:trHeight w:val="335"/>
        </w:trPr>
        <w:tc>
          <w:tcPr>
            <w:tcW w:w="375" w:type="dxa"/>
            <w:tcBorders>
              <w:top w:val="nil"/>
              <w:left w:val="nil"/>
              <w:bottom w:val="nil"/>
              <w:right w:val="nil"/>
            </w:tcBorders>
            <w:shd w:val="clear" w:color="auto" w:fill="auto"/>
            <w:noWrap/>
            <w:hideMark/>
          </w:tcPr>
          <w:p w14:paraId="2AD052FB"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2.4</w:t>
            </w:r>
          </w:p>
        </w:tc>
        <w:tc>
          <w:tcPr>
            <w:tcW w:w="6150" w:type="dxa"/>
            <w:tcBorders>
              <w:top w:val="nil"/>
              <w:left w:val="nil"/>
              <w:bottom w:val="nil"/>
              <w:right w:val="nil"/>
            </w:tcBorders>
            <w:shd w:val="clear" w:color="auto" w:fill="auto"/>
            <w:hideMark/>
          </w:tcPr>
          <w:p w14:paraId="347AA847"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Effective interaction and partnerships with the UN, IGOs and NGOs in support of global goals to which IP can contribute</w:t>
            </w:r>
          </w:p>
          <w:p w14:paraId="150C3B55" w14:textId="3D20F598"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114CF5B0"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153</w:t>
            </w:r>
          </w:p>
        </w:tc>
        <w:tc>
          <w:tcPr>
            <w:tcW w:w="1032" w:type="dxa"/>
            <w:tcBorders>
              <w:top w:val="nil"/>
              <w:left w:val="nil"/>
              <w:bottom w:val="nil"/>
              <w:right w:val="nil"/>
            </w:tcBorders>
            <w:shd w:val="clear" w:color="auto" w:fill="auto"/>
            <w:noWrap/>
            <w:hideMark/>
          </w:tcPr>
          <w:p w14:paraId="507A1131"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160</w:t>
            </w:r>
          </w:p>
        </w:tc>
        <w:tc>
          <w:tcPr>
            <w:tcW w:w="1033" w:type="dxa"/>
            <w:tcBorders>
              <w:top w:val="nil"/>
              <w:left w:val="nil"/>
              <w:bottom w:val="nil"/>
              <w:right w:val="nil"/>
            </w:tcBorders>
            <w:shd w:val="clear" w:color="auto" w:fill="auto"/>
            <w:noWrap/>
            <w:hideMark/>
          </w:tcPr>
          <w:p w14:paraId="75F25DBD"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184</w:t>
            </w:r>
          </w:p>
        </w:tc>
      </w:tr>
      <w:tr w:rsidR="00BE531B" w:rsidRPr="00BE531B" w14:paraId="7AB7E5F7" w14:textId="77777777" w:rsidTr="00BE531B">
        <w:trPr>
          <w:divId w:val="254436431"/>
          <w:trHeight w:val="216"/>
        </w:trPr>
        <w:tc>
          <w:tcPr>
            <w:tcW w:w="375" w:type="dxa"/>
            <w:tcBorders>
              <w:top w:val="nil"/>
              <w:left w:val="nil"/>
              <w:bottom w:val="nil"/>
              <w:right w:val="nil"/>
            </w:tcBorders>
            <w:shd w:val="clear" w:color="auto" w:fill="auto"/>
            <w:noWrap/>
            <w:hideMark/>
          </w:tcPr>
          <w:p w14:paraId="060EF91B"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3.2</w:t>
            </w:r>
          </w:p>
        </w:tc>
        <w:tc>
          <w:tcPr>
            <w:tcW w:w="6150" w:type="dxa"/>
            <w:tcBorders>
              <w:top w:val="nil"/>
              <w:left w:val="nil"/>
              <w:bottom w:val="nil"/>
              <w:right w:val="nil"/>
            </w:tcBorders>
            <w:shd w:val="clear" w:color="auto" w:fill="auto"/>
            <w:hideMark/>
          </w:tcPr>
          <w:p w14:paraId="72F6F763"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Improved productivity and service quality of WIPO’s global IP systems, services, knowledge and data</w:t>
            </w:r>
          </w:p>
          <w:p w14:paraId="07773231" w14:textId="107BA85F"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02CD29D1"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35,135</w:t>
            </w:r>
          </w:p>
        </w:tc>
        <w:tc>
          <w:tcPr>
            <w:tcW w:w="1032" w:type="dxa"/>
            <w:tcBorders>
              <w:top w:val="nil"/>
              <w:left w:val="nil"/>
              <w:bottom w:val="nil"/>
              <w:right w:val="nil"/>
            </w:tcBorders>
            <w:shd w:val="clear" w:color="auto" w:fill="auto"/>
            <w:noWrap/>
            <w:hideMark/>
          </w:tcPr>
          <w:p w14:paraId="13C9EA41"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w:t>
            </w:r>
          </w:p>
        </w:tc>
        <w:tc>
          <w:tcPr>
            <w:tcW w:w="1033" w:type="dxa"/>
            <w:tcBorders>
              <w:top w:val="nil"/>
              <w:left w:val="nil"/>
              <w:bottom w:val="nil"/>
              <w:right w:val="nil"/>
            </w:tcBorders>
            <w:shd w:val="clear" w:color="auto" w:fill="auto"/>
            <w:noWrap/>
            <w:hideMark/>
          </w:tcPr>
          <w:p w14:paraId="442C835A"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w:t>
            </w:r>
          </w:p>
        </w:tc>
      </w:tr>
      <w:tr w:rsidR="00BE531B" w:rsidRPr="00BE531B" w14:paraId="27B2E2AC" w14:textId="77777777" w:rsidTr="00BE531B">
        <w:trPr>
          <w:divId w:val="254436431"/>
          <w:trHeight w:val="335"/>
        </w:trPr>
        <w:tc>
          <w:tcPr>
            <w:tcW w:w="375" w:type="dxa"/>
            <w:tcBorders>
              <w:top w:val="nil"/>
              <w:left w:val="nil"/>
              <w:bottom w:val="nil"/>
              <w:right w:val="nil"/>
            </w:tcBorders>
            <w:shd w:val="clear" w:color="auto" w:fill="auto"/>
            <w:noWrap/>
            <w:hideMark/>
          </w:tcPr>
          <w:p w14:paraId="7BFE1F80"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5.1</w:t>
            </w:r>
          </w:p>
        </w:tc>
        <w:tc>
          <w:tcPr>
            <w:tcW w:w="6150" w:type="dxa"/>
            <w:tcBorders>
              <w:top w:val="nil"/>
              <w:left w:val="nil"/>
              <w:bottom w:val="nil"/>
              <w:right w:val="nil"/>
            </w:tcBorders>
            <w:shd w:val="clear" w:color="auto" w:fill="auto"/>
            <w:hideMark/>
          </w:tcPr>
          <w:p w14:paraId="37BC8659"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A Secretariat that is empowered through a dynamic corporate culture and is provided with the right resources and training to work effectively, collaboratively and innovatively</w:t>
            </w:r>
          </w:p>
          <w:p w14:paraId="5F0B6B8E" w14:textId="4E233531"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542A22BE"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56,249</w:t>
            </w:r>
          </w:p>
        </w:tc>
        <w:tc>
          <w:tcPr>
            <w:tcW w:w="1032" w:type="dxa"/>
            <w:tcBorders>
              <w:top w:val="nil"/>
              <w:left w:val="nil"/>
              <w:bottom w:val="nil"/>
              <w:right w:val="nil"/>
            </w:tcBorders>
            <w:shd w:val="clear" w:color="auto" w:fill="auto"/>
            <w:noWrap/>
            <w:hideMark/>
          </w:tcPr>
          <w:p w14:paraId="6F83AC09"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53,528</w:t>
            </w:r>
          </w:p>
        </w:tc>
        <w:tc>
          <w:tcPr>
            <w:tcW w:w="1033" w:type="dxa"/>
            <w:tcBorders>
              <w:top w:val="nil"/>
              <w:left w:val="nil"/>
              <w:bottom w:val="nil"/>
              <w:right w:val="nil"/>
            </w:tcBorders>
            <w:shd w:val="clear" w:color="auto" w:fill="auto"/>
            <w:noWrap/>
            <w:hideMark/>
          </w:tcPr>
          <w:p w14:paraId="296BCD62"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47,609</w:t>
            </w:r>
          </w:p>
        </w:tc>
      </w:tr>
      <w:tr w:rsidR="00BE531B" w:rsidRPr="00BE531B" w14:paraId="74A0D3CA" w14:textId="77777777" w:rsidTr="00BE531B">
        <w:trPr>
          <w:divId w:val="254436431"/>
          <w:trHeight w:val="216"/>
        </w:trPr>
        <w:tc>
          <w:tcPr>
            <w:tcW w:w="375" w:type="dxa"/>
            <w:tcBorders>
              <w:top w:val="nil"/>
              <w:left w:val="nil"/>
              <w:bottom w:val="nil"/>
              <w:right w:val="nil"/>
            </w:tcBorders>
            <w:shd w:val="clear" w:color="auto" w:fill="auto"/>
            <w:noWrap/>
            <w:hideMark/>
          </w:tcPr>
          <w:p w14:paraId="14AEB18F"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5.2</w:t>
            </w:r>
          </w:p>
        </w:tc>
        <w:tc>
          <w:tcPr>
            <w:tcW w:w="6150" w:type="dxa"/>
            <w:tcBorders>
              <w:top w:val="nil"/>
              <w:left w:val="nil"/>
              <w:bottom w:val="nil"/>
              <w:right w:val="nil"/>
            </w:tcBorders>
            <w:shd w:val="clear" w:color="auto" w:fill="auto"/>
            <w:hideMark/>
          </w:tcPr>
          <w:p w14:paraId="234B2FB3" w14:textId="77777777" w:rsid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Digitally enabled, secure and sustainable operating environment and services</w:t>
            </w:r>
          </w:p>
          <w:p w14:paraId="0CDE82F5" w14:textId="1BC9AEFF" w:rsidR="00B21A76" w:rsidRPr="00B21A76" w:rsidRDefault="00B21A76" w:rsidP="00BE531B">
            <w:pPr>
              <w:spacing w:after="0" w:line="240" w:lineRule="auto"/>
              <w:rPr>
                <w:rFonts w:ascii="Arial Narrow" w:eastAsia="Times New Roman" w:hAnsi="Arial Narrow" w:cs="Arial"/>
                <w:sz w:val="8"/>
                <w:szCs w:val="8"/>
                <w:lang w:val="en-US"/>
              </w:rPr>
            </w:pPr>
          </w:p>
        </w:tc>
        <w:tc>
          <w:tcPr>
            <w:tcW w:w="1032" w:type="dxa"/>
            <w:tcBorders>
              <w:top w:val="nil"/>
              <w:left w:val="nil"/>
              <w:bottom w:val="nil"/>
              <w:right w:val="nil"/>
            </w:tcBorders>
            <w:shd w:val="clear" w:color="auto" w:fill="auto"/>
            <w:noWrap/>
            <w:hideMark/>
          </w:tcPr>
          <w:p w14:paraId="4F52B9D5"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161,514</w:t>
            </w:r>
          </w:p>
        </w:tc>
        <w:tc>
          <w:tcPr>
            <w:tcW w:w="1032" w:type="dxa"/>
            <w:tcBorders>
              <w:top w:val="nil"/>
              <w:left w:val="nil"/>
              <w:bottom w:val="nil"/>
              <w:right w:val="nil"/>
            </w:tcBorders>
            <w:shd w:val="clear" w:color="auto" w:fill="auto"/>
            <w:noWrap/>
            <w:hideMark/>
          </w:tcPr>
          <w:p w14:paraId="33B00F80"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149,571</w:t>
            </w:r>
          </w:p>
        </w:tc>
        <w:tc>
          <w:tcPr>
            <w:tcW w:w="1033" w:type="dxa"/>
            <w:tcBorders>
              <w:top w:val="nil"/>
              <w:left w:val="nil"/>
              <w:bottom w:val="nil"/>
              <w:right w:val="nil"/>
            </w:tcBorders>
            <w:shd w:val="clear" w:color="auto" w:fill="auto"/>
            <w:noWrap/>
            <w:hideMark/>
          </w:tcPr>
          <w:p w14:paraId="044F634A"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155,778</w:t>
            </w:r>
          </w:p>
        </w:tc>
      </w:tr>
      <w:tr w:rsidR="00BE531B" w:rsidRPr="00BE531B" w14:paraId="375D503A" w14:textId="77777777" w:rsidTr="00BE531B">
        <w:trPr>
          <w:divId w:val="254436431"/>
          <w:trHeight w:val="216"/>
        </w:trPr>
        <w:tc>
          <w:tcPr>
            <w:tcW w:w="375" w:type="dxa"/>
            <w:tcBorders>
              <w:top w:val="nil"/>
              <w:left w:val="nil"/>
              <w:bottom w:val="nil"/>
              <w:right w:val="nil"/>
            </w:tcBorders>
            <w:shd w:val="clear" w:color="auto" w:fill="auto"/>
            <w:noWrap/>
            <w:hideMark/>
          </w:tcPr>
          <w:p w14:paraId="58E9D847" w14:textId="77777777" w:rsidR="00BE531B"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5.3</w:t>
            </w:r>
          </w:p>
        </w:tc>
        <w:tc>
          <w:tcPr>
            <w:tcW w:w="6150" w:type="dxa"/>
            <w:tcBorders>
              <w:top w:val="nil"/>
              <w:left w:val="nil"/>
              <w:bottom w:val="nil"/>
              <w:right w:val="nil"/>
            </w:tcBorders>
            <w:shd w:val="clear" w:color="auto" w:fill="auto"/>
            <w:hideMark/>
          </w:tcPr>
          <w:p w14:paraId="1E1B0B37" w14:textId="3E78DAD7" w:rsidR="00B21A76" w:rsidRPr="00BE531B" w:rsidRDefault="00BE531B" w:rsidP="00BE531B">
            <w:pPr>
              <w:spacing w:after="0" w:line="240" w:lineRule="auto"/>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Sound and prudent financial management and effective corporate governance and oversight</w:t>
            </w:r>
          </w:p>
        </w:tc>
        <w:tc>
          <w:tcPr>
            <w:tcW w:w="1032" w:type="dxa"/>
            <w:tcBorders>
              <w:top w:val="nil"/>
              <w:left w:val="nil"/>
              <w:bottom w:val="nil"/>
              <w:right w:val="nil"/>
            </w:tcBorders>
            <w:shd w:val="clear" w:color="auto" w:fill="auto"/>
            <w:noWrap/>
            <w:hideMark/>
          </w:tcPr>
          <w:p w14:paraId="0E89F448"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47,728</w:t>
            </w:r>
          </w:p>
        </w:tc>
        <w:tc>
          <w:tcPr>
            <w:tcW w:w="1032" w:type="dxa"/>
            <w:tcBorders>
              <w:top w:val="nil"/>
              <w:left w:val="nil"/>
              <w:bottom w:val="nil"/>
              <w:right w:val="nil"/>
            </w:tcBorders>
            <w:shd w:val="clear" w:color="auto" w:fill="auto"/>
            <w:noWrap/>
            <w:hideMark/>
          </w:tcPr>
          <w:p w14:paraId="5D6D2394"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45,320</w:t>
            </w:r>
          </w:p>
        </w:tc>
        <w:tc>
          <w:tcPr>
            <w:tcW w:w="1033" w:type="dxa"/>
            <w:tcBorders>
              <w:top w:val="nil"/>
              <w:left w:val="nil"/>
              <w:bottom w:val="nil"/>
              <w:right w:val="nil"/>
            </w:tcBorders>
            <w:shd w:val="clear" w:color="auto" w:fill="auto"/>
            <w:noWrap/>
            <w:hideMark/>
          </w:tcPr>
          <w:p w14:paraId="3EFAD229" w14:textId="77777777" w:rsidR="00BE531B" w:rsidRPr="00BE531B" w:rsidRDefault="00BE531B" w:rsidP="00BE531B">
            <w:pPr>
              <w:spacing w:after="0" w:line="240" w:lineRule="auto"/>
              <w:jc w:val="right"/>
              <w:rPr>
                <w:rFonts w:ascii="Arial Narrow" w:eastAsia="Times New Roman" w:hAnsi="Arial Narrow" w:cs="Arial"/>
                <w:sz w:val="16"/>
                <w:szCs w:val="16"/>
                <w:lang w:val="en-US"/>
              </w:rPr>
            </w:pPr>
            <w:r w:rsidRPr="00BE531B">
              <w:rPr>
                <w:rFonts w:ascii="Arial Narrow" w:eastAsia="Times New Roman" w:hAnsi="Arial Narrow" w:cs="Arial"/>
                <w:sz w:val="16"/>
                <w:szCs w:val="16"/>
                <w:lang w:val="en-US"/>
              </w:rPr>
              <w:t>43,952</w:t>
            </w:r>
          </w:p>
        </w:tc>
      </w:tr>
      <w:tr w:rsidR="00BE531B" w:rsidRPr="00BE531B" w14:paraId="0CCEF20E" w14:textId="77777777" w:rsidTr="00BE531B">
        <w:trPr>
          <w:divId w:val="254436431"/>
          <w:trHeight w:val="216"/>
        </w:trPr>
        <w:tc>
          <w:tcPr>
            <w:tcW w:w="375" w:type="dxa"/>
            <w:tcBorders>
              <w:top w:val="single" w:sz="4" w:space="0" w:color="BFBFBF"/>
              <w:left w:val="nil"/>
              <w:bottom w:val="single" w:sz="8" w:space="0" w:color="C7CFD8"/>
              <w:right w:val="nil"/>
            </w:tcBorders>
            <w:shd w:val="clear" w:color="auto" w:fill="auto"/>
            <w:noWrap/>
            <w:vAlign w:val="center"/>
            <w:hideMark/>
          </w:tcPr>
          <w:p w14:paraId="11DB990A" w14:textId="77777777" w:rsidR="00BE531B" w:rsidRPr="00BE531B" w:rsidRDefault="00BE531B" w:rsidP="00BE531B">
            <w:pPr>
              <w:spacing w:after="0" w:line="240" w:lineRule="auto"/>
              <w:rPr>
                <w:rFonts w:ascii="Arial Narrow" w:eastAsia="Times New Roman" w:hAnsi="Arial Narrow" w:cs="Arial"/>
                <w:color w:val="005172"/>
                <w:sz w:val="16"/>
                <w:szCs w:val="16"/>
                <w:lang w:val="en-US"/>
              </w:rPr>
            </w:pPr>
            <w:r w:rsidRPr="00BE531B">
              <w:rPr>
                <w:rFonts w:ascii="Arial Narrow" w:eastAsia="Times New Roman" w:hAnsi="Arial Narrow" w:cs="Arial"/>
                <w:color w:val="005172"/>
                <w:sz w:val="16"/>
                <w:szCs w:val="16"/>
                <w:lang w:val="en-US"/>
              </w:rPr>
              <w:t> </w:t>
            </w:r>
          </w:p>
        </w:tc>
        <w:tc>
          <w:tcPr>
            <w:tcW w:w="6150" w:type="dxa"/>
            <w:tcBorders>
              <w:top w:val="single" w:sz="4" w:space="0" w:color="BFBFBF"/>
              <w:left w:val="nil"/>
              <w:bottom w:val="single" w:sz="8" w:space="0" w:color="C7CFD8"/>
              <w:right w:val="nil"/>
            </w:tcBorders>
            <w:shd w:val="clear" w:color="auto" w:fill="auto"/>
            <w:noWrap/>
            <w:vAlign w:val="center"/>
            <w:hideMark/>
          </w:tcPr>
          <w:p w14:paraId="308AD18D" w14:textId="77777777" w:rsidR="00BE531B" w:rsidRPr="00BE531B" w:rsidRDefault="00BE531B" w:rsidP="00BE531B">
            <w:pPr>
              <w:spacing w:after="0" w:line="240" w:lineRule="auto"/>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Total</w:t>
            </w:r>
          </w:p>
        </w:tc>
        <w:tc>
          <w:tcPr>
            <w:tcW w:w="1032" w:type="dxa"/>
            <w:tcBorders>
              <w:top w:val="single" w:sz="4" w:space="0" w:color="BFBFBF"/>
              <w:left w:val="nil"/>
              <w:bottom w:val="single" w:sz="8" w:space="0" w:color="C7CFD8"/>
              <w:right w:val="nil"/>
            </w:tcBorders>
            <w:shd w:val="clear" w:color="auto" w:fill="auto"/>
            <w:noWrap/>
            <w:vAlign w:val="center"/>
            <w:hideMark/>
          </w:tcPr>
          <w:p w14:paraId="5895DB8C" w14:textId="77777777" w:rsidR="00BE531B" w:rsidRPr="00BE531B" w:rsidRDefault="00BE531B" w:rsidP="00BE531B">
            <w:pPr>
              <w:spacing w:after="0" w:line="240" w:lineRule="auto"/>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315,863</w:t>
            </w:r>
          </w:p>
        </w:tc>
        <w:tc>
          <w:tcPr>
            <w:tcW w:w="1032" w:type="dxa"/>
            <w:tcBorders>
              <w:top w:val="single" w:sz="4" w:space="0" w:color="BFBFBF"/>
              <w:left w:val="nil"/>
              <w:bottom w:val="single" w:sz="8" w:space="0" w:color="C7CFD8"/>
              <w:right w:val="nil"/>
            </w:tcBorders>
            <w:shd w:val="clear" w:color="auto" w:fill="auto"/>
            <w:noWrap/>
            <w:vAlign w:val="center"/>
            <w:hideMark/>
          </w:tcPr>
          <w:p w14:paraId="08147516" w14:textId="77777777" w:rsidR="00BE531B" w:rsidRPr="00BE531B" w:rsidRDefault="00BE531B" w:rsidP="00BE531B">
            <w:pPr>
              <w:spacing w:after="0" w:line="240" w:lineRule="auto"/>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263,023</w:t>
            </w:r>
          </w:p>
        </w:tc>
        <w:tc>
          <w:tcPr>
            <w:tcW w:w="1033" w:type="dxa"/>
            <w:tcBorders>
              <w:top w:val="single" w:sz="4" w:space="0" w:color="BFBFBF"/>
              <w:left w:val="nil"/>
              <w:bottom w:val="single" w:sz="8" w:space="0" w:color="C7CFD8"/>
              <w:right w:val="nil"/>
            </w:tcBorders>
            <w:shd w:val="clear" w:color="auto" w:fill="auto"/>
            <w:noWrap/>
            <w:vAlign w:val="center"/>
            <w:hideMark/>
          </w:tcPr>
          <w:p w14:paraId="13DC7DB3" w14:textId="77777777" w:rsidR="00BE531B" w:rsidRPr="00BE531B" w:rsidRDefault="00BE531B" w:rsidP="00BE531B">
            <w:pPr>
              <w:spacing w:after="0" w:line="240" w:lineRule="auto"/>
              <w:jc w:val="right"/>
              <w:rPr>
                <w:rFonts w:ascii="Arial Narrow" w:eastAsia="Times New Roman" w:hAnsi="Arial Narrow" w:cs="Arial"/>
                <w:b/>
                <w:bCs/>
                <w:sz w:val="16"/>
                <w:szCs w:val="16"/>
                <w:lang w:val="en-US"/>
              </w:rPr>
            </w:pPr>
            <w:r w:rsidRPr="00BE531B">
              <w:rPr>
                <w:rFonts w:ascii="Arial Narrow" w:eastAsia="Times New Roman" w:hAnsi="Arial Narrow" w:cs="Arial"/>
                <w:b/>
                <w:bCs/>
                <w:sz w:val="16"/>
                <w:szCs w:val="16"/>
                <w:lang w:val="en-US"/>
              </w:rPr>
              <w:t>262,207</w:t>
            </w:r>
          </w:p>
        </w:tc>
      </w:tr>
    </w:tbl>
    <w:p w14:paraId="6D85ADA4" w14:textId="355F2D8D" w:rsidR="00BE531B" w:rsidRDefault="00BE531B" w:rsidP="006D0039">
      <w:pPr>
        <w:spacing w:after="0"/>
        <w:rPr>
          <w:rFonts w:cs="Arial"/>
          <w:szCs w:val="18"/>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2"/>
      </w:tblGrid>
      <w:tr w:rsidR="008D2CBF" w:rsidRPr="00034525" w14:paraId="0F5710D3" w14:textId="77777777" w:rsidTr="008D2CBF">
        <w:trPr>
          <w:trHeight w:val="72"/>
        </w:trPr>
        <w:tc>
          <w:tcPr>
            <w:tcW w:w="9422" w:type="dxa"/>
          </w:tcPr>
          <w:p w14:paraId="1897B713" w14:textId="15872754" w:rsidR="008D2CBF" w:rsidRPr="00034525" w:rsidRDefault="008D2CBF" w:rsidP="001A3F3C">
            <w:pPr>
              <w:spacing w:after="60" w:line="240" w:lineRule="auto"/>
              <w:jc w:val="center"/>
              <w:rPr>
                <w:rFonts w:cs="Arial"/>
                <w:b/>
                <w:bCs/>
                <w:color w:val="005172"/>
                <w:sz w:val="16"/>
                <w:szCs w:val="16"/>
              </w:rPr>
            </w:pPr>
            <w:r w:rsidRPr="00034525">
              <w:rPr>
                <w:rFonts w:cs="Arial"/>
                <w:b/>
                <w:bCs/>
                <w:color w:val="005172"/>
                <w:szCs w:val="16"/>
              </w:rPr>
              <w:t>Funds in Trust Resources Potent</w:t>
            </w:r>
            <w:r>
              <w:rPr>
                <w:rFonts w:cs="Arial"/>
                <w:b/>
                <w:bCs/>
                <w:color w:val="005172"/>
                <w:szCs w:val="16"/>
              </w:rPr>
              <w:t>ially Available for Programming</w:t>
            </w:r>
            <w:r w:rsidR="00345535" w:rsidRPr="00345535">
              <w:rPr>
                <w:rFonts w:cs="Arial"/>
                <w:b/>
                <w:bCs/>
                <w:color w:val="005172"/>
                <w:szCs w:val="16"/>
                <w:vertAlign w:val="superscript"/>
              </w:rPr>
              <w:t>1</w:t>
            </w:r>
          </w:p>
        </w:tc>
      </w:tr>
      <w:tr w:rsidR="008D2CBF" w:rsidRPr="00034525" w14:paraId="6126A20B" w14:textId="77777777" w:rsidTr="008D2CBF">
        <w:trPr>
          <w:trHeight w:val="80"/>
        </w:trPr>
        <w:tc>
          <w:tcPr>
            <w:tcW w:w="9422" w:type="dxa"/>
          </w:tcPr>
          <w:p w14:paraId="4EA31342" w14:textId="1348F532" w:rsidR="008D2CBF" w:rsidRPr="00034525" w:rsidRDefault="008D2CBF" w:rsidP="00792A58">
            <w:pPr>
              <w:spacing w:after="0" w:line="240" w:lineRule="auto"/>
              <w:jc w:val="center"/>
              <w:rPr>
                <w:rFonts w:cs="Arial"/>
                <w:i/>
                <w:sz w:val="16"/>
                <w:szCs w:val="18"/>
                <w:lang w:val="en-US"/>
              </w:rPr>
            </w:pPr>
            <w:r w:rsidRPr="00034525">
              <w:rPr>
                <w:rFonts w:cs="Arial"/>
                <w:i/>
                <w:sz w:val="16"/>
                <w:szCs w:val="18"/>
                <w:lang w:val="en-US"/>
              </w:rPr>
              <w:t>(in thousands of Swiss francs)</w:t>
            </w:r>
          </w:p>
        </w:tc>
      </w:tr>
    </w:tbl>
    <w:p w14:paraId="12BAC2E9" w14:textId="2C89967E" w:rsidR="004D67F9" w:rsidRDefault="004D67F9" w:rsidP="00792A58">
      <w:pPr>
        <w:spacing w:after="0"/>
        <w:rPr>
          <w:rFonts w:asciiTheme="minorHAnsi" w:hAnsiTheme="minorHAnsi"/>
          <w:sz w:val="22"/>
        </w:rPr>
      </w:pPr>
    </w:p>
    <w:tbl>
      <w:tblPr>
        <w:tblW w:w="9280" w:type="dxa"/>
        <w:tblLook w:val="04A0" w:firstRow="1" w:lastRow="0" w:firstColumn="1" w:lastColumn="0" w:noHBand="0" w:noVBand="1"/>
      </w:tblPr>
      <w:tblGrid>
        <w:gridCol w:w="2320"/>
        <w:gridCol w:w="1120"/>
        <w:gridCol w:w="1120"/>
        <w:gridCol w:w="1120"/>
        <w:gridCol w:w="1120"/>
        <w:gridCol w:w="1120"/>
        <w:gridCol w:w="1360"/>
      </w:tblGrid>
      <w:tr w:rsidR="004D67F9" w:rsidRPr="004D67F9" w14:paraId="546CC896" w14:textId="77777777" w:rsidTr="004D67F9">
        <w:trPr>
          <w:divId w:val="978144059"/>
          <w:trHeight w:val="855"/>
        </w:trPr>
        <w:tc>
          <w:tcPr>
            <w:tcW w:w="2320" w:type="dxa"/>
            <w:tcBorders>
              <w:top w:val="nil"/>
              <w:left w:val="nil"/>
              <w:bottom w:val="nil"/>
              <w:right w:val="nil"/>
            </w:tcBorders>
            <w:shd w:val="clear" w:color="000000" w:fill="C7CFD8"/>
            <w:vAlign w:val="center"/>
            <w:hideMark/>
          </w:tcPr>
          <w:p w14:paraId="3AD97E28" w14:textId="3A6012B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Fund-in-Trust (FIT)</w:t>
            </w:r>
          </w:p>
        </w:tc>
        <w:tc>
          <w:tcPr>
            <w:tcW w:w="1120" w:type="dxa"/>
            <w:tcBorders>
              <w:top w:val="nil"/>
              <w:left w:val="nil"/>
              <w:bottom w:val="nil"/>
              <w:right w:val="nil"/>
            </w:tcBorders>
            <w:shd w:val="clear" w:color="000000" w:fill="C7CFD8"/>
            <w:vAlign w:val="center"/>
            <w:hideMark/>
          </w:tcPr>
          <w:p w14:paraId="44C98D36"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Balance as of December 31, 2022</w:t>
            </w:r>
          </w:p>
        </w:tc>
        <w:tc>
          <w:tcPr>
            <w:tcW w:w="1120" w:type="dxa"/>
            <w:tcBorders>
              <w:top w:val="nil"/>
              <w:left w:val="nil"/>
              <w:bottom w:val="nil"/>
              <w:right w:val="nil"/>
            </w:tcBorders>
            <w:shd w:val="clear" w:color="000000" w:fill="C7CFD8"/>
            <w:vAlign w:val="center"/>
            <w:hideMark/>
          </w:tcPr>
          <w:p w14:paraId="033B31CE" w14:textId="209E0CE0" w:rsidR="004D67F9" w:rsidRPr="004D67F9" w:rsidRDefault="004D67F9" w:rsidP="00345535">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contributions </w:t>
            </w:r>
            <w:r w:rsidRPr="004D67F9">
              <w:rPr>
                <w:rFonts w:ascii="Arial Narrow" w:eastAsia="Times New Roman" w:hAnsi="Arial Narrow" w:cs="Times New Roman"/>
                <w:b/>
                <w:bCs/>
                <w:sz w:val="16"/>
                <w:szCs w:val="16"/>
                <w:lang w:val="en-US"/>
              </w:rPr>
              <w:br/>
              <w:t xml:space="preserve">2023 </w:t>
            </w:r>
          </w:p>
        </w:tc>
        <w:tc>
          <w:tcPr>
            <w:tcW w:w="1120" w:type="dxa"/>
            <w:tcBorders>
              <w:top w:val="nil"/>
              <w:left w:val="nil"/>
              <w:bottom w:val="nil"/>
              <w:right w:val="nil"/>
            </w:tcBorders>
            <w:shd w:val="clear" w:color="000000" w:fill="C7CFD8"/>
            <w:vAlign w:val="center"/>
            <w:hideMark/>
          </w:tcPr>
          <w:p w14:paraId="10F24F81" w14:textId="68401894" w:rsidR="004D67F9" w:rsidRPr="004D67F9" w:rsidRDefault="004D67F9" w:rsidP="00345535">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expenditure end 2023 </w:t>
            </w:r>
          </w:p>
        </w:tc>
        <w:tc>
          <w:tcPr>
            <w:tcW w:w="1120" w:type="dxa"/>
            <w:tcBorders>
              <w:top w:val="nil"/>
              <w:left w:val="nil"/>
              <w:bottom w:val="nil"/>
              <w:right w:val="nil"/>
            </w:tcBorders>
            <w:shd w:val="clear" w:color="000000" w:fill="C7CFD8"/>
            <w:vAlign w:val="center"/>
            <w:hideMark/>
          </w:tcPr>
          <w:p w14:paraId="3AE0CD06"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Expected balance end 2023 </w:t>
            </w:r>
          </w:p>
        </w:tc>
        <w:tc>
          <w:tcPr>
            <w:tcW w:w="1120" w:type="dxa"/>
            <w:tcBorders>
              <w:top w:val="nil"/>
              <w:left w:val="nil"/>
              <w:bottom w:val="nil"/>
              <w:right w:val="nil"/>
            </w:tcBorders>
            <w:shd w:val="clear" w:color="000000" w:fill="C7CFD8"/>
            <w:vAlign w:val="center"/>
            <w:hideMark/>
          </w:tcPr>
          <w:p w14:paraId="5D2642C2" w14:textId="6E760393" w:rsidR="004D67F9" w:rsidRPr="004D67F9" w:rsidRDefault="004D67F9" w:rsidP="00345535">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contributions 2024/25 </w:t>
            </w:r>
          </w:p>
        </w:tc>
        <w:tc>
          <w:tcPr>
            <w:tcW w:w="1360" w:type="dxa"/>
            <w:tcBorders>
              <w:top w:val="nil"/>
              <w:left w:val="nil"/>
              <w:bottom w:val="nil"/>
              <w:right w:val="nil"/>
            </w:tcBorders>
            <w:shd w:val="clear" w:color="000000" w:fill="C7CFD8"/>
            <w:vAlign w:val="center"/>
            <w:hideMark/>
          </w:tcPr>
          <w:p w14:paraId="1FDBF5AE"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Estimated amount available for programming in 2024/25 </w:t>
            </w:r>
          </w:p>
        </w:tc>
      </w:tr>
      <w:tr w:rsidR="004D67F9" w:rsidRPr="004D67F9" w14:paraId="66284C7B" w14:textId="77777777" w:rsidTr="004D67F9">
        <w:trPr>
          <w:divId w:val="978144059"/>
          <w:trHeight w:val="60"/>
        </w:trPr>
        <w:tc>
          <w:tcPr>
            <w:tcW w:w="2320" w:type="dxa"/>
            <w:tcBorders>
              <w:top w:val="nil"/>
              <w:left w:val="nil"/>
              <w:bottom w:val="nil"/>
              <w:right w:val="nil"/>
            </w:tcBorders>
            <w:shd w:val="clear" w:color="auto" w:fill="auto"/>
            <w:vAlign w:val="center"/>
            <w:hideMark/>
          </w:tcPr>
          <w:p w14:paraId="6C57FB0E"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vAlign w:val="center"/>
            <w:hideMark/>
          </w:tcPr>
          <w:p w14:paraId="06473CC1"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75F2648B"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6F081DAE"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25679FB6"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vAlign w:val="center"/>
            <w:hideMark/>
          </w:tcPr>
          <w:p w14:paraId="1366DA91"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vAlign w:val="center"/>
            <w:hideMark/>
          </w:tcPr>
          <w:p w14:paraId="6BDBB128"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r>
      <w:tr w:rsidR="004D67F9" w:rsidRPr="004D67F9" w14:paraId="729C1673" w14:textId="77777777" w:rsidTr="004D67F9">
        <w:trPr>
          <w:divId w:val="978144059"/>
          <w:trHeight w:val="435"/>
        </w:trPr>
        <w:tc>
          <w:tcPr>
            <w:tcW w:w="2320" w:type="dxa"/>
            <w:tcBorders>
              <w:top w:val="nil"/>
              <w:left w:val="nil"/>
              <w:bottom w:val="nil"/>
              <w:right w:val="nil"/>
            </w:tcBorders>
            <w:shd w:val="clear" w:color="000000" w:fill="FFFFFF"/>
            <w:hideMark/>
          </w:tcPr>
          <w:p w14:paraId="330AFBC0" w14:textId="6F18EB9E"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Republic of Korea (Professional Officers)</w:t>
            </w:r>
          </w:p>
        </w:tc>
        <w:tc>
          <w:tcPr>
            <w:tcW w:w="1120" w:type="dxa"/>
            <w:tcBorders>
              <w:top w:val="nil"/>
              <w:left w:val="nil"/>
              <w:bottom w:val="nil"/>
              <w:right w:val="nil"/>
            </w:tcBorders>
            <w:shd w:val="clear" w:color="000000" w:fill="FFFFFF"/>
            <w:noWrap/>
            <w:hideMark/>
          </w:tcPr>
          <w:p w14:paraId="4768D24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702</w:t>
            </w:r>
          </w:p>
        </w:tc>
        <w:tc>
          <w:tcPr>
            <w:tcW w:w="1120" w:type="dxa"/>
            <w:tcBorders>
              <w:top w:val="nil"/>
              <w:left w:val="nil"/>
              <w:bottom w:val="nil"/>
              <w:right w:val="nil"/>
            </w:tcBorders>
            <w:shd w:val="clear" w:color="000000" w:fill="FFFFFF"/>
            <w:noWrap/>
            <w:hideMark/>
          </w:tcPr>
          <w:p w14:paraId="1B57223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548</w:t>
            </w:r>
          </w:p>
        </w:tc>
        <w:tc>
          <w:tcPr>
            <w:tcW w:w="1120" w:type="dxa"/>
            <w:tcBorders>
              <w:top w:val="nil"/>
              <w:left w:val="nil"/>
              <w:bottom w:val="nil"/>
              <w:right w:val="nil"/>
            </w:tcBorders>
            <w:shd w:val="clear" w:color="000000" w:fill="FFFFFF"/>
            <w:noWrap/>
            <w:hideMark/>
          </w:tcPr>
          <w:p w14:paraId="78C7811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400</w:t>
            </w:r>
          </w:p>
        </w:tc>
        <w:tc>
          <w:tcPr>
            <w:tcW w:w="1120" w:type="dxa"/>
            <w:tcBorders>
              <w:top w:val="nil"/>
              <w:left w:val="nil"/>
              <w:bottom w:val="nil"/>
              <w:right w:val="nil"/>
            </w:tcBorders>
            <w:shd w:val="clear" w:color="000000" w:fill="FFFFFF"/>
            <w:noWrap/>
            <w:hideMark/>
          </w:tcPr>
          <w:p w14:paraId="18AF967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850</w:t>
            </w:r>
          </w:p>
        </w:tc>
        <w:tc>
          <w:tcPr>
            <w:tcW w:w="1120" w:type="dxa"/>
            <w:tcBorders>
              <w:top w:val="nil"/>
              <w:left w:val="nil"/>
              <w:bottom w:val="nil"/>
              <w:right w:val="nil"/>
            </w:tcBorders>
            <w:shd w:val="clear" w:color="000000" w:fill="FFFFFF"/>
            <w:noWrap/>
            <w:hideMark/>
          </w:tcPr>
          <w:p w14:paraId="232CF22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1,096</w:t>
            </w:r>
          </w:p>
        </w:tc>
        <w:tc>
          <w:tcPr>
            <w:tcW w:w="1360" w:type="dxa"/>
            <w:tcBorders>
              <w:top w:val="nil"/>
              <w:left w:val="nil"/>
              <w:bottom w:val="nil"/>
              <w:right w:val="nil"/>
            </w:tcBorders>
            <w:shd w:val="clear" w:color="000000" w:fill="FFFFFF"/>
            <w:noWrap/>
            <w:hideMark/>
          </w:tcPr>
          <w:p w14:paraId="0E51C91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1,946</w:t>
            </w:r>
          </w:p>
        </w:tc>
      </w:tr>
      <w:tr w:rsidR="004D67F9" w:rsidRPr="004D67F9" w14:paraId="08EAA38E" w14:textId="77777777" w:rsidTr="004D67F9">
        <w:trPr>
          <w:divId w:val="978144059"/>
          <w:trHeight w:val="285"/>
        </w:trPr>
        <w:tc>
          <w:tcPr>
            <w:tcW w:w="2320" w:type="dxa"/>
            <w:tcBorders>
              <w:top w:val="single" w:sz="4" w:space="0" w:color="BFBFBF"/>
              <w:left w:val="nil"/>
              <w:bottom w:val="single" w:sz="4" w:space="0" w:color="BFBFBF"/>
              <w:right w:val="nil"/>
            </w:tcBorders>
            <w:shd w:val="clear" w:color="000000" w:fill="FFFFFF"/>
            <w:vAlign w:val="center"/>
            <w:hideMark/>
          </w:tcPr>
          <w:p w14:paraId="6916223A" w14:textId="77777777" w:rsidR="004D67F9" w:rsidRPr="004D67F9" w:rsidRDefault="004D67F9" w:rsidP="004D67F9">
            <w:pPr>
              <w:spacing w:after="0" w:line="240" w:lineRule="auto"/>
              <w:ind w:firstLineChars="200" w:firstLine="320"/>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Total</w:t>
            </w:r>
          </w:p>
        </w:tc>
        <w:tc>
          <w:tcPr>
            <w:tcW w:w="1120" w:type="dxa"/>
            <w:tcBorders>
              <w:top w:val="single" w:sz="4" w:space="0" w:color="BFBFBF"/>
              <w:left w:val="nil"/>
              <w:bottom w:val="single" w:sz="4" w:space="0" w:color="BFBFBF"/>
              <w:right w:val="nil"/>
            </w:tcBorders>
            <w:shd w:val="clear" w:color="000000" w:fill="FFFFFF"/>
            <w:vAlign w:val="center"/>
            <w:hideMark/>
          </w:tcPr>
          <w:p w14:paraId="112BED01"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702</w:t>
            </w:r>
          </w:p>
        </w:tc>
        <w:tc>
          <w:tcPr>
            <w:tcW w:w="1120" w:type="dxa"/>
            <w:tcBorders>
              <w:top w:val="single" w:sz="4" w:space="0" w:color="BFBFBF"/>
              <w:left w:val="nil"/>
              <w:bottom w:val="single" w:sz="4" w:space="0" w:color="BFBFBF"/>
              <w:right w:val="nil"/>
            </w:tcBorders>
            <w:shd w:val="clear" w:color="000000" w:fill="FFFFFF"/>
            <w:vAlign w:val="center"/>
            <w:hideMark/>
          </w:tcPr>
          <w:p w14:paraId="5D300259"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548</w:t>
            </w:r>
          </w:p>
        </w:tc>
        <w:tc>
          <w:tcPr>
            <w:tcW w:w="1120" w:type="dxa"/>
            <w:tcBorders>
              <w:top w:val="single" w:sz="4" w:space="0" w:color="BFBFBF"/>
              <w:left w:val="nil"/>
              <w:bottom w:val="single" w:sz="4" w:space="0" w:color="BFBFBF"/>
              <w:right w:val="nil"/>
            </w:tcBorders>
            <w:shd w:val="clear" w:color="000000" w:fill="FFFFFF"/>
            <w:vAlign w:val="center"/>
            <w:hideMark/>
          </w:tcPr>
          <w:p w14:paraId="15D6F902"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400</w:t>
            </w:r>
          </w:p>
        </w:tc>
        <w:tc>
          <w:tcPr>
            <w:tcW w:w="1120" w:type="dxa"/>
            <w:tcBorders>
              <w:top w:val="single" w:sz="4" w:space="0" w:color="BFBFBF"/>
              <w:left w:val="nil"/>
              <w:bottom w:val="single" w:sz="4" w:space="0" w:color="BFBFBF"/>
              <w:right w:val="nil"/>
            </w:tcBorders>
            <w:shd w:val="clear" w:color="000000" w:fill="FFFFFF"/>
            <w:vAlign w:val="center"/>
            <w:hideMark/>
          </w:tcPr>
          <w:p w14:paraId="731B920C"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850</w:t>
            </w:r>
          </w:p>
        </w:tc>
        <w:tc>
          <w:tcPr>
            <w:tcW w:w="1120" w:type="dxa"/>
            <w:tcBorders>
              <w:top w:val="single" w:sz="4" w:space="0" w:color="BFBFBF"/>
              <w:left w:val="nil"/>
              <w:bottom w:val="single" w:sz="4" w:space="0" w:color="BFBFBF"/>
              <w:right w:val="nil"/>
            </w:tcBorders>
            <w:shd w:val="clear" w:color="000000" w:fill="FFFFFF"/>
            <w:vAlign w:val="center"/>
            <w:hideMark/>
          </w:tcPr>
          <w:p w14:paraId="03BECBC7"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1,096</w:t>
            </w:r>
          </w:p>
        </w:tc>
        <w:tc>
          <w:tcPr>
            <w:tcW w:w="1360" w:type="dxa"/>
            <w:tcBorders>
              <w:top w:val="single" w:sz="4" w:space="0" w:color="BFBFBF"/>
              <w:left w:val="nil"/>
              <w:bottom w:val="single" w:sz="4" w:space="0" w:color="BFBFBF"/>
              <w:right w:val="nil"/>
            </w:tcBorders>
            <w:shd w:val="clear" w:color="000000" w:fill="FFFFFF"/>
            <w:vAlign w:val="center"/>
            <w:hideMark/>
          </w:tcPr>
          <w:p w14:paraId="499C36AF"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1,946</w:t>
            </w:r>
          </w:p>
        </w:tc>
      </w:tr>
      <w:tr w:rsidR="004D67F9" w:rsidRPr="004D67F9" w14:paraId="780DB790" w14:textId="77777777" w:rsidTr="004D67F9">
        <w:trPr>
          <w:divId w:val="978144059"/>
          <w:trHeight w:val="75"/>
        </w:trPr>
        <w:tc>
          <w:tcPr>
            <w:tcW w:w="2320" w:type="dxa"/>
            <w:tcBorders>
              <w:top w:val="nil"/>
              <w:left w:val="nil"/>
              <w:bottom w:val="nil"/>
              <w:right w:val="nil"/>
            </w:tcBorders>
            <w:shd w:val="clear" w:color="auto" w:fill="auto"/>
            <w:noWrap/>
            <w:vAlign w:val="bottom"/>
            <w:hideMark/>
          </w:tcPr>
          <w:p w14:paraId="2C91391B"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p>
        </w:tc>
        <w:tc>
          <w:tcPr>
            <w:tcW w:w="1120" w:type="dxa"/>
            <w:tcBorders>
              <w:top w:val="nil"/>
              <w:left w:val="nil"/>
              <w:bottom w:val="nil"/>
              <w:right w:val="nil"/>
            </w:tcBorders>
            <w:shd w:val="clear" w:color="auto" w:fill="auto"/>
            <w:noWrap/>
            <w:vAlign w:val="bottom"/>
            <w:hideMark/>
          </w:tcPr>
          <w:p w14:paraId="5A489554"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2D958D2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5D5528F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2711B27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120" w:type="dxa"/>
            <w:tcBorders>
              <w:top w:val="nil"/>
              <w:left w:val="nil"/>
              <w:bottom w:val="nil"/>
              <w:right w:val="nil"/>
            </w:tcBorders>
            <w:shd w:val="clear" w:color="auto" w:fill="auto"/>
            <w:noWrap/>
            <w:vAlign w:val="bottom"/>
            <w:hideMark/>
          </w:tcPr>
          <w:p w14:paraId="6CF79F0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vAlign w:val="bottom"/>
            <w:hideMark/>
          </w:tcPr>
          <w:p w14:paraId="729C7A5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5226ED07" w14:textId="77777777" w:rsidTr="004D67F9">
        <w:trPr>
          <w:divId w:val="978144059"/>
          <w:trHeight w:val="315"/>
        </w:trPr>
        <w:tc>
          <w:tcPr>
            <w:tcW w:w="5680" w:type="dxa"/>
            <w:gridSpan w:val="4"/>
            <w:tcBorders>
              <w:top w:val="nil"/>
              <w:left w:val="nil"/>
              <w:bottom w:val="nil"/>
              <w:right w:val="nil"/>
            </w:tcBorders>
            <w:shd w:val="clear" w:color="auto" w:fill="auto"/>
            <w:noWrap/>
            <w:hideMark/>
          </w:tcPr>
          <w:p w14:paraId="1EC540D4" w14:textId="3BD01FD2" w:rsidR="004D67F9" w:rsidRPr="004D67F9" w:rsidRDefault="00345535" w:rsidP="004D67F9">
            <w:pPr>
              <w:spacing w:after="0" w:line="240" w:lineRule="auto"/>
              <w:rPr>
                <w:rFonts w:ascii="Arial Narrow" w:eastAsia="Times New Roman" w:hAnsi="Arial Narrow" w:cs="Times New Roman"/>
                <w:sz w:val="16"/>
                <w:szCs w:val="16"/>
                <w:lang w:val="en-US"/>
              </w:rPr>
            </w:pPr>
            <w:r>
              <w:rPr>
                <w:rFonts w:ascii="Arial Narrow" w:eastAsia="Times New Roman" w:hAnsi="Arial Narrow" w:cs="Times New Roman"/>
                <w:sz w:val="16"/>
                <w:szCs w:val="16"/>
                <w:vertAlign w:val="superscript"/>
                <w:lang w:val="en-US"/>
              </w:rPr>
              <w:t>1</w:t>
            </w:r>
            <w:r w:rsidR="004D67F9" w:rsidRPr="004D67F9">
              <w:rPr>
                <w:rFonts w:ascii="Arial Narrow" w:eastAsia="Times New Roman" w:hAnsi="Arial Narrow" w:cs="Times New Roman"/>
                <w:sz w:val="16"/>
                <w:szCs w:val="16"/>
                <w:lang w:val="en-US"/>
              </w:rPr>
              <w:t xml:space="preserve"> Includes Professional Officers in PTS, RNDS, and IPS, managed by HRMD.</w:t>
            </w:r>
          </w:p>
        </w:tc>
        <w:tc>
          <w:tcPr>
            <w:tcW w:w="1120" w:type="dxa"/>
            <w:tcBorders>
              <w:top w:val="nil"/>
              <w:left w:val="nil"/>
              <w:bottom w:val="nil"/>
              <w:right w:val="nil"/>
            </w:tcBorders>
            <w:shd w:val="clear" w:color="auto" w:fill="auto"/>
            <w:hideMark/>
          </w:tcPr>
          <w:p w14:paraId="1054D2B8" w14:textId="77777777" w:rsidR="004D67F9" w:rsidRPr="004D67F9" w:rsidRDefault="004D67F9" w:rsidP="004D67F9">
            <w:pPr>
              <w:spacing w:after="0" w:line="240" w:lineRule="auto"/>
              <w:rPr>
                <w:rFonts w:ascii="Arial Narrow" w:eastAsia="Times New Roman" w:hAnsi="Arial Narrow" w:cs="Times New Roman"/>
                <w:sz w:val="16"/>
                <w:szCs w:val="16"/>
                <w:lang w:val="en-US"/>
              </w:rPr>
            </w:pPr>
          </w:p>
        </w:tc>
        <w:tc>
          <w:tcPr>
            <w:tcW w:w="1120" w:type="dxa"/>
            <w:tcBorders>
              <w:top w:val="nil"/>
              <w:left w:val="nil"/>
              <w:bottom w:val="nil"/>
              <w:right w:val="nil"/>
            </w:tcBorders>
            <w:shd w:val="clear" w:color="auto" w:fill="auto"/>
            <w:hideMark/>
          </w:tcPr>
          <w:p w14:paraId="21249E2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360" w:type="dxa"/>
            <w:tcBorders>
              <w:top w:val="nil"/>
              <w:left w:val="nil"/>
              <w:bottom w:val="nil"/>
              <w:right w:val="nil"/>
            </w:tcBorders>
            <w:shd w:val="clear" w:color="auto" w:fill="auto"/>
            <w:noWrap/>
            <w:hideMark/>
          </w:tcPr>
          <w:p w14:paraId="14D5338A"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bl>
    <w:p w14:paraId="3A568D8F" w14:textId="3A7EC648" w:rsidR="00BE531B" w:rsidRDefault="00BE531B" w:rsidP="008D2CBF">
      <w:pPr>
        <w:rPr>
          <w:rFonts w:asciiTheme="majorHAnsi" w:hAnsiTheme="majorHAnsi" w:cstheme="majorHAnsi"/>
          <w:i/>
          <w:szCs w:val="18"/>
        </w:rPr>
      </w:pPr>
    </w:p>
    <w:p w14:paraId="07A6D2A0" w14:textId="77777777" w:rsidR="008D2CBF" w:rsidRDefault="008D2CBF" w:rsidP="00EF7D1D">
      <w:pPr>
        <w:jc w:val="center"/>
        <w:rPr>
          <w:rFonts w:asciiTheme="majorHAnsi" w:hAnsiTheme="majorHAnsi" w:cstheme="majorHAnsi"/>
          <w:i/>
          <w:szCs w:val="18"/>
        </w:rPr>
      </w:pPr>
    </w:p>
    <w:p w14:paraId="3038FB11" w14:textId="2ADC40B2" w:rsidR="00444377" w:rsidRDefault="00444377" w:rsidP="00EF7D1D">
      <w:pPr>
        <w:pStyle w:val="Heading1NoNumb"/>
        <w:rPr>
          <w:lang w:val="en-US"/>
        </w:rPr>
        <w:sectPr w:rsidR="00444377" w:rsidSect="009C6A49">
          <w:pgSz w:w="11906" w:h="16838" w:code="9"/>
          <w:pgMar w:top="1361" w:right="1134" w:bottom="1361" w:left="1134" w:header="431" w:footer="862" w:gutter="0"/>
          <w:cols w:space="708"/>
          <w:titlePg/>
          <w:docGrid w:linePitch="360"/>
        </w:sectPr>
      </w:pPr>
    </w:p>
    <w:p w14:paraId="71EC2842" w14:textId="3C6252F7" w:rsidR="00077BBC" w:rsidRDefault="001E5120" w:rsidP="00730226">
      <w:pPr>
        <w:pStyle w:val="SectionTitleNumb"/>
        <w:spacing w:after="360"/>
        <w:rPr>
          <w:lang w:val="en-US"/>
        </w:rPr>
      </w:pPr>
      <w:bookmarkStart w:id="32" w:name="_Toc131175991"/>
      <w:r w:rsidRPr="00D350B5">
        <w:rPr>
          <w:lang w:val="en-US"/>
        </w:rPr>
        <w:t>ANNEXES</w:t>
      </w:r>
      <w:bookmarkEnd w:id="32"/>
      <w:r w:rsidR="00A677BB">
        <w:rPr>
          <w:lang w:val="en-US"/>
        </w:rPr>
        <w:t xml:space="preserve">   </w:t>
      </w:r>
    </w:p>
    <w:p w14:paraId="2998A763" w14:textId="0B9C8139" w:rsidR="00330C0D" w:rsidRDefault="007F3EBD" w:rsidP="008407D7">
      <w:pPr>
        <w:pStyle w:val="AnnexTitle2"/>
        <w:numPr>
          <w:ilvl w:val="0"/>
          <w:numId w:val="18"/>
        </w:numPr>
        <w:rPr>
          <w:lang w:val="en-US"/>
        </w:rPr>
      </w:pPr>
      <w:bookmarkStart w:id="33" w:name="_Toc131175992"/>
      <w:r>
        <w:rPr>
          <w:lang w:val="en-US"/>
        </w:rPr>
        <w:t>2022/23</w:t>
      </w:r>
      <w:r w:rsidR="00B02B72" w:rsidRPr="001A5DB0">
        <w:rPr>
          <w:lang w:val="en-US"/>
        </w:rPr>
        <w:t xml:space="preserve"> </w:t>
      </w:r>
      <w:r w:rsidR="00EC5AD6" w:rsidRPr="001A5DB0">
        <w:rPr>
          <w:lang w:val="en-US"/>
        </w:rPr>
        <w:t>B</w:t>
      </w:r>
      <w:r w:rsidR="00D72D0E">
        <w:rPr>
          <w:lang w:val="en-US"/>
        </w:rPr>
        <w:t>udget after Transfers</w:t>
      </w:r>
      <w:bookmarkEnd w:id="33"/>
    </w:p>
    <w:p w14:paraId="65A0D719" w14:textId="76FBF1F9" w:rsidR="004D67F9" w:rsidRPr="004D67F9" w:rsidRDefault="005E444F" w:rsidP="00330C0D">
      <w:pPr>
        <w:jc w:val="center"/>
        <w:rPr>
          <w:i/>
          <w:iCs/>
          <w:sz w:val="16"/>
          <w:szCs w:val="16"/>
        </w:rPr>
      </w:pPr>
      <w:r>
        <w:rPr>
          <w:i/>
          <w:iCs/>
          <w:sz w:val="16"/>
          <w:szCs w:val="16"/>
        </w:rPr>
        <w:t>(in thousands of Swiss francs)</w:t>
      </w:r>
    </w:p>
    <w:tbl>
      <w:tblPr>
        <w:tblW w:w="9560" w:type="dxa"/>
        <w:tblLook w:val="04A0" w:firstRow="1" w:lastRow="0" w:firstColumn="1" w:lastColumn="0" w:noHBand="0" w:noVBand="1"/>
      </w:tblPr>
      <w:tblGrid>
        <w:gridCol w:w="2500"/>
        <w:gridCol w:w="1100"/>
        <w:gridCol w:w="1040"/>
        <w:gridCol w:w="1040"/>
        <w:gridCol w:w="980"/>
        <w:gridCol w:w="1260"/>
        <w:gridCol w:w="780"/>
        <w:gridCol w:w="860"/>
      </w:tblGrid>
      <w:tr w:rsidR="004D67F9" w:rsidRPr="004D67F9" w14:paraId="487A30D3" w14:textId="77777777" w:rsidTr="004D67F9">
        <w:trPr>
          <w:divId w:val="563374247"/>
          <w:trHeight w:val="285"/>
        </w:trPr>
        <w:tc>
          <w:tcPr>
            <w:tcW w:w="2500" w:type="dxa"/>
            <w:vMerge w:val="restart"/>
            <w:tcBorders>
              <w:top w:val="nil"/>
              <w:left w:val="nil"/>
              <w:bottom w:val="nil"/>
              <w:right w:val="nil"/>
            </w:tcBorders>
            <w:shd w:val="clear" w:color="000000" w:fill="C7CFD8"/>
            <w:noWrap/>
            <w:vAlign w:val="center"/>
            <w:hideMark/>
          </w:tcPr>
          <w:p w14:paraId="6A0AAC12" w14:textId="0184FB14"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Sector</w:t>
            </w:r>
          </w:p>
        </w:tc>
        <w:tc>
          <w:tcPr>
            <w:tcW w:w="1100" w:type="dxa"/>
            <w:vMerge w:val="restart"/>
            <w:tcBorders>
              <w:top w:val="nil"/>
              <w:left w:val="nil"/>
              <w:bottom w:val="nil"/>
              <w:right w:val="nil"/>
            </w:tcBorders>
            <w:shd w:val="clear" w:color="000000" w:fill="C7CFD8"/>
            <w:vAlign w:val="center"/>
            <w:hideMark/>
          </w:tcPr>
          <w:p w14:paraId="36780BD3"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2022/23 PoW&amp;B</w:t>
            </w:r>
          </w:p>
        </w:tc>
        <w:tc>
          <w:tcPr>
            <w:tcW w:w="1040" w:type="dxa"/>
            <w:tcBorders>
              <w:top w:val="nil"/>
              <w:left w:val="nil"/>
              <w:bottom w:val="single" w:sz="4" w:space="0" w:color="748B9E"/>
              <w:right w:val="nil"/>
            </w:tcBorders>
            <w:shd w:val="clear" w:color="000000" w:fill="C7CFD8"/>
            <w:vAlign w:val="center"/>
            <w:hideMark/>
          </w:tcPr>
          <w:p w14:paraId="366A7CF6"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1040" w:type="dxa"/>
            <w:tcBorders>
              <w:top w:val="nil"/>
              <w:left w:val="nil"/>
              <w:bottom w:val="single" w:sz="4" w:space="0" w:color="748B9E"/>
              <w:right w:val="nil"/>
            </w:tcBorders>
            <w:shd w:val="clear" w:color="000000" w:fill="C7CFD8"/>
            <w:vAlign w:val="center"/>
            <w:hideMark/>
          </w:tcPr>
          <w:p w14:paraId="2E48C502"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Transfers </w:t>
            </w:r>
            <w:r w:rsidRPr="004D67F9">
              <w:rPr>
                <w:rFonts w:ascii="Arial Narrow" w:eastAsia="Times New Roman" w:hAnsi="Arial Narrow" w:cs="Times New Roman"/>
                <w:b/>
                <w:bCs/>
                <w:sz w:val="16"/>
                <w:szCs w:val="16"/>
                <w:vertAlign w:val="superscript"/>
                <w:lang w:val="en-US"/>
              </w:rPr>
              <w:t>1</w:t>
            </w:r>
          </w:p>
        </w:tc>
        <w:tc>
          <w:tcPr>
            <w:tcW w:w="980" w:type="dxa"/>
            <w:tcBorders>
              <w:top w:val="nil"/>
              <w:left w:val="nil"/>
              <w:bottom w:val="single" w:sz="4" w:space="0" w:color="748B9E"/>
              <w:right w:val="nil"/>
            </w:tcBorders>
            <w:shd w:val="clear" w:color="000000" w:fill="C7CFD8"/>
            <w:vAlign w:val="center"/>
            <w:hideMark/>
          </w:tcPr>
          <w:p w14:paraId="38BA96D3"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1260" w:type="dxa"/>
            <w:vMerge w:val="restart"/>
            <w:tcBorders>
              <w:top w:val="nil"/>
              <w:left w:val="nil"/>
              <w:bottom w:val="nil"/>
              <w:right w:val="nil"/>
            </w:tcBorders>
            <w:shd w:val="clear" w:color="000000" w:fill="C7CFD8"/>
            <w:vAlign w:val="center"/>
            <w:hideMark/>
          </w:tcPr>
          <w:p w14:paraId="6938DFDC"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2022/23 Budget after Transfers </w:t>
            </w:r>
            <w:r w:rsidRPr="004D67F9">
              <w:rPr>
                <w:rFonts w:ascii="Arial Narrow" w:eastAsia="Times New Roman" w:hAnsi="Arial Narrow" w:cs="Times New Roman"/>
                <w:b/>
                <w:bCs/>
                <w:sz w:val="16"/>
                <w:szCs w:val="16"/>
                <w:vertAlign w:val="superscript"/>
                <w:lang w:val="en-US"/>
              </w:rPr>
              <w:t>2</w:t>
            </w:r>
          </w:p>
        </w:tc>
        <w:tc>
          <w:tcPr>
            <w:tcW w:w="1640" w:type="dxa"/>
            <w:gridSpan w:val="2"/>
            <w:tcBorders>
              <w:top w:val="nil"/>
              <w:left w:val="nil"/>
              <w:bottom w:val="single" w:sz="4" w:space="0" w:color="748B9E"/>
              <w:right w:val="nil"/>
            </w:tcBorders>
            <w:shd w:val="clear" w:color="000000" w:fill="C7CFD8"/>
            <w:vAlign w:val="center"/>
            <w:hideMark/>
          </w:tcPr>
          <w:p w14:paraId="45F0F880"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Transfers as % of  </w:t>
            </w:r>
          </w:p>
        </w:tc>
      </w:tr>
      <w:tr w:rsidR="004D67F9" w:rsidRPr="004D67F9" w14:paraId="25A2DD1B" w14:textId="77777777" w:rsidTr="004D67F9">
        <w:trPr>
          <w:divId w:val="563374247"/>
          <w:trHeight w:val="405"/>
        </w:trPr>
        <w:tc>
          <w:tcPr>
            <w:tcW w:w="2500" w:type="dxa"/>
            <w:vMerge/>
            <w:tcBorders>
              <w:top w:val="nil"/>
              <w:left w:val="nil"/>
              <w:bottom w:val="nil"/>
              <w:right w:val="nil"/>
            </w:tcBorders>
            <w:vAlign w:val="center"/>
            <w:hideMark/>
          </w:tcPr>
          <w:p w14:paraId="12AFDED4"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1100" w:type="dxa"/>
            <w:vMerge/>
            <w:tcBorders>
              <w:top w:val="nil"/>
              <w:left w:val="nil"/>
              <w:bottom w:val="nil"/>
              <w:right w:val="nil"/>
            </w:tcBorders>
            <w:vAlign w:val="center"/>
            <w:hideMark/>
          </w:tcPr>
          <w:p w14:paraId="00042C22"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1040" w:type="dxa"/>
            <w:tcBorders>
              <w:top w:val="nil"/>
              <w:left w:val="nil"/>
              <w:bottom w:val="nil"/>
              <w:right w:val="nil"/>
            </w:tcBorders>
            <w:shd w:val="clear" w:color="000000" w:fill="C7CFD8"/>
            <w:vAlign w:val="center"/>
            <w:hideMark/>
          </w:tcPr>
          <w:p w14:paraId="3B1DC1E9"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Transfers </w:t>
            </w:r>
            <w:r w:rsidRPr="004D67F9">
              <w:rPr>
                <w:rFonts w:ascii="Arial Narrow" w:eastAsia="Times New Roman" w:hAnsi="Arial Narrow" w:cs="Times New Roman"/>
                <w:b/>
                <w:bCs/>
                <w:sz w:val="16"/>
                <w:szCs w:val="16"/>
                <w:lang w:val="en-US"/>
              </w:rPr>
              <w:br/>
              <w:t xml:space="preserve">In </w:t>
            </w:r>
          </w:p>
        </w:tc>
        <w:tc>
          <w:tcPr>
            <w:tcW w:w="1040" w:type="dxa"/>
            <w:tcBorders>
              <w:top w:val="nil"/>
              <w:left w:val="nil"/>
              <w:bottom w:val="nil"/>
              <w:right w:val="nil"/>
            </w:tcBorders>
            <w:shd w:val="clear" w:color="000000" w:fill="C7CFD8"/>
            <w:vAlign w:val="center"/>
            <w:hideMark/>
          </w:tcPr>
          <w:p w14:paraId="7FA4CBE7"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Transfers Out </w:t>
            </w:r>
          </w:p>
        </w:tc>
        <w:tc>
          <w:tcPr>
            <w:tcW w:w="980" w:type="dxa"/>
            <w:tcBorders>
              <w:top w:val="nil"/>
              <w:left w:val="nil"/>
              <w:bottom w:val="nil"/>
              <w:right w:val="nil"/>
            </w:tcBorders>
            <w:shd w:val="clear" w:color="000000" w:fill="C7CFD8"/>
            <w:hideMark/>
          </w:tcPr>
          <w:p w14:paraId="702F56D3"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Total Net</w:t>
            </w:r>
            <w:r w:rsidRPr="004D67F9">
              <w:rPr>
                <w:rFonts w:ascii="Arial Narrow" w:eastAsia="Times New Roman" w:hAnsi="Arial Narrow" w:cs="Times New Roman"/>
                <w:b/>
                <w:bCs/>
                <w:sz w:val="16"/>
                <w:szCs w:val="16"/>
                <w:lang w:val="en-US"/>
              </w:rPr>
              <w:br/>
              <w:t xml:space="preserve"> Transfers </w:t>
            </w:r>
          </w:p>
        </w:tc>
        <w:tc>
          <w:tcPr>
            <w:tcW w:w="1260" w:type="dxa"/>
            <w:vMerge/>
            <w:tcBorders>
              <w:top w:val="nil"/>
              <w:left w:val="nil"/>
              <w:bottom w:val="nil"/>
              <w:right w:val="nil"/>
            </w:tcBorders>
            <w:vAlign w:val="center"/>
            <w:hideMark/>
          </w:tcPr>
          <w:p w14:paraId="6322CADF"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780" w:type="dxa"/>
            <w:tcBorders>
              <w:top w:val="nil"/>
              <w:left w:val="nil"/>
              <w:bottom w:val="nil"/>
              <w:right w:val="nil"/>
            </w:tcBorders>
            <w:shd w:val="clear" w:color="000000" w:fill="C7CFD8"/>
            <w:vAlign w:val="center"/>
            <w:hideMark/>
          </w:tcPr>
          <w:p w14:paraId="48CDAE58"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Sector </w:t>
            </w:r>
          </w:p>
        </w:tc>
        <w:tc>
          <w:tcPr>
            <w:tcW w:w="860" w:type="dxa"/>
            <w:tcBorders>
              <w:top w:val="nil"/>
              <w:left w:val="nil"/>
              <w:bottom w:val="nil"/>
              <w:right w:val="nil"/>
            </w:tcBorders>
            <w:shd w:val="clear" w:color="000000" w:fill="C7CFD8"/>
            <w:vAlign w:val="center"/>
            <w:hideMark/>
          </w:tcPr>
          <w:p w14:paraId="15A63DF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Total PoW&amp;B </w:t>
            </w:r>
          </w:p>
        </w:tc>
      </w:tr>
      <w:tr w:rsidR="004D67F9" w:rsidRPr="004D67F9" w14:paraId="0F5E02BE" w14:textId="77777777" w:rsidTr="004D67F9">
        <w:trPr>
          <w:divId w:val="563374247"/>
          <w:trHeight w:val="45"/>
        </w:trPr>
        <w:tc>
          <w:tcPr>
            <w:tcW w:w="2500" w:type="dxa"/>
            <w:tcBorders>
              <w:top w:val="nil"/>
              <w:left w:val="nil"/>
              <w:bottom w:val="nil"/>
              <w:right w:val="nil"/>
            </w:tcBorders>
            <w:shd w:val="clear" w:color="auto" w:fill="auto"/>
            <w:noWrap/>
            <w:hideMark/>
          </w:tcPr>
          <w:p w14:paraId="7409222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p>
        </w:tc>
        <w:tc>
          <w:tcPr>
            <w:tcW w:w="1100" w:type="dxa"/>
            <w:tcBorders>
              <w:top w:val="nil"/>
              <w:left w:val="nil"/>
              <w:bottom w:val="nil"/>
              <w:right w:val="nil"/>
            </w:tcBorders>
            <w:shd w:val="clear" w:color="auto" w:fill="auto"/>
            <w:hideMark/>
          </w:tcPr>
          <w:p w14:paraId="1D6F5D94"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40" w:type="dxa"/>
            <w:tcBorders>
              <w:top w:val="nil"/>
              <w:left w:val="nil"/>
              <w:bottom w:val="nil"/>
              <w:right w:val="nil"/>
            </w:tcBorders>
            <w:shd w:val="clear" w:color="auto" w:fill="auto"/>
            <w:hideMark/>
          </w:tcPr>
          <w:p w14:paraId="5465A78B"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c>
          <w:tcPr>
            <w:tcW w:w="1040" w:type="dxa"/>
            <w:tcBorders>
              <w:top w:val="nil"/>
              <w:left w:val="nil"/>
              <w:bottom w:val="nil"/>
              <w:right w:val="nil"/>
            </w:tcBorders>
            <w:shd w:val="clear" w:color="auto" w:fill="auto"/>
            <w:hideMark/>
          </w:tcPr>
          <w:p w14:paraId="5AD962DA"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980" w:type="dxa"/>
            <w:tcBorders>
              <w:top w:val="nil"/>
              <w:left w:val="nil"/>
              <w:bottom w:val="nil"/>
              <w:right w:val="nil"/>
            </w:tcBorders>
            <w:shd w:val="clear" w:color="auto" w:fill="auto"/>
            <w:noWrap/>
            <w:hideMark/>
          </w:tcPr>
          <w:p w14:paraId="60B2197D"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noWrap/>
            <w:hideMark/>
          </w:tcPr>
          <w:p w14:paraId="2B88B78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hideMark/>
          </w:tcPr>
          <w:p w14:paraId="36F4F40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860" w:type="dxa"/>
            <w:tcBorders>
              <w:top w:val="nil"/>
              <w:left w:val="nil"/>
              <w:bottom w:val="nil"/>
              <w:right w:val="nil"/>
            </w:tcBorders>
            <w:shd w:val="clear" w:color="auto" w:fill="auto"/>
            <w:noWrap/>
            <w:hideMark/>
          </w:tcPr>
          <w:p w14:paraId="6E42AFC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62BAF969" w14:textId="77777777" w:rsidTr="004D67F9">
        <w:trPr>
          <w:divId w:val="563374247"/>
          <w:trHeight w:val="270"/>
        </w:trPr>
        <w:tc>
          <w:tcPr>
            <w:tcW w:w="2500" w:type="dxa"/>
            <w:tcBorders>
              <w:top w:val="nil"/>
              <w:left w:val="nil"/>
              <w:bottom w:val="nil"/>
              <w:right w:val="nil"/>
            </w:tcBorders>
            <w:shd w:val="clear" w:color="auto" w:fill="auto"/>
            <w:hideMark/>
          </w:tcPr>
          <w:p w14:paraId="249BF556"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Patents and Technology</w:t>
            </w:r>
          </w:p>
        </w:tc>
        <w:tc>
          <w:tcPr>
            <w:tcW w:w="1100" w:type="dxa"/>
            <w:tcBorders>
              <w:top w:val="nil"/>
              <w:left w:val="nil"/>
              <w:bottom w:val="nil"/>
              <w:right w:val="nil"/>
            </w:tcBorders>
            <w:shd w:val="clear" w:color="auto" w:fill="auto"/>
            <w:hideMark/>
          </w:tcPr>
          <w:p w14:paraId="0E1FB492"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230,374</w:t>
            </w:r>
          </w:p>
        </w:tc>
        <w:tc>
          <w:tcPr>
            <w:tcW w:w="1040" w:type="dxa"/>
            <w:tcBorders>
              <w:top w:val="nil"/>
              <w:left w:val="nil"/>
              <w:bottom w:val="nil"/>
              <w:right w:val="nil"/>
            </w:tcBorders>
            <w:shd w:val="clear" w:color="auto" w:fill="auto"/>
            <w:noWrap/>
            <w:hideMark/>
          </w:tcPr>
          <w:p w14:paraId="715EEDB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324</w:t>
            </w:r>
          </w:p>
        </w:tc>
        <w:tc>
          <w:tcPr>
            <w:tcW w:w="1040" w:type="dxa"/>
            <w:tcBorders>
              <w:top w:val="nil"/>
              <w:left w:val="nil"/>
              <w:bottom w:val="nil"/>
              <w:right w:val="nil"/>
            </w:tcBorders>
            <w:shd w:val="clear" w:color="auto" w:fill="auto"/>
            <w:noWrap/>
            <w:hideMark/>
          </w:tcPr>
          <w:p w14:paraId="61D2C43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(3,928)</w:t>
            </w:r>
          </w:p>
        </w:tc>
        <w:tc>
          <w:tcPr>
            <w:tcW w:w="980" w:type="dxa"/>
            <w:tcBorders>
              <w:top w:val="nil"/>
              <w:left w:val="nil"/>
              <w:bottom w:val="nil"/>
              <w:right w:val="nil"/>
            </w:tcBorders>
            <w:shd w:val="clear" w:color="auto" w:fill="auto"/>
            <w:noWrap/>
            <w:hideMark/>
          </w:tcPr>
          <w:p w14:paraId="6DBF906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(3,604)</w:t>
            </w:r>
          </w:p>
        </w:tc>
        <w:tc>
          <w:tcPr>
            <w:tcW w:w="1260" w:type="dxa"/>
            <w:tcBorders>
              <w:top w:val="nil"/>
              <w:left w:val="nil"/>
              <w:bottom w:val="nil"/>
              <w:right w:val="nil"/>
            </w:tcBorders>
            <w:shd w:val="clear" w:color="auto" w:fill="auto"/>
            <w:noWrap/>
            <w:hideMark/>
          </w:tcPr>
          <w:p w14:paraId="6913D8B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226,770</w:t>
            </w:r>
          </w:p>
        </w:tc>
        <w:tc>
          <w:tcPr>
            <w:tcW w:w="780" w:type="dxa"/>
            <w:tcBorders>
              <w:top w:val="nil"/>
              <w:left w:val="nil"/>
              <w:bottom w:val="nil"/>
              <w:right w:val="nil"/>
            </w:tcBorders>
            <w:shd w:val="clear" w:color="auto" w:fill="auto"/>
            <w:noWrap/>
            <w:hideMark/>
          </w:tcPr>
          <w:p w14:paraId="396DFD4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w:t>
            </w:r>
          </w:p>
        </w:tc>
        <w:tc>
          <w:tcPr>
            <w:tcW w:w="860" w:type="dxa"/>
            <w:tcBorders>
              <w:top w:val="nil"/>
              <w:left w:val="nil"/>
              <w:bottom w:val="nil"/>
              <w:right w:val="nil"/>
            </w:tcBorders>
            <w:shd w:val="clear" w:color="auto" w:fill="auto"/>
            <w:noWrap/>
            <w:hideMark/>
          </w:tcPr>
          <w:p w14:paraId="4B99B4D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-0.5%</w:t>
            </w:r>
          </w:p>
        </w:tc>
      </w:tr>
      <w:tr w:rsidR="004D67F9" w:rsidRPr="004D67F9" w14:paraId="4D9B1DB5" w14:textId="77777777" w:rsidTr="004D67F9">
        <w:trPr>
          <w:divId w:val="563374247"/>
          <w:trHeight w:val="270"/>
        </w:trPr>
        <w:tc>
          <w:tcPr>
            <w:tcW w:w="2500" w:type="dxa"/>
            <w:tcBorders>
              <w:top w:val="nil"/>
              <w:left w:val="nil"/>
              <w:bottom w:val="nil"/>
              <w:right w:val="nil"/>
            </w:tcBorders>
            <w:shd w:val="clear" w:color="auto" w:fill="auto"/>
            <w:hideMark/>
          </w:tcPr>
          <w:p w14:paraId="39FF2D87"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Brands and Designs</w:t>
            </w:r>
          </w:p>
        </w:tc>
        <w:tc>
          <w:tcPr>
            <w:tcW w:w="1100" w:type="dxa"/>
            <w:tcBorders>
              <w:top w:val="nil"/>
              <w:left w:val="nil"/>
              <w:bottom w:val="nil"/>
              <w:right w:val="nil"/>
            </w:tcBorders>
            <w:shd w:val="clear" w:color="auto" w:fill="auto"/>
            <w:hideMark/>
          </w:tcPr>
          <w:p w14:paraId="0D825B9A"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80,430</w:t>
            </w:r>
          </w:p>
        </w:tc>
        <w:tc>
          <w:tcPr>
            <w:tcW w:w="1040" w:type="dxa"/>
            <w:tcBorders>
              <w:top w:val="nil"/>
              <w:left w:val="nil"/>
              <w:bottom w:val="nil"/>
              <w:right w:val="nil"/>
            </w:tcBorders>
            <w:shd w:val="clear" w:color="auto" w:fill="auto"/>
            <w:noWrap/>
            <w:hideMark/>
          </w:tcPr>
          <w:p w14:paraId="5D00E85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1,008</w:t>
            </w:r>
          </w:p>
        </w:tc>
        <w:tc>
          <w:tcPr>
            <w:tcW w:w="1040" w:type="dxa"/>
            <w:tcBorders>
              <w:top w:val="nil"/>
              <w:left w:val="nil"/>
              <w:bottom w:val="nil"/>
              <w:right w:val="nil"/>
            </w:tcBorders>
            <w:shd w:val="clear" w:color="auto" w:fill="auto"/>
            <w:noWrap/>
            <w:hideMark/>
          </w:tcPr>
          <w:p w14:paraId="06DDC00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(487)</w:t>
            </w:r>
          </w:p>
        </w:tc>
        <w:tc>
          <w:tcPr>
            <w:tcW w:w="980" w:type="dxa"/>
            <w:tcBorders>
              <w:top w:val="nil"/>
              <w:left w:val="nil"/>
              <w:bottom w:val="nil"/>
              <w:right w:val="nil"/>
            </w:tcBorders>
            <w:shd w:val="clear" w:color="auto" w:fill="auto"/>
            <w:noWrap/>
            <w:hideMark/>
          </w:tcPr>
          <w:p w14:paraId="041B7F8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521</w:t>
            </w:r>
          </w:p>
        </w:tc>
        <w:tc>
          <w:tcPr>
            <w:tcW w:w="1260" w:type="dxa"/>
            <w:tcBorders>
              <w:top w:val="nil"/>
              <w:left w:val="nil"/>
              <w:bottom w:val="nil"/>
              <w:right w:val="nil"/>
            </w:tcBorders>
            <w:shd w:val="clear" w:color="auto" w:fill="auto"/>
            <w:noWrap/>
            <w:hideMark/>
          </w:tcPr>
          <w:p w14:paraId="2DF8AC2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80,951</w:t>
            </w:r>
          </w:p>
        </w:tc>
        <w:tc>
          <w:tcPr>
            <w:tcW w:w="780" w:type="dxa"/>
            <w:tcBorders>
              <w:top w:val="nil"/>
              <w:left w:val="nil"/>
              <w:bottom w:val="nil"/>
              <w:right w:val="nil"/>
            </w:tcBorders>
            <w:shd w:val="clear" w:color="auto" w:fill="auto"/>
            <w:noWrap/>
            <w:hideMark/>
          </w:tcPr>
          <w:p w14:paraId="37F1E20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0.6%</w:t>
            </w:r>
          </w:p>
        </w:tc>
        <w:tc>
          <w:tcPr>
            <w:tcW w:w="860" w:type="dxa"/>
            <w:tcBorders>
              <w:top w:val="nil"/>
              <w:left w:val="nil"/>
              <w:bottom w:val="nil"/>
              <w:right w:val="nil"/>
            </w:tcBorders>
            <w:shd w:val="clear" w:color="auto" w:fill="auto"/>
            <w:noWrap/>
            <w:hideMark/>
          </w:tcPr>
          <w:p w14:paraId="557A3DA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0.1%</w:t>
            </w:r>
          </w:p>
        </w:tc>
      </w:tr>
      <w:tr w:rsidR="004D67F9" w:rsidRPr="004D67F9" w14:paraId="2E7B8FAF" w14:textId="77777777" w:rsidTr="004D67F9">
        <w:trPr>
          <w:divId w:val="563374247"/>
          <w:trHeight w:val="270"/>
        </w:trPr>
        <w:tc>
          <w:tcPr>
            <w:tcW w:w="2500" w:type="dxa"/>
            <w:tcBorders>
              <w:top w:val="nil"/>
              <w:left w:val="nil"/>
              <w:bottom w:val="nil"/>
              <w:right w:val="nil"/>
            </w:tcBorders>
            <w:shd w:val="clear" w:color="auto" w:fill="auto"/>
            <w:hideMark/>
          </w:tcPr>
          <w:p w14:paraId="52CF88E3"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 xml:space="preserve">Copyright and Creative Industries </w:t>
            </w:r>
          </w:p>
        </w:tc>
        <w:tc>
          <w:tcPr>
            <w:tcW w:w="1100" w:type="dxa"/>
            <w:tcBorders>
              <w:top w:val="nil"/>
              <w:left w:val="nil"/>
              <w:bottom w:val="nil"/>
              <w:right w:val="nil"/>
            </w:tcBorders>
            <w:shd w:val="clear" w:color="auto" w:fill="auto"/>
            <w:hideMark/>
          </w:tcPr>
          <w:p w14:paraId="7EC34806"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31,735</w:t>
            </w:r>
          </w:p>
        </w:tc>
        <w:tc>
          <w:tcPr>
            <w:tcW w:w="1040" w:type="dxa"/>
            <w:tcBorders>
              <w:top w:val="nil"/>
              <w:left w:val="nil"/>
              <w:bottom w:val="nil"/>
              <w:right w:val="nil"/>
            </w:tcBorders>
            <w:shd w:val="clear" w:color="auto" w:fill="auto"/>
            <w:noWrap/>
            <w:hideMark/>
          </w:tcPr>
          <w:p w14:paraId="24AF0D0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1,742</w:t>
            </w:r>
          </w:p>
        </w:tc>
        <w:tc>
          <w:tcPr>
            <w:tcW w:w="1040" w:type="dxa"/>
            <w:tcBorders>
              <w:top w:val="nil"/>
              <w:left w:val="nil"/>
              <w:bottom w:val="nil"/>
              <w:right w:val="nil"/>
            </w:tcBorders>
            <w:shd w:val="clear" w:color="auto" w:fill="auto"/>
            <w:noWrap/>
            <w:hideMark/>
          </w:tcPr>
          <w:p w14:paraId="6A93D9A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(312)</w:t>
            </w:r>
          </w:p>
        </w:tc>
        <w:tc>
          <w:tcPr>
            <w:tcW w:w="980" w:type="dxa"/>
            <w:tcBorders>
              <w:top w:val="nil"/>
              <w:left w:val="nil"/>
              <w:bottom w:val="nil"/>
              <w:right w:val="nil"/>
            </w:tcBorders>
            <w:shd w:val="clear" w:color="auto" w:fill="auto"/>
            <w:noWrap/>
            <w:hideMark/>
          </w:tcPr>
          <w:p w14:paraId="45129FA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1,431</w:t>
            </w:r>
          </w:p>
        </w:tc>
        <w:tc>
          <w:tcPr>
            <w:tcW w:w="1260" w:type="dxa"/>
            <w:tcBorders>
              <w:top w:val="nil"/>
              <w:left w:val="nil"/>
              <w:bottom w:val="nil"/>
              <w:right w:val="nil"/>
            </w:tcBorders>
            <w:shd w:val="clear" w:color="auto" w:fill="auto"/>
            <w:noWrap/>
            <w:hideMark/>
          </w:tcPr>
          <w:p w14:paraId="7683D9C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33,166</w:t>
            </w:r>
          </w:p>
        </w:tc>
        <w:tc>
          <w:tcPr>
            <w:tcW w:w="780" w:type="dxa"/>
            <w:tcBorders>
              <w:top w:val="nil"/>
              <w:left w:val="nil"/>
              <w:bottom w:val="nil"/>
              <w:right w:val="nil"/>
            </w:tcBorders>
            <w:shd w:val="clear" w:color="auto" w:fill="auto"/>
            <w:noWrap/>
            <w:hideMark/>
          </w:tcPr>
          <w:p w14:paraId="3B45A64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w:t>
            </w:r>
          </w:p>
        </w:tc>
        <w:tc>
          <w:tcPr>
            <w:tcW w:w="860" w:type="dxa"/>
            <w:tcBorders>
              <w:top w:val="nil"/>
              <w:left w:val="nil"/>
              <w:bottom w:val="nil"/>
              <w:right w:val="nil"/>
            </w:tcBorders>
            <w:shd w:val="clear" w:color="auto" w:fill="auto"/>
            <w:noWrap/>
            <w:hideMark/>
          </w:tcPr>
          <w:p w14:paraId="7A0860E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0.2%</w:t>
            </w:r>
          </w:p>
        </w:tc>
      </w:tr>
      <w:tr w:rsidR="004D67F9" w:rsidRPr="004D67F9" w14:paraId="1CD44922" w14:textId="77777777" w:rsidTr="004D67F9">
        <w:trPr>
          <w:divId w:val="563374247"/>
          <w:trHeight w:val="270"/>
        </w:trPr>
        <w:tc>
          <w:tcPr>
            <w:tcW w:w="2500" w:type="dxa"/>
            <w:tcBorders>
              <w:top w:val="nil"/>
              <w:left w:val="nil"/>
              <w:bottom w:val="nil"/>
              <w:right w:val="nil"/>
            </w:tcBorders>
            <w:shd w:val="clear" w:color="auto" w:fill="auto"/>
            <w:hideMark/>
          </w:tcPr>
          <w:p w14:paraId="554404EA"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Regional and National Development</w:t>
            </w:r>
          </w:p>
        </w:tc>
        <w:tc>
          <w:tcPr>
            <w:tcW w:w="1100" w:type="dxa"/>
            <w:tcBorders>
              <w:top w:val="nil"/>
              <w:left w:val="nil"/>
              <w:bottom w:val="nil"/>
              <w:right w:val="nil"/>
            </w:tcBorders>
            <w:shd w:val="clear" w:color="auto" w:fill="auto"/>
            <w:hideMark/>
          </w:tcPr>
          <w:p w14:paraId="2D7D64C5"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69,145</w:t>
            </w:r>
          </w:p>
        </w:tc>
        <w:tc>
          <w:tcPr>
            <w:tcW w:w="1040" w:type="dxa"/>
            <w:tcBorders>
              <w:top w:val="nil"/>
              <w:left w:val="nil"/>
              <w:bottom w:val="nil"/>
              <w:right w:val="nil"/>
            </w:tcBorders>
            <w:shd w:val="clear" w:color="auto" w:fill="auto"/>
            <w:noWrap/>
            <w:hideMark/>
          </w:tcPr>
          <w:p w14:paraId="3E8F924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5,348</w:t>
            </w:r>
          </w:p>
        </w:tc>
        <w:tc>
          <w:tcPr>
            <w:tcW w:w="1040" w:type="dxa"/>
            <w:tcBorders>
              <w:top w:val="nil"/>
              <w:left w:val="nil"/>
              <w:bottom w:val="nil"/>
              <w:right w:val="nil"/>
            </w:tcBorders>
            <w:shd w:val="clear" w:color="auto" w:fill="auto"/>
            <w:noWrap/>
            <w:hideMark/>
          </w:tcPr>
          <w:p w14:paraId="24EBE79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(803)</w:t>
            </w:r>
          </w:p>
        </w:tc>
        <w:tc>
          <w:tcPr>
            <w:tcW w:w="980" w:type="dxa"/>
            <w:tcBorders>
              <w:top w:val="nil"/>
              <w:left w:val="nil"/>
              <w:bottom w:val="nil"/>
              <w:right w:val="nil"/>
            </w:tcBorders>
            <w:shd w:val="clear" w:color="auto" w:fill="auto"/>
            <w:noWrap/>
            <w:hideMark/>
          </w:tcPr>
          <w:p w14:paraId="09215DD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4,545</w:t>
            </w:r>
          </w:p>
        </w:tc>
        <w:tc>
          <w:tcPr>
            <w:tcW w:w="1260" w:type="dxa"/>
            <w:tcBorders>
              <w:top w:val="nil"/>
              <w:left w:val="nil"/>
              <w:bottom w:val="nil"/>
              <w:right w:val="nil"/>
            </w:tcBorders>
            <w:shd w:val="clear" w:color="auto" w:fill="auto"/>
            <w:noWrap/>
            <w:hideMark/>
          </w:tcPr>
          <w:p w14:paraId="601A830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73,690</w:t>
            </w:r>
          </w:p>
        </w:tc>
        <w:tc>
          <w:tcPr>
            <w:tcW w:w="780" w:type="dxa"/>
            <w:tcBorders>
              <w:top w:val="nil"/>
              <w:left w:val="nil"/>
              <w:bottom w:val="nil"/>
              <w:right w:val="nil"/>
            </w:tcBorders>
            <w:shd w:val="clear" w:color="auto" w:fill="auto"/>
            <w:noWrap/>
            <w:hideMark/>
          </w:tcPr>
          <w:p w14:paraId="7420C58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6.6%</w:t>
            </w:r>
          </w:p>
        </w:tc>
        <w:tc>
          <w:tcPr>
            <w:tcW w:w="860" w:type="dxa"/>
            <w:tcBorders>
              <w:top w:val="nil"/>
              <w:left w:val="nil"/>
              <w:bottom w:val="nil"/>
              <w:right w:val="nil"/>
            </w:tcBorders>
            <w:shd w:val="clear" w:color="auto" w:fill="auto"/>
            <w:noWrap/>
            <w:hideMark/>
          </w:tcPr>
          <w:p w14:paraId="2845E7A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0.6%</w:t>
            </w:r>
          </w:p>
        </w:tc>
      </w:tr>
      <w:tr w:rsidR="004D67F9" w:rsidRPr="004D67F9" w14:paraId="32FF17F0" w14:textId="77777777" w:rsidTr="004D67F9">
        <w:trPr>
          <w:divId w:val="563374247"/>
          <w:trHeight w:val="270"/>
        </w:trPr>
        <w:tc>
          <w:tcPr>
            <w:tcW w:w="2500" w:type="dxa"/>
            <w:tcBorders>
              <w:top w:val="nil"/>
              <w:left w:val="nil"/>
              <w:bottom w:val="nil"/>
              <w:right w:val="nil"/>
            </w:tcBorders>
            <w:shd w:val="clear" w:color="auto" w:fill="auto"/>
            <w:hideMark/>
          </w:tcPr>
          <w:p w14:paraId="17066CEE"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Infrastructure and Platforms</w:t>
            </w:r>
          </w:p>
        </w:tc>
        <w:tc>
          <w:tcPr>
            <w:tcW w:w="1100" w:type="dxa"/>
            <w:tcBorders>
              <w:top w:val="nil"/>
              <w:left w:val="nil"/>
              <w:bottom w:val="nil"/>
              <w:right w:val="nil"/>
            </w:tcBorders>
            <w:shd w:val="clear" w:color="auto" w:fill="auto"/>
            <w:hideMark/>
          </w:tcPr>
          <w:p w14:paraId="6C8D9630"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37,682</w:t>
            </w:r>
          </w:p>
        </w:tc>
        <w:tc>
          <w:tcPr>
            <w:tcW w:w="1040" w:type="dxa"/>
            <w:tcBorders>
              <w:top w:val="nil"/>
              <w:left w:val="nil"/>
              <w:bottom w:val="nil"/>
              <w:right w:val="nil"/>
            </w:tcBorders>
            <w:shd w:val="clear" w:color="auto" w:fill="auto"/>
            <w:noWrap/>
            <w:hideMark/>
          </w:tcPr>
          <w:p w14:paraId="0EC7A45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384</w:t>
            </w:r>
          </w:p>
        </w:tc>
        <w:tc>
          <w:tcPr>
            <w:tcW w:w="1040" w:type="dxa"/>
            <w:tcBorders>
              <w:top w:val="nil"/>
              <w:left w:val="nil"/>
              <w:bottom w:val="nil"/>
              <w:right w:val="nil"/>
            </w:tcBorders>
            <w:shd w:val="clear" w:color="auto" w:fill="auto"/>
            <w:noWrap/>
            <w:hideMark/>
          </w:tcPr>
          <w:p w14:paraId="1BF7EBC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(309)</w:t>
            </w:r>
          </w:p>
        </w:tc>
        <w:tc>
          <w:tcPr>
            <w:tcW w:w="980" w:type="dxa"/>
            <w:tcBorders>
              <w:top w:val="nil"/>
              <w:left w:val="nil"/>
              <w:bottom w:val="nil"/>
              <w:right w:val="nil"/>
            </w:tcBorders>
            <w:shd w:val="clear" w:color="auto" w:fill="auto"/>
            <w:noWrap/>
            <w:hideMark/>
          </w:tcPr>
          <w:p w14:paraId="111D132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76</w:t>
            </w:r>
          </w:p>
        </w:tc>
        <w:tc>
          <w:tcPr>
            <w:tcW w:w="1260" w:type="dxa"/>
            <w:tcBorders>
              <w:top w:val="nil"/>
              <w:left w:val="nil"/>
              <w:bottom w:val="nil"/>
              <w:right w:val="nil"/>
            </w:tcBorders>
            <w:shd w:val="clear" w:color="auto" w:fill="auto"/>
            <w:noWrap/>
            <w:hideMark/>
          </w:tcPr>
          <w:p w14:paraId="23747B3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37,758</w:t>
            </w:r>
          </w:p>
        </w:tc>
        <w:tc>
          <w:tcPr>
            <w:tcW w:w="780" w:type="dxa"/>
            <w:tcBorders>
              <w:top w:val="nil"/>
              <w:left w:val="nil"/>
              <w:bottom w:val="nil"/>
              <w:right w:val="nil"/>
            </w:tcBorders>
            <w:shd w:val="clear" w:color="auto" w:fill="auto"/>
            <w:noWrap/>
            <w:hideMark/>
          </w:tcPr>
          <w:p w14:paraId="46A6A6D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0.2%</w:t>
            </w:r>
          </w:p>
        </w:tc>
        <w:tc>
          <w:tcPr>
            <w:tcW w:w="860" w:type="dxa"/>
            <w:tcBorders>
              <w:top w:val="nil"/>
              <w:left w:val="nil"/>
              <w:bottom w:val="nil"/>
              <w:right w:val="nil"/>
            </w:tcBorders>
            <w:shd w:val="clear" w:color="auto" w:fill="auto"/>
            <w:noWrap/>
            <w:hideMark/>
          </w:tcPr>
          <w:p w14:paraId="025C88F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0.0%</w:t>
            </w:r>
          </w:p>
        </w:tc>
      </w:tr>
      <w:tr w:rsidR="004D67F9" w:rsidRPr="004D67F9" w14:paraId="03D7AEFE" w14:textId="77777777" w:rsidTr="004D67F9">
        <w:trPr>
          <w:divId w:val="563374247"/>
          <w:trHeight w:val="270"/>
        </w:trPr>
        <w:tc>
          <w:tcPr>
            <w:tcW w:w="2500" w:type="dxa"/>
            <w:tcBorders>
              <w:top w:val="nil"/>
              <w:left w:val="nil"/>
              <w:bottom w:val="nil"/>
              <w:right w:val="nil"/>
            </w:tcBorders>
            <w:shd w:val="clear" w:color="auto" w:fill="auto"/>
            <w:hideMark/>
          </w:tcPr>
          <w:p w14:paraId="7F463278"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Global Challenges and Partnerships</w:t>
            </w:r>
          </w:p>
        </w:tc>
        <w:tc>
          <w:tcPr>
            <w:tcW w:w="1100" w:type="dxa"/>
            <w:tcBorders>
              <w:top w:val="nil"/>
              <w:left w:val="nil"/>
              <w:bottom w:val="nil"/>
              <w:right w:val="nil"/>
            </w:tcBorders>
            <w:shd w:val="clear" w:color="auto" w:fill="auto"/>
            <w:hideMark/>
          </w:tcPr>
          <w:p w14:paraId="430B2619"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25,480</w:t>
            </w:r>
          </w:p>
        </w:tc>
        <w:tc>
          <w:tcPr>
            <w:tcW w:w="1040" w:type="dxa"/>
            <w:tcBorders>
              <w:top w:val="nil"/>
              <w:left w:val="nil"/>
              <w:bottom w:val="nil"/>
              <w:right w:val="nil"/>
            </w:tcBorders>
            <w:shd w:val="clear" w:color="auto" w:fill="auto"/>
            <w:noWrap/>
            <w:hideMark/>
          </w:tcPr>
          <w:p w14:paraId="1DC1545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1,497</w:t>
            </w:r>
          </w:p>
        </w:tc>
        <w:tc>
          <w:tcPr>
            <w:tcW w:w="1040" w:type="dxa"/>
            <w:tcBorders>
              <w:top w:val="nil"/>
              <w:left w:val="nil"/>
              <w:bottom w:val="nil"/>
              <w:right w:val="nil"/>
            </w:tcBorders>
            <w:shd w:val="clear" w:color="auto" w:fill="auto"/>
            <w:noWrap/>
            <w:hideMark/>
          </w:tcPr>
          <w:p w14:paraId="1CCD5D7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(764)</w:t>
            </w:r>
          </w:p>
        </w:tc>
        <w:tc>
          <w:tcPr>
            <w:tcW w:w="980" w:type="dxa"/>
            <w:tcBorders>
              <w:top w:val="nil"/>
              <w:left w:val="nil"/>
              <w:bottom w:val="nil"/>
              <w:right w:val="nil"/>
            </w:tcBorders>
            <w:shd w:val="clear" w:color="auto" w:fill="auto"/>
            <w:noWrap/>
            <w:hideMark/>
          </w:tcPr>
          <w:p w14:paraId="0D88034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733</w:t>
            </w:r>
          </w:p>
        </w:tc>
        <w:tc>
          <w:tcPr>
            <w:tcW w:w="1260" w:type="dxa"/>
            <w:tcBorders>
              <w:top w:val="nil"/>
              <w:left w:val="nil"/>
              <w:bottom w:val="nil"/>
              <w:right w:val="nil"/>
            </w:tcBorders>
            <w:shd w:val="clear" w:color="auto" w:fill="auto"/>
            <w:noWrap/>
            <w:hideMark/>
          </w:tcPr>
          <w:p w14:paraId="35F2EBE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26,213</w:t>
            </w:r>
          </w:p>
        </w:tc>
        <w:tc>
          <w:tcPr>
            <w:tcW w:w="780" w:type="dxa"/>
            <w:tcBorders>
              <w:top w:val="nil"/>
              <w:left w:val="nil"/>
              <w:bottom w:val="nil"/>
              <w:right w:val="nil"/>
            </w:tcBorders>
            <w:shd w:val="clear" w:color="auto" w:fill="auto"/>
            <w:noWrap/>
            <w:hideMark/>
          </w:tcPr>
          <w:p w14:paraId="4351A5D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2.9%</w:t>
            </w:r>
          </w:p>
        </w:tc>
        <w:tc>
          <w:tcPr>
            <w:tcW w:w="860" w:type="dxa"/>
            <w:tcBorders>
              <w:top w:val="nil"/>
              <w:left w:val="nil"/>
              <w:bottom w:val="nil"/>
              <w:right w:val="nil"/>
            </w:tcBorders>
            <w:shd w:val="clear" w:color="auto" w:fill="auto"/>
            <w:noWrap/>
            <w:hideMark/>
          </w:tcPr>
          <w:p w14:paraId="2E54BCB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0.1%</w:t>
            </w:r>
          </w:p>
        </w:tc>
      </w:tr>
      <w:tr w:rsidR="004D67F9" w:rsidRPr="004D67F9" w14:paraId="7DBC43E3" w14:textId="77777777" w:rsidTr="004D67F9">
        <w:trPr>
          <w:divId w:val="563374247"/>
          <w:trHeight w:val="270"/>
        </w:trPr>
        <w:tc>
          <w:tcPr>
            <w:tcW w:w="2500" w:type="dxa"/>
            <w:tcBorders>
              <w:top w:val="nil"/>
              <w:left w:val="nil"/>
              <w:bottom w:val="nil"/>
              <w:right w:val="nil"/>
            </w:tcBorders>
            <w:shd w:val="clear" w:color="auto" w:fill="auto"/>
            <w:hideMark/>
          </w:tcPr>
          <w:p w14:paraId="0460EDD7"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IP and Innovation Ecosystems</w:t>
            </w:r>
          </w:p>
        </w:tc>
        <w:tc>
          <w:tcPr>
            <w:tcW w:w="1100" w:type="dxa"/>
            <w:tcBorders>
              <w:top w:val="nil"/>
              <w:left w:val="nil"/>
              <w:bottom w:val="nil"/>
              <w:right w:val="nil"/>
            </w:tcBorders>
            <w:shd w:val="clear" w:color="auto" w:fill="auto"/>
            <w:hideMark/>
          </w:tcPr>
          <w:p w14:paraId="159100FD"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43,975</w:t>
            </w:r>
          </w:p>
        </w:tc>
        <w:tc>
          <w:tcPr>
            <w:tcW w:w="1040" w:type="dxa"/>
            <w:tcBorders>
              <w:top w:val="nil"/>
              <w:left w:val="nil"/>
              <w:bottom w:val="nil"/>
              <w:right w:val="nil"/>
            </w:tcBorders>
            <w:shd w:val="clear" w:color="auto" w:fill="auto"/>
            <w:noWrap/>
            <w:hideMark/>
          </w:tcPr>
          <w:p w14:paraId="76DFA00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2,001</w:t>
            </w:r>
          </w:p>
        </w:tc>
        <w:tc>
          <w:tcPr>
            <w:tcW w:w="1040" w:type="dxa"/>
            <w:tcBorders>
              <w:top w:val="nil"/>
              <w:left w:val="nil"/>
              <w:bottom w:val="nil"/>
              <w:right w:val="nil"/>
            </w:tcBorders>
            <w:shd w:val="clear" w:color="auto" w:fill="auto"/>
            <w:noWrap/>
            <w:hideMark/>
          </w:tcPr>
          <w:p w14:paraId="7C0A4C1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(602)</w:t>
            </w:r>
          </w:p>
        </w:tc>
        <w:tc>
          <w:tcPr>
            <w:tcW w:w="980" w:type="dxa"/>
            <w:tcBorders>
              <w:top w:val="nil"/>
              <w:left w:val="nil"/>
              <w:bottom w:val="nil"/>
              <w:right w:val="nil"/>
            </w:tcBorders>
            <w:shd w:val="clear" w:color="auto" w:fill="auto"/>
            <w:noWrap/>
            <w:hideMark/>
          </w:tcPr>
          <w:p w14:paraId="3216B0D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1,399</w:t>
            </w:r>
          </w:p>
        </w:tc>
        <w:tc>
          <w:tcPr>
            <w:tcW w:w="1260" w:type="dxa"/>
            <w:tcBorders>
              <w:top w:val="nil"/>
              <w:left w:val="nil"/>
              <w:bottom w:val="nil"/>
              <w:right w:val="nil"/>
            </w:tcBorders>
            <w:shd w:val="clear" w:color="auto" w:fill="auto"/>
            <w:noWrap/>
            <w:hideMark/>
          </w:tcPr>
          <w:p w14:paraId="2B8B7D9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45,374</w:t>
            </w:r>
          </w:p>
        </w:tc>
        <w:tc>
          <w:tcPr>
            <w:tcW w:w="780" w:type="dxa"/>
            <w:tcBorders>
              <w:top w:val="nil"/>
              <w:left w:val="nil"/>
              <w:bottom w:val="nil"/>
              <w:right w:val="nil"/>
            </w:tcBorders>
            <w:shd w:val="clear" w:color="auto" w:fill="auto"/>
            <w:noWrap/>
            <w:hideMark/>
          </w:tcPr>
          <w:p w14:paraId="215D5D3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3.2%</w:t>
            </w:r>
          </w:p>
        </w:tc>
        <w:tc>
          <w:tcPr>
            <w:tcW w:w="860" w:type="dxa"/>
            <w:tcBorders>
              <w:top w:val="nil"/>
              <w:left w:val="nil"/>
              <w:bottom w:val="nil"/>
              <w:right w:val="nil"/>
            </w:tcBorders>
            <w:shd w:val="clear" w:color="auto" w:fill="auto"/>
            <w:noWrap/>
            <w:hideMark/>
          </w:tcPr>
          <w:p w14:paraId="15CD3D7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0.2%</w:t>
            </w:r>
          </w:p>
        </w:tc>
      </w:tr>
      <w:tr w:rsidR="004D67F9" w:rsidRPr="004D67F9" w14:paraId="4EF99281" w14:textId="77777777" w:rsidTr="004D67F9">
        <w:trPr>
          <w:divId w:val="563374247"/>
          <w:trHeight w:val="450"/>
        </w:trPr>
        <w:tc>
          <w:tcPr>
            <w:tcW w:w="2500" w:type="dxa"/>
            <w:tcBorders>
              <w:top w:val="nil"/>
              <w:left w:val="nil"/>
              <w:bottom w:val="nil"/>
              <w:right w:val="nil"/>
            </w:tcBorders>
            <w:shd w:val="clear" w:color="auto" w:fill="auto"/>
            <w:hideMark/>
          </w:tcPr>
          <w:p w14:paraId="3A85621D"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Administration, Finance and Management</w:t>
            </w:r>
          </w:p>
        </w:tc>
        <w:tc>
          <w:tcPr>
            <w:tcW w:w="1100" w:type="dxa"/>
            <w:tcBorders>
              <w:top w:val="nil"/>
              <w:left w:val="nil"/>
              <w:bottom w:val="nil"/>
              <w:right w:val="nil"/>
            </w:tcBorders>
            <w:shd w:val="clear" w:color="auto" w:fill="auto"/>
            <w:hideMark/>
          </w:tcPr>
          <w:p w14:paraId="2A11B5BF"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263,023</w:t>
            </w:r>
          </w:p>
        </w:tc>
        <w:tc>
          <w:tcPr>
            <w:tcW w:w="1040" w:type="dxa"/>
            <w:tcBorders>
              <w:top w:val="nil"/>
              <w:left w:val="nil"/>
              <w:bottom w:val="nil"/>
              <w:right w:val="nil"/>
            </w:tcBorders>
            <w:shd w:val="clear" w:color="auto" w:fill="auto"/>
            <w:noWrap/>
            <w:hideMark/>
          </w:tcPr>
          <w:p w14:paraId="0476379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5,760</w:t>
            </w:r>
          </w:p>
        </w:tc>
        <w:tc>
          <w:tcPr>
            <w:tcW w:w="1040" w:type="dxa"/>
            <w:tcBorders>
              <w:top w:val="nil"/>
              <w:left w:val="nil"/>
              <w:bottom w:val="nil"/>
              <w:right w:val="nil"/>
            </w:tcBorders>
            <w:shd w:val="clear" w:color="auto" w:fill="auto"/>
            <w:noWrap/>
            <w:hideMark/>
          </w:tcPr>
          <w:p w14:paraId="463FF94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(6,577)</w:t>
            </w:r>
          </w:p>
        </w:tc>
        <w:tc>
          <w:tcPr>
            <w:tcW w:w="980" w:type="dxa"/>
            <w:tcBorders>
              <w:top w:val="nil"/>
              <w:left w:val="nil"/>
              <w:bottom w:val="nil"/>
              <w:right w:val="nil"/>
            </w:tcBorders>
            <w:shd w:val="clear" w:color="auto" w:fill="auto"/>
            <w:noWrap/>
            <w:hideMark/>
          </w:tcPr>
          <w:p w14:paraId="1F4A9C3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(817)</w:t>
            </w:r>
          </w:p>
        </w:tc>
        <w:tc>
          <w:tcPr>
            <w:tcW w:w="1260" w:type="dxa"/>
            <w:tcBorders>
              <w:top w:val="nil"/>
              <w:left w:val="nil"/>
              <w:bottom w:val="nil"/>
              <w:right w:val="nil"/>
            </w:tcBorders>
            <w:shd w:val="clear" w:color="auto" w:fill="auto"/>
            <w:noWrap/>
            <w:hideMark/>
          </w:tcPr>
          <w:p w14:paraId="0C58B7A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262,207</w:t>
            </w:r>
          </w:p>
        </w:tc>
        <w:tc>
          <w:tcPr>
            <w:tcW w:w="780" w:type="dxa"/>
            <w:tcBorders>
              <w:top w:val="nil"/>
              <w:left w:val="nil"/>
              <w:bottom w:val="nil"/>
              <w:right w:val="nil"/>
            </w:tcBorders>
            <w:shd w:val="clear" w:color="auto" w:fill="auto"/>
            <w:noWrap/>
            <w:hideMark/>
          </w:tcPr>
          <w:p w14:paraId="4289BC2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-0.3%</w:t>
            </w:r>
          </w:p>
        </w:tc>
        <w:tc>
          <w:tcPr>
            <w:tcW w:w="860" w:type="dxa"/>
            <w:tcBorders>
              <w:top w:val="nil"/>
              <w:left w:val="nil"/>
              <w:bottom w:val="nil"/>
              <w:right w:val="nil"/>
            </w:tcBorders>
            <w:shd w:val="clear" w:color="auto" w:fill="auto"/>
            <w:noWrap/>
            <w:hideMark/>
          </w:tcPr>
          <w:p w14:paraId="39034EF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-0.1%</w:t>
            </w:r>
          </w:p>
        </w:tc>
      </w:tr>
      <w:tr w:rsidR="004D67F9" w:rsidRPr="004D67F9" w14:paraId="4AB2DE1B" w14:textId="77777777" w:rsidTr="004D67F9">
        <w:trPr>
          <w:divId w:val="563374247"/>
          <w:trHeight w:val="270"/>
        </w:trPr>
        <w:tc>
          <w:tcPr>
            <w:tcW w:w="2500" w:type="dxa"/>
            <w:tcBorders>
              <w:top w:val="nil"/>
              <w:left w:val="nil"/>
              <w:bottom w:val="nil"/>
              <w:right w:val="nil"/>
            </w:tcBorders>
            <w:shd w:val="clear" w:color="auto" w:fill="auto"/>
            <w:noWrap/>
            <w:hideMark/>
          </w:tcPr>
          <w:p w14:paraId="577635DB"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Unallocated</w:t>
            </w:r>
          </w:p>
        </w:tc>
        <w:tc>
          <w:tcPr>
            <w:tcW w:w="1100" w:type="dxa"/>
            <w:tcBorders>
              <w:top w:val="nil"/>
              <w:left w:val="nil"/>
              <w:bottom w:val="nil"/>
              <w:right w:val="nil"/>
            </w:tcBorders>
            <w:shd w:val="clear" w:color="auto" w:fill="auto"/>
            <w:noWrap/>
            <w:hideMark/>
          </w:tcPr>
          <w:p w14:paraId="6CFCE7F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11,946</w:t>
            </w:r>
          </w:p>
        </w:tc>
        <w:tc>
          <w:tcPr>
            <w:tcW w:w="1040" w:type="dxa"/>
            <w:tcBorders>
              <w:top w:val="nil"/>
              <w:left w:val="nil"/>
              <w:bottom w:val="nil"/>
              <w:right w:val="nil"/>
            </w:tcBorders>
            <w:shd w:val="clear" w:color="auto" w:fill="auto"/>
            <w:noWrap/>
            <w:hideMark/>
          </w:tcPr>
          <w:p w14:paraId="3D5C3E5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5,418</w:t>
            </w:r>
          </w:p>
        </w:tc>
        <w:tc>
          <w:tcPr>
            <w:tcW w:w="1040" w:type="dxa"/>
            <w:tcBorders>
              <w:top w:val="nil"/>
              <w:left w:val="nil"/>
              <w:bottom w:val="nil"/>
              <w:right w:val="nil"/>
            </w:tcBorders>
            <w:shd w:val="clear" w:color="auto" w:fill="auto"/>
            <w:noWrap/>
            <w:hideMark/>
          </w:tcPr>
          <w:p w14:paraId="16D10F7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(9,701)</w:t>
            </w:r>
          </w:p>
        </w:tc>
        <w:tc>
          <w:tcPr>
            <w:tcW w:w="980" w:type="dxa"/>
            <w:tcBorders>
              <w:top w:val="nil"/>
              <w:left w:val="nil"/>
              <w:bottom w:val="nil"/>
              <w:right w:val="nil"/>
            </w:tcBorders>
            <w:shd w:val="clear" w:color="auto" w:fill="auto"/>
            <w:noWrap/>
            <w:hideMark/>
          </w:tcPr>
          <w:p w14:paraId="6D4BED7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(4,283)</w:t>
            </w:r>
          </w:p>
        </w:tc>
        <w:tc>
          <w:tcPr>
            <w:tcW w:w="1260" w:type="dxa"/>
            <w:tcBorders>
              <w:top w:val="nil"/>
              <w:left w:val="nil"/>
              <w:bottom w:val="nil"/>
              <w:right w:val="nil"/>
            </w:tcBorders>
            <w:shd w:val="clear" w:color="auto" w:fill="auto"/>
            <w:noWrap/>
            <w:hideMark/>
          </w:tcPr>
          <w:p w14:paraId="14E31F1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7,664</w:t>
            </w:r>
          </w:p>
        </w:tc>
        <w:tc>
          <w:tcPr>
            <w:tcW w:w="780" w:type="dxa"/>
            <w:tcBorders>
              <w:top w:val="nil"/>
              <w:left w:val="nil"/>
              <w:bottom w:val="nil"/>
              <w:right w:val="nil"/>
            </w:tcBorders>
            <w:shd w:val="clear" w:color="auto" w:fill="auto"/>
            <w:noWrap/>
            <w:hideMark/>
          </w:tcPr>
          <w:p w14:paraId="682C9C3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n/a</w:t>
            </w:r>
          </w:p>
        </w:tc>
        <w:tc>
          <w:tcPr>
            <w:tcW w:w="860" w:type="dxa"/>
            <w:tcBorders>
              <w:top w:val="nil"/>
              <w:left w:val="nil"/>
              <w:bottom w:val="nil"/>
              <w:right w:val="nil"/>
            </w:tcBorders>
            <w:shd w:val="clear" w:color="auto" w:fill="auto"/>
            <w:noWrap/>
            <w:hideMark/>
          </w:tcPr>
          <w:p w14:paraId="12726C5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n/a</w:t>
            </w:r>
          </w:p>
        </w:tc>
      </w:tr>
      <w:tr w:rsidR="004D67F9" w:rsidRPr="004D67F9" w14:paraId="359440EE" w14:textId="77777777" w:rsidTr="004D67F9">
        <w:trPr>
          <w:divId w:val="563374247"/>
          <w:trHeight w:val="270"/>
        </w:trPr>
        <w:tc>
          <w:tcPr>
            <w:tcW w:w="2500" w:type="dxa"/>
            <w:tcBorders>
              <w:top w:val="single" w:sz="4" w:space="0" w:color="BFBFBF"/>
              <w:left w:val="nil"/>
              <w:bottom w:val="single" w:sz="8" w:space="0" w:color="BFBFBF"/>
              <w:right w:val="single" w:sz="4" w:space="0" w:color="FFFFFF"/>
            </w:tcBorders>
            <w:shd w:val="clear" w:color="auto" w:fill="auto"/>
            <w:vAlign w:val="center"/>
            <w:hideMark/>
          </w:tcPr>
          <w:p w14:paraId="4AFF9ADC"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TOTAL</w:t>
            </w:r>
          </w:p>
        </w:tc>
        <w:tc>
          <w:tcPr>
            <w:tcW w:w="1100" w:type="dxa"/>
            <w:tcBorders>
              <w:top w:val="single" w:sz="4" w:space="0" w:color="BFBFBF"/>
              <w:left w:val="nil"/>
              <w:bottom w:val="single" w:sz="8" w:space="0" w:color="BFBFBF"/>
              <w:right w:val="nil"/>
            </w:tcBorders>
            <w:shd w:val="clear" w:color="auto" w:fill="auto"/>
            <w:vAlign w:val="center"/>
            <w:hideMark/>
          </w:tcPr>
          <w:p w14:paraId="4AE4B6B9"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793,792</w:t>
            </w:r>
          </w:p>
        </w:tc>
        <w:tc>
          <w:tcPr>
            <w:tcW w:w="1040" w:type="dxa"/>
            <w:tcBorders>
              <w:top w:val="single" w:sz="4" w:space="0" w:color="BFBFBF"/>
              <w:left w:val="single" w:sz="4" w:space="0" w:color="FFFFFF"/>
              <w:bottom w:val="single" w:sz="8" w:space="0" w:color="BFBFBF"/>
              <w:right w:val="single" w:sz="4" w:space="0" w:color="FFFFFF"/>
            </w:tcBorders>
            <w:shd w:val="clear" w:color="auto" w:fill="auto"/>
            <w:vAlign w:val="center"/>
            <w:hideMark/>
          </w:tcPr>
          <w:p w14:paraId="4342B804"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23,482</w:t>
            </w:r>
          </w:p>
        </w:tc>
        <w:tc>
          <w:tcPr>
            <w:tcW w:w="1040" w:type="dxa"/>
            <w:tcBorders>
              <w:top w:val="single" w:sz="4" w:space="0" w:color="BFBFBF"/>
              <w:left w:val="nil"/>
              <w:bottom w:val="single" w:sz="8" w:space="0" w:color="BFBFBF"/>
              <w:right w:val="single" w:sz="4" w:space="0" w:color="FFFFFF"/>
            </w:tcBorders>
            <w:shd w:val="clear" w:color="auto" w:fill="auto"/>
            <w:vAlign w:val="center"/>
            <w:hideMark/>
          </w:tcPr>
          <w:p w14:paraId="719A3F00"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(23,482)</w:t>
            </w:r>
          </w:p>
        </w:tc>
        <w:tc>
          <w:tcPr>
            <w:tcW w:w="980" w:type="dxa"/>
            <w:tcBorders>
              <w:top w:val="single" w:sz="4" w:space="0" w:color="BFBFBF"/>
              <w:left w:val="nil"/>
              <w:bottom w:val="single" w:sz="8" w:space="0" w:color="BFBFBF"/>
              <w:right w:val="single" w:sz="4" w:space="0" w:color="FFFFFF"/>
            </w:tcBorders>
            <w:shd w:val="clear" w:color="auto" w:fill="auto"/>
            <w:vAlign w:val="center"/>
            <w:hideMark/>
          </w:tcPr>
          <w:p w14:paraId="456FE321"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w:t>
            </w:r>
          </w:p>
        </w:tc>
        <w:tc>
          <w:tcPr>
            <w:tcW w:w="1260" w:type="dxa"/>
            <w:tcBorders>
              <w:top w:val="single" w:sz="4" w:space="0" w:color="BFBFBF"/>
              <w:left w:val="nil"/>
              <w:bottom w:val="single" w:sz="8" w:space="0" w:color="BFBFBF"/>
              <w:right w:val="single" w:sz="4" w:space="0" w:color="FFFFFF"/>
            </w:tcBorders>
            <w:shd w:val="clear" w:color="auto" w:fill="auto"/>
            <w:vAlign w:val="center"/>
            <w:hideMark/>
          </w:tcPr>
          <w:p w14:paraId="706933D7"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793,792</w:t>
            </w:r>
          </w:p>
        </w:tc>
        <w:tc>
          <w:tcPr>
            <w:tcW w:w="780" w:type="dxa"/>
            <w:tcBorders>
              <w:top w:val="single" w:sz="4" w:space="0" w:color="BFBFBF"/>
              <w:left w:val="nil"/>
              <w:bottom w:val="single" w:sz="8" w:space="0" w:color="BFBFBF"/>
              <w:right w:val="single" w:sz="4" w:space="0" w:color="FFFFFF"/>
            </w:tcBorders>
            <w:shd w:val="clear" w:color="auto" w:fill="auto"/>
            <w:vAlign w:val="center"/>
            <w:hideMark/>
          </w:tcPr>
          <w:p w14:paraId="0EF6AA8E"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w:t>
            </w:r>
          </w:p>
        </w:tc>
        <w:tc>
          <w:tcPr>
            <w:tcW w:w="860" w:type="dxa"/>
            <w:tcBorders>
              <w:top w:val="single" w:sz="4" w:space="0" w:color="BFBFBF"/>
              <w:left w:val="nil"/>
              <w:bottom w:val="single" w:sz="8" w:space="0" w:color="BFBFBF"/>
              <w:right w:val="single" w:sz="4" w:space="0" w:color="FFFFFF"/>
            </w:tcBorders>
            <w:shd w:val="clear" w:color="auto" w:fill="auto"/>
            <w:vAlign w:val="center"/>
            <w:hideMark/>
          </w:tcPr>
          <w:p w14:paraId="27F9CF59"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w:t>
            </w:r>
          </w:p>
        </w:tc>
      </w:tr>
      <w:tr w:rsidR="004D67F9" w:rsidRPr="004D67F9" w14:paraId="72AEDE63" w14:textId="77777777" w:rsidTr="004D67F9">
        <w:trPr>
          <w:divId w:val="563374247"/>
          <w:trHeight w:val="120"/>
        </w:trPr>
        <w:tc>
          <w:tcPr>
            <w:tcW w:w="9560" w:type="dxa"/>
            <w:gridSpan w:val="8"/>
            <w:tcBorders>
              <w:top w:val="single" w:sz="8" w:space="0" w:color="BFBFBF"/>
              <w:left w:val="nil"/>
              <w:bottom w:val="nil"/>
              <w:right w:val="nil"/>
            </w:tcBorders>
            <w:shd w:val="clear" w:color="auto" w:fill="auto"/>
            <w:vAlign w:val="center"/>
            <w:hideMark/>
          </w:tcPr>
          <w:p w14:paraId="138BBBC3" w14:textId="77777777" w:rsidR="004D67F9" w:rsidRPr="004D67F9" w:rsidRDefault="004D67F9" w:rsidP="004D67F9">
            <w:pPr>
              <w:spacing w:after="0" w:line="240" w:lineRule="auto"/>
              <w:rPr>
                <w:rFonts w:ascii="Arial Narrow" w:eastAsia="Times New Roman" w:hAnsi="Arial Narrow" w:cs="Times New Roman"/>
                <w:color w:val="FF0000"/>
                <w:sz w:val="15"/>
                <w:szCs w:val="15"/>
                <w:lang w:val="en-US"/>
              </w:rPr>
            </w:pPr>
            <w:r w:rsidRPr="004D67F9">
              <w:rPr>
                <w:rFonts w:ascii="Arial Narrow" w:eastAsia="Times New Roman" w:hAnsi="Arial Narrow" w:cs="Times New Roman"/>
                <w:color w:val="FF0000"/>
                <w:sz w:val="15"/>
                <w:szCs w:val="15"/>
                <w:lang w:val="en-US"/>
              </w:rPr>
              <w:t> </w:t>
            </w:r>
          </w:p>
        </w:tc>
      </w:tr>
      <w:tr w:rsidR="004D67F9" w:rsidRPr="004D67F9" w14:paraId="58BF8210" w14:textId="77777777" w:rsidTr="004D67F9">
        <w:trPr>
          <w:divId w:val="563374247"/>
          <w:trHeight w:val="870"/>
        </w:trPr>
        <w:tc>
          <w:tcPr>
            <w:tcW w:w="9560" w:type="dxa"/>
            <w:gridSpan w:val="8"/>
            <w:tcBorders>
              <w:top w:val="nil"/>
              <w:left w:val="nil"/>
              <w:bottom w:val="nil"/>
              <w:right w:val="nil"/>
            </w:tcBorders>
            <w:shd w:val="clear" w:color="auto" w:fill="auto"/>
            <w:vAlign w:val="center"/>
            <w:hideMark/>
          </w:tcPr>
          <w:p w14:paraId="39965ECC" w14:textId="77777777" w:rsidR="004D67F9" w:rsidRPr="004D67F9" w:rsidRDefault="004D67F9" w:rsidP="004D67F9">
            <w:pPr>
              <w:spacing w:after="0" w:line="240" w:lineRule="auto"/>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vertAlign w:val="superscript"/>
                <w:lang w:val="en-US"/>
              </w:rPr>
              <w:t xml:space="preserve">1 </w:t>
            </w:r>
            <w:r w:rsidRPr="004D67F9">
              <w:rPr>
                <w:rFonts w:ascii="Arial Narrow" w:eastAsia="Times New Roman" w:hAnsi="Arial Narrow" w:cs="Times New Roman"/>
                <w:sz w:val="15"/>
                <w:szCs w:val="15"/>
                <w:lang w:val="en-US"/>
              </w:rPr>
              <w:t>WIPO Financial Regulations and Rules provide for the possibility of transfer of resources under Regulation 3.4: "The Director General may make transfers of resources from one Sector (organizational entity) to another for any given budget period, up to the limit of five per cent of the amount corresponding to the biennial allocation of the receiving Sector (organizational entity), or to one per cent of the total budget, whichever is higher, when such transfers are necessary to ensure the proper functioning of the Organization."</w:t>
            </w:r>
          </w:p>
        </w:tc>
      </w:tr>
      <w:tr w:rsidR="004D67F9" w:rsidRPr="004D67F9" w14:paraId="66FC8B9D" w14:textId="77777777" w:rsidTr="004D67F9">
        <w:trPr>
          <w:divId w:val="563374247"/>
          <w:trHeight w:val="285"/>
        </w:trPr>
        <w:tc>
          <w:tcPr>
            <w:tcW w:w="2500" w:type="dxa"/>
            <w:tcBorders>
              <w:top w:val="nil"/>
              <w:left w:val="nil"/>
              <w:bottom w:val="nil"/>
              <w:right w:val="nil"/>
            </w:tcBorders>
            <w:shd w:val="clear" w:color="auto" w:fill="auto"/>
            <w:noWrap/>
            <w:vAlign w:val="center"/>
            <w:hideMark/>
          </w:tcPr>
          <w:p w14:paraId="45ED845E" w14:textId="77777777" w:rsidR="004D67F9" w:rsidRPr="004D67F9" w:rsidRDefault="004D67F9" w:rsidP="004D67F9">
            <w:pPr>
              <w:spacing w:after="0" w:line="240" w:lineRule="auto"/>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vertAlign w:val="superscript"/>
                <w:lang w:val="en-US"/>
              </w:rPr>
              <w:t xml:space="preserve">2 </w:t>
            </w:r>
            <w:r w:rsidRPr="004D67F9">
              <w:rPr>
                <w:rFonts w:ascii="Arial Narrow" w:eastAsia="Times New Roman" w:hAnsi="Arial Narrow" w:cs="Times New Roman"/>
                <w:sz w:val="15"/>
                <w:szCs w:val="15"/>
                <w:lang w:val="en-US"/>
              </w:rPr>
              <w:t>As at 31 Dec 2022.</w:t>
            </w:r>
          </w:p>
        </w:tc>
        <w:tc>
          <w:tcPr>
            <w:tcW w:w="1100" w:type="dxa"/>
            <w:tcBorders>
              <w:top w:val="nil"/>
              <w:left w:val="nil"/>
              <w:bottom w:val="nil"/>
              <w:right w:val="nil"/>
            </w:tcBorders>
            <w:shd w:val="clear" w:color="auto" w:fill="auto"/>
            <w:noWrap/>
            <w:vAlign w:val="bottom"/>
            <w:hideMark/>
          </w:tcPr>
          <w:p w14:paraId="43FBDAD9" w14:textId="77777777" w:rsidR="004D67F9" w:rsidRPr="004D67F9" w:rsidRDefault="004D67F9" w:rsidP="004D67F9">
            <w:pPr>
              <w:spacing w:after="0" w:line="240" w:lineRule="auto"/>
              <w:rPr>
                <w:rFonts w:ascii="Arial Narrow" w:eastAsia="Times New Roman" w:hAnsi="Arial Narrow" w:cs="Times New Roman"/>
                <w:sz w:val="15"/>
                <w:szCs w:val="15"/>
                <w:lang w:val="en-US"/>
              </w:rPr>
            </w:pPr>
          </w:p>
        </w:tc>
        <w:tc>
          <w:tcPr>
            <w:tcW w:w="1040" w:type="dxa"/>
            <w:tcBorders>
              <w:top w:val="nil"/>
              <w:left w:val="nil"/>
              <w:bottom w:val="nil"/>
              <w:right w:val="nil"/>
            </w:tcBorders>
            <w:shd w:val="clear" w:color="auto" w:fill="auto"/>
            <w:noWrap/>
            <w:hideMark/>
          </w:tcPr>
          <w:p w14:paraId="3007825C"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40" w:type="dxa"/>
            <w:tcBorders>
              <w:top w:val="nil"/>
              <w:left w:val="nil"/>
              <w:bottom w:val="nil"/>
              <w:right w:val="nil"/>
            </w:tcBorders>
            <w:shd w:val="clear" w:color="auto" w:fill="auto"/>
            <w:noWrap/>
            <w:hideMark/>
          </w:tcPr>
          <w:p w14:paraId="2B20E0DC"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980" w:type="dxa"/>
            <w:tcBorders>
              <w:top w:val="nil"/>
              <w:left w:val="nil"/>
              <w:bottom w:val="nil"/>
              <w:right w:val="nil"/>
            </w:tcBorders>
            <w:shd w:val="clear" w:color="auto" w:fill="auto"/>
            <w:hideMark/>
          </w:tcPr>
          <w:p w14:paraId="275F1ECE"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260" w:type="dxa"/>
            <w:tcBorders>
              <w:top w:val="nil"/>
              <w:left w:val="nil"/>
              <w:bottom w:val="nil"/>
              <w:right w:val="nil"/>
            </w:tcBorders>
            <w:shd w:val="clear" w:color="auto" w:fill="auto"/>
            <w:hideMark/>
          </w:tcPr>
          <w:p w14:paraId="072D983C"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hideMark/>
          </w:tcPr>
          <w:p w14:paraId="7B35EFA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860" w:type="dxa"/>
            <w:tcBorders>
              <w:top w:val="nil"/>
              <w:left w:val="nil"/>
              <w:bottom w:val="nil"/>
              <w:right w:val="nil"/>
            </w:tcBorders>
            <w:shd w:val="clear" w:color="auto" w:fill="auto"/>
            <w:noWrap/>
            <w:hideMark/>
          </w:tcPr>
          <w:p w14:paraId="5F37491B"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bl>
    <w:p w14:paraId="228899E6" w14:textId="6DFF520F" w:rsidR="005E444F" w:rsidRDefault="005E444F" w:rsidP="00330C0D">
      <w:pPr>
        <w:jc w:val="center"/>
        <w:rPr>
          <w:i/>
          <w:iCs/>
          <w:sz w:val="16"/>
          <w:szCs w:val="16"/>
        </w:rPr>
      </w:pPr>
    </w:p>
    <w:p w14:paraId="1EE1A722" w14:textId="77777777" w:rsidR="008423F2" w:rsidRPr="00330C0D" w:rsidRDefault="008423F2" w:rsidP="00330C0D">
      <w:pPr>
        <w:jc w:val="center"/>
        <w:rPr>
          <w:i/>
          <w:iCs/>
          <w:sz w:val="16"/>
          <w:szCs w:val="16"/>
        </w:rPr>
      </w:pPr>
    </w:p>
    <w:p w14:paraId="04810852" w14:textId="77777777" w:rsidR="00333041" w:rsidRDefault="00333041" w:rsidP="00742C89">
      <w:pPr>
        <w:rPr>
          <w:lang w:val="en-US"/>
        </w:rPr>
        <w:sectPr w:rsidR="00333041" w:rsidSect="00AE470A">
          <w:headerReference w:type="even" r:id="rId64"/>
          <w:headerReference w:type="default" r:id="rId65"/>
          <w:footerReference w:type="even" r:id="rId66"/>
          <w:footerReference w:type="default" r:id="rId67"/>
          <w:headerReference w:type="first" r:id="rId68"/>
          <w:footerReference w:type="first" r:id="rId69"/>
          <w:pgSz w:w="11906" w:h="16838"/>
          <w:pgMar w:top="1361" w:right="1134" w:bottom="1080" w:left="1134" w:header="567" w:footer="432" w:gutter="0"/>
          <w:cols w:space="708"/>
          <w:titlePg/>
          <w:docGrid w:linePitch="360"/>
        </w:sectPr>
      </w:pPr>
    </w:p>
    <w:p w14:paraId="13198E84" w14:textId="59F3DDDE" w:rsidR="00072F95" w:rsidRDefault="007F3EBD" w:rsidP="008407D7">
      <w:pPr>
        <w:pStyle w:val="AnnexTitle2"/>
        <w:numPr>
          <w:ilvl w:val="0"/>
          <w:numId w:val="18"/>
        </w:numPr>
        <w:rPr>
          <w:lang w:val="en-US"/>
        </w:rPr>
      </w:pPr>
      <w:bookmarkStart w:id="34" w:name="_Toc131175993"/>
      <w:r>
        <w:rPr>
          <w:lang w:val="en-US"/>
        </w:rPr>
        <w:t>2024</w:t>
      </w:r>
      <w:r w:rsidR="00FF295C" w:rsidRPr="00D350B5">
        <w:rPr>
          <w:lang w:val="en-US"/>
        </w:rPr>
        <w:t>/</w:t>
      </w:r>
      <w:r>
        <w:rPr>
          <w:lang w:val="en-US"/>
        </w:rPr>
        <w:t>25</w:t>
      </w:r>
      <w:r w:rsidR="00B02B72" w:rsidRPr="00D350B5">
        <w:rPr>
          <w:lang w:val="en-US"/>
        </w:rPr>
        <w:t xml:space="preserve"> </w:t>
      </w:r>
      <w:r w:rsidR="0000041D">
        <w:rPr>
          <w:lang w:val="en-US"/>
        </w:rPr>
        <w:t>Budget</w:t>
      </w:r>
      <w:r w:rsidR="00FF295C" w:rsidRPr="00D350B5">
        <w:rPr>
          <w:lang w:val="en-US"/>
        </w:rPr>
        <w:t xml:space="preserve"> by </w:t>
      </w:r>
      <w:r w:rsidR="003268F3">
        <w:rPr>
          <w:lang w:val="en-US"/>
        </w:rPr>
        <w:t>Sector</w:t>
      </w:r>
      <w:bookmarkEnd w:id="34"/>
    </w:p>
    <w:p w14:paraId="69B73C6D" w14:textId="73D83970" w:rsidR="005E444F" w:rsidRPr="0000041D" w:rsidRDefault="005E444F" w:rsidP="00F6114F">
      <w:pPr>
        <w:pStyle w:val="NormalNoSpace"/>
        <w:jc w:val="center"/>
        <w:rPr>
          <w:i/>
          <w:sz w:val="16"/>
          <w:szCs w:val="16"/>
          <w:lang w:val="en-US"/>
        </w:rPr>
      </w:pPr>
      <w:r w:rsidRPr="0000041D">
        <w:rPr>
          <w:i/>
          <w:sz w:val="16"/>
          <w:szCs w:val="16"/>
          <w:lang w:val="en-US"/>
        </w:rPr>
        <w:t>(in thousands of Swiss francs)</w:t>
      </w:r>
    </w:p>
    <w:p w14:paraId="09C30CFB" w14:textId="6A057250" w:rsidR="004D67F9" w:rsidRDefault="004D67F9" w:rsidP="005E444F">
      <w:pPr>
        <w:pStyle w:val="NormalNoSpace"/>
        <w:rPr>
          <w:rFonts w:asciiTheme="minorHAnsi" w:hAnsiTheme="minorHAnsi"/>
          <w:sz w:val="22"/>
        </w:rPr>
      </w:pPr>
    </w:p>
    <w:tbl>
      <w:tblPr>
        <w:tblW w:w="14220" w:type="dxa"/>
        <w:tblLook w:val="04A0" w:firstRow="1" w:lastRow="0" w:firstColumn="1" w:lastColumn="0" w:noHBand="0" w:noVBand="1"/>
      </w:tblPr>
      <w:tblGrid>
        <w:gridCol w:w="2680"/>
        <w:gridCol w:w="1060"/>
        <w:gridCol w:w="1060"/>
        <w:gridCol w:w="1060"/>
        <w:gridCol w:w="1060"/>
        <w:gridCol w:w="1060"/>
        <w:gridCol w:w="1060"/>
        <w:gridCol w:w="1060"/>
        <w:gridCol w:w="1060"/>
        <w:gridCol w:w="1060"/>
        <w:gridCol w:w="1000"/>
        <w:gridCol w:w="1000"/>
      </w:tblGrid>
      <w:tr w:rsidR="004D67F9" w:rsidRPr="004D67F9" w14:paraId="0A81BEF8" w14:textId="77777777" w:rsidTr="004D67F9">
        <w:trPr>
          <w:divId w:val="1300526825"/>
          <w:trHeight w:val="450"/>
        </w:trPr>
        <w:tc>
          <w:tcPr>
            <w:tcW w:w="2680" w:type="dxa"/>
            <w:vMerge w:val="restart"/>
            <w:tcBorders>
              <w:top w:val="nil"/>
              <w:left w:val="nil"/>
              <w:bottom w:val="nil"/>
              <w:right w:val="nil"/>
            </w:tcBorders>
            <w:shd w:val="clear" w:color="000000" w:fill="C7CFD8"/>
            <w:noWrap/>
            <w:vAlign w:val="center"/>
            <w:hideMark/>
          </w:tcPr>
          <w:p w14:paraId="6D9D82C7" w14:textId="29A3BE2A"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Sector</w:t>
            </w:r>
          </w:p>
        </w:tc>
        <w:tc>
          <w:tcPr>
            <w:tcW w:w="3180" w:type="dxa"/>
            <w:gridSpan w:val="3"/>
            <w:tcBorders>
              <w:top w:val="nil"/>
              <w:left w:val="nil"/>
              <w:bottom w:val="single" w:sz="4" w:space="0" w:color="748B9E"/>
              <w:right w:val="nil"/>
            </w:tcBorders>
            <w:shd w:val="clear" w:color="000000" w:fill="C7CFD8"/>
            <w:vAlign w:val="center"/>
            <w:hideMark/>
          </w:tcPr>
          <w:p w14:paraId="4EAF0DFE"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2024/25 Proposed Budget </w:t>
            </w:r>
          </w:p>
        </w:tc>
        <w:tc>
          <w:tcPr>
            <w:tcW w:w="3180" w:type="dxa"/>
            <w:gridSpan w:val="3"/>
            <w:tcBorders>
              <w:top w:val="nil"/>
              <w:left w:val="nil"/>
              <w:bottom w:val="single" w:sz="4" w:space="0" w:color="748B9E"/>
              <w:right w:val="nil"/>
            </w:tcBorders>
            <w:shd w:val="clear" w:color="000000" w:fill="C7CFD8"/>
            <w:vAlign w:val="center"/>
            <w:hideMark/>
          </w:tcPr>
          <w:p w14:paraId="2CB8B34C"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2022/23 PoW&amp;B </w:t>
            </w:r>
          </w:p>
        </w:tc>
        <w:tc>
          <w:tcPr>
            <w:tcW w:w="3180" w:type="dxa"/>
            <w:gridSpan w:val="3"/>
            <w:tcBorders>
              <w:top w:val="nil"/>
              <w:left w:val="nil"/>
              <w:bottom w:val="single" w:sz="4" w:space="0" w:color="748B9E"/>
              <w:right w:val="nil"/>
            </w:tcBorders>
            <w:shd w:val="clear" w:color="000000" w:fill="C7CFD8"/>
            <w:noWrap/>
            <w:vAlign w:val="center"/>
            <w:hideMark/>
          </w:tcPr>
          <w:p w14:paraId="44C34546"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2022/23 Budget after Transfers </w:t>
            </w:r>
            <w:r w:rsidRPr="004D67F9">
              <w:rPr>
                <w:rFonts w:ascii="Arial Narrow" w:eastAsia="Times New Roman" w:hAnsi="Arial Narrow" w:cs="Times New Roman"/>
                <w:b/>
                <w:bCs/>
                <w:sz w:val="16"/>
                <w:szCs w:val="16"/>
                <w:vertAlign w:val="superscript"/>
                <w:lang w:val="en-US"/>
              </w:rPr>
              <w:t>1</w:t>
            </w:r>
            <w:r w:rsidRPr="004D67F9">
              <w:rPr>
                <w:rFonts w:ascii="Arial Narrow" w:eastAsia="Times New Roman" w:hAnsi="Arial Narrow" w:cs="Times New Roman"/>
                <w:b/>
                <w:bCs/>
                <w:sz w:val="16"/>
                <w:szCs w:val="16"/>
                <w:lang w:val="en-US"/>
              </w:rPr>
              <w:t xml:space="preserve"> </w:t>
            </w:r>
          </w:p>
        </w:tc>
        <w:tc>
          <w:tcPr>
            <w:tcW w:w="2000" w:type="dxa"/>
            <w:gridSpan w:val="2"/>
            <w:tcBorders>
              <w:top w:val="nil"/>
              <w:left w:val="nil"/>
              <w:bottom w:val="single" w:sz="4" w:space="0" w:color="748B9E"/>
              <w:right w:val="nil"/>
            </w:tcBorders>
            <w:shd w:val="clear" w:color="000000" w:fill="C7CFD8"/>
            <w:vAlign w:val="center"/>
            <w:hideMark/>
          </w:tcPr>
          <w:p w14:paraId="12456008" w14:textId="77777777"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2024/25 </w:t>
            </w:r>
            <w:r w:rsidRPr="004D67F9">
              <w:rPr>
                <w:rFonts w:ascii="Arial Narrow" w:eastAsia="Times New Roman" w:hAnsi="Arial Narrow" w:cs="Times New Roman"/>
                <w:b/>
                <w:bCs/>
                <w:sz w:val="16"/>
                <w:szCs w:val="16"/>
                <w:lang w:val="en-US"/>
              </w:rPr>
              <w:br/>
              <w:t xml:space="preserve">vs. 2022/23 PoW&amp;B </w:t>
            </w:r>
          </w:p>
        </w:tc>
      </w:tr>
      <w:tr w:rsidR="004D67F9" w:rsidRPr="004D67F9" w14:paraId="0A88633A" w14:textId="77777777" w:rsidTr="004D67F9">
        <w:trPr>
          <w:divId w:val="1300526825"/>
          <w:trHeight w:val="630"/>
        </w:trPr>
        <w:tc>
          <w:tcPr>
            <w:tcW w:w="2680" w:type="dxa"/>
            <w:vMerge/>
            <w:tcBorders>
              <w:top w:val="nil"/>
              <w:left w:val="nil"/>
              <w:bottom w:val="nil"/>
              <w:right w:val="nil"/>
            </w:tcBorders>
            <w:vAlign w:val="center"/>
            <w:hideMark/>
          </w:tcPr>
          <w:p w14:paraId="2E87DC14"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000000" w:fill="C7CFD8"/>
            <w:vAlign w:val="center"/>
            <w:hideMark/>
          </w:tcPr>
          <w:p w14:paraId="2D12B6A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Personnel Resources </w:t>
            </w:r>
          </w:p>
        </w:tc>
        <w:tc>
          <w:tcPr>
            <w:tcW w:w="1060" w:type="dxa"/>
            <w:tcBorders>
              <w:top w:val="nil"/>
              <w:left w:val="nil"/>
              <w:bottom w:val="nil"/>
              <w:right w:val="nil"/>
            </w:tcBorders>
            <w:shd w:val="clear" w:color="000000" w:fill="C7CFD8"/>
            <w:vAlign w:val="center"/>
            <w:hideMark/>
          </w:tcPr>
          <w:p w14:paraId="41F5A77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Non-Personnel Resources </w:t>
            </w:r>
          </w:p>
        </w:tc>
        <w:tc>
          <w:tcPr>
            <w:tcW w:w="1060" w:type="dxa"/>
            <w:tcBorders>
              <w:top w:val="nil"/>
              <w:left w:val="nil"/>
              <w:bottom w:val="nil"/>
              <w:right w:val="nil"/>
            </w:tcBorders>
            <w:shd w:val="clear" w:color="000000" w:fill="C7CFD8"/>
            <w:vAlign w:val="center"/>
            <w:hideMark/>
          </w:tcPr>
          <w:p w14:paraId="0825692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Total </w:t>
            </w:r>
          </w:p>
        </w:tc>
        <w:tc>
          <w:tcPr>
            <w:tcW w:w="1060" w:type="dxa"/>
            <w:tcBorders>
              <w:top w:val="nil"/>
              <w:left w:val="single" w:sz="4" w:space="0" w:color="748B9E"/>
              <w:bottom w:val="nil"/>
              <w:right w:val="nil"/>
            </w:tcBorders>
            <w:shd w:val="clear" w:color="000000" w:fill="C7CFD8"/>
            <w:vAlign w:val="center"/>
            <w:hideMark/>
          </w:tcPr>
          <w:p w14:paraId="1E40B5F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Personnel Resources </w:t>
            </w:r>
          </w:p>
        </w:tc>
        <w:tc>
          <w:tcPr>
            <w:tcW w:w="1060" w:type="dxa"/>
            <w:tcBorders>
              <w:top w:val="nil"/>
              <w:left w:val="nil"/>
              <w:bottom w:val="nil"/>
              <w:right w:val="nil"/>
            </w:tcBorders>
            <w:shd w:val="clear" w:color="000000" w:fill="C7CFD8"/>
            <w:vAlign w:val="center"/>
            <w:hideMark/>
          </w:tcPr>
          <w:p w14:paraId="3392B88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Non-Personnel Resources </w:t>
            </w:r>
          </w:p>
        </w:tc>
        <w:tc>
          <w:tcPr>
            <w:tcW w:w="1060" w:type="dxa"/>
            <w:tcBorders>
              <w:top w:val="nil"/>
              <w:left w:val="nil"/>
              <w:bottom w:val="nil"/>
              <w:right w:val="single" w:sz="4" w:space="0" w:color="748B9E"/>
            </w:tcBorders>
            <w:shd w:val="clear" w:color="000000" w:fill="C7CFD8"/>
            <w:vAlign w:val="center"/>
            <w:hideMark/>
          </w:tcPr>
          <w:p w14:paraId="1EBDD20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Total </w:t>
            </w:r>
          </w:p>
        </w:tc>
        <w:tc>
          <w:tcPr>
            <w:tcW w:w="1060" w:type="dxa"/>
            <w:tcBorders>
              <w:top w:val="nil"/>
              <w:left w:val="nil"/>
              <w:bottom w:val="nil"/>
              <w:right w:val="nil"/>
            </w:tcBorders>
            <w:shd w:val="clear" w:color="000000" w:fill="C7CFD8"/>
            <w:vAlign w:val="center"/>
            <w:hideMark/>
          </w:tcPr>
          <w:p w14:paraId="73305A1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Personnel Resources </w:t>
            </w:r>
          </w:p>
        </w:tc>
        <w:tc>
          <w:tcPr>
            <w:tcW w:w="1060" w:type="dxa"/>
            <w:tcBorders>
              <w:top w:val="nil"/>
              <w:left w:val="nil"/>
              <w:bottom w:val="nil"/>
              <w:right w:val="nil"/>
            </w:tcBorders>
            <w:shd w:val="clear" w:color="000000" w:fill="C7CFD8"/>
            <w:vAlign w:val="center"/>
            <w:hideMark/>
          </w:tcPr>
          <w:p w14:paraId="20FC4F7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Non-Personnel Resources </w:t>
            </w:r>
          </w:p>
        </w:tc>
        <w:tc>
          <w:tcPr>
            <w:tcW w:w="1060" w:type="dxa"/>
            <w:tcBorders>
              <w:top w:val="nil"/>
              <w:left w:val="nil"/>
              <w:bottom w:val="nil"/>
              <w:right w:val="single" w:sz="4" w:space="0" w:color="748B9E"/>
            </w:tcBorders>
            <w:shd w:val="clear" w:color="000000" w:fill="C7CFD8"/>
            <w:vAlign w:val="center"/>
            <w:hideMark/>
          </w:tcPr>
          <w:p w14:paraId="0A81438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Total </w:t>
            </w:r>
          </w:p>
        </w:tc>
        <w:tc>
          <w:tcPr>
            <w:tcW w:w="1000" w:type="dxa"/>
            <w:tcBorders>
              <w:top w:val="nil"/>
              <w:left w:val="nil"/>
              <w:bottom w:val="nil"/>
              <w:right w:val="nil"/>
            </w:tcBorders>
            <w:shd w:val="clear" w:color="000000" w:fill="C7CFD8"/>
            <w:vAlign w:val="center"/>
            <w:hideMark/>
          </w:tcPr>
          <w:p w14:paraId="1C0752FA"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Amount </w:t>
            </w:r>
          </w:p>
        </w:tc>
        <w:tc>
          <w:tcPr>
            <w:tcW w:w="1000" w:type="dxa"/>
            <w:tcBorders>
              <w:top w:val="nil"/>
              <w:left w:val="nil"/>
              <w:bottom w:val="nil"/>
              <w:right w:val="nil"/>
            </w:tcBorders>
            <w:shd w:val="clear" w:color="000000" w:fill="C7CFD8"/>
            <w:vAlign w:val="center"/>
            <w:hideMark/>
          </w:tcPr>
          <w:p w14:paraId="6007139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 </w:t>
            </w:r>
          </w:p>
        </w:tc>
      </w:tr>
      <w:tr w:rsidR="004D67F9" w:rsidRPr="004D67F9" w14:paraId="5E5E9C1D" w14:textId="77777777" w:rsidTr="004D67F9">
        <w:trPr>
          <w:divId w:val="1300526825"/>
          <w:trHeight w:val="345"/>
        </w:trPr>
        <w:tc>
          <w:tcPr>
            <w:tcW w:w="2680" w:type="dxa"/>
            <w:tcBorders>
              <w:top w:val="nil"/>
              <w:left w:val="nil"/>
              <w:bottom w:val="nil"/>
              <w:right w:val="nil"/>
            </w:tcBorders>
            <w:shd w:val="clear" w:color="auto" w:fill="auto"/>
            <w:hideMark/>
          </w:tcPr>
          <w:p w14:paraId="2D535ED8"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Patents and Technology</w:t>
            </w:r>
          </w:p>
        </w:tc>
        <w:tc>
          <w:tcPr>
            <w:tcW w:w="1060" w:type="dxa"/>
            <w:tcBorders>
              <w:top w:val="nil"/>
              <w:left w:val="nil"/>
              <w:bottom w:val="nil"/>
              <w:right w:val="nil"/>
            </w:tcBorders>
            <w:shd w:val="clear" w:color="auto" w:fill="auto"/>
            <w:noWrap/>
            <w:hideMark/>
          </w:tcPr>
          <w:p w14:paraId="726A55D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128,128</w:t>
            </w:r>
          </w:p>
        </w:tc>
        <w:tc>
          <w:tcPr>
            <w:tcW w:w="1060" w:type="dxa"/>
            <w:tcBorders>
              <w:top w:val="nil"/>
              <w:left w:val="nil"/>
              <w:bottom w:val="nil"/>
              <w:right w:val="nil"/>
            </w:tcBorders>
            <w:shd w:val="clear" w:color="auto" w:fill="auto"/>
            <w:noWrap/>
            <w:hideMark/>
          </w:tcPr>
          <w:p w14:paraId="746BFCF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85,907</w:t>
            </w:r>
          </w:p>
        </w:tc>
        <w:tc>
          <w:tcPr>
            <w:tcW w:w="1060" w:type="dxa"/>
            <w:tcBorders>
              <w:top w:val="nil"/>
              <w:left w:val="nil"/>
              <w:bottom w:val="nil"/>
              <w:right w:val="nil"/>
            </w:tcBorders>
            <w:shd w:val="clear" w:color="auto" w:fill="auto"/>
            <w:hideMark/>
          </w:tcPr>
          <w:p w14:paraId="6DD52E5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214,036</w:t>
            </w:r>
          </w:p>
        </w:tc>
        <w:tc>
          <w:tcPr>
            <w:tcW w:w="1060" w:type="dxa"/>
            <w:tcBorders>
              <w:top w:val="nil"/>
              <w:left w:val="nil"/>
              <w:bottom w:val="nil"/>
              <w:right w:val="nil"/>
            </w:tcBorders>
            <w:shd w:val="clear" w:color="auto" w:fill="auto"/>
            <w:noWrap/>
            <w:hideMark/>
          </w:tcPr>
          <w:p w14:paraId="265F442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134,345</w:t>
            </w:r>
          </w:p>
        </w:tc>
        <w:tc>
          <w:tcPr>
            <w:tcW w:w="1060" w:type="dxa"/>
            <w:tcBorders>
              <w:top w:val="nil"/>
              <w:left w:val="nil"/>
              <w:bottom w:val="nil"/>
              <w:right w:val="nil"/>
            </w:tcBorders>
            <w:shd w:val="clear" w:color="auto" w:fill="auto"/>
            <w:noWrap/>
            <w:hideMark/>
          </w:tcPr>
          <w:p w14:paraId="2FC74F5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96,030</w:t>
            </w:r>
          </w:p>
        </w:tc>
        <w:tc>
          <w:tcPr>
            <w:tcW w:w="1060" w:type="dxa"/>
            <w:tcBorders>
              <w:top w:val="nil"/>
              <w:left w:val="nil"/>
              <w:bottom w:val="nil"/>
              <w:right w:val="nil"/>
            </w:tcBorders>
            <w:shd w:val="clear" w:color="auto" w:fill="auto"/>
            <w:hideMark/>
          </w:tcPr>
          <w:p w14:paraId="0C3B59A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230,374</w:t>
            </w:r>
          </w:p>
        </w:tc>
        <w:tc>
          <w:tcPr>
            <w:tcW w:w="1060" w:type="dxa"/>
            <w:tcBorders>
              <w:top w:val="nil"/>
              <w:left w:val="nil"/>
              <w:bottom w:val="nil"/>
              <w:right w:val="nil"/>
            </w:tcBorders>
            <w:shd w:val="clear" w:color="auto" w:fill="auto"/>
            <w:noWrap/>
            <w:hideMark/>
          </w:tcPr>
          <w:p w14:paraId="5BEC2DF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130,718</w:t>
            </w:r>
          </w:p>
        </w:tc>
        <w:tc>
          <w:tcPr>
            <w:tcW w:w="1060" w:type="dxa"/>
            <w:tcBorders>
              <w:top w:val="nil"/>
              <w:left w:val="nil"/>
              <w:bottom w:val="nil"/>
              <w:right w:val="nil"/>
            </w:tcBorders>
            <w:shd w:val="clear" w:color="auto" w:fill="auto"/>
            <w:noWrap/>
            <w:hideMark/>
          </w:tcPr>
          <w:p w14:paraId="0EAC610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96,052</w:t>
            </w:r>
          </w:p>
        </w:tc>
        <w:tc>
          <w:tcPr>
            <w:tcW w:w="1060" w:type="dxa"/>
            <w:tcBorders>
              <w:top w:val="nil"/>
              <w:left w:val="nil"/>
              <w:bottom w:val="nil"/>
              <w:right w:val="nil"/>
            </w:tcBorders>
            <w:shd w:val="clear" w:color="auto" w:fill="auto"/>
            <w:hideMark/>
          </w:tcPr>
          <w:p w14:paraId="0614276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226,770</w:t>
            </w:r>
          </w:p>
        </w:tc>
        <w:tc>
          <w:tcPr>
            <w:tcW w:w="1000" w:type="dxa"/>
            <w:tcBorders>
              <w:top w:val="nil"/>
              <w:left w:val="nil"/>
              <w:bottom w:val="nil"/>
              <w:right w:val="nil"/>
            </w:tcBorders>
            <w:shd w:val="clear" w:color="auto" w:fill="auto"/>
            <w:noWrap/>
            <w:hideMark/>
          </w:tcPr>
          <w:p w14:paraId="4E37B78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(16,339)</w:t>
            </w:r>
          </w:p>
        </w:tc>
        <w:tc>
          <w:tcPr>
            <w:tcW w:w="1000" w:type="dxa"/>
            <w:tcBorders>
              <w:top w:val="nil"/>
              <w:left w:val="nil"/>
              <w:bottom w:val="nil"/>
              <w:right w:val="nil"/>
            </w:tcBorders>
            <w:shd w:val="clear" w:color="auto" w:fill="auto"/>
            <w:hideMark/>
          </w:tcPr>
          <w:p w14:paraId="4A87FF6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-7.1%</w:t>
            </w:r>
          </w:p>
        </w:tc>
      </w:tr>
      <w:tr w:rsidR="004D67F9" w:rsidRPr="004D67F9" w14:paraId="0B1D5090" w14:textId="77777777" w:rsidTr="004D67F9">
        <w:trPr>
          <w:divId w:val="1300526825"/>
          <w:trHeight w:val="345"/>
        </w:trPr>
        <w:tc>
          <w:tcPr>
            <w:tcW w:w="2680" w:type="dxa"/>
            <w:tcBorders>
              <w:top w:val="nil"/>
              <w:left w:val="nil"/>
              <w:bottom w:val="nil"/>
              <w:right w:val="nil"/>
            </w:tcBorders>
            <w:shd w:val="clear" w:color="auto" w:fill="auto"/>
            <w:hideMark/>
          </w:tcPr>
          <w:p w14:paraId="6E97E21E"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Brands and Designs</w:t>
            </w:r>
          </w:p>
        </w:tc>
        <w:tc>
          <w:tcPr>
            <w:tcW w:w="1060" w:type="dxa"/>
            <w:tcBorders>
              <w:top w:val="nil"/>
              <w:left w:val="nil"/>
              <w:bottom w:val="nil"/>
              <w:right w:val="nil"/>
            </w:tcBorders>
            <w:shd w:val="clear" w:color="auto" w:fill="auto"/>
            <w:noWrap/>
            <w:hideMark/>
          </w:tcPr>
          <w:p w14:paraId="53CA941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59,682</w:t>
            </w:r>
          </w:p>
        </w:tc>
        <w:tc>
          <w:tcPr>
            <w:tcW w:w="1060" w:type="dxa"/>
            <w:tcBorders>
              <w:top w:val="nil"/>
              <w:left w:val="nil"/>
              <w:bottom w:val="nil"/>
              <w:right w:val="nil"/>
            </w:tcBorders>
            <w:shd w:val="clear" w:color="auto" w:fill="auto"/>
            <w:noWrap/>
            <w:hideMark/>
          </w:tcPr>
          <w:p w14:paraId="1D9FB4C9"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19,548</w:t>
            </w:r>
          </w:p>
        </w:tc>
        <w:tc>
          <w:tcPr>
            <w:tcW w:w="1060" w:type="dxa"/>
            <w:tcBorders>
              <w:top w:val="nil"/>
              <w:left w:val="nil"/>
              <w:bottom w:val="nil"/>
              <w:right w:val="nil"/>
            </w:tcBorders>
            <w:shd w:val="clear" w:color="auto" w:fill="auto"/>
            <w:hideMark/>
          </w:tcPr>
          <w:p w14:paraId="12E73D9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79,230</w:t>
            </w:r>
          </w:p>
        </w:tc>
        <w:tc>
          <w:tcPr>
            <w:tcW w:w="1060" w:type="dxa"/>
            <w:tcBorders>
              <w:top w:val="nil"/>
              <w:left w:val="nil"/>
              <w:bottom w:val="nil"/>
              <w:right w:val="nil"/>
            </w:tcBorders>
            <w:shd w:val="clear" w:color="auto" w:fill="auto"/>
            <w:noWrap/>
            <w:hideMark/>
          </w:tcPr>
          <w:p w14:paraId="4C338B8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59,735</w:t>
            </w:r>
          </w:p>
        </w:tc>
        <w:tc>
          <w:tcPr>
            <w:tcW w:w="1060" w:type="dxa"/>
            <w:tcBorders>
              <w:top w:val="nil"/>
              <w:left w:val="nil"/>
              <w:bottom w:val="nil"/>
              <w:right w:val="nil"/>
            </w:tcBorders>
            <w:shd w:val="clear" w:color="auto" w:fill="auto"/>
            <w:noWrap/>
            <w:hideMark/>
          </w:tcPr>
          <w:p w14:paraId="707C653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20,695</w:t>
            </w:r>
          </w:p>
        </w:tc>
        <w:tc>
          <w:tcPr>
            <w:tcW w:w="1060" w:type="dxa"/>
            <w:tcBorders>
              <w:top w:val="nil"/>
              <w:left w:val="nil"/>
              <w:bottom w:val="nil"/>
              <w:right w:val="nil"/>
            </w:tcBorders>
            <w:shd w:val="clear" w:color="auto" w:fill="auto"/>
            <w:hideMark/>
          </w:tcPr>
          <w:p w14:paraId="6F43475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80,430</w:t>
            </w:r>
          </w:p>
        </w:tc>
        <w:tc>
          <w:tcPr>
            <w:tcW w:w="1060" w:type="dxa"/>
            <w:tcBorders>
              <w:top w:val="nil"/>
              <w:left w:val="nil"/>
              <w:bottom w:val="nil"/>
              <w:right w:val="nil"/>
            </w:tcBorders>
            <w:shd w:val="clear" w:color="auto" w:fill="auto"/>
            <w:noWrap/>
            <w:hideMark/>
          </w:tcPr>
          <w:p w14:paraId="0314D18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58,470</w:t>
            </w:r>
          </w:p>
        </w:tc>
        <w:tc>
          <w:tcPr>
            <w:tcW w:w="1060" w:type="dxa"/>
            <w:tcBorders>
              <w:top w:val="nil"/>
              <w:left w:val="nil"/>
              <w:bottom w:val="nil"/>
              <w:right w:val="nil"/>
            </w:tcBorders>
            <w:shd w:val="clear" w:color="auto" w:fill="auto"/>
            <w:noWrap/>
            <w:hideMark/>
          </w:tcPr>
          <w:p w14:paraId="50B660A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22,481</w:t>
            </w:r>
          </w:p>
        </w:tc>
        <w:tc>
          <w:tcPr>
            <w:tcW w:w="1060" w:type="dxa"/>
            <w:tcBorders>
              <w:top w:val="nil"/>
              <w:left w:val="nil"/>
              <w:bottom w:val="nil"/>
              <w:right w:val="nil"/>
            </w:tcBorders>
            <w:shd w:val="clear" w:color="auto" w:fill="auto"/>
            <w:hideMark/>
          </w:tcPr>
          <w:p w14:paraId="7FA6231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80,951</w:t>
            </w:r>
          </w:p>
        </w:tc>
        <w:tc>
          <w:tcPr>
            <w:tcW w:w="1000" w:type="dxa"/>
            <w:tcBorders>
              <w:top w:val="nil"/>
              <w:left w:val="nil"/>
              <w:bottom w:val="nil"/>
              <w:right w:val="nil"/>
            </w:tcBorders>
            <w:shd w:val="clear" w:color="auto" w:fill="auto"/>
            <w:noWrap/>
            <w:hideMark/>
          </w:tcPr>
          <w:p w14:paraId="239CD39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(1,200)</w:t>
            </w:r>
          </w:p>
        </w:tc>
        <w:tc>
          <w:tcPr>
            <w:tcW w:w="1000" w:type="dxa"/>
            <w:tcBorders>
              <w:top w:val="nil"/>
              <w:left w:val="nil"/>
              <w:bottom w:val="nil"/>
              <w:right w:val="nil"/>
            </w:tcBorders>
            <w:shd w:val="clear" w:color="auto" w:fill="auto"/>
            <w:hideMark/>
          </w:tcPr>
          <w:p w14:paraId="526F18F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-1.5%</w:t>
            </w:r>
          </w:p>
        </w:tc>
      </w:tr>
      <w:tr w:rsidR="004D67F9" w:rsidRPr="004D67F9" w14:paraId="183E3445" w14:textId="77777777" w:rsidTr="004D67F9">
        <w:trPr>
          <w:divId w:val="1300526825"/>
          <w:trHeight w:val="345"/>
        </w:trPr>
        <w:tc>
          <w:tcPr>
            <w:tcW w:w="2680" w:type="dxa"/>
            <w:tcBorders>
              <w:top w:val="nil"/>
              <w:left w:val="nil"/>
              <w:bottom w:val="nil"/>
              <w:right w:val="nil"/>
            </w:tcBorders>
            <w:shd w:val="clear" w:color="auto" w:fill="auto"/>
            <w:hideMark/>
          </w:tcPr>
          <w:p w14:paraId="7EA86AD1"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 xml:space="preserve">Copyright and Creative Industries </w:t>
            </w:r>
          </w:p>
        </w:tc>
        <w:tc>
          <w:tcPr>
            <w:tcW w:w="1060" w:type="dxa"/>
            <w:tcBorders>
              <w:top w:val="nil"/>
              <w:left w:val="nil"/>
              <w:bottom w:val="nil"/>
              <w:right w:val="nil"/>
            </w:tcBorders>
            <w:shd w:val="clear" w:color="auto" w:fill="auto"/>
            <w:noWrap/>
            <w:hideMark/>
          </w:tcPr>
          <w:p w14:paraId="1E16D13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19,899</w:t>
            </w:r>
          </w:p>
        </w:tc>
        <w:tc>
          <w:tcPr>
            <w:tcW w:w="1060" w:type="dxa"/>
            <w:tcBorders>
              <w:top w:val="nil"/>
              <w:left w:val="nil"/>
              <w:bottom w:val="nil"/>
              <w:right w:val="nil"/>
            </w:tcBorders>
            <w:shd w:val="clear" w:color="auto" w:fill="auto"/>
            <w:noWrap/>
            <w:hideMark/>
          </w:tcPr>
          <w:p w14:paraId="6C64ACB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17,866</w:t>
            </w:r>
          </w:p>
        </w:tc>
        <w:tc>
          <w:tcPr>
            <w:tcW w:w="1060" w:type="dxa"/>
            <w:tcBorders>
              <w:top w:val="nil"/>
              <w:left w:val="nil"/>
              <w:bottom w:val="nil"/>
              <w:right w:val="nil"/>
            </w:tcBorders>
            <w:shd w:val="clear" w:color="auto" w:fill="auto"/>
            <w:hideMark/>
          </w:tcPr>
          <w:p w14:paraId="6D42560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37,764</w:t>
            </w:r>
          </w:p>
        </w:tc>
        <w:tc>
          <w:tcPr>
            <w:tcW w:w="1060" w:type="dxa"/>
            <w:tcBorders>
              <w:top w:val="nil"/>
              <w:left w:val="nil"/>
              <w:bottom w:val="nil"/>
              <w:right w:val="nil"/>
            </w:tcBorders>
            <w:shd w:val="clear" w:color="auto" w:fill="auto"/>
            <w:noWrap/>
            <w:hideMark/>
          </w:tcPr>
          <w:p w14:paraId="24EBF07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18,352</w:t>
            </w:r>
          </w:p>
        </w:tc>
        <w:tc>
          <w:tcPr>
            <w:tcW w:w="1060" w:type="dxa"/>
            <w:tcBorders>
              <w:top w:val="nil"/>
              <w:left w:val="nil"/>
              <w:bottom w:val="nil"/>
              <w:right w:val="nil"/>
            </w:tcBorders>
            <w:shd w:val="clear" w:color="auto" w:fill="auto"/>
            <w:noWrap/>
            <w:hideMark/>
          </w:tcPr>
          <w:p w14:paraId="0A75B51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13,383</w:t>
            </w:r>
          </w:p>
        </w:tc>
        <w:tc>
          <w:tcPr>
            <w:tcW w:w="1060" w:type="dxa"/>
            <w:tcBorders>
              <w:top w:val="nil"/>
              <w:left w:val="nil"/>
              <w:bottom w:val="nil"/>
              <w:right w:val="nil"/>
            </w:tcBorders>
            <w:shd w:val="clear" w:color="auto" w:fill="auto"/>
            <w:hideMark/>
          </w:tcPr>
          <w:p w14:paraId="60B015D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31,735</w:t>
            </w:r>
          </w:p>
        </w:tc>
        <w:tc>
          <w:tcPr>
            <w:tcW w:w="1060" w:type="dxa"/>
            <w:tcBorders>
              <w:top w:val="nil"/>
              <w:left w:val="nil"/>
              <w:bottom w:val="nil"/>
              <w:right w:val="nil"/>
            </w:tcBorders>
            <w:shd w:val="clear" w:color="auto" w:fill="auto"/>
            <w:noWrap/>
            <w:hideMark/>
          </w:tcPr>
          <w:p w14:paraId="5E4353B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18,426</w:t>
            </w:r>
          </w:p>
        </w:tc>
        <w:tc>
          <w:tcPr>
            <w:tcW w:w="1060" w:type="dxa"/>
            <w:tcBorders>
              <w:top w:val="nil"/>
              <w:left w:val="nil"/>
              <w:bottom w:val="nil"/>
              <w:right w:val="nil"/>
            </w:tcBorders>
            <w:shd w:val="clear" w:color="auto" w:fill="auto"/>
            <w:noWrap/>
            <w:hideMark/>
          </w:tcPr>
          <w:p w14:paraId="57F06A0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14,740</w:t>
            </w:r>
          </w:p>
        </w:tc>
        <w:tc>
          <w:tcPr>
            <w:tcW w:w="1060" w:type="dxa"/>
            <w:tcBorders>
              <w:top w:val="nil"/>
              <w:left w:val="nil"/>
              <w:bottom w:val="nil"/>
              <w:right w:val="nil"/>
            </w:tcBorders>
            <w:shd w:val="clear" w:color="auto" w:fill="auto"/>
            <w:hideMark/>
          </w:tcPr>
          <w:p w14:paraId="3D21603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33,166</w:t>
            </w:r>
          </w:p>
        </w:tc>
        <w:tc>
          <w:tcPr>
            <w:tcW w:w="1000" w:type="dxa"/>
            <w:tcBorders>
              <w:top w:val="nil"/>
              <w:left w:val="nil"/>
              <w:bottom w:val="nil"/>
              <w:right w:val="nil"/>
            </w:tcBorders>
            <w:shd w:val="clear" w:color="auto" w:fill="auto"/>
            <w:noWrap/>
            <w:hideMark/>
          </w:tcPr>
          <w:p w14:paraId="44761D7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6,029</w:t>
            </w:r>
          </w:p>
        </w:tc>
        <w:tc>
          <w:tcPr>
            <w:tcW w:w="1000" w:type="dxa"/>
            <w:tcBorders>
              <w:top w:val="nil"/>
              <w:left w:val="nil"/>
              <w:bottom w:val="nil"/>
              <w:right w:val="nil"/>
            </w:tcBorders>
            <w:shd w:val="clear" w:color="auto" w:fill="auto"/>
            <w:hideMark/>
          </w:tcPr>
          <w:p w14:paraId="02552A2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19.0%</w:t>
            </w:r>
          </w:p>
        </w:tc>
      </w:tr>
      <w:tr w:rsidR="004D67F9" w:rsidRPr="004D67F9" w14:paraId="0672B035" w14:textId="77777777" w:rsidTr="004D67F9">
        <w:trPr>
          <w:divId w:val="1300526825"/>
          <w:trHeight w:val="345"/>
        </w:trPr>
        <w:tc>
          <w:tcPr>
            <w:tcW w:w="2680" w:type="dxa"/>
            <w:tcBorders>
              <w:top w:val="nil"/>
              <w:left w:val="nil"/>
              <w:bottom w:val="nil"/>
              <w:right w:val="nil"/>
            </w:tcBorders>
            <w:shd w:val="clear" w:color="auto" w:fill="auto"/>
            <w:hideMark/>
          </w:tcPr>
          <w:p w14:paraId="2567ED59"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Regional and National Development</w:t>
            </w:r>
          </w:p>
        </w:tc>
        <w:tc>
          <w:tcPr>
            <w:tcW w:w="1060" w:type="dxa"/>
            <w:tcBorders>
              <w:top w:val="nil"/>
              <w:left w:val="nil"/>
              <w:bottom w:val="nil"/>
              <w:right w:val="nil"/>
            </w:tcBorders>
            <w:shd w:val="clear" w:color="auto" w:fill="auto"/>
            <w:noWrap/>
            <w:hideMark/>
          </w:tcPr>
          <w:p w14:paraId="1F09353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48,435</w:t>
            </w:r>
          </w:p>
        </w:tc>
        <w:tc>
          <w:tcPr>
            <w:tcW w:w="1060" w:type="dxa"/>
            <w:tcBorders>
              <w:top w:val="nil"/>
              <w:left w:val="nil"/>
              <w:bottom w:val="nil"/>
              <w:right w:val="nil"/>
            </w:tcBorders>
            <w:shd w:val="clear" w:color="auto" w:fill="auto"/>
            <w:noWrap/>
            <w:hideMark/>
          </w:tcPr>
          <w:p w14:paraId="3F4C510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31,938</w:t>
            </w:r>
          </w:p>
        </w:tc>
        <w:tc>
          <w:tcPr>
            <w:tcW w:w="1060" w:type="dxa"/>
            <w:tcBorders>
              <w:top w:val="nil"/>
              <w:left w:val="nil"/>
              <w:bottom w:val="nil"/>
              <w:right w:val="nil"/>
            </w:tcBorders>
            <w:shd w:val="clear" w:color="auto" w:fill="auto"/>
            <w:hideMark/>
          </w:tcPr>
          <w:p w14:paraId="6DCE758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80,374</w:t>
            </w:r>
          </w:p>
        </w:tc>
        <w:tc>
          <w:tcPr>
            <w:tcW w:w="1060" w:type="dxa"/>
            <w:tcBorders>
              <w:top w:val="nil"/>
              <w:left w:val="nil"/>
              <w:bottom w:val="nil"/>
              <w:right w:val="nil"/>
            </w:tcBorders>
            <w:shd w:val="clear" w:color="auto" w:fill="auto"/>
            <w:noWrap/>
            <w:hideMark/>
          </w:tcPr>
          <w:p w14:paraId="247EB38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44,214</w:t>
            </w:r>
          </w:p>
        </w:tc>
        <w:tc>
          <w:tcPr>
            <w:tcW w:w="1060" w:type="dxa"/>
            <w:tcBorders>
              <w:top w:val="nil"/>
              <w:left w:val="nil"/>
              <w:bottom w:val="nil"/>
              <w:right w:val="nil"/>
            </w:tcBorders>
            <w:shd w:val="clear" w:color="auto" w:fill="auto"/>
            <w:noWrap/>
            <w:hideMark/>
          </w:tcPr>
          <w:p w14:paraId="2BB9F79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24,932</w:t>
            </w:r>
          </w:p>
        </w:tc>
        <w:tc>
          <w:tcPr>
            <w:tcW w:w="1060" w:type="dxa"/>
            <w:tcBorders>
              <w:top w:val="nil"/>
              <w:left w:val="nil"/>
              <w:bottom w:val="nil"/>
              <w:right w:val="nil"/>
            </w:tcBorders>
            <w:shd w:val="clear" w:color="auto" w:fill="auto"/>
            <w:hideMark/>
          </w:tcPr>
          <w:p w14:paraId="185D3D5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69,145</w:t>
            </w:r>
          </w:p>
        </w:tc>
        <w:tc>
          <w:tcPr>
            <w:tcW w:w="1060" w:type="dxa"/>
            <w:tcBorders>
              <w:top w:val="nil"/>
              <w:left w:val="nil"/>
              <w:bottom w:val="nil"/>
              <w:right w:val="nil"/>
            </w:tcBorders>
            <w:shd w:val="clear" w:color="auto" w:fill="auto"/>
            <w:noWrap/>
            <w:hideMark/>
          </w:tcPr>
          <w:p w14:paraId="4C08183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46,478</w:t>
            </w:r>
          </w:p>
        </w:tc>
        <w:tc>
          <w:tcPr>
            <w:tcW w:w="1060" w:type="dxa"/>
            <w:tcBorders>
              <w:top w:val="nil"/>
              <w:left w:val="nil"/>
              <w:bottom w:val="nil"/>
              <w:right w:val="nil"/>
            </w:tcBorders>
            <w:shd w:val="clear" w:color="auto" w:fill="auto"/>
            <w:noWrap/>
            <w:hideMark/>
          </w:tcPr>
          <w:p w14:paraId="6D96B4D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27,213</w:t>
            </w:r>
          </w:p>
        </w:tc>
        <w:tc>
          <w:tcPr>
            <w:tcW w:w="1060" w:type="dxa"/>
            <w:tcBorders>
              <w:top w:val="nil"/>
              <w:left w:val="nil"/>
              <w:bottom w:val="nil"/>
              <w:right w:val="nil"/>
            </w:tcBorders>
            <w:shd w:val="clear" w:color="auto" w:fill="auto"/>
            <w:hideMark/>
          </w:tcPr>
          <w:p w14:paraId="49A5D19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73,690</w:t>
            </w:r>
          </w:p>
        </w:tc>
        <w:tc>
          <w:tcPr>
            <w:tcW w:w="1000" w:type="dxa"/>
            <w:tcBorders>
              <w:top w:val="nil"/>
              <w:left w:val="nil"/>
              <w:bottom w:val="nil"/>
              <w:right w:val="nil"/>
            </w:tcBorders>
            <w:shd w:val="clear" w:color="auto" w:fill="auto"/>
            <w:noWrap/>
            <w:hideMark/>
          </w:tcPr>
          <w:p w14:paraId="79673E9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11,228</w:t>
            </w:r>
          </w:p>
        </w:tc>
        <w:tc>
          <w:tcPr>
            <w:tcW w:w="1000" w:type="dxa"/>
            <w:tcBorders>
              <w:top w:val="nil"/>
              <w:left w:val="nil"/>
              <w:bottom w:val="nil"/>
              <w:right w:val="nil"/>
            </w:tcBorders>
            <w:shd w:val="clear" w:color="auto" w:fill="auto"/>
            <w:hideMark/>
          </w:tcPr>
          <w:p w14:paraId="08D8F66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16.2%</w:t>
            </w:r>
          </w:p>
        </w:tc>
      </w:tr>
      <w:tr w:rsidR="004D67F9" w:rsidRPr="004D67F9" w14:paraId="3D9CF1A3" w14:textId="77777777" w:rsidTr="004D67F9">
        <w:trPr>
          <w:divId w:val="1300526825"/>
          <w:trHeight w:val="345"/>
        </w:trPr>
        <w:tc>
          <w:tcPr>
            <w:tcW w:w="2680" w:type="dxa"/>
            <w:tcBorders>
              <w:top w:val="nil"/>
              <w:left w:val="nil"/>
              <w:bottom w:val="nil"/>
              <w:right w:val="nil"/>
            </w:tcBorders>
            <w:shd w:val="clear" w:color="auto" w:fill="auto"/>
            <w:hideMark/>
          </w:tcPr>
          <w:p w14:paraId="78DE9759"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Infrastructure and Platforms</w:t>
            </w:r>
          </w:p>
        </w:tc>
        <w:tc>
          <w:tcPr>
            <w:tcW w:w="1060" w:type="dxa"/>
            <w:tcBorders>
              <w:top w:val="nil"/>
              <w:left w:val="nil"/>
              <w:bottom w:val="nil"/>
              <w:right w:val="nil"/>
            </w:tcBorders>
            <w:shd w:val="clear" w:color="auto" w:fill="auto"/>
            <w:noWrap/>
            <w:hideMark/>
          </w:tcPr>
          <w:p w14:paraId="0E61371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27,116</w:t>
            </w:r>
          </w:p>
        </w:tc>
        <w:tc>
          <w:tcPr>
            <w:tcW w:w="1060" w:type="dxa"/>
            <w:tcBorders>
              <w:top w:val="nil"/>
              <w:left w:val="nil"/>
              <w:bottom w:val="nil"/>
              <w:right w:val="nil"/>
            </w:tcBorders>
            <w:shd w:val="clear" w:color="auto" w:fill="auto"/>
            <w:noWrap/>
            <w:hideMark/>
          </w:tcPr>
          <w:p w14:paraId="428ADCF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14,694</w:t>
            </w:r>
          </w:p>
        </w:tc>
        <w:tc>
          <w:tcPr>
            <w:tcW w:w="1060" w:type="dxa"/>
            <w:tcBorders>
              <w:top w:val="nil"/>
              <w:left w:val="nil"/>
              <w:bottom w:val="nil"/>
              <w:right w:val="nil"/>
            </w:tcBorders>
            <w:shd w:val="clear" w:color="auto" w:fill="auto"/>
            <w:hideMark/>
          </w:tcPr>
          <w:p w14:paraId="644B123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41,810</w:t>
            </w:r>
          </w:p>
        </w:tc>
        <w:tc>
          <w:tcPr>
            <w:tcW w:w="1060" w:type="dxa"/>
            <w:tcBorders>
              <w:top w:val="nil"/>
              <w:left w:val="nil"/>
              <w:bottom w:val="nil"/>
              <w:right w:val="nil"/>
            </w:tcBorders>
            <w:shd w:val="clear" w:color="auto" w:fill="auto"/>
            <w:noWrap/>
            <w:hideMark/>
          </w:tcPr>
          <w:p w14:paraId="2F06D42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26,496</w:t>
            </w:r>
          </w:p>
        </w:tc>
        <w:tc>
          <w:tcPr>
            <w:tcW w:w="1060" w:type="dxa"/>
            <w:tcBorders>
              <w:top w:val="nil"/>
              <w:left w:val="nil"/>
              <w:bottom w:val="nil"/>
              <w:right w:val="nil"/>
            </w:tcBorders>
            <w:shd w:val="clear" w:color="auto" w:fill="auto"/>
            <w:noWrap/>
            <w:hideMark/>
          </w:tcPr>
          <w:p w14:paraId="3406700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11,186</w:t>
            </w:r>
          </w:p>
        </w:tc>
        <w:tc>
          <w:tcPr>
            <w:tcW w:w="1060" w:type="dxa"/>
            <w:tcBorders>
              <w:top w:val="nil"/>
              <w:left w:val="nil"/>
              <w:bottom w:val="nil"/>
              <w:right w:val="nil"/>
            </w:tcBorders>
            <w:shd w:val="clear" w:color="auto" w:fill="auto"/>
            <w:hideMark/>
          </w:tcPr>
          <w:p w14:paraId="76059B4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37,682</w:t>
            </w:r>
          </w:p>
        </w:tc>
        <w:tc>
          <w:tcPr>
            <w:tcW w:w="1060" w:type="dxa"/>
            <w:tcBorders>
              <w:top w:val="nil"/>
              <w:left w:val="nil"/>
              <w:bottom w:val="nil"/>
              <w:right w:val="nil"/>
            </w:tcBorders>
            <w:shd w:val="clear" w:color="auto" w:fill="auto"/>
            <w:noWrap/>
            <w:hideMark/>
          </w:tcPr>
          <w:p w14:paraId="5022FCF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25,071</w:t>
            </w:r>
          </w:p>
        </w:tc>
        <w:tc>
          <w:tcPr>
            <w:tcW w:w="1060" w:type="dxa"/>
            <w:tcBorders>
              <w:top w:val="nil"/>
              <w:left w:val="nil"/>
              <w:bottom w:val="nil"/>
              <w:right w:val="nil"/>
            </w:tcBorders>
            <w:shd w:val="clear" w:color="auto" w:fill="auto"/>
            <w:noWrap/>
            <w:hideMark/>
          </w:tcPr>
          <w:p w14:paraId="694F411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12,687</w:t>
            </w:r>
          </w:p>
        </w:tc>
        <w:tc>
          <w:tcPr>
            <w:tcW w:w="1060" w:type="dxa"/>
            <w:tcBorders>
              <w:top w:val="nil"/>
              <w:left w:val="nil"/>
              <w:bottom w:val="nil"/>
              <w:right w:val="nil"/>
            </w:tcBorders>
            <w:shd w:val="clear" w:color="auto" w:fill="auto"/>
            <w:hideMark/>
          </w:tcPr>
          <w:p w14:paraId="20819D8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37,758</w:t>
            </w:r>
          </w:p>
        </w:tc>
        <w:tc>
          <w:tcPr>
            <w:tcW w:w="1000" w:type="dxa"/>
            <w:tcBorders>
              <w:top w:val="nil"/>
              <w:left w:val="nil"/>
              <w:bottom w:val="nil"/>
              <w:right w:val="nil"/>
            </w:tcBorders>
            <w:shd w:val="clear" w:color="auto" w:fill="auto"/>
            <w:noWrap/>
            <w:hideMark/>
          </w:tcPr>
          <w:p w14:paraId="2785DD8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4,128</w:t>
            </w:r>
          </w:p>
        </w:tc>
        <w:tc>
          <w:tcPr>
            <w:tcW w:w="1000" w:type="dxa"/>
            <w:tcBorders>
              <w:top w:val="nil"/>
              <w:left w:val="nil"/>
              <w:bottom w:val="nil"/>
              <w:right w:val="nil"/>
            </w:tcBorders>
            <w:shd w:val="clear" w:color="auto" w:fill="auto"/>
            <w:hideMark/>
          </w:tcPr>
          <w:p w14:paraId="55912DF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11.0%</w:t>
            </w:r>
          </w:p>
        </w:tc>
      </w:tr>
      <w:tr w:rsidR="004D67F9" w:rsidRPr="004D67F9" w14:paraId="39E54023" w14:textId="77777777" w:rsidTr="004D67F9">
        <w:trPr>
          <w:divId w:val="1300526825"/>
          <w:trHeight w:val="345"/>
        </w:trPr>
        <w:tc>
          <w:tcPr>
            <w:tcW w:w="2680" w:type="dxa"/>
            <w:tcBorders>
              <w:top w:val="nil"/>
              <w:left w:val="nil"/>
              <w:bottom w:val="nil"/>
              <w:right w:val="nil"/>
            </w:tcBorders>
            <w:shd w:val="clear" w:color="auto" w:fill="auto"/>
            <w:hideMark/>
          </w:tcPr>
          <w:p w14:paraId="48EEC7B1"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Global Challenges and Partnerships</w:t>
            </w:r>
          </w:p>
        </w:tc>
        <w:tc>
          <w:tcPr>
            <w:tcW w:w="1060" w:type="dxa"/>
            <w:tcBorders>
              <w:top w:val="nil"/>
              <w:left w:val="nil"/>
              <w:bottom w:val="nil"/>
              <w:right w:val="nil"/>
            </w:tcBorders>
            <w:shd w:val="clear" w:color="auto" w:fill="auto"/>
            <w:noWrap/>
            <w:hideMark/>
          </w:tcPr>
          <w:p w14:paraId="0B6FA41A"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20,338</w:t>
            </w:r>
          </w:p>
        </w:tc>
        <w:tc>
          <w:tcPr>
            <w:tcW w:w="1060" w:type="dxa"/>
            <w:tcBorders>
              <w:top w:val="nil"/>
              <w:left w:val="nil"/>
              <w:bottom w:val="nil"/>
              <w:right w:val="nil"/>
            </w:tcBorders>
            <w:shd w:val="clear" w:color="auto" w:fill="auto"/>
            <w:noWrap/>
            <w:hideMark/>
          </w:tcPr>
          <w:p w14:paraId="54F721E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8,943</w:t>
            </w:r>
          </w:p>
        </w:tc>
        <w:tc>
          <w:tcPr>
            <w:tcW w:w="1060" w:type="dxa"/>
            <w:tcBorders>
              <w:top w:val="nil"/>
              <w:left w:val="nil"/>
              <w:bottom w:val="nil"/>
              <w:right w:val="nil"/>
            </w:tcBorders>
            <w:shd w:val="clear" w:color="auto" w:fill="auto"/>
            <w:hideMark/>
          </w:tcPr>
          <w:p w14:paraId="27DC9E6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29,281</w:t>
            </w:r>
          </w:p>
        </w:tc>
        <w:tc>
          <w:tcPr>
            <w:tcW w:w="1060" w:type="dxa"/>
            <w:tcBorders>
              <w:top w:val="nil"/>
              <w:left w:val="nil"/>
              <w:bottom w:val="nil"/>
              <w:right w:val="nil"/>
            </w:tcBorders>
            <w:shd w:val="clear" w:color="auto" w:fill="auto"/>
            <w:noWrap/>
            <w:hideMark/>
          </w:tcPr>
          <w:p w14:paraId="55B6403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18,421</w:t>
            </w:r>
          </w:p>
        </w:tc>
        <w:tc>
          <w:tcPr>
            <w:tcW w:w="1060" w:type="dxa"/>
            <w:tcBorders>
              <w:top w:val="nil"/>
              <w:left w:val="nil"/>
              <w:bottom w:val="nil"/>
              <w:right w:val="nil"/>
            </w:tcBorders>
            <w:shd w:val="clear" w:color="auto" w:fill="auto"/>
            <w:noWrap/>
            <w:hideMark/>
          </w:tcPr>
          <w:p w14:paraId="4BCB6E6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7,060</w:t>
            </w:r>
          </w:p>
        </w:tc>
        <w:tc>
          <w:tcPr>
            <w:tcW w:w="1060" w:type="dxa"/>
            <w:tcBorders>
              <w:top w:val="nil"/>
              <w:left w:val="nil"/>
              <w:bottom w:val="nil"/>
              <w:right w:val="nil"/>
            </w:tcBorders>
            <w:shd w:val="clear" w:color="auto" w:fill="auto"/>
            <w:hideMark/>
          </w:tcPr>
          <w:p w14:paraId="5657442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25,480</w:t>
            </w:r>
          </w:p>
        </w:tc>
        <w:tc>
          <w:tcPr>
            <w:tcW w:w="1060" w:type="dxa"/>
            <w:tcBorders>
              <w:top w:val="nil"/>
              <w:left w:val="nil"/>
              <w:bottom w:val="nil"/>
              <w:right w:val="nil"/>
            </w:tcBorders>
            <w:shd w:val="clear" w:color="auto" w:fill="auto"/>
            <w:noWrap/>
            <w:hideMark/>
          </w:tcPr>
          <w:p w14:paraId="6CDD703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18,561</w:t>
            </w:r>
          </w:p>
        </w:tc>
        <w:tc>
          <w:tcPr>
            <w:tcW w:w="1060" w:type="dxa"/>
            <w:tcBorders>
              <w:top w:val="nil"/>
              <w:left w:val="nil"/>
              <w:bottom w:val="nil"/>
              <w:right w:val="nil"/>
            </w:tcBorders>
            <w:shd w:val="clear" w:color="auto" w:fill="auto"/>
            <w:noWrap/>
            <w:hideMark/>
          </w:tcPr>
          <w:p w14:paraId="0627D49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7,652</w:t>
            </w:r>
          </w:p>
        </w:tc>
        <w:tc>
          <w:tcPr>
            <w:tcW w:w="1060" w:type="dxa"/>
            <w:tcBorders>
              <w:top w:val="nil"/>
              <w:left w:val="nil"/>
              <w:bottom w:val="nil"/>
              <w:right w:val="nil"/>
            </w:tcBorders>
            <w:shd w:val="clear" w:color="auto" w:fill="auto"/>
            <w:hideMark/>
          </w:tcPr>
          <w:p w14:paraId="4113653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26,213</w:t>
            </w:r>
          </w:p>
        </w:tc>
        <w:tc>
          <w:tcPr>
            <w:tcW w:w="1000" w:type="dxa"/>
            <w:tcBorders>
              <w:top w:val="nil"/>
              <w:left w:val="nil"/>
              <w:bottom w:val="nil"/>
              <w:right w:val="nil"/>
            </w:tcBorders>
            <w:shd w:val="clear" w:color="auto" w:fill="auto"/>
            <w:noWrap/>
            <w:hideMark/>
          </w:tcPr>
          <w:p w14:paraId="201EF04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3,801</w:t>
            </w:r>
          </w:p>
        </w:tc>
        <w:tc>
          <w:tcPr>
            <w:tcW w:w="1000" w:type="dxa"/>
            <w:tcBorders>
              <w:top w:val="nil"/>
              <w:left w:val="nil"/>
              <w:bottom w:val="nil"/>
              <w:right w:val="nil"/>
            </w:tcBorders>
            <w:shd w:val="clear" w:color="auto" w:fill="auto"/>
            <w:hideMark/>
          </w:tcPr>
          <w:p w14:paraId="5DF5CDC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14.9%</w:t>
            </w:r>
          </w:p>
        </w:tc>
      </w:tr>
      <w:tr w:rsidR="004D67F9" w:rsidRPr="004D67F9" w14:paraId="311FAEEF" w14:textId="77777777" w:rsidTr="004D67F9">
        <w:trPr>
          <w:divId w:val="1300526825"/>
          <w:trHeight w:val="345"/>
        </w:trPr>
        <w:tc>
          <w:tcPr>
            <w:tcW w:w="2680" w:type="dxa"/>
            <w:tcBorders>
              <w:top w:val="nil"/>
              <w:left w:val="nil"/>
              <w:bottom w:val="nil"/>
              <w:right w:val="nil"/>
            </w:tcBorders>
            <w:shd w:val="clear" w:color="auto" w:fill="auto"/>
            <w:hideMark/>
          </w:tcPr>
          <w:p w14:paraId="2ADA5290"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IP and Innovation Ecosystems</w:t>
            </w:r>
          </w:p>
        </w:tc>
        <w:tc>
          <w:tcPr>
            <w:tcW w:w="1060" w:type="dxa"/>
            <w:tcBorders>
              <w:top w:val="nil"/>
              <w:left w:val="nil"/>
              <w:bottom w:val="nil"/>
              <w:right w:val="nil"/>
            </w:tcBorders>
            <w:shd w:val="clear" w:color="auto" w:fill="auto"/>
            <w:noWrap/>
            <w:hideMark/>
          </w:tcPr>
          <w:p w14:paraId="149E1B9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37,652</w:t>
            </w:r>
          </w:p>
        </w:tc>
        <w:tc>
          <w:tcPr>
            <w:tcW w:w="1060" w:type="dxa"/>
            <w:tcBorders>
              <w:top w:val="nil"/>
              <w:left w:val="nil"/>
              <w:bottom w:val="nil"/>
              <w:right w:val="nil"/>
            </w:tcBorders>
            <w:shd w:val="clear" w:color="auto" w:fill="auto"/>
            <w:noWrap/>
            <w:hideMark/>
          </w:tcPr>
          <w:p w14:paraId="1095D31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13,119</w:t>
            </w:r>
          </w:p>
        </w:tc>
        <w:tc>
          <w:tcPr>
            <w:tcW w:w="1060" w:type="dxa"/>
            <w:tcBorders>
              <w:top w:val="nil"/>
              <w:left w:val="nil"/>
              <w:bottom w:val="nil"/>
              <w:right w:val="nil"/>
            </w:tcBorders>
            <w:shd w:val="clear" w:color="auto" w:fill="auto"/>
            <w:hideMark/>
          </w:tcPr>
          <w:p w14:paraId="5ED0D62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50,771</w:t>
            </w:r>
          </w:p>
        </w:tc>
        <w:tc>
          <w:tcPr>
            <w:tcW w:w="1060" w:type="dxa"/>
            <w:tcBorders>
              <w:top w:val="nil"/>
              <w:left w:val="nil"/>
              <w:bottom w:val="nil"/>
              <w:right w:val="nil"/>
            </w:tcBorders>
            <w:shd w:val="clear" w:color="auto" w:fill="auto"/>
            <w:noWrap/>
            <w:hideMark/>
          </w:tcPr>
          <w:p w14:paraId="0CB46F1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32,432</w:t>
            </w:r>
          </w:p>
        </w:tc>
        <w:tc>
          <w:tcPr>
            <w:tcW w:w="1060" w:type="dxa"/>
            <w:tcBorders>
              <w:top w:val="nil"/>
              <w:left w:val="nil"/>
              <w:bottom w:val="nil"/>
              <w:right w:val="nil"/>
            </w:tcBorders>
            <w:shd w:val="clear" w:color="auto" w:fill="auto"/>
            <w:noWrap/>
            <w:hideMark/>
          </w:tcPr>
          <w:p w14:paraId="01174FF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11,542</w:t>
            </w:r>
          </w:p>
        </w:tc>
        <w:tc>
          <w:tcPr>
            <w:tcW w:w="1060" w:type="dxa"/>
            <w:tcBorders>
              <w:top w:val="nil"/>
              <w:left w:val="nil"/>
              <w:bottom w:val="nil"/>
              <w:right w:val="nil"/>
            </w:tcBorders>
            <w:shd w:val="clear" w:color="auto" w:fill="auto"/>
            <w:hideMark/>
          </w:tcPr>
          <w:p w14:paraId="766301C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43,975</w:t>
            </w:r>
          </w:p>
        </w:tc>
        <w:tc>
          <w:tcPr>
            <w:tcW w:w="1060" w:type="dxa"/>
            <w:tcBorders>
              <w:top w:val="nil"/>
              <w:left w:val="nil"/>
              <w:bottom w:val="nil"/>
              <w:right w:val="nil"/>
            </w:tcBorders>
            <w:shd w:val="clear" w:color="auto" w:fill="auto"/>
            <w:noWrap/>
            <w:hideMark/>
          </w:tcPr>
          <w:p w14:paraId="4F47393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33,221</w:t>
            </w:r>
          </w:p>
        </w:tc>
        <w:tc>
          <w:tcPr>
            <w:tcW w:w="1060" w:type="dxa"/>
            <w:tcBorders>
              <w:top w:val="nil"/>
              <w:left w:val="nil"/>
              <w:bottom w:val="nil"/>
              <w:right w:val="nil"/>
            </w:tcBorders>
            <w:shd w:val="clear" w:color="auto" w:fill="auto"/>
            <w:noWrap/>
            <w:hideMark/>
          </w:tcPr>
          <w:p w14:paraId="7A6A817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12,153</w:t>
            </w:r>
          </w:p>
        </w:tc>
        <w:tc>
          <w:tcPr>
            <w:tcW w:w="1060" w:type="dxa"/>
            <w:tcBorders>
              <w:top w:val="nil"/>
              <w:left w:val="nil"/>
              <w:bottom w:val="nil"/>
              <w:right w:val="nil"/>
            </w:tcBorders>
            <w:shd w:val="clear" w:color="auto" w:fill="auto"/>
            <w:hideMark/>
          </w:tcPr>
          <w:p w14:paraId="62F4A81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45,374</w:t>
            </w:r>
          </w:p>
        </w:tc>
        <w:tc>
          <w:tcPr>
            <w:tcW w:w="1000" w:type="dxa"/>
            <w:tcBorders>
              <w:top w:val="nil"/>
              <w:left w:val="nil"/>
              <w:bottom w:val="nil"/>
              <w:right w:val="nil"/>
            </w:tcBorders>
            <w:shd w:val="clear" w:color="auto" w:fill="auto"/>
            <w:noWrap/>
            <w:hideMark/>
          </w:tcPr>
          <w:p w14:paraId="5EE049B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6,797</w:t>
            </w:r>
          </w:p>
        </w:tc>
        <w:tc>
          <w:tcPr>
            <w:tcW w:w="1000" w:type="dxa"/>
            <w:tcBorders>
              <w:top w:val="nil"/>
              <w:left w:val="nil"/>
              <w:bottom w:val="nil"/>
              <w:right w:val="nil"/>
            </w:tcBorders>
            <w:shd w:val="clear" w:color="auto" w:fill="auto"/>
            <w:hideMark/>
          </w:tcPr>
          <w:p w14:paraId="5D7A1FB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15.5%</w:t>
            </w:r>
          </w:p>
        </w:tc>
      </w:tr>
      <w:tr w:rsidR="004D67F9" w:rsidRPr="004D67F9" w14:paraId="409D19DE" w14:textId="77777777" w:rsidTr="004D67F9">
        <w:trPr>
          <w:divId w:val="1300526825"/>
          <w:trHeight w:val="345"/>
        </w:trPr>
        <w:tc>
          <w:tcPr>
            <w:tcW w:w="2680" w:type="dxa"/>
            <w:tcBorders>
              <w:top w:val="nil"/>
              <w:left w:val="nil"/>
              <w:bottom w:val="nil"/>
              <w:right w:val="nil"/>
            </w:tcBorders>
            <w:shd w:val="clear" w:color="auto" w:fill="auto"/>
            <w:hideMark/>
          </w:tcPr>
          <w:p w14:paraId="2786DF8B"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Administration, Finance and Management</w:t>
            </w:r>
          </w:p>
        </w:tc>
        <w:tc>
          <w:tcPr>
            <w:tcW w:w="1060" w:type="dxa"/>
            <w:tcBorders>
              <w:top w:val="nil"/>
              <w:left w:val="nil"/>
              <w:bottom w:val="nil"/>
              <w:right w:val="nil"/>
            </w:tcBorders>
            <w:shd w:val="clear" w:color="auto" w:fill="auto"/>
            <w:noWrap/>
            <w:hideMark/>
          </w:tcPr>
          <w:p w14:paraId="7C3A8D5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165,346</w:t>
            </w:r>
          </w:p>
        </w:tc>
        <w:tc>
          <w:tcPr>
            <w:tcW w:w="1060" w:type="dxa"/>
            <w:tcBorders>
              <w:top w:val="nil"/>
              <w:left w:val="nil"/>
              <w:bottom w:val="nil"/>
              <w:right w:val="nil"/>
            </w:tcBorders>
            <w:shd w:val="clear" w:color="auto" w:fill="auto"/>
            <w:noWrap/>
            <w:hideMark/>
          </w:tcPr>
          <w:p w14:paraId="6D4E3FF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150,517</w:t>
            </w:r>
          </w:p>
        </w:tc>
        <w:tc>
          <w:tcPr>
            <w:tcW w:w="1060" w:type="dxa"/>
            <w:tcBorders>
              <w:top w:val="nil"/>
              <w:left w:val="nil"/>
              <w:bottom w:val="nil"/>
              <w:right w:val="nil"/>
            </w:tcBorders>
            <w:shd w:val="clear" w:color="auto" w:fill="auto"/>
            <w:hideMark/>
          </w:tcPr>
          <w:p w14:paraId="6DF9BC0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315,863</w:t>
            </w:r>
          </w:p>
        </w:tc>
        <w:tc>
          <w:tcPr>
            <w:tcW w:w="1060" w:type="dxa"/>
            <w:tcBorders>
              <w:top w:val="nil"/>
              <w:left w:val="nil"/>
              <w:bottom w:val="nil"/>
              <w:right w:val="nil"/>
            </w:tcBorders>
            <w:shd w:val="clear" w:color="auto" w:fill="auto"/>
            <w:noWrap/>
            <w:hideMark/>
          </w:tcPr>
          <w:p w14:paraId="20AF40C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135,144</w:t>
            </w:r>
          </w:p>
        </w:tc>
        <w:tc>
          <w:tcPr>
            <w:tcW w:w="1060" w:type="dxa"/>
            <w:tcBorders>
              <w:top w:val="nil"/>
              <w:left w:val="nil"/>
              <w:bottom w:val="nil"/>
              <w:right w:val="nil"/>
            </w:tcBorders>
            <w:shd w:val="clear" w:color="auto" w:fill="auto"/>
            <w:noWrap/>
            <w:hideMark/>
          </w:tcPr>
          <w:p w14:paraId="7E54928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127,879</w:t>
            </w:r>
          </w:p>
        </w:tc>
        <w:tc>
          <w:tcPr>
            <w:tcW w:w="1060" w:type="dxa"/>
            <w:tcBorders>
              <w:top w:val="nil"/>
              <w:left w:val="nil"/>
              <w:bottom w:val="nil"/>
              <w:right w:val="nil"/>
            </w:tcBorders>
            <w:shd w:val="clear" w:color="auto" w:fill="auto"/>
            <w:hideMark/>
          </w:tcPr>
          <w:p w14:paraId="0D85C0B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263,023</w:t>
            </w:r>
          </w:p>
        </w:tc>
        <w:tc>
          <w:tcPr>
            <w:tcW w:w="1060" w:type="dxa"/>
            <w:tcBorders>
              <w:top w:val="nil"/>
              <w:left w:val="nil"/>
              <w:bottom w:val="nil"/>
              <w:right w:val="nil"/>
            </w:tcBorders>
            <w:shd w:val="clear" w:color="auto" w:fill="auto"/>
            <w:noWrap/>
            <w:hideMark/>
          </w:tcPr>
          <w:p w14:paraId="5F3E587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134,432</w:t>
            </w:r>
          </w:p>
        </w:tc>
        <w:tc>
          <w:tcPr>
            <w:tcW w:w="1060" w:type="dxa"/>
            <w:tcBorders>
              <w:top w:val="nil"/>
              <w:left w:val="nil"/>
              <w:bottom w:val="nil"/>
              <w:right w:val="nil"/>
            </w:tcBorders>
            <w:shd w:val="clear" w:color="auto" w:fill="auto"/>
            <w:noWrap/>
            <w:hideMark/>
          </w:tcPr>
          <w:p w14:paraId="75D5757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127,775</w:t>
            </w:r>
          </w:p>
        </w:tc>
        <w:tc>
          <w:tcPr>
            <w:tcW w:w="1060" w:type="dxa"/>
            <w:tcBorders>
              <w:top w:val="nil"/>
              <w:left w:val="nil"/>
              <w:bottom w:val="nil"/>
              <w:right w:val="nil"/>
            </w:tcBorders>
            <w:shd w:val="clear" w:color="auto" w:fill="auto"/>
            <w:hideMark/>
          </w:tcPr>
          <w:p w14:paraId="19096AE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262,207</w:t>
            </w:r>
          </w:p>
        </w:tc>
        <w:tc>
          <w:tcPr>
            <w:tcW w:w="1000" w:type="dxa"/>
            <w:tcBorders>
              <w:top w:val="nil"/>
              <w:left w:val="nil"/>
              <w:bottom w:val="nil"/>
              <w:right w:val="nil"/>
            </w:tcBorders>
            <w:shd w:val="clear" w:color="auto" w:fill="auto"/>
            <w:noWrap/>
            <w:hideMark/>
          </w:tcPr>
          <w:p w14:paraId="195794D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52,840</w:t>
            </w:r>
          </w:p>
        </w:tc>
        <w:tc>
          <w:tcPr>
            <w:tcW w:w="1000" w:type="dxa"/>
            <w:tcBorders>
              <w:top w:val="nil"/>
              <w:left w:val="nil"/>
              <w:bottom w:val="nil"/>
              <w:right w:val="nil"/>
            </w:tcBorders>
            <w:shd w:val="clear" w:color="auto" w:fill="auto"/>
            <w:hideMark/>
          </w:tcPr>
          <w:p w14:paraId="4FF68D7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20.1%</w:t>
            </w:r>
          </w:p>
        </w:tc>
      </w:tr>
      <w:tr w:rsidR="004D67F9" w:rsidRPr="004D67F9" w14:paraId="771DB44F" w14:textId="77777777" w:rsidTr="004D67F9">
        <w:trPr>
          <w:divId w:val="1300526825"/>
          <w:trHeight w:val="345"/>
        </w:trPr>
        <w:tc>
          <w:tcPr>
            <w:tcW w:w="2680" w:type="dxa"/>
            <w:tcBorders>
              <w:top w:val="nil"/>
              <w:left w:val="nil"/>
              <w:bottom w:val="nil"/>
              <w:right w:val="nil"/>
            </w:tcBorders>
            <w:shd w:val="clear" w:color="auto" w:fill="auto"/>
            <w:hideMark/>
          </w:tcPr>
          <w:p w14:paraId="65F6301D" w14:textId="77777777" w:rsidR="004D67F9" w:rsidRPr="004D67F9" w:rsidRDefault="004D67F9" w:rsidP="004D67F9">
            <w:pPr>
              <w:spacing w:after="0" w:line="240" w:lineRule="auto"/>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Unallocated</w:t>
            </w:r>
          </w:p>
        </w:tc>
        <w:tc>
          <w:tcPr>
            <w:tcW w:w="1060" w:type="dxa"/>
            <w:tcBorders>
              <w:top w:val="nil"/>
              <w:left w:val="nil"/>
              <w:bottom w:val="nil"/>
              <w:right w:val="nil"/>
            </w:tcBorders>
            <w:shd w:val="clear" w:color="auto" w:fill="auto"/>
            <w:noWrap/>
            <w:hideMark/>
          </w:tcPr>
          <w:p w14:paraId="30A0B9E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5,571</w:t>
            </w:r>
          </w:p>
        </w:tc>
        <w:tc>
          <w:tcPr>
            <w:tcW w:w="1060" w:type="dxa"/>
            <w:tcBorders>
              <w:top w:val="nil"/>
              <w:left w:val="nil"/>
              <w:bottom w:val="nil"/>
              <w:right w:val="nil"/>
            </w:tcBorders>
            <w:shd w:val="clear" w:color="auto" w:fill="auto"/>
            <w:noWrap/>
            <w:hideMark/>
          </w:tcPr>
          <w:p w14:paraId="2108A5F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2,600</w:t>
            </w:r>
          </w:p>
        </w:tc>
        <w:tc>
          <w:tcPr>
            <w:tcW w:w="1060" w:type="dxa"/>
            <w:tcBorders>
              <w:top w:val="nil"/>
              <w:left w:val="nil"/>
              <w:bottom w:val="nil"/>
              <w:right w:val="nil"/>
            </w:tcBorders>
            <w:shd w:val="clear" w:color="auto" w:fill="auto"/>
            <w:noWrap/>
            <w:hideMark/>
          </w:tcPr>
          <w:p w14:paraId="63D2CBEA"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8,171</w:t>
            </w:r>
          </w:p>
        </w:tc>
        <w:tc>
          <w:tcPr>
            <w:tcW w:w="1060" w:type="dxa"/>
            <w:tcBorders>
              <w:top w:val="nil"/>
              <w:left w:val="nil"/>
              <w:bottom w:val="nil"/>
              <w:right w:val="nil"/>
            </w:tcBorders>
            <w:shd w:val="clear" w:color="auto" w:fill="auto"/>
            <w:noWrap/>
            <w:hideMark/>
          </w:tcPr>
          <w:p w14:paraId="28E5C72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7,346</w:t>
            </w:r>
          </w:p>
        </w:tc>
        <w:tc>
          <w:tcPr>
            <w:tcW w:w="1060" w:type="dxa"/>
            <w:tcBorders>
              <w:top w:val="nil"/>
              <w:left w:val="nil"/>
              <w:bottom w:val="nil"/>
              <w:right w:val="nil"/>
            </w:tcBorders>
            <w:shd w:val="clear" w:color="auto" w:fill="auto"/>
            <w:noWrap/>
            <w:hideMark/>
          </w:tcPr>
          <w:p w14:paraId="1215A8F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4,600</w:t>
            </w:r>
          </w:p>
        </w:tc>
        <w:tc>
          <w:tcPr>
            <w:tcW w:w="1060" w:type="dxa"/>
            <w:tcBorders>
              <w:top w:val="nil"/>
              <w:left w:val="nil"/>
              <w:bottom w:val="nil"/>
              <w:right w:val="nil"/>
            </w:tcBorders>
            <w:shd w:val="clear" w:color="auto" w:fill="auto"/>
            <w:noWrap/>
            <w:hideMark/>
          </w:tcPr>
          <w:p w14:paraId="63FED88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11,946</w:t>
            </w:r>
          </w:p>
        </w:tc>
        <w:tc>
          <w:tcPr>
            <w:tcW w:w="1060" w:type="dxa"/>
            <w:tcBorders>
              <w:top w:val="nil"/>
              <w:left w:val="nil"/>
              <w:bottom w:val="nil"/>
              <w:right w:val="nil"/>
            </w:tcBorders>
            <w:shd w:val="clear" w:color="auto" w:fill="auto"/>
            <w:noWrap/>
            <w:hideMark/>
          </w:tcPr>
          <w:p w14:paraId="42C4941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2,467</w:t>
            </w:r>
          </w:p>
        </w:tc>
        <w:tc>
          <w:tcPr>
            <w:tcW w:w="1060" w:type="dxa"/>
            <w:tcBorders>
              <w:top w:val="nil"/>
              <w:left w:val="nil"/>
              <w:bottom w:val="nil"/>
              <w:right w:val="nil"/>
            </w:tcBorders>
            <w:shd w:val="clear" w:color="auto" w:fill="auto"/>
            <w:noWrap/>
            <w:hideMark/>
          </w:tcPr>
          <w:p w14:paraId="0A73392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5,197</w:t>
            </w:r>
          </w:p>
        </w:tc>
        <w:tc>
          <w:tcPr>
            <w:tcW w:w="1060" w:type="dxa"/>
            <w:tcBorders>
              <w:top w:val="nil"/>
              <w:left w:val="nil"/>
              <w:bottom w:val="nil"/>
              <w:right w:val="nil"/>
            </w:tcBorders>
            <w:shd w:val="clear" w:color="auto" w:fill="auto"/>
            <w:noWrap/>
            <w:hideMark/>
          </w:tcPr>
          <w:p w14:paraId="0163BF5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7,664</w:t>
            </w:r>
          </w:p>
        </w:tc>
        <w:tc>
          <w:tcPr>
            <w:tcW w:w="1000" w:type="dxa"/>
            <w:tcBorders>
              <w:top w:val="nil"/>
              <w:left w:val="nil"/>
              <w:bottom w:val="nil"/>
              <w:right w:val="nil"/>
            </w:tcBorders>
            <w:shd w:val="clear" w:color="auto" w:fill="auto"/>
            <w:noWrap/>
            <w:hideMark/>
          </w:tcPr>
          <w:p w14:paraId="6AAF6AD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(3,775)</w:t>
            </w:r>
          </w:p>
        </w:tc>
        <w:tc>
          <w:tcPr>
            <w:tcW w:w="1000" w:type="dxa"/>
            <w:tcBorders>
              <w:top w:val="nil"/>
              <w:left w:val="nil"/>
              <w:bottom w:val="nil"/>
              <w:right w:val="nil"/>
            </w:tcBorders>
            <w:shd w:val="clear" w:color="auto" w:fill="auto"/>
            <w:hideMark/>
          </w:tcPr>
          <w:p w14:paraId="66A2302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-31.6%</w:t>
            </w:r>
          </w:p>
        </w:tc>
      </w:tr>
      <w:tr w:rsidR="004D67F9" w:rsidRPr="004D67F9" w14:paraId="2CE4B496" w14:textId="77777777" w:rsidTr="004D67F9">
        <w:trPr>
          <w:divId w:val="1300526825"/>
          <w:trHeight w:val="375"/>
        </w:trPr>
        <w:tc>
          <w:tcPr>
            <w:tcW w:w="2680" w:type="dxa"/>
            <w:tcBorders>
              <w:top w:val="single" w:sz="4" w:space="0" w:color="BFBFBF"/>
              <w:left w:val="nil"/>
              <w:bottom w:val="single" w:sz="8" w:space="0" w:color="BFBFBF"/>
              <w:right w:val="single" w:sz="4" w:space="0" w:color="FFFFFF"/>
            </w:tcBorders>
            <w:shd w:val="clear" w:color="auto" w:fill="auto"/>
            <w:vAlign w:val="center"/>
            <w:hideMark/>
          </w:tcPr>
          <w:p w14:paraId="499B35BB"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TOTAL</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62692AA9"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512,168</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77968C8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345,132</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659A0FE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857,300</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6260EA4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476,484</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3B09A6ED"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317,307</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7C559DD9"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793,792</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7B95802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467,843</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3162F90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325,949</w:t>
            </w:r>
          </w:p>
        </w:tc>
        <w:tc>
          <w:tcPr>
            <w:tcW w:w="1060" w:type="dxa"/>
            <w:tcBorders>
              <w:top w:val="single" w:sz="4" w:space="0" w:color="BFBFBF"/>
              <w:left w:val="nil"/>
              <w:bottom w:val="single" w:sz="8" w:space="0" w:color="BFBFBF"/>
              <w:right w:val="single" w:sz="4" w:space="0" w:color="FFFFFF"/>
            </w:tcBorders>
            <w:shd w:val="clear" w:color="auto" w:fill="auto"/>
            <w:vAlign w:val="center"/>
            <w:hideMark/>
          </w:tcPr>
          <w:p w14:paraId="3CF7F0F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793,792</w:t>
            </w:r>
          </w:p>
        </w:tc>
        <w:tc>
          <w:tcPr>
            <w:tcW w:w="1000" w:type="dxa"/>
            <w:tcBorders>
              <w:top w:val="single" w:sz="4" w:space="0" w:color="BFBFBF"/>
              <w:left w:val="nil"/>
              <w:bottom w:val="single" w:sz="8" w:space="0" w:color="BFBFBF"/>
              <w:right w:val="single" w:sz="4" w:space="0" w:color="FFFFFF"/>
            </w:tcBorders>
            <w:shd w:val="clear" w:color="auto" w:fill="auto"/>
            <w:vAlign w:val="center"/>
            <w:hideMark/>
          </w:tcPr>
          <w:p w14:paraId="0EE4C7E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63,508</w:t>
            </w:r>
          </w:p>
        </w:tc>
        <w:tc>
          <w:tcPr>
            <w:tcW w:w="1000" w:type="dxa"/>
            <w:tcBorders>
              <w:top w:val="single" w:sz="4" w:space="0" w:color="BFBFBF"/>
              <w:left w:val="nil"/>
              <w:bottom w:val="single" w:sz="8" w:space="0" w:color="BFBFBF"/>
              <w:right w:val="single" w:sz="4" w:space="0" w:color="FFFFFF"/>
            </w:tcBorders>
            <w:shd w:val="clear" w:color="auto" w:fill="auto"/>
            <w:vAlign w:val="center"/>
            <w:hideMark/>
          </w:tcPr>
          <w:p w14:paraId="79D64A1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8.0%</w:t>
            </w:r>
          </w:p>
        </w:tc>
      </w:tr>
      <w:tr w:rsidR="004D67F9" w:rsidRPr="004D67F9" w14:paraId="12C0352B" w14:textId="77777777" w:rsidTr="004D67F9">
        <w:trPr>
          <w:divId w:val="1300526825"/>
          <w:trHeight w:val="45"/>
        </w:trPr>
        <w:tc>
          <w:tcPr>
            <w:tcW w:w="2680" w:type="dxa"/>
            <w:tcBorders>
              <w:top w:val="nil"/>
              <w:left w:val="nil"/>
              <w:bottom w:val="nil"/>
              <w:right w:val="nil"/>
            </w:tcBorders>
            <w:shd w:val="clear" w:color="auto" w:fill="auto"/>
            <w:vAlign w:val="center"/>
            <w:hideMark/>
          </w:tcPr>
          <w:p w14:paraId="5CF0B7B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p>
        </w:tc>
        <w:tc>
          <w:tcPr>
            <w:tcW w:w="1060" w:type="dxa"/>
            <w:tcBorders>
              <w:top w:val="nil"/>
              <w:left w:val="nil"/>
              <w:bottom w:val="nil"/>
              <w:right w:val="nil"/>
            </w:tcBorders>
            <w:shd w:val="clear" w:color="auto" w:fill="auto"/>
            <w:vAlign w:val="center"/>
            <w:hideMark/>
          </w:tcPr>
          <w:p w14:paraId="19C5679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4523B97D"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068FBBA4"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531E4424"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4B28F072"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7C9D174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31941FF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1A9C3B8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76A36A6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7634CCA6"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629BEC2C"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6DF3A275" w14:textId="77777777" w:rsidTr="004D67F9">
        <w:trPr>
          <w:divId w:val="1300526825"/>
          <w:trHeight w:val="120"/>
        </w:trPr>
        <w:tc>
          <w:tcPr>
            <w:tcW w:w="2680" w:type="dxa"/>
            <w:tcBorders>
              <w:top w:val="nil"/>
              <w:left w:val="nil"/>
              <w:bottom w:val="nil"/>
              <w:right w:val="nil"/>
            </w:tcBorders>
            <w:shd w:val="clear" w:color="auto" w:fill="auto"/>
            <w:noWrap/>
            <w:vAlign w:val="center"/>
            <w:hideMark/>
          </w:tcPr>
          <w:p w14:paraId="72C47CA6"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76EED7D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43DAACAB"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noWrap/>
            <w:vAlign w:val="center"/>
            <w:hideMark/>
          </w:tcPr>
          <w:p w14:paraId="371EEF11"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38C63BF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27F63B1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2C4566C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7D83B09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401A465B"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4B09DF3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54C4DF6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1FBB4285"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107668EB" w14:textId="77777777" w:rsidTr="004D67F9">
        <w:trPr>
          <w:divId w:val="1300526825"/>
          <w:trHeight w:val="285"/>
        </w:trPr>
        <w:tc>
          <w:tcPr>
            <w:tcW w:w="2680" w:type="dxa"/>
            <w:tcBorders>
              <w:top w:val="nil"/>
              <w:left w:val="nil"/>
              <w:bottom w:val="nil"/>
              <w:right w:val="nil"/>
            </w:tcBorders>
            <w:shd w:val="clear" w:color="auto" w:fill="auto"/>
            <w:noWrap/>
            <w:vAlign w:val="center"/>
            <w:hideMark/>
          </w:tcPr>
          <w:p w14:paraId="36AC60E9"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1</w:t>
            </w:r>
            <w:r w:rsidRPr="004D67F9">
              <w:rPr>
                <w:rFonts w:ascii="Arial Narrow" w:eastAsia="Times New Roman" w:hAnsi="Arial Narrow" w:cs="Times New Roman"/>
                <w:sz w:val="16"/>
                <w:szCs w:val="16"/>
                <w:lang w:val="en-US"/>
              </w:rPr>
              <w:t xml:space="preserve"> As at 31 Dec 2022.</w:t>
            </w:r>
          </w:p>
        </w:tc>
        <w:tc>
          <w:tcPr>
            <w:tcW w:w="1060" w:type="dxa"/>
            <w:tcBorders>
              <w:top w:val="nil"/>
              <w:left w:val="nil"/>
              <w:bottom w:val="nil"/>
              <w:right w:val="nil"/>
            </w:tcBorders>
            <w:shd w:val="clear" w:color="auto" w:fill="auto"/>
            <w:vAlign w:val="center"/>
            <w:hideMark/>
          </w:tcPr>
          <w:p w14:paraId="0E0E8E9C" w14:textId="77777777" w:rsidR="004D67F9" w:rsidRPr="004D67F9" w:rsidRDefault="004D67F9" w:rsidP="004D67F9">
            <w:pPr>
              <w:spacing w:after="0" w:line="240" w:lineRule="auto"/>
              <w:rPr>
                <w:rFonts w:ascii="Arial Narrow" w:eastAsia="Times New Roman" w:hAnsi="Arial Narrow" w:cs="Times New Roman"/>
                <w:sz w:val="16"/>
                <w:szCs w:val="16"/>
                <w:lang w:val="en-US"/>
              </w:rPr>
            </w:pPr>
          </w:p>
        </w:tc>
        <w:tc>
          <w:tcPr>
            <w:tcW w:w="1060" w:type="dxa"/>
            <w:tcBorders>
              <w:top w:val="nil"/>
              <w:left w:val="nil"/>
              <w:bottom w:val="nil"/>
              <w:right w:val="nil"/>
            </w:tcBorders>
            <w:shd w:val="clear" w:color="auto" w:fill="auto"/>
            <w:vAlign w:val="center"/>
            <w:hideMark/>
          </w:tcPr>
          <w:p w14:paraId="5F81A07B"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0AF6762A"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2C1FD6D1"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5C80D42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5558FB1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51A6AB41"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0204B20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0" w:type="dxa"/>
            <w:tcBorders>
              <w:top w:val="nil"/>
              <w:left w:val="nil"/>
              <w:bottom w:val="nil"/>
              <w:right w:val="nil"/>
            </w:tcBorders>
            <w:shd w:val="clear" w:color="auto" w:fill="auto"/>
            <w:vAlign w:val="center"/>
            <w:hideMark/>
          </w:tcPr>
          <w:p w14:paraId="092EB972"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608D0A6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vAlign w:val="center"/>
            <w:hideMark/>
          </w:tcPr>
          <w:p w14:paraId="1DD506E6"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bl>
    <w:p w14:paraId="3A866A69" w14:textId="5A437C53" w:rsidR="005E444F" w:rsidRPr="005E444F" w:rsidRDefault="005E444F" w:rsidP="005E444F">
      <w:pPr>
        <w:pStyle w:val="NormalNoSpace"/>
        <w:rPr>
          <w:i/>
          <w:lang w:val="en-US"/>
        </w:rPr>
      </w:pPr>
    </w:p>
    <w:p w14:paraId="36C72B67" w14:textId="77777777" w:rsidR="00730226" w:rsidRDefault="00730226">
      <w:r>
        <w:br w:type="page"/>
      </w:r>
    </w:p>
    <w:p w14:paraId="25356505" w14:textId="70D5AC4E" w:rsidR="00154A61" w:rsidRDefault="0000041D" w:rsidP="008407D7">
      <w:pPr>
        <w:pStyle w:val="AnnexTitle2"/>
        <w:numPr>
          <w:ilvl w:val="0"/>
          <w:numId w:val="18"/>
        </w:numPr>
        <w:rPr>
          <w:lang w:val="en-US"/>
        </w:rPr>
      </w:pPr>
      <w:bookmarkStart w:id="35" w:name="_Toc131175994"/>
      <w:r>
        <w:rPr>
          <w:lang w:val="en-US"/>
        </w:rPr>
        <w:t xml:space="preserve">2024/25 </w:t>
      </w:r>
      <w:r w:rsidR="00072F95">
        <w:rPr>
          <w:lang w:val="en-US"/>
        </w:rPr>
        <w:t>Posts by Sector</w:t>
      </w:r>
      <w:bookmarkEnd w:id="35"/>
    </w:p>
    <w:p w14:paraId="15CD1BA1" w14:textId="6E29F25B" w:rsidR="004D67F9" w:rsidRDefault="004D67F9" w:rsidP="00710E7A">
      <w:pPr>
        <w:pStyle w:val="NormalNumb"/>
        <w:numPr>
          <w:ilvl w:val="0"/>
          <w:numId w:val="0"/>
        </w:numPr>
        <w:rPr>
          <w:rFonts w:asciiTheme="minorHAnsi" w:hAnsiTheme="minorHAnsi"/>
          <w:sz w:val="22"/>
        </w:rPr>
      </w:pPr>
    </w:p>
    <w:tbl>
      <w:tblPr>
        <w:tblW w:w="14060" w:type="dxa"/>
        <w:tblLook w:val="04A0" w:firstRow="1" w:lastRow="0" w:firstColumn="1" w:lastColumn="0" w:noHBand="0" w:noVBand="1"/>
      </w:tblPr>
      <w:tblGrid>
        <w:gridCol w:w="2580"/>
        <w:gridCol w:w="560"/>
        <w:gridCol w:w="560"/>
        <w:gridCol w:w="580"/>
        <w:gridCol w:w="580"/>
        <w:gridCol w:w="600"/>
        <w:gridCol w:w="580"/>
        <w:gridCol w:w="560"/>
        <w:gridCol w:w="580"/>
        <w:gridCol w:w="580"/>
        <w:gridCol w:w="600"/>
        <w:gridCol w:w="560"/>
        <w:gridCol w:w="560"/>
        <w:gridCol w:w="580"/>
        <w:gridCol w:w="580"/>
        <w:gridCol w:w="600"/>
        <w:gridCol w:w="580"/>
        <w:gridCol w:w="560"/>
        <w:gridCol w:w="560"/>
        <w:gridCol w:w="560"/>
        <w:gridCol w:w="560"/>
      </w:tblGrid>
      <w:tr w:rsidR="004D67F9" w:rsidRPr="004D67F9" w14:paraId="660471A8" w14:textId="77777777" w:rsidTr="004D67F9">
        <w:trPr>
          <w:divId w:val="882323394"/>
          <w:trHeight w:val="360"/>
        </w:trPr>
        <w:tc>
          <w:tcPr>
            <w:tcW w:w="2580" w:type="dxa"/>
            <w:vMerge w:val="restart"/>
            <w:tcBorders>
              <w:top w:val="nil"/>
              <w:left w:val="nil"/>
              <w:bottom w:val="nil"/>
              <w:right w:val="nil"/>
            </w:tcBorders>
            <w:shd w:val="clear" w:color="000000" w:fill="C7CFD8"/>
            <w:noWrap/>
            <w:vAlign w:val="center"/>
            <w:hideMark/>
          </w:tcPr>
          <w:p w14:paraId="36F73440" w14:textId="40CD0F34" w:rsidR="004D67F9" w:rsidRPr="004D67F9" w:rsidRDefault="004D67F9" w:rsidP="004D67F9">
            <w:pPr>
              <w:spacing w:after="0" w:line="240" w:lineRule="auto"/>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Sector</w:t>
            </w:r>
          </w:p>
        </w:tc>
        <w:tc>
          <w:tcPr>
            <w:tcW w:w="2880" w:type="dxa"/>
            <w:gridSpan w:val="5"/>
            <w:tcBorders>
              <w:top w:val="nil"/>
              <w:left w:val="nil"/>
              <w:bottom w:val="single" w:sz="4" w:space="0" w:color="748B9E"/>
              <w:right w:val="nil"/>
            </w:tcBorders>
            <w:shd w:val="clear" w:color="000000" w:fill="C7CFD8"/>
            <w:vAlign w:val="center"/>
            <w:hideMark/>
          </w:tcPr>
          <w:p w14:paraId="449C5F48"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 xml:space="preserve"> 2024/25 Proposed Budget </w:t>
            </w:r>
          </w:p>
        </w:tc>
        <w:tc>
          <w:tcPr>
            <w:tcW w:w="2900" w:type="dxa"/>
            <w:gridSpan w:val="5"/>
            <w:tcBorders>
              <w:top w:val="nil"/>
              <w:left w:val="nil"/>
              <w:bottom w:val="single" w:sz="4" w:space="0" w:color="748B9E"/>
              <w:right w:val="nil"/>
            </w:tcBorders>
            <w:shd w:val="clear" w:color="000000" w:fill="C7CFD8"/>
            <w:vAlign w:val="center"/>
            <w:hideMark/>
          </w:tcPr>
          <w:p w14:paraId="3E001370"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 xml:space="preserve"> 2022/23 PoW&amp;B </w:t>
            </w:r>
          </w:p>
        </w:tc>
        <w:tc>
          <w:tcPr>
            <w:tcW w:w="2880" w:type="dxa"/>
            <w:gridSpan w:val="5"/>
            <w:tcBorders>
              <w:top w:val="nil"/>
              <w:left w:val="nil"/>
              <w:bottom w:val="single" w:sz="4" w:space="0" w:color="748B9E"/>
              <w:right w:val="nil"/>
            </w:tcBorders>
            <w:shd w:val="clear" w:color="000000" w:fill="C7CFD8"/>
            <w:noWrap/>
            <w:vAlign w:val="center"/>
            <w:hideMark/>
          </w:tcPr>
          <w:p w14:paraId="23F69811"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 xml:space="preserve">2022/23 Budget after Transfers </w:t>
            </w:r>
            <w:r w:rsidRPr="004D67F9">
              <w:rPr>
                <w:rFonts w:ascii="Arial Narrow" w:eastAsia="Times New Roman" w:hAnsi="Arial Narrow" w:cs="Times New Roman"/>
                <w:b/>
                <w:bCs/>
                <w:sz w:val="15"/>
                <w:szCs w:val="15"/>
                <w:vertAlign w:val="superscript"/>
                <w:lang w:val="en-US"/>
              </w:rPr>
              <w:t>1</w:t>
            </w:r>
          </w:p>
        </w:tc>
        <w:tc>
          <w:tcPr>
            <w:tcW w:w="2820" w:type="dxa"/>
            <w:gridSpan w:val="5"/>
            <w:tcBorders>
              <w:top w:val="nil"/>
              <w:left w:val="nil"/>
              <w:bottom w:val="single" w:sz="4" w:space="0" w:color="748B9E"/>
              <w:right w:val="nil"/>
            </w:tcBorders>
            <w:shd w:val="clear" w:color="000000" w:fill="C7CFD8"/>
            <w:vAlign w:val="center"/>
            <w:hideMark/>
          </w:tcPr>
          <w:p w14:paraId="463478A0"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 xml:space="preserve">2024/25 vs. 2022/23 PoW&amp;B </w:t>
            </w:r>
          </w:p>
        </w:tc>
      </w:tr>
      <w:tr w:rsidR="004D67F9" w:rsidRPr="004D67F9" w14:paraId="6D894C61" w14:textId="77777777" w:rsidTr="004D67F9">
        <w:trPr>
          <w:divId w:val="882323394"/>
          <w:trHeight w:val="540"/>
        </w:trPr>
        <w:tc>
          <w:tcPr>
            <w:tcW w:w="2580" w:type="dxa"/>
            <w:vMerge/>
            <w:tcBorders>
              <w:top w:val="nil"/>
              <w:left w:val="nil"/>
              <w:bottom w:val="nil"/>
              <w:right w:val="nil"/>
            </w:tcBorders>
            <w:vAlign w:val="center"/>
            <w:hideMark/>
          </w:tcPr>
          <w:p w14:paraId="53892A93" w14:textId="77777777" w:rsidR="004D67F9" w:rsidRPr="004D67F9" w:rsidRDefault="004D67F9" w:rsidP="004D67F9">
            <w:pPr>
              <w:spacing w:after="0" w:line="240" w:lineRule="auto"/>
              <w:rPr>
                <w:rFonts w:ascii="Arial Narrow" w:eastAsia="Times New Roman" w:hAnsi="Arial Narrow" w:cs="Times New Roman"/>
                <w:b/>
                <w:bCs/>
                <w:sz w:val="15"/>
                <w:szCs w:val="15"/>
                <w:lang w:val="en-US"/>
              </w:rPr>
            </w:pPr>
          </w:p>
        </w:tc>
        <w:tc>
          <w:tcPr>
            <w:tcW w:w="560" w:type="dxa"/>
            <w:tcBorders>
              <w:top w:val="nil"/>
              <w:left w:val="nil"/>
              <w:bottom w:val="nil"/>
              <w:right w:val="nil"/>
            </w:tcBorders>
            <w:shd w:val="clear" w:color="000000" w:fill="C7CFD8"/>
            <w:vAlign w:val="center"/>
            <w:hideMark/>
          </w:tcPr>
          <w:p w14:paraId="50331C7F"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DG</w:t>
            </w:r>
            <w:r w:rsidRPr="004D67F9">
              <w:rPr>
                <w:rFonts w:ascii="Arial Narrow" w:eastAsia="Times New Roman" w:hAnsi="Arial Narrow" w:cs="Times New Roman"/>
                <w:b/>
                <w:bCs/>
                <w:sz w:val="15"/>
                <w:szCs w:val="15"/>
                <w:lang w:val="en-US"/>
              </w:rPr>
              <w:br/>
              <w:t>/DDG</w:t>
            </w:r>
            <w:r w:rsidRPr="004D67F9">
              <w:rPr>
                <w:rFonts w:ascii="Arial Narrow" w:eastAsia="Times New Roman" w:hAnsi="Arial Narrow" w:cs="Times New Roman"/>
                <w:b/>
                <w:bCs/>
                <w:sz w:val="15"/>
                <w:szCs w:val="15"/>
                <w:lang w:val="en-US"/>
              </w:rPr>
              <w:br/>
              <w:t>/ADG</w:t>
            </w:r>
          </w:p>
        </w:tc>
        <w:tc>
          <w:tcPr>
            <w:tcW w:w="560" w:type="dxa"/>
            <w:tcBorders>
              <w:top w:val="nil"/>
              <w:left w:val="nil"/>
              <w:bottom w:val="nil"/>
              <w:right w:val="nil"/>
            </w:tcBorders>
            <w:shd w:val="clear" w:color="000000" w:fill="C7CFD8"/>
            <w:vAlign w:val="center"/>
            <w:hideMark/>
          </w:tcPr>
          <w:p w14:paraId="53D91ED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w:t>
            </w:r>
          </w:p>
        </w:tc>
        <w:tc>
          <w:tcPr>
            <w:tcW w:w="580" w:type="dxa"/>
            <w:tcBorders>
              <w:top w:val="nil"/>
              <w:left w:val="nil"/>
              <w:bottom w:val="nil"/>
              <w:right w:val="nil"/>
            </w:tcBorders>
            <w:shd w:val="clear" w:color="000000" w:fill="C7CFD8"/>
            <w:vAlign w:val="center"/>
            <w:hideMark/>
          </w:tcPr>
          <w:p w14:paraId="4B80C46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P</w:t>
            </w:r>
          </w:p>
        </w:tc>
        <w:tc>
          <w:tcPr>
            <w:tcW w:w="580" w:type="dxa"/>
            <w:tcBorders>
              <w:top w:val="nil"/>
              <w:left w:val="nil"/>
              <w:bottom w:val="nil"/>
              <w:right w:val="nil"/>
            </w:tcBorders>
            <w:shd w:val="clear" w:color="000000" w:fill="C7CFD8"/>
            <w:vAlign w:val="center"/>
            <w:hideMark/>
          </w:tcPr>
          <w:p w14:paraId="25FB2990"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G</w:t>
            </w:r>
          </w:p>
        </w:tc>
        <w:tc>
          <w:tcPr>
            <w:tcW w:w="600" w:type="dxa"/>
            <w:tcBorders>
              <w:top w:val="nil"/>
              <w:left w:val="nil"/>
              <w:bottom w:val="nil"/>
              <w:right w:val="single" w:sz="4" w:space="0" w:color="748B9E"/>
            </w:tcBorders>
            <w:shd w:val="clear" w:color="000000" w:fill="C7CFD8"/>
            <w:vAlign w:val="center"/>
            <w:hideMark/>
          </w:tcPr>
          <w:p w14:paraId="2F764F1B"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Total</w:t>
            </w:r>
          </w:p>
        </w:tc>
        <w:tc>
          <w:tcPr>
            <w:tcW w:w="580" w:type="dxa"/>
            <w:tcBorders>
              <w:top w:val="nil"/>
              <w:left w:val="nil"/>
              <w:bottom w:val="nil"/>
              <w:right w:val="nil"/>
            </w:tcBorders>
            <w:shd w:val="clear" w:color="000000" w:fill="C7CFD8"/>
            <w:vAlign w:val="center"/>
            <w:hideMark/>
          </w:tcPr>
          <w:p w14:paraId="68C597D2"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DG</w:t>
            </w:r>
            <w:r w:rsidRPr="004D67F9">
              <w:rPr>
                <w:rFonts w:ascii="Arial Narrow" w:eastAsia="Times New Roman" w:hAnsi="Arial Narrow" w:cs="Times New Roman"/>
                <w:b/>
                <w:bCs/>
                <w:sz w:val="15"/>
                <w:szCs w:val="15"/>
                <w:lang w:val="en-US"/>
              </w:rPr>
              <w:br/>
              <w:t>/DDG</w:t>
            </w:r>
            <w:r w:rsidRPr="004D67F9">
              <w:rPr>
                <w:rFonts w:ascii="Arial Narrow" w:eastAsia="Times New Roman" w:hAnsi="Arial Narrow" w:cs="Times New Roman"/>
                <w:b/>
                <w:bCs/>
                <w:sz w:val="15"/>
                <w:szCs w:val="15"/>
                <w:lang w:val="en-US"/>
              </w:rPr>
              <w:br/>
              <w:t>/ADG</w:t>
            </w:r>
          </w:p>
        </w:tc>
        <w:tc>
          <w:tcPr>
            <w:tcW w:w="560" w:type="dxa"/>
            <w:tcBorders>
              <w:top w:val="nil"/>
              <w:left w:val="nil"/>
              <w:bottom w:val="nil"/>
              <w:right w:val="nil"/>
            </w:tcBorders>
            <w:shd w:val="clear" w:color="000000" w:fill="C7CFD8"/>
            <w:vAlign w:val="center"/>
            <w:hideMark/>
          </w:tcPr>
          <w:p w14:paraId="7F5E4B6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w:t>
            </w:r>
          </w:p>
        </w:tc>
        <w:tc>
          <w:tcPr>
            <w:tcW w:w="580" w:type="dxa"/>
            <w:tcBorders>
              <w:top w:val="nil"/>
              <w:left w:val="nil"/>
              <w:bottom w:val="nil"/>
              <w:right w:val="nil"/>
            </w:tcBorders>
            <w:shd w:val="clear" w:color="000000" w:fill="C7CFD8"/>
            <w:vAlign w:val="center"/>
            <w:hideMark/>
          </w:tcPr>
          <w:p w14:paraId="5F7F6869"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P</w:t>
            </w:r>
          </w:p>
        </w:tc>
        <w:tc>
          <w:tcPr>
            <w:tcW w:w="580" w:type="dxa"/>
            <w:tcBorders>
              <w:top w:val="nil"/>
              <w:left w:val="nil"/>
              <w:bottom w:val="nil"/>
              <w:right w:val="nil"/>
            </w:tcBorders>
            <w:shd w:val="clear" w:color="000000" w:fill="C7CFD8"/>
            <w:vAlign w:val="center"/>
            <w:hideMark/>
          </w:tcPr>
          <w:p w14:paraId="35D574C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G</w:t>
            </w:r>
          </w:p>
        </w:tc>
        <w:tc>
          <w:tcPr>
            <w:tcW w:w="600" w:type="dxa"/>
            <w:tcBorders>
              <w:top w:val="nil"/>
              <w:left w:val="nil"/>
              <w:bottom w:val="nil"/>
              <w:right w:val="single" w:sz="4" w:space="0" w:color="748B9E"/>
            </w:tcBorders>
            <w:shd w:val="clear" w:color="000000" w:fill="C7CFD8"/>
            <w:vAlign w:val="center"/>
            <w:hideMark/>
          </w:tcPr>
          <w:p w14:paraId="58ED36E7"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Total</w:t>
            </w:r>
          </w:p>
        </w:tc>
        <w:tc>
          <w:tcPr>
            <w:tcW w:w="560" w:type="dxa"/>
            <w:tcBorders>
              <w:top w:val="nil"/>
              <w:left w:val="nil"/>
              <w:bottom w:val="nil"/>
              <w:right w:val="nil"/>
            </w:tcBorders>
            <w:shd w:val="clear" w:color="000000" w:fill="C7CFD8"/>
            <w:vAlign w:val="center"/>
            <w:hideMark/>
          </w:tcPr>
          <w:p w14:paraId="1F60227F"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DG</w:t>
            </w:r>
            <w:r w:rsidRPr="004D67F9">
              <w:rPr>
                <w:rFonts w:ascii="Arial Narrow" w:eastAsia="Times New Roman" w:hAnsi="Arial Narrow" w:cs="Times New Roman"/>
                <w:b/>
                <w:bCs/>
                <w:sz w:val="15"/>
                <w:szCs w:val="15"/>
                <w:lang w:val="en-US"/>
              </w:rPr>
              <w:br/>
              <w:t>/DDG</w:t>
            </w:r>
            <w:r w:rsidRPr="004D67F9">
              <w:rPr>
                <w:rFonts w:ascii="Arial Narrow" w:eastAsia="Times New Roman" w:hAnsi="Arial Narrow" w:cs="Times New Roman"/>
                <w:b/>
                <w:bCs/>
                <w:sz w:val="15"/>
                <w:szCs w:val="15"/>
                <w:lang w:val="en-US"/>
              </w:rPr>
              <w:br/>
              <w:t>/ADG</w:t>
            </w:r>
          </w:p>
        </w:tc>
        <w:tc>
          <w:tcPr>
            <w:tcW w:w="560" w:type="dxa"/>
            <w:tcBorders>
              <w:top w:val="nil"/>
              <w:left w:val="nil"/>
              <w:bottom w:val="nil"/>
              <w:right w:val="nil"/>
            </w:tcBorders>
            <w:shd w:val="clear" w:color="000000" w:fill="C7CFD8"/>
            <w:vAlign w:val="center"/>
            <w:hideMark/>
          </w:tcPr>
          <w:p w14:paraId="46182F2A"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w:t>
            </w:r>
          </w:p>
        </w:tc>
        <w:tc>
          <w:tcPr>
            <w:tcW w:w="580" w:type="dxa"/>
            <w:tcBorders>
              <w:top w:val="nil"/>
              <w:left w:val="nil"/>
              <w:bottom w:val="nil"/>
              <w:right w:val="nil"/>
            </w:tcBorders>
            <w:shd w:val="clear" w:color="000000" w:fill="C7CFD8"/>
            <w:vAlign w:val="center"/>
            <w:hideMark/>
          </w:tcPr>
          <w:p w14:paraId="28D62D9C"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P</w:t>
            </w:r>
          </w:p>
        </w:tc>
        <w:tc>
          <w:tcPr>
            <w:tcW w:w="580" w:type="dxa"/>
            <w:tcBorders>
              <w:top w:val="nil"/>
              <w:left w:val="nil"/>
              <w:bottom w:val="nil"/>
              <w:right w:val="nil"/>
            </w:tcBorders>
            <w:shd w:val="clear" w:color="000000" w:fill="C7CFD8"/>
            <w:vAlign w:val="center"/>
            <w:hideMark/>
          </w:tcPr>
          <w:p w14:paraId="3BA07ADC"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G</w:t>
            </w:r>
          </w:p>
        </w:tc>
        <w:tc>
          <w:tcPr>
            <w:tcW w:w="600" w:type="dxa"/>
            <w:tcBorders>
              <w:top w:val="nil"/>
              <w:left w:val="nil"/>
              <w:bottom w:val="nil"/>
              <w:right w:val="single" w:sz="4" w:space="0" w:color="748B9E"/>
            </w:tcBorders>
            <w:shd w:val="clear" w:color="000000" w:fill="C7CFD8"/>
            <w:vAlign w:val="center"/>
            <w:hideMark/>
          </w:tcPr>
          <w:p w14:paraId="169624D0"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Total</w:t>
            </w:r>
          </w:p>
        </w:tc>
        <w:tc>
          <w:tcPr>
            <w:tcW w:w="580" w:type="dxa"/>
            <w:tcBorders>
              <w:top w:val="nil"/>
              <w:left w:val="nil"/>
              <w:bottom w:val="nil"/>
              <w:right w:val="nil"/>
            </w:tcBorders>
            <w:shd w:val="clear" w:color="000000" w:fill="C7CFD8"/>
            <w:vAlign w:val="center"/>
            <w:hideMark/>
          </w:tcPr>
          <w:p w14:paraId="190EFFB4" w14:textId="77777777" w:rsidR="004D67F9" w:rsidRPr="004D67F9" w:rsidRDefault="004D67F9" w:rsidP="004D67F9">
            <w:pPr>
              <w:spacing w:after="0" w:line="240" w:lineRule="auto"/>
              <w:jc w:val="center"/>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DG</w:t>
            </w:r>
            <w:r w:rsidRPr="004D67F9">
              <w:rPr>
                <w:rFonts w:ascii="Arial Narrow" w:eastAsia="Times New Roman" w:hAnsi="Arial Narrow" w:cs="Times New Roman"/>
                <w:b/>
                <w:bCs/>
                <w:sz w:val="15"/>
                <w:szCs w:val="15"/>
                <w:lang w:val="en-US"/>
              </w:rPr>
              <w:br/>
              <w:t>/DDG</w:t>
            </w:r>
            <w:r w:rsidRPr="004D67F9">
              <w:rPr>
                <w:rFonts w:ascii="Arial Narrow" w:eastAsia="Times New Roman" w:hAnsi="Arial Narrow" w:cs="Times New Roman"/>
                <w:b/>
                <w:bCs/>
                <w:sz w:val="15"/>
                <w:szCs w:val="15"/>
                <w:lang w:val="en-US"/>
              </w:rPr>
              <w:br/>
              <w:t>/ADG</w:t>
            </w:r>
          </w:p>
        </w:tc>
        <w:tc>
          <w:tcPr>
            <w:tcW w:w="560" w:type="dxa"/>
            <w:tcBorders>
              <w:top w:val="nil"/>
              <w:left w:val="nil"/>
              <w:bottom w:val="nil"/>
              <w:right w:val="nil"/>
            </w:tcBorders>
            <w:shd w:val="clear" w:color="000000" w:fill="C7CFD8"/>
            <w:vAlign w:val="center"/>
            <w:hideMark/>
          </w:tcPr>
          <w:p w14:paraId="6F746272"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D</w:t>
            </w:r>
          </w:p>
        </w:tc>
        <w:tc>
          <w:tcPr>
            <w:tcW w:w="560" w:type="dxa"/>
            <w:tcBorders>
              <w:top w:val="nil"/>
              <w:left w:val="nil"/>
              <w:bottom w:val="nil"/>
              <w:right w:val="nil"/>
            </w:tcBorders>
            <w:shd w:val="clear" w:color="000000" w:fill="C7CFD8"/>
            <w:vAlign w:val="center"/>
            <w:hideMark/>
          </w:tcPr>
          <w:p w14:paraId="5EF1A93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P</w:t>
            </w:r>
          </w:p>
        </w:tc>
        <w:tc>
          <w:tcPr>
            <w:tcW w:w="560" w:type="dxa"/>
            <w:tcBorders>
              <w:top w:val="nil"/>
              <w:left w:val="nil"/>
              <w:bottom w:val="nil"/>
              <w:right w:val="nil"/>
            </w:tcBorders>
            <w:shd w:val="clear" w:color="000000" w:fill="C7CFD8"/>
            <w:vAlign w:val="center"/>
            <w:hideMark/>
          </w:tcPr>
          <w:p w14:paraId="77F6BD36"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G</w:t>
            </w:r>
          </w:p>
        </w:tc>
        <w:tc>
          <w:tcPr>
            <w:tcW w:w="560" w:type="dxa"/>
            <w:tcBorders>
              <w:top w:val="nil"/>
              <w:left w:val="nil"/>
              <w:bottom w:val="nil"/>
              <w:right w:val="nil"/>
            </w:tcBorders>
            <w:shd w:val="clear" w:color="000000" w:fill="C7CFD8"/>
            <w:vAlign w:val="center"/>
            <w:hideMark/>
          </w:tcPr>
          <w:p w14:paraId="4FC5ACF6"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Total</w:t>
            </w:r>
          </w:p>
        </w:tc>
      </w:tr>
      <w:tr w:rsidR="004D67F9" w:rsidRPr="004D67F9" w14:paraId="721FB9A6" w14:textId="77777777" w:rsidTr="004D67F9">
        <w:trPr>
          <w:divId w:val="882323394"/>
          <w:trHeight w:val="345"/>
        </w:trPr>
        <w:tc>
          <w:tcPr>
            <w:tcW w:w="2580" w:type="dxa"/>
            <w:tcBorders>
              <w:top w:val="nil"/>
              <w:left w:val="nil"/>
              <w:bottom w:val="nil"/>
              <w:right w:val="nil"/>
            </w:tcBorders>
            <w:shd w:val="clear" w:color="auto" w:fill="auto"/>
            <w:hideMark/>
          </w:tcPr>
          <w:p w14:paraId="47441E79"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Patents and Technology</w:t>
            </w:r>
          </w:p>
        </w:tc>
        <w:tc>
          <w:tcPr>
            <w:tcW w:w="560" w:type="dxa"/>
            <w:tcBorders>
              <w:top w:val="nil"/>
              <w:left w:val="nil"/>
              <w:bottom w:val="nil"/>
              <w:right w:val="nil"/>
            </w:tcBorders>
            <w:shd w:val="clear" w:color="auto" w:fill="auto"/>
            <w:noWrap/>
            <w:hideMark/>
          </w:tcPr>
          <w:p w14:paraId="1B51DDE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2EBAA78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w:t>
            </w:r>
          </w:p>
        </w:tc>
        <w:tc>
          <w:tcPr>
            <w:tcW w:w="580" w:type="dxa"/>
            <w:tcBorders>
              <w:top w:val="nil"/>
              <w:left w:val="nil"/>
              <w:bottom w:val="nil"/>
              <w:right w:val="nil"/>
            </w:tcBorders>
            <w:shd w:val="clear" w:color="auto" w:fill="auto"/>
            <w:noWrap/>
            <w:hideMark/>
          </w:tcPr>
          <w:p w14:paraId="49B8EFB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141</w:t>
            </w:r>
          </w:p>
        </w:tc>
        <w:tc>
          <w:tcPr>
            <w:tcW w:w="580" w:type="dxa"/>
            <w:tcBorders>
              <w:top w:val="nil"/>
              <w:left w:val="nil"/>
              <w:bottom w:val="nil"/>
              <w:right w:val="nil"/>
            </w:tcBorders>
            <w:shd w:val="clear" w:color="auto" w:fill="auto"/>
            <w:noWrap/>
            <w:hideMark/>
          </w:tcPr>
          <w:p w14:paraId="56D1BA0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192</w:t>
            </w:r>
          </w:p>
        </w:tc>
        <w:tc>
          <w:tcPr>
            <w:tcW w:w="600" w:type="dxa"/>
            <w:tcBorders>
              <w:top w:val="nil"/>
              <w:left w:val="nil"/>
              <w:bottom w:val="nil"/>
              <w:right w:val="nil"/>
            </w:tcBorders>
            <w:shd w:val="clear" w:color="auto" w:fill="auto"/>
            <w:noWrap/>
            <w:hideMark/>
          </w:tcPr>
          <w:p w14:paraId="46DAFB0F"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342</w:t>
            </w:r>
          </w:p>
        </w:tc>
        <w:tc>
          <w:tcPr>
            <w:tcW w:w="580" w:type="dxa"/>
            <w:tcBorders>
              <w:top w:val="nil"/>
              <w:left w:val="nil"/>
              <w:bottom w:val="nil"/>
              <w:right w:val="nil"/>
            </w:tcBorders>
            <w:shd w:val="clear" w:color="auto" w:fill="auto"/>
            <w:noWrap/>
            <w:hideMark/>
          </w:tcPr>
          <w:p w14:paraId="59DE37B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3D0CCD2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9</w:t>
            </w:r>
          </w:p>
        </w:tc>
        <w:tc>
          <w:tcPr>
            <w:tcW w:w="580" w:type="dxa"/>
            <w:tcBorders>
              <w:top w:val="nil"/>
              <w:left w:val="nil"/>
              <w:bottom w:val="nil"/>
              <w:right w:val="nil"/>
            </w:tcBorders>
            <w:shd w:val="clear" w:color="auto" w:fill="auto"/>
            <w:noWrap/>
            <w:hideMark/>
          </w:tcPr>
          <w:p w14:paraId="2F26872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166</w:t>
            </w:r>
          </w:p>
        </w:tc>
        <w:tc>
          <w:tcPr>
            <w:tcW w:w="580" w:type="dxa"/>
            <w:tcBorders>
              <w:top w:val="nil"/>
              <w:left w:val="nil"/>
              <w:bottom w:val="nil"/>
              <w:right w:val="nil"/>
            </w:tcBorders>
            <w:shd w:val="clear" w:color="auto" w:fill="auto"/>
            <w:noWrap/>
            <w:hideMark/>
          </w:tcPr>
          <w:p w14:paraId="741B383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201</w:t>
            </w:r>
          </w:p>
        </w:tc>
        <w:tc>
          <w:tcPr>
            <w:tcW w:w="600" w:type="dxa"/>
            <w:tcBorders>
              <w:top w:val="nil"/>
              <w:left w:val="nil"/>
              <w:bottom w:val="nil"/>
              <w:right w:val="nil"/>
            </w:tcBorders>
            <w:shd w:val="clear" w:color="auto" w:fill="auto"/>
            <w:noWrap/>
            <w:hideMark/>
          </w:tcPr>
          <w:p w14:paraId="53492C90"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377</w:t>
            </w:r>
          </w:p>
        </w:tc>
        <w:tc>
          <w:tcPr>
            <w:tcW w:w="560" w:type="dxa"/>
            <w:tcBorders>
              <w:top w:val="nil"/>
              <w:left w:val="nil"/>
              <w:bottom w:val="nil"/>
              <w:right w:val="nil"/>
            </w:tcBorders>
            <w:shd w:val="clear" w:color="auto" w:fill="auto"/>
            <w:noWrap/>
            <w:hideMark/>
          </w:tcPr>
          <w:p w14:paraId="393F775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52D2151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9</w:t>
            </w:r>
          </w:p>
        </w:tc>
        <w:tc>
          <w:tcPr>
            <w:tcW w:w="580" w:type="dxa"/>
            <w:tcBorders>
              <w:top w:val="nil"/>
              <w:left w:val="nil"/>
              <w:bottom w:val="nil"/>
              <w:right w:val="nil"/>
            </w:tcBorders>
            <w:shd w:val="clear" w:color="auto" w:fill="auto"/>
            <w:noWrap/>
            <w:hideMark/>
          </w:tcPr>
          <w:p w14:paraId="607F7D40"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168</w:t>
            </w:r>
          </w:p>
        </w:tc>
        <w:tc>
          <w:tcPr>
            <w:tcW w:w="580" w:type="dxa"/>
            <w:tcBorders>
              <w:top w:val="nil"/>
              <w:left w:val="nil"/>
              <w:bottom w:val="nil"/>
              <w:right w:val="nil"/>
            </w:tcBorders>
            <w:shd w:val="clear" w:color="auto" w:fill="auto"/>
            <w:noWrap/>
            <w:hideMark/>
          </w:tcPr>
          <w:p w14:paraId="15F4EA0D"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199</w:t>
            </w:r>
          </w:p>
        </w:tc>
        <w:tc>
          <w:tcPr>
            <w:tcW w:w="600" w:type="dxa"/>
            <w:tcBorders>
              <w:top w:val="nil"/>
              <w:left w:val="nil"/>
              <w:bottom w:val="nil"/>
              <w:right w:val="nil"/>
            </w:tcBorders>
            <w:shd w:val="clear" w:color="auto" w:fill="auto"/>
            <w:noWrap/>
            <w:hideMark/>
          </w:tcPr>
          <w:p w14:paraId="6FC3BA7A"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377</w:t>
            </w:r>
          </w:p>
        </w:tc>
        <w:tc>
          <w:tcPr>
            <w:tcW w:w="580" w:type="dxa"/>
            <w:tcBorders>
              <w:top w:val="nil"/>
              <w:left w:val="nil"/>
              <w:bottom w:val="nil"/>
              <w:right w:val="nil"/>
            </w:tcBorders>
            <w:shd w:val="clear" w:color="auto" w:fill="auto"/>
            <w:noWrap/>
            <w:hideMark/>
          </w:tcPr>
          <w:p w14:paraId="42D5DEA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21CB3164"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0B328DD1"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(25)</w:t>
            </w:r>
          </w:p>
        </w:tc>
        <w:tc>
          <w:tcPr>
            <w:tcW w:w="560" w:type="dxa"/>
            <w:tcBorders>
              <w:top w:val="nil"/>
              <w:left w:val="nil"/>
              <w:bottom w:val="nil"/>
              <w:right w:val="nil"/>
            </w:tcBorders>
            <w:shd w:val="clear" w:color="auto" w:fill="auto"/>
            <w:noWrap/>
            <w:hideMark/>
          </w:tcPr>
          <w:p w14:paraId="2D773F27"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(9)</w:t>
            </w:r>
          </w:p>
        </w:tc>
        <w:tc>
          <w:tcPr>
            <w:tcW w:w="560" w:type="dxa"/>
            <w:tcBorders>
              <w:top w:val="nil"/>
              <w:left w:val="nil"/>
              <w:bottom w:val="nil"/>
              <w:right w:val="nil"/>
            </w:tcBorders>
            <w:shd w:val="clear" w:color="auto" w:fill="auto"/>
            <w:noWrap/>
            <w:hideMark/>
          </w:tcPr>
          <w:p w14:paraId="52BE85CC"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(35)</w:t>
            </w:r>
          </w:p>
        </w:tc>
      </w:tr>
      <w:tr w:rsidR="004D67F9" w:rsidRPr="004D67F9" w14:paraId="2F3BE1E0" w14:textId="77777777" w:rsidTr="004D67F9">
        <w:trPr>
          <w:divId w:val="882323394"/>
          <w:trHeight w:val="345"/>
        </w:trPr>
        <w:tc>
          <w:tcPr>
            <w:tcW w:w="2580" w:type="dxa"/>
            <w:tcBorders>
              <w:top w:val="nil"/>
              <w:left w:val="nil"/>
              <w:bottom w:val="nil"/>
              <w:right w:val="nil"/>
            </w:tcBorders>
            <w:shd w:val="clear" w:color="auto" w:fill="auto"/>
            <w:hideMark/>
          </w:tcPr>
          <w:p w14:paraId="46220DA4"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Brands and Designs</w:t>
            </w:r>
          </w:p>
        </w:tc>
        <w:tc>
          <w:tcPr>
            <w:tcW w:w="560" w:type="dxa"/>
            <w:tcBorders>
              <w:top w:val="nil"/>
              <w:left w:val="nil"/>
              <w:bottom w:val="nil"/>
              <w:right w:val="nil"/>
            </w:tcBorders>
            <w:shd w:val="clear" w:color="auto" w:fill="auto"/>
            <w:noWrap/>
            <w:hideMark/>
          </w:tcPr>
          <w:p w14:paraId="23721BA1"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6B9ABB2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w:t>
            </w:r>
          </w:p>
        </w:tc>
        <w:tc>
          <w:tcPr>
            <w:tcW w:w="580" w:type="dxa"/>
            <w:tcBorders>
              <w:top w:val="nil"/>
              <w:left w:val="nil"/>
              <w:bottom w:val="nil"/>
              <w:right w:val="nil"/>
            </w:tcBorders>
            <w:shd w:val="clear" w:color="auto" w:fill="auto"/>
            <w:noWrap/>
            <w:hideMark/>
          </w:tcPr>
          <w:p w14:paraId="2A0B25A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60</w:t>
            </w:r>
          </w:p>
        </w:tc>
        <w:tc>
          <w:tcPr>
            <w:tcW w:w="580" w:type="dxa"/>
            <w:tcBorders>
              <w:top w:val="nil"/>
              <w:left w:val="nil"/>
              <w:bottom w:val="nil"/>
              <w:right w:val="nil"/>
            </w:tcBorders>
            <w:shd w:val="clear" w:color="auto" w:fill="auto"/>
            <w:noWrap/>
            <w:hideMark/>
          </w:tcPr>
          <w:p w14:paraId="08AF769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87</w:t>
            </w:r>
          </w:p>
        </w:tc>
        <w:tc>
          <w:tcPr>
            <w:tcW w:w="600" w:type="dxa"/>
            <w:tcBorders>
              <w:top w:val="nil"/>
              <w:left w:val="nil"/>
              <w:bottom w:val="nil"/>
              <w:right w:val="nil"/>
            </w:tcBorders>
            <w:shd w:val="clear" w:color="auto" w:fill="auto"/>
            <w:noWrap/>
            <w:hideMark/>
          </w:tcPr>
          <w:p w14:paraId="4E6473CA"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156</w:t>
            </w:r>
          </w:p>
        </w:tc>
        <w:tc>
          <w:tcPr>
            <w:tcW w:w="580" w:type="dxa"/>
            <w:tcBorders>
              <w:top w:val="nil"/>
              <w:left w:val="nil"/>
              <w:bottom w:val="nil"/>
              <w:right w:val="nil"/>
            </w:tcBorders>
            <w:shd w:val="clear" w:color="auto" w:fill="auto"/>
            <w:noWrap/>
            <w:hideMark/>
          </w:tcPr>
          <w:p w14:paraId="7EBAE16C"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6266F2A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9</w:t>
            </w:r>
          </w:p>
        </w:tc>
        <w:tc>
          <w:tcPr>
            <w:tcW w:w="580" w:type="dxa"/>
            <w:tcBorders>
              <w:top w:val="nil"/>
              <w:left w:val="nil"/>
              <w:bottom w:val="nil"/>
              <w:right w:val="nil"/>
            </w:tcBorders>
            <w:shd w:val="clear" w:color="auto" w:fill="auto"/>
            <w:noWrap/>
            <w:hideMark/>
          </w:tcPr>
          <w:p w14:paraId="2277EBC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71</w:t>
            </w:r>
          </w:p>
        </w:tc>
        <w:tc>
          <w:tcPr>
            <w:tcW w:w="580" w:type="dxa"/>
            <w:tcBorders>
              <w:top w:val="nil"/>
              <w:left w:val="nil"/>
              <w:bottom w:val="nil"/>
              <w:right w:val="nil"/>
            </w:tcBorders>
            <w:shd w:val="clear" w:color="auto" w:fill="auto"/>
            <w:noWrap/>
            <w:hideMark/>
          </w:tcPr>
          <w:p w14:paraId="6D9CF57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75</w:t>
            </w:r>
          </w:p>
        </w:tc>
        <w:tc>
          <w:tcPr>
            <w:tcW w:w="600" w:type="dxa"/>
            <w:tcBorders>
              <w:top w:val="nil"/>
              <w:left w:val="nil"/>
              <w:bottom w:val="nil"/>
              <w:right w:val="nil"/>
            </w:tcBorders>
            <w:shd w:val="clear" w:color="auto" w:fill="auto"/>
            <w:noWrap/>
            <w:hideMark/>
          </w:tcPr>
          <w:p w14:paraId="39822E66"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156</w:t>
            </w:r>
          </w:p>
        </w:tc>
        <w:tc>
          <w:tcPr>
            <w:tcW w:w="560" w:type="dxa"/>
            <w:tcBorders>
              <w:top w:val="nil"/>
              <w:left w:val="nil"/>
              <w:bottom w:val="nil"/>
              <w:right w:val="nil"/>
            </w:tcBorders>
            <w:shd w:val="clear" w:color="auto" w:fill="auto"/>
            <w:noWrap/>
            <w:hideMark/>
          </w:tcPr>
          <w:p w14:paraId="523ADA3E"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36D3588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10</w:t>
            </w:r>
          </w:p>
        </w:tc>
        <w:tc>
          <w:tcPr>
            <w:tcW w:w="580" w:type="dxa"/>
            <w:tcBorders>
              <w:top w:val="nil"/>
              <w:left w:val="nil"/>
              <w:bottom w:val="nil"/>
              <w:right w:val="nil"/>
            </w:tcBorders>
            <w:shd w:val="clear" w:color="auto" w:fill="auto"/>
            <w:noWrap/>
            <w:hideMark/>
          </w:tcPr>
          <w:p w14:paraId="64F85BB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71</w:t>
            </w:r>
          </w:p>
        </w:tc>
        <w:tc>
          <w:tcPr>
            <w:tcW w:w="580" w:type="dxa"/>
            <w:tcBorders>
              <w:top w:val="nil"/>
              <w:left w:val="nil"/>
              <w:bottom w:val="nil"/>
              <w:right w:val="nil"/>
            </w:tcBorders>
            <w:shd w:val="clear" w:color="auto" w:fill="auto"/>
            <w:noWrap/>
            <w:hideMark/>
          </w:tcPr>
          <w:p w14:paraId="26E303B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75</w:t>
            </w:r>
          </w:p>
        </w:tc>
        <w:tc>
          <w:tcPr>
            <w:tcW w:w="600" w:type="dxa"/>
            <w:tcBorders>
              <w:top w:val="nil"/>
              <w:left w:val="nil"/>
              <w:bottom w:val="nil"/>
              <w:right w:val="nil"/>
            </w:tcBorders>
            <w:shd w:val="clear" w:color="auto" w:fill="auto"/>
            <w:noWrap/>
            <w:hideMark/>
          </w:tcPr>
          <w:p w14:paraId="6E12A94B"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157</w:t>
            </w:r>
          </w:p>
        </w:tc>
        <w:tc>
          <w:tcPr>
            <w:tcW w:w="580" w:type="dxa"/>
            <w:tcBorders>
              <w:top w:val="nil"/>
              <w:left w:val="nil"/>
              <w:bottom w:val="nil"/>
              <w:right w:val="nil"/>
            </w:tcBorders>
            <w:shd w:val="clear" w:color="auto" w:fill="auto"/>
            <w:noWrap/>
            <w:hideMark/>
          </w:tcPr>
          <w:p w14:paraId="5CF5A15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563AC96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284CCBC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(11)</w:t>
            </w:r>
          </w:p>
        </w:tc>
        <w:tc>
          <w:tcPr>
            <w:tcW w:w="560" w:type="dxa"/>
            <w:tcBorders>
              <w:top w:val="nil"/>
              <w:left w:val="nil"/>
              <w:bottom w:val="nil"/>
              <w:right w:val="nil"/>
            </w:tcBorders>
            <w:shd w:val="clear" w:color="auto" w:fill="auto"/>
            <w:noWrap/>
            <w:hideMark/>
          </w:tcPr>
          <w:p w14:paraId="25338CC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12</w:t>
            </w:r>
          </w:p>
        </w:tc>
        <w:tc>
          <w:tcPr>
            <w:tcW w:w="560" w:type="dxa"/>
            <w:tcBorders>
              <w:top w:val="nil"/>
              <w:left w:val="nil"/>
              <w:bottom w:val="nil"/>
              <w:right w:val="nil"/>
            </w:tcBorders>
            <w:shd w:val="clear" w:color="auto" w:fill="auto"/>
            <w:noWrap/>
            <w:hideMark/>
          </w:tcPr>
          <w:p w14:paraId="45AD950D"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w:t>
            </w:r>
          </w:p>
        </w:tc>
      </w:tr>
      <w:tr w:rsidR="004D67F9" w:rsidRPr="004D67F9" w14:paraId="54DDB7A6" w14:textId="77777777" w:rsidTr="004D67F9">
        <w:trPr>
          <w:divId w:val="882323394"/>
          <w:trHeight w:val="345"/>
        </w:trPr>
        <w:tc>
          <w:tcPr>
            <w:tcW w:w="2580" w:type="dxa"/>
            <w:tcBorders>
              <w:top w:val="nil"/>
              <w:left w:val="nil"/>
              <w:bottom w:val="nil"/>
              <w:right w:val="nil"/>
            </w:tcBorders>
            <w:shd w:val="clear" w:color="auto" w:fill="auto"/>
            <w:hideMark/>
          </w:tcPr>
          <w:p w14:paraId="27551329"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 xml:space="preserve">Copyright and Creative Industries </w:t>
            </w:r>
          </w:p>
        </w:tc>
        <w:tc>
          <w:tcPr>
            <w:tcW w:w="560" w:type="dxa"/>
            <w:tcBorders>
              <w:top w:val="nil"/>
              <w:left w:val="nil"/>
              <w:bottom w:val="nil"/>
              <w:right w:val="nil"/>
            </w:tcBorders>
            <w:shd w:val="clear" w:color="auto" w:fill="auto"/>
            <w:noWrap/>
            <w:hideMark/>
          </w:tcPr>
          <w:p w14:paraId="05CCDBF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1F207FC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w:t>
            </w:r>
          </w:p>
        </w:tc>
        <w:tc>
          <w:tcPr>
            <w:tcW w:w="580" w:type="dxa"/>
            <w:tcBorders>
              <w:top w:val="nil"/>
              <w:left w:val="nil"/>
              <w:bottom w:val="nil"/>
              <w:right w:val="nil"/>
            </w:tcBorders>
            <w:shd w:val="clear" w:color="auto" w:fill="auto"/>
            <w:noWrap/>
            <w:hideMark/>
          </w:tcPr>
          <w:p w14:paraId="3CD2F3B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25</w:t>
            </w:r>
          </w:p>
        </w:tc>
        <w:tc>
          <w:tcPr>
            <w:tcW w:w="580" w:type="dxa"/>
            <w:tcBorders>
              <w:top w:val="nil"/>
              <w:left w:val="nil"/>
              <w:bottom w:val="nil"/>
              <w:right w:val="nil"/>
            </w:tcBorders>
            <w:shd w:val="clear" w:color="auto" w:fill="auto"/>
            <w:noWrap/>
            <w:hideMark/>
          </w:tcPr>
          <w:p w14:paraId="03DBDDE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11</w:t>
            </w:r>
          </w:p>
        </w:tc>
        <w:tc>
          <w:tcPr>
            <w:tcW w:w="600" w:type="dxa"/>
            <w:tcBorders>
              <w:top w:val="nil"/>
              <w:left w:val="nil"/>
              <w:bottom w:val="nil"/>
              <w:right w:val="nil"/>
            </w:tcBorders>
            <w:shd w:val="clear" w:color="auto" w:fill="auto"/>
            <w:noWrap/>
            <w:hideMark/>
          </w:tcPr>
          <w:p w14:paraId="24DD2337"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42</w:t>
            </w:r>
          </w:p>
        </w:tc>
        <w:tc>
          <w:tcPr>
            <w:tcW w:w="580" w:type="dxa"/>
            <w:tcBorders>
              <w:top w:val="nil"/>
              <w:left w:val="nil"/>
              <w:bottom w:val="nil"/>
              <w:right w:val="nil"/>
            </w:tcBorders>
            <w:shd w:val="clear" w:color="auto" w:fill="auto"/>
            <w:noWrap/>
            <w:hideMark/>
          </w:tcPr>
          <w:p w14:paraId="529CBA3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61A0A38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w:t>
            </w:r>
          </w:p>
        </w:tc>
        <w:tc>
          <w:tcPr>
            <w:tcW w:w="580" w:type="dxa"/>
            <w:tcBorders>
              <w:top w:val="nil"/>
              <w:left w:val="nil"/>
              <w:bottom w:val="nil"/>
              <w:right w:val="nil"/>
            </w:tcBorders>
            <w:shd w:val="clear" w:color="auto" w:fill="auto"/>
            <w:noWrap/>
            <w:hideMark/>
          </w:tcPr>
          <w:p w14:paraId="6AAE39D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24</w:t>
            </w:r>
          </w:p>
        </w:tc>
        <w:tc>
          <w:tcPr>
            <w:tcW w:w="580" w:type="dxa"/>
            <w:tcBorders>
              <w:top w:val="nil"/>
              <w:left w:val="nil"/>
              <w:bottom w:val="nil"/>
              <w:right w:val="nil"/>
            </w:tcBorders>
            <w:shd w:val="clear" w:color="auto" w:fill="auto"/>
            <w:noWrap/>
            <w:hideMark/>
          </w:tcPr>
          <w:p w14:paraId="38ED2DF1"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11</w:t>
            </w:r>
          </w:p>
        </w:tc>
        <w:tc>
          <w:tcPr>
            <w:tcW w:w="600" w:type="dxa"/>
            <w:tcBorders>
              <w:top w:val="nil"/>
              <w:left w:val="nil"/>
              <w:bottom w:val="nil"/>
              <w:right w:val="nil"/>
            </w:tcBorders>
            <w:shd w:val="clear" w:color="auto" w:fill="auto"/>
            <w:noWrap/>
            <w:hideMark/>
          </w:tcPr>
          <w:p w14:paraId="7E084BAA"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41</w:t>
            </w:r>
          </w:p>
        </w:tc>
        <w:tc>
          <w:tcPr>
            <w:tcW w:w="560" w:type="dxa"/>
            <w:tcBorders>
              <w:top w:val="nil"/>
              <w:left w:val="nil"/>
              <w:bottom w:val="nil"/>
              <w:right w:val="nil"/>
            </w:tcBorders>
            <w:shd w:val="clear" w:color="auto" w:fill="auto"/>
            <w:noWrap/>
            <w:hideMark/>
          </w:tcPr>
          <w:p w14:paraId="1F4BC62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38FD705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w:t>
            </w:r>
          </w:p>
        </w:tc>
        <w:tc>
          <w:tcPr>
            <w:tcW w:w="580" w:type="dxa"/>
            <w:tcBorders>
              <w:top w:val="nil"/>
              <w:left w:val="nil"/>
              <w:bottom w:val="nil"/>
              <w:right w:val="nil"/>
            </w:tcBorders>
            <w:shd w:val="clear" w:color="auto" w:fill="auto"/>
            <w:noWrap/>
            <w:hideMark/>
          </w:tcPr>
          <w:p w14:paraId="6DCC10A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24</w:t>
            </w:r>
          </w:p>
        </w:tc>
        <w:tc>
          <w:tcPr>
            <w:tcW w:w="580" w:type="dxa"/>
            <w:tcBorders>
              <w:top w:val="nil"/>
              <w:left w:val="nil"/>
              <w:bottom w:val="nil"/>
              <w:right w:val="nil"/>
            </w:tcBorders>
            <w:shd w:val="clear" w:color="auto" w:fill="auto"/>
            <w:noWrap/>
            <w:hideMark/>
          </w:tcPr>
          <w:p w14:paraId="48A795F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11</w:t>
            </w:r>
          </w:p>
        </w:tc>
        <w:tc>
          <w:tcPr>
            <w:tcW w:w="600" w:type="dxa"/>
            <w:tcBorders>
              <w:top w:val="nil"/>
              <w:left w:val="nil"/>
              <w:bottom w:val="nil"/>
              <w:right w:val="nil"/>
            </w:tcBorders>
            <w:shd w:val="clear" w:color="auto" w:fill="auto"/>
            <w:noWrap/>
            <w:hideMark/>
          </w:tcPr>
          <w:p w14:paraId="6031AAC1"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41</w:t>
            </w:r>
          </w:p>
        </w:tc>
        <w:tc>
          <w:tcPr>
            <w:tcW w:w="580" w:type="dxa"/>
            <w:tcBorders>
              <w:top w:val="nil"/>
              <w:left w:val="nil"/>
              <w:bottom w:val="nil"/>
              <w:right w:val="nil"/>
            </w:tcBorders>
            <w:shd w:val="clear" w:color="auto" w:fill="auto"/>
            <w:noWrap/>
            <w:hideMark/>
          </w:tcPr>
          <w:p w14:paraId="6C708F8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353EC040"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4362367C"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29D107B8"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5321DB0F"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w:t>
            </w:r>
          </w:p>
        </w:tc>
      </w:tr>
      <w:tr w:rsidR="004D67F9" w:rsidRPr="004D67F9" w14:paraId="6092D638" w14:textId="77777777" w:rsidTr="004D67F9">
        <w:trPr>
          <w:divId w:val="882323394"/>
          <w:trHeight w:val="345"/>
        </w:trPr>
        <w:tc>
          <w:tcPr>
            <w:tcW w:w="2580" w:type="dxa"/>
            <w:tcBorders>
              <w:top w:val="nil"/>
              <w:left w:val="nil"/>
              <w:bottom w:val="nil"/>
              <w:right w:val="nil"/>
            </w:tcBorders>
            <w:shd w:val="clear" w:color="auto" w:fill="auto"/>
            <w:hideMark/>
          </w:tcPr>
          <w:p w14:paraId="58DB360B"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Regional and National Development</w:t>
            </w:r>
          </w:p>
        </w:tc>
        <w:tc>
          <w:tcPr>
            <w:tcW w:w="560" w:type="dxa"/>
            <w:tcBorders>
              <w:top w:val="nil"/>
              <w:left w:val="nil"/>
              <w:bottom w:val="nil"/>
              <w:right w:val="nil"/>
            </w:tcBorders>
            <w:shd w:val="clear" w:color="auto" w:fill="auto"/>
            <w:noWrap/>
            <w:hideMark/>
          </w:tcPr>
          <w:p w14:paraId="6CB51C8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7B158E9C"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w:t>
            </w:r>
          </w:p>
        </w:tc>
        <w:tc>
          <w:tcPr>
            <w:tcW w:w="580" w:type="dxa"/>
            <w:tcBorders>
              <w:top w:val="nil"/>
              <w:left w:val="nil"/>
              <w:bottom w:val="nil"/>
              <w:right w:val="nil"/>
            </w:tcBorders>
            <w:shd w:val="clear" w:color="auto" w:fill="auto"/>
            <w:noWrap/>
            <w:hideMark/>
          </w:tcPr>
          <w:p w14:paraId="050CEFD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66</w:t>
            </w:r>
          </w:p>
        </w:tc>
        <w:tc>
          <w:tcPr>
            <w:tcW w:w="580" w:type="dxa"/>
            <w:tcBorders>
              <w:top w:val="nil"/>
              <w:left w:val="nil"/>
              <w:bottom w:val="nil"/>
              <w:right w:val="nil"/>
            </w:tcBorders>
            <w:shd w:val="clear" w:color="auto" w:fill="auto"/>
            <w:noWrap/>
            <w:hideMark/>
          </w:tcPr>
          <w:p w14:paraId="5C598D4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26</w:t>
            </w:r>
          </w:p>
        </w:tc>
        <w:tc>
          <w:tcPr>
            <w:tcW w:w="600" w:type="dxa"/>
            <w:tcBorders>
              <w:top w:val="nil"/>
              <w:left w:val="nil"/>
              <w:bottom w:val="nil"/>
              <w:right w:val="nil"/>
            </w:tcBorders>
            <w:shd w:val="clear" w:color="auto" w:fill="auto"/>
            <w:noWrap/>
            <w:hideMark/>
          </w:tcPr>
          <w:p w14:paraId="728DC0E5"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109</w:t>
            </w:r>
          </w:p>
        </w:tc>
        <w:tc>
          <w:tcPr>
            <w:tcW w:w="580" w:type="dxa"/>
            <w:tcBorders>
              <w:top w:val="nil"/>
              <w:left w:val="nil"/>
              <w:bottom w:val="nil"/>
              <w:right w:val="nil"/>
            </w:tcBorders>
            <w:shd w:val="clear" w:color="auto" w:fill="auto"/>
            <w:noWrap/>
            <w:hideMark/>
          </w:tcPr>
          <w:p w14:paraId="432E04CE"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577B372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w:t>
            </w:r>
          </w:p>
        </w:tc>
        <w:tc>
          <w:tcPr>
            <w:tcW w:w="580" w:type="dxa"/>
            <w:tcBorders>
              <w:top w:val="nil"/>
              <w:left w:val="nil"/>
              <w:bottom w:val="nil"/>
              <w:right w:val="nil"/>
            </w:tcBorders>
            <w:shd w:val="clear" w:color="auto" w:fill="auto"/>
            <w:noWrap/>
            <w:hideMark/>
          </w:tcPr>
          <w:p w14:paraId="2D00286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63</w:t>
            </w:r>
          </w:p>
        </w:tc>
        <w:tc>
          <w:tcPr>
            <w:tcW w:w="580" w:type="dxa"/>
            <w:tcBorders>
              <w:top w:val="nil"/>
              <w:left w:val="nil"/>
              <w:bottom w:val="nil"/>
              <w:right w:val="nil"/>
            </w:tcBorders>
            <w:shd w:val="clear" w:color="auto" w:fill="auto"/>
            <w:noWrap/>
            <w:hideMark/>
          </w:tcPr>
          <w:p w14:paraId="7A1B426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27</w:t>
            </w:r>
          </w:p>
        </w:tc>
        <w:tc>
          <w:tcPr>
            <w:tcW w:w="600" w:type="dxa"/>
            <w:tcBorders>
              <w:top w:val="nil"/>
              <w:left w:val="nil"/>
              <w:bottom w:val="nil"/>
              <w:right w:val="nil"/>
            </w:tcBorders>
            <w:shd w:val="clear" w:color="auto" w:fill="auto"/>
            <w:noWrap/>
            <w:hideMark/>
          </w:tcPr>
          <w:p w14:paraId="02CF1F5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107</w:t>
            </w:r>
          </w:p>
        </w:tc>
        <w:tc>
          <w:tcPr>
            <w:tcW w:w="560" w:type="dxa"/>
            <w:tcBorders>
              <w:top w:val="nil"/>
              <w:left w:val="nil"/>
              <w:bottom w:val="nil"/>
              <w:right w:val="nil"/>
            </w:tcBorders>
            <w:shd w:val="clear" w:color="auto" w:fill="auto"/>
            <w:noWrap/>
            <w:hideMark/>
          </w:tcPr>
          <w:p w14:paraId="5EF32A9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31B5F41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w:t>
            </w:r>
          </w:p>
        </w:tc>
        <w:tc>
          <w:tcPr>
            <w:tcW w:w="580" w:type="dxa"/>
            <w:tcBorders>
              <w:top w:val="nil"/>
              <w:left w:val="nil"/>
              <w:bottom w:val="nil"/>
              <w:right w:val="nil"/>
            </w:tcBorders>
            <w:shd w:val="clear" w:color="auto" w:fill="auto"/>
            <w:noWrap/>
            <w:hideMark/>
          </w:tcPr>
          <w:p w14:paraId="2C6121C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68</w:t>
            </w:r>
          </w:p>
        </w:tc>
        <w:tc>
          <w:tcPr>
            <w:tcW w:w="580" w:type="dxa"/>
            <w:tcBorders>
              <w:top w:val="nil"/>
              <w:left w:val="nil"/>
              <w:bottom w:val="nil"/>
              <w:right w:val="nil"/>
            </w:tcBorders>
            <w:shd w:val="clear" w:color="auto" w:fill="auto"/>
            <w:noWrap/>
            <w:hideMark/>
          </w:tcPr>
          <w:p w14:paraId="25594421"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26</w:t>
            </w:r>
          </w:p>
        </w:tc>
        <w:tc>
          <w:tcPr>
            <w:tcW w:w="600" w:type="dxa"/>
            <w:tcBorders>
              <w:top w:val="nil"/>
              <w:left w:val="nil"/>
              <w:bottom w:val="nil"/>
              <w:right w:val="nil"/>
            </w:tcBorders>
            <w:shd w:val="clear" w:color="auto" w:fill="auto"/>
            <w:noWrap/>
            <w:hideMark/>
          </w:tcPr>
          <w:p w14:paraId="6C977D5A"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111</w:t>
            </w:r>
          </w:p>
        </w:tc>
        <w:tc>
          <w:tcPr>
            <w:tcW w:w="580" w:type="dxa"/>
            <w:tcBorders>
              <w:top w:val="nil"/>
              <w:left w:val="nil"/>
              <w:bottom w:val="nil"/>
              <w:right w:val="nil"/>
            </w:tcBorders>
            <w:shd w:val="clear" w:color="auto" w:fill="auto"/>
            <w:noWrap/>
            <w:hideMark/>
          </w:tcPr>
          <w:p w14:paraId="0AB0DDF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3E3FC80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2FE8E3EC"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3</w:t>
            </w:r>
          </w:p>
        </w:tc>
        <w:tc>
          <w:tcPr>
            <w:tcW w:w="560" w:type="dxa"/>
            <w:tcBorders>
              <w:top w:val="nil"/>
              <w:left w:val="nil"/>
              <w:bottom w:val="nil"/>
              <w:right w:val="nil"/>
            </w:tcBorders>
            <w:shd w:val="clear" w:color="auto" w:fill="auto"/>
            <w:noWrap/>
            <w:hideMark/>
          </w:tcPr>
          <w:p w14:paraId="147C9D7E"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0BB2AC90"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2</w:t>
            </w:r>
          </w:p>
        </w:tc>
      </w:tr>
      <w:tr w:rsidR="004D67F9" w:rsidRPr="004D67F9" w14:paraId="06EFF434" w14:textId="77777777" w:rsidTr="004D67F9">
        <w:trPr>
          <w:divId w:val="882323394"/>
          <w:trHeight w:val="345"/>
        </w:trPr>
        <w:tc>
          <w:tcPr>
            <w:tcW w:w="2580" w:type="dxa"/>
            <w:tcBorders>
              <w:top w:val="nil"/>
              <w:left w:val="nil"/>
              <w:bottom w:val="nil"/>
              <w:right w:val="nil"/>
            </w:tcBorders>
            <w:shd w:val="clear" w:color="auto" w:fill="auto"/>
            <w:hideMark/>
          </w:tcPr>
          <w:p w14:paraId="7C310E3D"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Infrastructure and Platforms</w:t>
            </w:r>
          </w:p>
        </w:tc>
        <w:tc>
          <w:tcPr>
            <w:tcW w:w="560" w:type="dxa"/>
            <w:tcBorders>
              <w:top w:val="nil"/>
              <w:left w:val="nil"/>
              <w:bottom w:val="nil"/>
              <w:right w:val="nil"/>
            </w:tcBorders>
            <w:shd w:val="clear" w:color="auto" w:fill="auto"/>
            <w:noWrap/>
            <w:hideMark/>
          </w:tcPr>
          <w:p w14:paraId="00FC299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64D3F080"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4</w:t>
            </w:r>
          </w:p>
        </w:tc>
        <w:tc>
          <w:tcPr>
            <w:tcW w:w="580" w:type="dxa"/>
            <w:tcBorders>
              <w:top w:val="nil"/>
              <w:left w:val="nil"/>
              <w:bottom w:val="nil"/>
              <w:right w:val="nil"/>
            </w:tcBorders>
            <w:shd w:val="clear" w:color="auto" w:fill="auto"/>
            <w:noWrap/>
            <w:hideMark/>
          </w:tcPr>
          <w:p w14:paraId="31BE414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44</w:t>
            </w:r>
          </w:p>
        </w:tc>
        <w:tc>
          <w:tcPr>
            <w:tcW w:w="580" w:type="dxa"/>
            <w:tcBorders>
              <w:top w:val="nil"/>
              <w:left w:val="nil"/>
              <w:bottom w:val="nil"/>
              <w:right w:val="nil"/>
            </w:tcBorders>
            <w:shd w:val="clear" w:color="auto" w:fill="auto"/>
            <w:noWrap/>
            <w:hideMark/>
          </w:tcPr>
          <w:p w14:paraId="6ADA4F5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11</w:t>
            </w:r>
          </w:p>
        </w:tc>
        <w:tc>
          <w:tcPr>
            <w:tcW w:w="600" w:type="dxa"/>
            <w:tcBorders>
              <w:top w:val="nil"/>
              <w:left w:val="nil"/>
              <w:bottom w:val="nil"/>
              <w:right w:val="nil"/>
            </w:tcBorders>
            <w:shd w:val="clear" w:color="auto" w:fill="auto"/>
            <w:noWrap/>
            <w:hideMark/>
          </w:tcPr>
          <w:p w14:paraId="54230962"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60</w:t>
            </w:r>
          </w:p>
        </w:tc>
        <w:tc>
          <w:tcPr>
            <w:tcW w:w="580" w:type="dxa"/>
            <w:tcBorders>
              <w:top w:val="nil"/>
              <w:left w:val="nil"/>
              <w:bottom w:val="nil"/>
              <w:right w:val="nil"/>
            </w:tcBorders>
            <w:shd w:val="clear" w:color="auto" w:fill="auto"/>
            <w:noWrap/>
            <w:hideMark/>
          </w:tcPr>
          <w:p w14:paraId="5F2BDEC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310E3A8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w:t>
            </w:r>
          </w:p>
        </w:tc>
        <w:tc>
          <w:tcPr>
            <w:tcW w:w="580" w:type="dxa"/>
            <w:tcBorders>
              <w:top w:val="nil"/>
              <w:left w:val="nil"/>
              <w:bottom w:val="nil"/>
              <w:right w:val="nil"/>
            </w:tcBorders>
            <w:shd w:val="clear" w:color="auto" w:fill="auto"/>
            <w:noWrap/>
            <w:hideMark/>
          </w:tcPr>
          <w:p w14:paraId="09E83CC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41</w:t>
            </w:r>
          </w:p>
        </w:tc>
        <w:tc>
          <w:tcPr>
            <w:tcW w:w="580" w:type="dxa"/>
            <w:tcBorders>
              <w:top w:val="nil"/>
              <w:left w:val="nil"/>
              <w:bottom w:val="nil"/>
              <w:right w:val="nil"/>
            </w:tcBorders>
            <w:shd w:val="clear" w:color="auto" w:fill="auto"/>
            <w:noWrap/>
            <w:hideMark/>
          </w:tcPr>
          <w:p w14:paraId="2D6FD80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13</w:t>
            </w:r>
          </w:p>
        </w:tc>
        <w:tc>
          <w:tcPr>
            <w:tcW w:w="600" w:type="dxa"/>
            <w:tcBorders>
              <w:top w:val="nil"/>
              <w:left w:val="nil"/>
              <w:bottom w:val="nil"/>
              <w:right w:val="nil"/>
            </w:tcBorders>
            <w:shd w:val="clear" w:color="auto" w:fill="auto"/>
            <w:noWrap/>
            <w:hideMark/>
          </w:tcPr>
          <w:p w14:paraId="36BEB66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60</w:t>
            </w:r>
          </w:p>
        </w:tc>
        <w:tc>
          <w:tcPr>
            <w:tcW w:w="560" w:type="dxa"/>
            <w:tcBorders>
              <w:top w:val="nil"/>
              <w:left w:val="nil"/>
              <w:bottom w:val="nil"/>
              <w:right w:val="nil"/>
            </w:tcBorders>
            <w:shd w:val="clear" w:color="auto" w:fill="auto"/>
            <w:noWrap/>
            <w:hideMark/>
          </w:tcPr>
          <w:p w14:paraId="4D68093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2B36A2F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4</w:t>
            </w:r>
          </w:p>
        </w:tc>
        <w:tc>
          <w:tcPr>
            <w:tcW w:w="580" w:type="dxa"/>
            <w:tcBorders>
              <w:top w:val="nil"/>
              <w:left w:val="nil"/>
              <w:bottom w:val="nil"/>
              <w:right w:val="nil"/>
            </w:tcBorders>
            <w:shd w:val="clear" w:color="auto" w:fill="auto"/>
            <w:noWrap/>
            <w:hideMark/>
          </w:tcPr>
          <w:p w14:paraId="6A163CE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44</w:t>
            </w:r>
          </w:p>
        </w:tc>
        <w:tc>
          <w:tcPr>
            <w:tcW w:w="580" w:type="dxa"/>
            <w:tcBorders>
              <w:top w:val="nil"/>
              <w:left w:val="nil"/>
              <w:bottom w:val="nil"/>
              <w:right w:val="nil"/>
            </w:tcBorders>
            <w:shd w:val="clear" w:color="auto" w:fill="auto"/>
            <w:noWrap/>
            <w:hideMark/>
          </w:tcPr>
          <w:p w14:paraId="722BA16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11</w:t>
            </w:r>
          </w:p>
        </w:tc>
        <w:tc>
          <w:tcPr>
            <w:tcW w:w="600" w:type="dxa"/>
            <w:tcBorders>
              <w:top w:val="nil"/>
              <w:left w:val="nil"/>
              <w:bottom w:val="nil"/>
              <w:right w:val="nil"/>
            </w:tcBorders>
            <w:shd w:val="clear" w:color="auto" w:fill="auto"/>
            <w:noWrap/>
            <w:hideMark/>
          </w:tcPr>
          <w:p w14:paraId="0EDC597F"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60</w:t>
            </w:r>
          </w:p>
        </w:tc>
        <w:tc>
          <w:tcPr>
            <w:tcW w:w="580" w:type="dxa"/>
            <w:tcBorders>
              <w:top w:val="nil"/>
              <w:left w:val="nil"/>
              <w:bottom w:val="nil"/>
              <w:right w:val="nil"/>
            </w:tcBorders>
            <w:shd w:val="clear" w:color="auto" w:fill="auto"/>
            <w:noWrap/>
            <w:hideMark/>
          </w:tcPr>
          <w:p w14:paraId="36620586"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697ABBD8"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24854954"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3</w:t>
            </w:r>
          </w:p>
        </w:tc>
        <w:tc>
          <w:tcPr>
            <w:tcW w:w="560" w:type="dxa"/>
            <w:tcBorders>
              <w:top w:val="nil"/>
              <w:left w:val="nil"/>
              <w:bottom w:val="nil"/>
              <w:right w:val="nil"/>
            </w:tcBorders>
            <w:shd w:val="clear" w:color="auto" w:fill="auto"/>
            <w:noWrap/>
            <w:hideMark/>
          </w:tcPr>
          <w:p w14:paraId="285AD8A9"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(2)</w:t>
            </w:r>
          </w:p>
        </w:tc>
        <w:tc>
          <w:tcPr>
            <w:tcW w:w="560" w:type="dxa"/>
            <w:tcBorders>
              <w:top w:val="nil"/>
              <w:left w:val="nil"/>
              <w:bottom w:val="nil"/>
              <w:right w:val="nil"/>
            </w:tcBorders>
            <w:shd w:val="clear" w:color="auto" w:fill="auto"/>
            <w:noWrap/>
            <w:hideMark/>
          </w:tcPr>
          <w:p w14:paraId="40368743"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w:t>
            </w:r>
          </w:p>
        </w:tc>
      </w:tr>
      <w:tr w:rsidR="004D67F9" w:rsidRPr="004D67F9" w14:paraId="49262548" w14:textId="77777777" w:rsidTr="004D67F9">
        <w:trPr>
          <w:divId w:val="882323394"/>
          <w:trHeight w:val="345"/>
        </w:trPr>
        <w:tc>
          <w:tcPr>
            <w:tcW w:w="2580" w:type="dxa"/>
            <w:tcBorders>
              <w:top w:val="nil"/>
              <w:left w:val="nil"/>
              <w:bottom w:val="nil"/>
              <w:right w:val="nil"/>
            </w:tcBorders>
            <w:shd w:val="clear" w:color="auto" w:fill="auto"/>
            <w:hideMark/>
          </w:tcPr>
          <w:p w14:paraId="3E7820B8"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Global Challenges and Partnerships</w:t>
            </w:r>
          </w:p>
        </w:tc>
        <w:tc>
          <w:tcPr>
            <w:tcW w:w="560" w:type="dxa"/>
            <w:tcBorders>
              <w:top w:val="nil"/>
              <w:left w:val="nil"/>
              <w:bottom w:val="nil"/>
              <w:right w:val="nil"/>
            </w:tcBorders>
            <w:shd w:val="clear" w:color="auto" w:fill="auto"/>
            <w:noWrap/>
            <w:hideMark/>
          </w:tcPr>
          <w:p w14:paraId="218C04A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139BD51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w:t>
            </w:r>
          </w:p>
        </w:tc>
        <w:tc>
          <w:tcPr>
            <w:tcW w:w="580" w:type="dxa"/>
            <w:tcBorders>
              <w:top w:val="nil"/>
              <w:left w:val="nil"/>
              <w:bottom w:val="nil"/>
              <w:right w:val="nil"/>
            </w:tcBorders>
            <w:shd w:val="clear" w:color="auto" w:fill="auto"/>
            <w:noWrap/>
            <w:hideMark/>
          </w:tcPr>
          <w:p w14:paraId="5C4A72F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25</w:t>
            </w:r>
          </w:p>
        </w:tc>
        <w:tc>
          <w:tcPr>
            <w:tcW w:w="580" w:type="dxa"/>
            <w:tcBorders>
              <w:top w:val="nil"/>
              <w:left w:val="nil"/>
              <w:bottom w:val="nil"/>
              <w:right w:val="nil"/>
            </w:tcBorders>
            <w:shd w:val="clear" w:color="auto" w:fill="auto"/>
            <w:noWrap/>
            <w:hideMark/>
          </w:tcPr>
          <w:p w14:paraId="2F29AD5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12</w:t>
            </w:r>
          </w:p>
        </w:tc>
        <w:tc>
          <w:tcPr>
            <w:tcW w:w="600" w:type="dxa"/>
            <w:tcBorders>
              <w:top w:val="nil"/>
              <w:left w:val="nil"/>
              <w:bottom w:val="nil"/>
              <w:right w:val="nil"/>
            </w:tcBorders>
            <w:shd w:val="clear" w:color="auto" w:fill="auto"/>
            <w:noWrap/>
            <w:hideMark/>
          </w:tcPr>
          <w:p w14:paraId="6CEB0E15"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44</w:t>
            </w:r>
          </w:p>
        </w:tc>
        <w:tc>
          <w:tcPr>
            <w:tcW w:w="580" w:type="dxa"/>
            <w:tcBorders>
              <w:top w:val="nil"/>
              <w:left w:val="nil"/>
              <w:bottom w:val="nil"/>
              <w:right w:val="nil"/>
            </w:tcBorders>
            <w:shd w:val="clear" w:color="auto" w:fill="auto"/>
            <w:noWrap/>
            <w:hideMark/>
          </w:tcPr>
          <w:p w14:paraId="1088400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560D24E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7</w:t>
            </w:r>
          </w:p>
        </w:tc>
        <w:tc>
          <w:tcPr>
            <w:tcW w:w="580" w:type="dxa"/>
            <w:tcBorders>
              <w:top w:val="nil"/>
              <w:left w:val="nil"/>
              <w:bottom w:val="nil"/>
              <w:right w:val="nil"/>
            </w:tcBorders>
            <w:shd w:val="clear" w:color="auto" w:fill="auto"/>
            <w:noWrap/>
            <w:hideMark/>
          </w:tcPr>
          <w:p w14:paraId="514CD1DC"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23</w:t>
            </w:r>
          </w:p>
        </w:tc>
        <w:tc>
          <w:tcPr>
            <w:tcW w:w="580" w:type="dxa"/>
            <w:tcBorders>
              <w:top w:val="nil"/>
              <w:left w:val="nil"/>
              <w:bottom w:val="nil"/>
              <w:right w:val="nil"/>
            </w:tcBorders>
            <w:shd w:val="clear" w:color="auto" w:fill="auto"/>
            <w:noWrap/>
            <w:hideMark/>
          </w:tcPr>
          <w:p w14:paraId="0B1BC402"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12</w:t>
            </w:r>
          </w:p>
        </w:tc>
        <w:tc>
          <w:tcPr>
            <w:tcW w:w="600" w:type="dxa"/>
            <w:tcBorders>
              <w:top w:val="nil"/>
              <w:left w:val="nil"/>
              <w:bottom w:val="nil"/>
              <w:right w:val="nil"/>
            </w:tcBorders>
            <w:shd w:val="clear" w:color="auto" w:fill="auto"/>
            <w:noWrap/>
            <w:hideMark/>
          </w:tcPr>
          <w:p w14:paraId="433B4776"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43</w:t>
            </w:r>
          </w:p>
        </w:tc>
        <w:tc>
          <w:tcPr>
            <w:tcW w:w="560" w:type="dxa"/>
            <w:tcBorders>
              <w:top w:val="nil"/>
              <w:left w:val="nil"/>
              <w:bottom w:val="nil"/>
              <w:right w:val="nil"/>
            </w:tcBorders>
            <w:shd w:val="clear" w:color="auto" w:fill="auto"/>
            <w:noWrap/>
            <w:hideMark/>
          </w:tcPr>
          <w:p w14:paraId="54313F5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00573B9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w:t>
            </w:r>
          </w:p>
        </w:tc>
        <w:tc>
          <w:tcPr>
            <w:tcW w:w="580" w:type="dxa"/>
            <w:tcBorders>
              <w:top w:val="nil"/>
              <w:left w:val="nil"/>
              <w:bottom w:val="nil"/>
              <w:right w:val="nil"/>
            </w:tcBorders>
            <w:shd w:val="clear" w:color="auto" w:fill="auto"/>
            <w:noWrap/>
            <w:hideMark/>
          </w:tcPr>
          <w:p w14:paraId="2D9664B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25</w:t>
            </w:r>
          </w:p>
        </w:tc>
        <w:tc>
          <w:tcPr>
            <w:tcW w:w="580" w:type="dxa"/>
            <w:tcBorders>
              <w:top w:val="nil"/>
              <w:left w:val="nil"/>
              <w:bottom w:val="nil"/>
              <w:right w:val="nil"/>
            </w:tcBorders>
            <w:shd w:val="clear" w:color="auto" w:fill="auto"/>
            <w:noWrap/>
            <w:hideMark/>
          </w:tcPr>
          <w:p w14:paraId="7DA30EF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12</w:t>
            </w:r>
          </w:p>
        </w:tc>
        <w:tc>
          <w:tcPr>
            <w:tcW w:w="600" w:type="dxa"/>
            <w:tcBorders>
              <w:top w:val="nil"/>
              <w:left w:val="nil"/>
              <w:bottom w:val="nil"/>
              <w:right w:val="nil"/>
            </w:tcBorders>
            <w:shd w:val="clear" w:color="auto" w:fill="auto"/>
            <w:noWrap/>
            <w:hideMark/>
          </w:tcPr>
          <w:p w14:paraId="7382B27C"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44</w:t>
            </w:r>
          </w:p>
        </w:tc>
        <w:tc>
          <w:tcPr>
            <w:tcW w:w="580" w:type="dxa"/>
            <w:tcBorders>
              <w:top w:val="nil"/>
              <w:left w:val="nil"/>
              <w:bottom w:val="nil"/>
              <w:right w:val="nil"/>
            </w:tcBorders>
            <w:shd w:val="clear" w:color="auto" w:fill="auto"/>
            <w:noWrap/>
            <w:hideMark/>
          </w:tcPr>
          <w:p w14:paraId="7806304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207665DD"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(1)</w:t>
            </w:r>
          </w:p>
        </w:tc>
        <w:tc>
          <w:tcPr>
            <w:tcW w:w="560" w:type="dxa"/>
            <w:tcBorders>
              <w:top w:val="nil"/>
              <w:left w:val="nil"/>
              <w:bottom w:val="nil"/>
              <w:right w:val="nil"/>
            </w:tcBorders>
            <w:shd w:val="clear" w:color="auto" w:fill="auto"/>
            <w:noWrap/>
            <w:hideMark/>
          </w:tcPr>
          <w:p w14:paraId="792E9BE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2</w:t>
            </w:r>
          </w:p>
        </w:tc>
        <w:tc>
          <w:tcPr>
            <w:tcW w:w="560" w:type="dxa"/>
            <w:tcBorders>
              <w:top w:val="nil"/>
              <w:left w:val="nil"/>
              <w:bottom w:val="nil"/>
              <w:right w:val="nil"/>
            </w:tcBorders>
            <w:shd w:val="clear" w:color="auto" w:fill="auto"/>
            <w:noWrap/>
            <w:hideMark/>
          </w:tcPr>
          <w:p w14:paraId="0C211910"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6CCB2A64"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w:t>
            </w:r>
          </w:p>
        </w:tc>
      </w:tr>
      <w:tr w:rsidR="004D67F9" w:rsidRPr="004D67F9" w14:paraId="4262184F" w14:textId="77777777" w:rsidTr="004D67F9">
        <w:trPr>
          <w:divId w:val="882323394"/>
          <w:trHeight w:val="345"/>
        </w:trPr>
        <w:tc>
          <w:tcPr>
            <w:tcW w:w="2580" w:type="dxa"/>
            <w:tcBorders>
              <w:top w:val="nil"/>
              <w:left w:val="nil"/>
              <w:bottom w:val="nil"/>
              <w:right w:val="nil"/>
            </w:tcBorders>
            <w:shd w:val="clear" w:color="auto" w:fill="auto"/>
            <w:hideMark/>
          </w:tcPr>
          <w:p w14:paraId="577104CF"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IP and Innovation Ecosystems</w:t>
            </w:r>
          </w:p>
        </w:tc>
        <w:tc>
          <w:tcPr>
            <w:tcW w:w="560" w:type="dxa"/>
            <w:tcBorders>
              <w:top w:val="nil"/>
              <w:left w:val="nil"/>
              <w:bottom w:val="nil"/>
              <w:right w:val="nil"/>
            </w:tcBorders>
            <w:shd w:val="clear" w:color="auto" w:fill="auto"/>
            <w:noWrap/>
            <w:hideMark/>
          </w:tcPr>
          <w:p w14:paraId="25D2683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13F5F3B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w:t>
            </w:r>
          </w:p>
        </w:tc>
        <w:tc>
          <w:tcPr>
            <w:tcW w:w="580" w:type="dxa"/>
            <w:tcBorders>
              <w:top w:val="nil"/>
              <w:left w:val="nil"/>
              <w:bottom w:val="nil"/>
              <w:right w:val="nil"/>
            </w:tcBorders>
            <w:shd w:val="clear" w:color="auto" w:fill="auto"/>
            <w:noWrap/>
            <w:hideMark/>
          </w:tcPr>
          <w:p w14:paraId="5D9330C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57</w:t>
            </w:r>
          </w:p>
        </w:tc>
        <w:tc>
          <w:tcPr>
            <w:tcW w:w="580" w:type="dxa"/>
            <w:tcBorders>
              <w:top w:val="nil"/>
              <w:left w:val="nil"/>
              <w:bottom w:val="nil"/>
              <w:right w:val="nil"/>
            </w:tcBorders>
            <w:shd w:val="clear" w:color="auto" w:fill="auto"/>
            <w:noWrap/>
            <w:hideMark/>
          </w:tcPr>
          <w:p w14:paraId="72C3542D"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15</w:t>
            </w:r>
          </w:p>
        </w:tc>
        <w:tc>
          <w:tcPr>
            <w:tcW w:w="600" w:type="dxa"/>
            <w:tcBorders>
              <w:top w:val="nil"/>
              <w:left w:val="nil"/>
              <w:bottom w:val="nil"/>
              <w:right w:val="nil"/>
            </w:tcBorders>
            <w:shd w:val="clear" w:color="auto" w:fill="auto"/>
            <w:noWrap/>
            <w:hideMark/>
          </w:tcPr>
          <w:p w14:paraId="4A81354A"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81</w:t>
            </w:r>
          </w:p>
        </w:tc>
        <w:tc>
          <w:tcPr>
            <w:tcW w:w="580" w:type="dxa"/>
            <w:tcBorders>
              <w:top w:val="nil"/>
              <w:left w:val="nil"/>
              <w:bottom w:val="nil"/>
              <w:right w:val="nil"/>
            </w:tcBorders>
            <w:shd w:val="clear" w:color="auto" w:fill="auto"/>
            <w:noWrap/>
            <w:hideMark/>
          </w:tcPr>
          <w:p w14:paraId="59E623E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6CFD6FAC"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w:t>
            </w:r>
          </w:p>
        </w:tc>
        <w:tc>
          <w:tcPr>
            <w:tcW w:w="580" w:type="dxa"/>
            <w:tcBorders>
              <w:top w:val="nil"/>
              <w:left w:val="nil"/>
              <w:bottom w:val="nil"/>
              <w:right w:val="nil"/>
            </w:tcBorders>
            <w:shd w:val="clear" w:color="auto" w:fill="auto"/>
            <w:noWrap/>
            <w:hideMark/>
          </w:tcPr>
          <w:p w14:paraId="51B2103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54</w:t>
            </w:r>
          </w:p>
        </w:tc>
        <w:tc>
          <w:tcPr>
            <w:tcW w:w="580" w:type="dxa"/>
            <w:tcBorders>
              <w:top w:val="nil"/>
              <w:left w:val="nil"/>
              <w:bottom w:val="nil"/>
              <w:right w:val="nil"/>
            </w:tcBorders>
            <w:shd w:val="clear" w:color="auto" w:fill="auto"/>
            <w:noWrap/>
            <w:hideMark/>
          </w:tcPr>
          <w:p w14:paraId="372616F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15</w:t>
            </w:r>
          </w:p>
        </w:tc>
        <w:tc>
          <w:tcPr>
            <w:tcW w:w="600" w:type="dxa"/>
            <w:tcBorders>
              <w:top w:val="nil"/>
              <w:left w:val="nil"/>
              <w:bottom w:val="nil"/>
              <w:right w:val="nil"/>
            </w:tcBorders>
            <w:shd w:val="clear" w:color="auto" w:fill="auto"/>
            <w:noWrap/>
            <w:hideMark/>
          </w:tcPr>
          <w:p w14:paraId="4B4C69B5"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78</w:t>
            </w:r>
          </w:p>
        </w:tc>
        <w:tc>
          <w:tcPr>
            <w:tcW w:w="560" w:type="dxa"/>
            <w:tcBorders>
              <w:top w:val="nil"/>
              <w:left w:val="nil"/>
              <w:bottom w:val="nil"/>
              <w:right w:val="nil"/>
            </w:tcBorders>
            <w:shd w:val="clear" w:color="auto" w:fill="auto"/>
            <w:noWrap/>
            <w:hideMark/>
          </w:tcPr>
          <w:p w14:paraId="4D802C61"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60" w:type="dxa"/>
            <w:tcBorders>
              <w:top w:val="nil"/>
              <w:left w:val="nil"/>
              <w:bottom w:val="nil"/>
              <w:right w:val="nil"/>
            </w:tcBorders>
            <w:shd w:val="clear" w:color="auto" w:fill="auto"/>
            <w:noWrap/>
            <w:hideMark/>
          </w:tcPr>
          <w:p w14:paraId="4933671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8</w:t>
            </w:r>
          </w:p>
        </w:tc>
        <w:tc>
          <w:tcPr>
            <w:tcW w:w="580" w:type="dxa"/>
            <w:tcBorders>
              <w:top w:val="nil"/>
              <w:left w:val="nil"/>
              <w:bottom w:val="nil"/>
              <w:right w:val="nil"/>
            </w:tcBorders>
            <w:shd w:val="clear" w:color="auto" w:fill="auto"/>
            <w:noWrap/>
            <w:hideMark/>
          </w:tcPr>
          <w:p w14:paraId="5406E61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55</w:t>
            </w:r>
          </w:p>
        </w:tc>
        <w:tc>
          <w:tcPr>
            <w:tcW w:w="580" w:type="dxa"/>
            <w:tcBorders>
              <w:top w:val="nil"/>
              <w:left w:val="nil"/>
              <w:bottom w:val="nil"/>
              <w:right w:val="nil"/>
            </w:tcBorders>
            <w:shd w:val="clear" w:color="auto" w:fill="auto"/>
            <w:noWrap/>
            <w:hideMark/>
          </w:tcPr>
          <w:p w14:paraId="27B639E1"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15</w:t>
            </w:r>
          </w:p>
        </w:tc>
        <w:tc>
          <w:tcPr>
            <w:tcW w:w="600" w:type="dxa"/>
            <w:tcBorders>
              <w:top w:val="nil"/>
              <w:left w:val="nil"/>
              <w:bottom w:val="nil"/>
              <w:right w:val="nil"/>
            </w:tcBorders>
            <w:shd w:val="clear" w:color="auto" w:fill="auto"/>
            <w:noWrap/>
            <w:hideMark/>
          </w:tcPr>
          <w:p w14:paraId="14D73CB1"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79</w:t>
            </w:r>
          </w:p>
        </w:tc>
        <w:tc>
          <w:tcPr>
            <w:tcW w:w="580" w:type="dxa"/>
            <w:tcBorders>
              <w:top w:val="nil"/>
              <w:left w:val="nil"/>
              <w:bottom w:val="nil"/>
              <w:right w:val="nil"/>
            </w:tcBorders>
            <w:shd w:val="clear" w:color="auto" w:fill="auto"/>
            <w:noWrap/>
            <w:hideMark/>
          </w:tcPr>
          <w:p w14:paraId="203FFE8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5213A182"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5627E1B9"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3</w:t>
            </w:r>
          </w:p>
        </w:tc>
        <w:tc>
          <w:tcPr>
            <w:tcW w:w="560" w:type="dxa"/>
            <w:tcBorders>
              <w:top w:val="nil"/>
              <w:left w:val="nil"/>
              <w:bottom w:val="nil"/>
              <w:right w:val="nil"/>
            </w:tcBorders>
            <w:shd w:val="clear" w:color="auto" w:fill="auto"/>
            <w:noWrap/>
            <w:hideMark/>
          </w:tcPr>
          <w:p w14:paraId="530B6CD1"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785A7C5E"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w:t>
            </w:r>
          </w:p>
        </w:tc>
      </w:tr>
      <w:tr w:rsidR="004D67F9" w:rsidRPr="004D67F9" w14:paraId="529A8ECF" w14:textId="77777777" w:rsidTr="004D67F9">
        <w:trPr>
          <w:divId w:val="882323394"/>
          <w:trHeight w:val="345"/>
        </w:trPr>
        <w:tc>
          <w:tcPr>
            <w:tcW w:w="2580" w:type="dxa"/>
            <w:tcBorders>
              <w:top w:val="nil"/>
              <w:left w:val="nil"/>
              <w:bottom w:val="nil"/>
              <w:right w:val="nil"/>
            </w:tcBorders>
            <w:shd w:val="clear" w:color="auto" w:fill="auto"/>
            <w:hideMark/>
          </w:tcPr>
          <w:p w14:paraId="484B79C6"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Administration, Finance and Management</w:t>
            </w:r>
          </w:p>
        </w:tc>
        <w:tc>
          <w:tcPr>
            <w:tcW w:w="560" w:type="dxa"/>
            <w:tcBorders>
              <w:top w:val="nil"/>
              <w:left w:val="nil"/>
              <w:bottom w:val="nil"/>
              <w:right w:val="nil"/>
            </w:tcBorders>
            <w:shd w:val="clear" w:color="auto" w:fill="auto"/>
            <w:noWrap/>
            <w:hideMark/>
          </w:tcPr>
          <w:p w14:paraId="128B6A10"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w:t>
            </w:r>
          </w:p>
        </w:tc>
        <w:tc>
          <w:tcPr>
            <w:tcW w:w="560" w:type="dxa"/>
            <w:tcBorders>
              <w:top w:val="nil"/>
              <w:left w:val="nil"/>
              <w:bottom w:val="nil"/>
              <w:right w:val="nil"/>
            </w:tcBorders>
            <w:shd w:val="clear" w:color="auto" w:fill="auto"/>
            <w:noWrap/>
            <w:hideMark/>
          </w:tcPr>
          <w:p w14:paraId="0970A61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22</w:t>
            </w:r>
          </w:p>
        </w:tc>
        <w:tc>
          <w:tcPr>
            <w:tcW w:w="580" w:type="dxa"/>
            <w:tcBorders>
              <w:top w:val="nil"/>
              <w:left w:val="nil"/>
              <w:bottom w:val="nil"/>
              <w:right w:val="nil"/>
            </w:tcBorders>
            <w:shd w:val="clear" w:color="auto" w:fill="auto"/>
            <w:noWrap/>
            <w:hideMark/>
          </w:tcPr>
          <w:p w14:paraId="41A024E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217</w:t>
            </w:r>
          </w:p>
        </w:tc>
        <w:tc>
          <w:tcPr>
            <w:tcW w:w="580" w:type="dxa"/>
            <w:tcBorders>
              <w:top w:val="nil"/>
              <w:left w:val="nil"/>
              <w:bottom w:val="nil"/>
              <w:right w:val="nil"/>
            </w:tcBorders>
            <w:shd w:val="clear" w:color="auto" w:fill="auto"/>
            <w:noWrap/>
            <w:hideMark/>
          </w:tcPr>
          <w:p w14:paraId="37B5AC3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157</w:t>
            </w:r>
          </w:p>
        </w:tc>
        <w:tc>
          <w:tcPr>
            <w:tcW w:w="600" w:type="dxa"/>
            <w:tcBorders>
              <w:top w:val="nil"/>
              <w:left w:val="nil"/>
              <w:bottom w:val="nil"/>
              <w:right w:val="nil"/>
            </w:tcBorders>
            <w:shd w:val="clear" w:color="auto" w:fill="auto"/>
            <w:noWrap/>
            <w:hideMark/>
          </w:tcPr>
          <w:p w14:paraId="4F9D313E"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398</w:t>
            </w:r>
          </w:p>
        </w:tc>
        <w:tc>
          <w:tcPr>
            <w:tcW w:w="580" w:type="dxa"/>
            <w:tcBorders>
              <w:top w:val="nil"/>
              <w:left w:val="nil"/>
              <w:bottom w:val="nil"/>
              <w:right w:val="nil"/>
            </w:tcBorders>
            <w:shd w:val="clear" w:color="auto" w:fill="auto"/>
            <w:noWrap/>
            <w:hideMark/>
          </w:tcPr>
          <w:p w14:paraId="5C77013F"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w:t>
            </w:r>
          </w:p>
        </w:tc>
        <w:tc>
          <w:tcPr>
            <w:tcW w:w="560" w:type="dxa"/>
            <w:tcBorders>
              <w:top w:val="nil"/>
              <w:left w:val="nil"/>
              <w:bottom w:val="nil"/>
              <w:right w:val="nil"/>
            </w:tcBorders>
            <w:shd w:val="clear" w:color="auto" w:fill="auto"/>
            <w:noWrap/>
            <w:hideMark/>
          </w:tcPr>
          <w:p w14:paraId="5C77B30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20</w:t>
            </w:r>
          </w:p>
        </w:tc>
        <w:tc>
          <w:tcPr>
            <w:tcW w:w="580" w:type="dxa"/>
            <w:tcBorders>
              <w:top w:val="nil"/>
              <w:left w:val="nil"/>
              <w:bottom w:val="nil"/>
              <w:right w:val="nil"/>
            </w:tcBorders>
            <w:shd w:val="clear" w:color="auto" w:fill="auto"/>
            <w:noWrap/>
            <w:hideMark/>
          </w:tcPr>
          <w:p w14:paraId="771C68B6"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168</w:t>
            </w:r>
          </w:p>
        </w:tc>
        <w:tc>
          <w:tcPr>
            <w:tcW w:w="580" w:type="dxa"/>
            <w:tcBorders>
              <w:top w:val="nil"/>
              <w:left w:val="nil"/>
              <w:bottom w:val="nil"/>
              <w:right w:val="nil"/>
            </w:tcBorders>
            <w:shd w:val="clear" w:color="auto" w:fill="auto"/>
            <w:noWrap/>
            <w:hideMark/>
          </w:tcPr>
          <w:p w14:paraId="17EA056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161</w:t>
            </w:r>
          </w:p>
        </w:tc>
        <w:tc>
          <w:tcPr>
            <w:tcW w:w="600" w:type="dxa"/>
            <w:tcBorders>
              <w:top w:val="nil"/>
              <w:left w:val="nil"/>
              <w:bottom w:val="nil"/>
              <w:right w:val="nil"/>
            </w:tcBorders>
            <w:shd w:val="clear" w:color="auto" w:fill="auto"/>
            <w:noWrap/>
            <w:hideMark/>
          </w:tcPr>
          <w:p w14:paraId="07DE20DB"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351</w:t>
            </w:r>
          </w:p>
        </w:tc>
        <w:tc>
          <w:tcPr>
            <w:tcW w:w="560" w:type="dxa"/>
            <w:tcBorders>
              <w:top w:val="nil"/>
              <w:left w:val="nil"/>
              <w:bottom w:val="nil"/>
              <w:right w:val="nil"/>
            </w:tcBorders>
            <w:shd w:val="clear" w:color="auto" w:fill="auto"/>
            <w:noWrap/>
            <w:hideMark/>
          </w:tcPr>
          <w:p w14:paraId="6F9F1C4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w:t>
            </w:r>
          </w:p>
        </w:tc>
        <w:tc>
          <w:tcPr>
            <w:tcW w:w="560" w:type="dxa"/>
            <w:tcBorders>
              <w:top w:val="nil"/>
              <w:left w:val="nil"/>
              <w:bottom w:val="nil"/>
              <w:right w:val="nil"/>
            </w:tcBorders>
            <w:shd w:val="clear" w:color="auto" w:fill="auto"/>
            <w:noWrap/>
            <w:hideMark/>
          </w:tcPr>
          <w:p w14:paraId="460C4B13"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20</w:t>
            </w:r>
          </w:p>
        </w:tc>
        <w:tc>
          <w:tcPr>
            <w:tcW w:w="580" w:type="dxa"/>
            <w:tcBorders>
              <w:top w:val="nil"/>
              <w:left w:val="nil"/>
              <w:bottom w:val="nil"/>
              <w:right w:val="nil"/>
            </w:tcBorders>
            <w:shd w:val="clear" w:color="auto" w:fill="auto"/>
            <w:noWrap/>
            <w:hideMark/>
          </w:tcPr>
          <w:p w14:paraId="60A8E0CE"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175</w:t>
            </w:r>
          </w:p>
        </w:tc>
        <w:tc>
          <w:tcPr>
            <w:tcW w:w="580" w:type="dxa"/>
            <w:tcBorders>
              <w:top w:val="nil"/>
              <w:left w:val="nil"/>
              <w:bottom w:val="nil"/>
              <w:right w:val="nil"/>
            </w:tcBorders>
            <w:shd w:val="clear" w:color="auto" w:fill="auto"/>
            <w:noWrap/>
            <w:hideMark/>
          </w:tcPr>
          <w:p w14:paraId="49C534EC"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152</w:t>
            </w:r>
          </w:p>
        </w:tc>
        <w:tc>
          <w:tcPr>
            <w:tcW w:w="600" w:type="dxa"/>
            <w:tcBorders>
              <w:top w:val="nil"/>
              <w:left w:val="nil"/>
              <w:bottom w:val="nil"/>
              <w:right w:val="nil"/>
            </w:tcBorders>
            <w:shd w:val="clear" w:color="auto" w:fill="auto"/>
            <w:noWrap/>
            <w:hideMark/>
          </w:tcPr>
          <w:p w14:paraId="2D8C25C4"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349</w:t>
            </w:r>
          </w:p>
        </w:tc>
        <w:tc>
          <w:tcPr>
            <w:tcW w:w="580" w:type="dxa"/>
            <w:tcBorders>
              <w:top w:val="nil"/>
              <w:left w:val="nil"/>
              <w:bottom w:val="nil"/>
              <w:right w:val="nil"/>
            </w:tcBorders>
            <w:shd w:val="clear" w:color="auto" w:fill="auto"/>
            <w:noWrap/>
            <w:hideMark/>
          </w:tcPr>
          <w:p w14:paraId="7491967C"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1046FB6D"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2</w:t>
            </w:r>
          </w:p>
        </w:tc>
        <w:tc>
          <w:tcPr>
            <w:tcW w:w="560" w:type="dxa"/>
            <w:tcBorders>
              <w:top w:val="nil"/>
              <w:left w:val="nil"/>
              <w:bottom w:val="nil"/>
              <w:right w:val="nil"/>
            </w:tcBorders>
            <w:shd w:val="clear" w:color="auto" w:fill="auto"/>
            <w:noWrap/>
            <w:hideMark/>
          </w:tcPr>
          <w:p w14:paraId="0E283920"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49</w:t>
            </w:r>
          </w:p>
        </w:tc>
        <w:tc>
          <w:tcPr>
            <w:tcW w:w="560" w:type="dxa"/>
            <w:tcBorders>
              <w:top w:val="nil"/>
              <w:left w:val="nil"/>
              <w:bottom w:val="nil"/>
              <w:right w:val="nil"/>
            </w:tcBorders>
            <w:shd w:val="clear" w:color="auto" w:fill="auto"/>
            <w:noWrap/>
            <w:hideMark/>
          </w:tcPr>
          <w:p w14:paraId="382440C4"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(4)</w:t>
            </w:r>
          </w:p>
        </w:tc>
        <w:tc>
          <w:tcPr>
            <w:tcW w:w="560" w:type="dxa"/>
            <w:tcBorders>
              <w:top w:val="nil"/>
              <w:left w:val="nil"/>
              <w:bottom w:val="nil"/>
              <w:right w:val="nil"/>
            </w:tcBorders>
            <w:shd w:val="clear" w:color="auto" w:fill="auto"/>
            <w:noWrap/>
            <w:hideMark/>
          </w:tcPr>
          <w:p w14:paraId="61D56542"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47</w:t>
            </w:r>
          </w:p>
        </w:tc>
      </w:tr>
      <w:tr w:rsidR="004D67F9" w:rsidRPr="004D67F9" w14:paraId="328C12A4" w14:textId="77777777" w:rsidTr="004D67F9">
        <w:trPr>
          <w:divId w:val="882323394"/>
          <w:trHeight w:val="345"/>
        </w:trPr>
        <w:tc>
          <w:tcPr>
            <w:tcW w:w="2580" w:type="dxa"/>
            <w:tcBorders>
              <w:top w:val="nil"/>
              <w:left w:val="nil"/>
              <w:bottom w:val="nil"/>
              <w:right w:val="nil"/>
            </w:tcBorders>
            <w:shd w:val="clear" w:color="auto" w:fill="auto"/>
            <w:hideMark/>
          </w:tcPr>
          <w:p w14:paraId="0E658261" w14:textId="77777777" w:rsidR="004D67F9" w:rsidRPr="004D67F9" w:rsidRDefault="004D67F9" w:rsidP="004D67F9">
            <w:pPr>
              <w:spacing w:after="0" w:line="240" w:lineRule="auto"/>
              <w:rPr>
                <w:rFonts w:ascii="Arial Narrow" w:eastAsia="Times New Roman" w:hAnsi="Arial Narrow" w:cs="Times New Roman"/>
                <w:color w:val="000000"/>
                <w:sz w:val="15"/>
                <w:szCs w:val="15"/>
                <w:lang w:val="en-US"/>
              </w:rPr>
            </w:pPr>
            <w:r w:rsidRPr="004D67F9">
              <w:rPr>
                <w:rFonts w:ascii="Arial Narrow" w:eastAsia="Times New Roman" w:hAnsi="Arial Narrow" w:cs="Times New Roman"/>
                <w:color w:val="000000"/>
                <w:sz w:val="15"/>
                <w:szCs w:val="15"/>
                <w:lang w:val="en-US"/>
              </w:rPr>
              <w:t>Unallocated</w:t>
            </w:r>
          </w:p>
        </w:tc>
        <w:tc>
          <w:tcPr>
            <w:tcW w:w="560" w:type="dxa"/>
            <w:tcBorders>
              <w:top w:val="nil"/>
              <w:left w:val="nil"/>
              <w:bottom w:val="nil"/>
              <w:right w:val="nil"/>
            </w:tcBorders>
            <w:shd w:val="clear" w:color="auto" w:fill="auto"/>
            <w:noWrap/>
            <w:hideMark/>
          </w:tcPr>
          <w:p w14:paraId="67477B48"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hideMark/>
          </w:tcPr>
          <w:p w14:paraId="3C51744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hideMark/>
          </w:tcPr>
          <w:p w14:paraId="1BE618E4"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hideMark/>
          </w:tcPr>
          <w:p w14:paraId="6555A18B"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600" w:type="dxa"/>
            <w:tcBorders>
              <w:top w:val="nil"/>
              <w:left w:val="nil"/>
              <w:bottom w:val="nil"/>
              <w:right w:val="nil"/>
            </w:tcBorders>
            <w:shd w:val="clear" w:color="auto" w:fill="auto"/>
            <w:noWrap/>
            <w:hideMark/>
          </w:tcPr>
          <w:p w14:paraId="21232C9C"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w:t>
            </w:r>
          </w:p>
        </w:tc>
        <w:tc>
          <w:tcPr>
            <w:tcW w:w="580" w:type="dxa"/>
            <w:tcBorders>
              <w:top w:val="nil"/>
              <w:left w:val="nil"/>
              <w:bottom w:val="nil"/>
              <w:right w:val="nil"/>
            </w:tcBorders>
            <w:shd w:val="clear" w:color="auto" w:fill="auto"/>
            <w:noWrap/>
            <w:hideMark/>
          </w:tcPr>
          <w:p w14:paraId="5D7331B7"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hideMark/>
          </w:tcPr>
          <w:p w14:paraId="2747198A"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hideMark/>
          </w:tcPr>
          <w:p w14:paraId="6DAB97B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6</w:t>
            </w:r>
          </w:p>
        </w:tc>
        <w:tc>
          <w:tcPr>
            <w:tcW w:w="580" w:type="dxa"/>
            <w:tcBorders>
              <w:top w:val="nil"/>
              <w:left w:val="nil"/>
              <w:bottom w:val="nil"/>
              <w:right w:val="nil"/>
            </w:tcBorders>
            <w:shd w:val="clear" w:color="auto" w:fill="auto"/>
            <w:noWrap/>
            <w:hideMark/>
          </w:tcPr>
          <w:p w14:paraId="6AE8972E"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600" w:type="dxa"/>
            <w:tcBorders>
              <w:top w:val="nil"/>
              <w:left w:val="nil"/>
              <w:bottom w:val="nil"/>
              <w:right w:val="nil"/>
            </w:tcBorders>
            <w:shd w:val="clear" w:color="auto" w:fill="auto"/>
            <w:noWrap/>
            <w:hideMark/>
          </w:tcPr>
          <w:p w14:paraId="77FCAD07"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w:t>
            </w:r>
          </w:p>
        </w:tc>
        <w:tc>
          <w:tcPr>
            <w:tcW w:w="560" w:type="dxa"/>
            <w:tcBorders>
              <w:top w:val="nil"/>
              <w:left w:val="nil"/>
              <w:bottom w:val="nil"/>
              <w:right w:val="nil"/>
            </w:tcBorders>
            <w:shd w:val="clear" w:color="auto" w:fill="auto"/>
            <w:noWrap/>
            <w:hideMark/>
          </w:tcPr>
          <w:p w14:paraId="3386E65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hideMark/>
          </w:tcPr>
          <w:p w14:paraId="593FA11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hideMark/>
          </w:tcPr>
          <w:p w14:paraId="791421D5"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1</w:t>
            </w:r>
          </w:p>
        </w:tc>
        <w:tc>
          <w:tcPr>
            <w:tcW w:w="580" w:type="dxa"/>
            <w:tcBorders>
              <w:top w:val="nil"/>
              <w:left w:val="nil"/>
              <w:bottom w:val="nil"/>
              <w:right w:val="nil"/>
            </w:tcBorders>
            <w:shd w:val="clear" w:color="auto" w:fill="auto"/>
            <w:noWrap/>
            <w:hideMark/>
          </w:tcPr>
          <w:p w14:paraId="1462DBD9" w14:textId="77777777" w:rsidR="004D67F9" w:rsidRPr="004D67F9" w:rsidRDefault="004D67F9" w:rsidP="004D67F9">
            <w:pPr>
              <w:spacing w:after="0" w:line="240" w:lineRule="auto"/>
              <w:jc w:val="right"/>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w:t>
            </w:r>
          </w:p>
        </w:tc>
        <w:tc>
          <w:tcPr>
            <w:tcW w:w="600" w:type="dxa"/>
            <w:tcBorders>
              <w:top w:val="nil"/>
              <w:left w:val="nil"/>
              <w:bottom w:val="nil"/>
              <w:right w:val="nil"/>
            </w:tcBorders>
            <w:shd w:val="clear" w:color="auto" w:fill="auto"/>
            <w:noWrap/>
            <w:hideMark/>
          </w:tcPr>
          <w:p w14:paraId="2F98C3DD"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w:t>
            </w:r>
          </w:p>
        </w:tc>
        <w:tc>
          <w:tcPr>
            <w:tcW w:w="580" w:type="dxa"/>
            <w:tcBorders>
              <w:top w:val="nil"/>
              <w:left w:val="nil"/>
              <w:bottom w:val="nil"/>
              <w:right w:val="nil"/>
            </w:tcBorders>
            <w:shd w:val="clear" w:color="auto" w:fill="auto"/>
            <w:noWrap/>
            <w:hideMark/>
          </w:tcPr>
          <w:p w14:paraId="129EB953"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6E3855EE"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02456ED2"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(6)</w:t>
            </w:r>
          </w:p>
        </w:tc>
        <w:tc>
          <w:tcPr>
            <w:tcW w:w="560" w:type="dxa"/>
            <w:tcBorders>
              <w:top w:val="nil"/>
              <w:left w:val="nil"/>
              <w:bottom w:val="nil"/>
              <w:right w:val="nil"/>
            </w:tcBorders>
            <w:shd w:val="clear" w:color="auto" w:fill="auto"/>
            <w:noWrap/>
            <w:hideMark/>
          </w:tcPr>
          <w:p w14:paraId="3CB91C5F" w14:textId="77777777" w:rsidR="004D67F9" w:rsidRPr="004D67F9" w:rsidRDefault="004D67F9" w:rsidP="004D67F9">
            <w:pPr>
              <w:spacing w:after="0" w:line="240" w:lineRule="auto"/>
              <w:jc w:val="right"/>
              <w:rPr>
                <w:rFonts w:ascii="Arial Narrow" w:eastAsia="Times New Roman" w:hAnsi="Arial Narrow" w:cs="Times New Roman"/>
                <w:b/>
                <w:bCs/>
                <w:sz w:val="15"/>
                <w:szCs w:val="15"/>
                <w:lang w:val="en-US"/>
              </w:rPr>
            </w:pPr>
            <w:r w:rsidRPr="004D67F9">
              <w:rPr>
                <w:rFonts w:ascii="Arial Narrow" w:eastAsia="Times New Roman" w:hAnsi="Arial Narrow" w:cs="Times New Roman"/>
                <w:b/>
                <w:bCs/>
                <w:sz w:val="15"/>
                <w:szCs w:val="15"/>
                <w:lang w:val="en-US"/>
              </w:rPr>
              <w:t>-</w:t>
            </w:r>
          </w:p>
        </w:tc>
        <w:tc>
          <w:tcPr>
            <w:tcW w:w="560" w:type="dxa"/>
            <w:tcBorders>
              <w:top w:val="nil"/>
              <w:left w:val="nil"/>
              <w:bottom w:val="nil"/>
              <w:right w:val="nil"/>
            </w:tcBorders>
            <w:shd w:val="clear" w:color="auto" w:fill="auto"/>
            <w:noWrap/>
            <w:hideMark/>
          </w:tcPr>
          <w:p w14:paraId="24823731"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w:t>
            </w:r>
          </w:p>
        </w:tc>
      </w:tr>
      <w:tr w:rsidR="004D67F9" w:rsidRPr="004D67F9" w14:paraId="22FB101D" w14:textId="77777777" w:rsidTr="004D67F9">
        <w:trPr>
          <w:divId w:val="882323394"/>
          <w:trHeight w:val="345"/>
        </w:trPr>
        <w:tc>
          <w:tcPr>
            <w:tcW w:w="2580" w:type="dxa"/>
            <w:tcBorders>
              <w:top w:val="single" w:sz="4" w:space="0" w:color="BFBFBF"/>
              <w:left w:val="nil"/>
              <w:bottom w:val="single" w:sz="8" w:space="0" w:color="BFBFBF"/>
              <w:right w:val="single" w:sz="4" w:space="0" w:color="FFFFFF"/>
            </w:tcBorders>
            <w:shd w:val="clear" w:color="auto" w:fill="auto"/>
            <w:vAlign w:val="center"/>
            <w:hideMark/>
          </w:tcPr>
          <w:p w14:paraId="42B3EE20" w14:textId="77777777" w:rsidR="004D67F9" w:rsidRPr="004D67F9" w:rsidRDefault="004D67F9" w:rsidP="004D67F9">
            <w:pPr>
              <w:spacing w:after="0" w:line="240" w:lineRule="auto"/>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TOTAL</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0BC32595"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9</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58858471"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77</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1536CF8D"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635</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72C5084C"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511</w:t>
            </w:r>
          </w:p>
        </w:tc>
        <w:tc>
          <w:tcPr>
            <w:tcW w:w="600" w:type="dxa"/>
            <w:tcBorders>
              <w:top w:val="single" w:sz="4" w:space="0" w:color="BFBFBF"/>
              <w:left w:val="nil"/>
              <w:bottom w:val="single" w:sz="8" w:space="0" w:color="BFBFBF"/>
              <w:right w:val="single" w:sz="4" w:space="0" w:color="FFFFFF"/>
            </w:tcBorders>
            <w:shd w:val="clear" w:color="auto" w:fill="auto"/>
            <w:vAlign w:val="center"/>
            <w:hideMark/>
          </w:tcPr>
          <w:p w14:paraId="0BDC2EAB"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1,232</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18F70EB2"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9</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58FB7B75"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79</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42BC2B91"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616</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47E04160"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515</w:t>
            </w:r>
          </w:p>
        </w:tc>
        <w:tc>
          <w:tcPr>
            <w:tcW w:w="600" w:type="dxa"/>
            <w:tcBorders>
              <w:top w:val="single" w:sz="4" w:space="0" w:color="BFBFBF"/>
              <w:left w:val="nil"/>
              <w:bottom w:val="single" w:sz="8" w:space="0" w:color="BFBFBF"/>
              <w:right w:val="single" w:sz="4" w:space="0" w:color="FFFFFF"/>
            </w:tcBorders>
            <w:shd w:val="clear" w:color="auto" w:fill="auto"/>
            <w:vAlign w:val="center"/>
            <w:hideMark/>
          </w:tcPr>
          <w:p w14:paraId="0138E8B4"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1,219</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7F43F949"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9</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6DBF52B0"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78</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5FD42857"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631</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691C7BED"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501</w:t>
            </w:r>
          </w:p>
        </w:tc>
        <w:tc>
          <w:tcPr>
            <w:tcW w:w="600" w:type="dxa"/>
            <w:tcBorders>
              <w:top w:val="single" w:sz="4" w:space="0" w:color="BFBFBF"/>
              <w:left w:val="nil"/>
              <w:bottom w:val="single" w:sz="8" w:space="0" w:color="BFBFBF"/>
              <w:right w:val="single" w:sz="4" w:space="0" w:color="FFFFFF"/>
            </w:tcBorders>
            <w:shd w:val="clear" w:color="auto" w:fill="auto"/>
            <w:vAlign w:val="center"/>
            <w:hideMark/>
          </w:tcPr>
          <w:p w14:paraId="04CB29A3"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1,219</w:t>
            </w:r>
          </w:p>
        </w:tc>
        <w:tc>
          <w:tcPr>
            <w:tcW w:w="580" w:type="dxa"/>
            <w:tcBorders>
              <w:top w:val="single" w:sz="4" w:space="0" w:color="BFBFBF"/>
              <w:left w:val="nil"/>
              <w:bottom w:val="single" w:sz="8" w:space="0" w:color="BFBFBF"/>
              <w:right w:val="single" w:sz="4" w:space="0" w:color="FFFFFF"/>
            </w:tcBorders>
            <w:shd w:val="clear" w:color="auto" w:fill="auto"/>
            <w:vAlign w:val="center"/>
            <w:hideMark/>
          </w:tcPr>
          <w:p w14:paraId="01091355"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5437516F"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(2)</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693BF9F2"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19</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3CF0B06D"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(4)</w:t>
            </w:r>
          </w:p>
        </w:tc>
        <w:tc>
          <w:tcPr>
            <w:tcW w:w="560" w:type="dxa"/>
            <w:tcBorders>
              <w:top w:val="single" w:sz="4" w:space="0" w:color="BFBFBF"/>
              <w:left w:val="nil"/>
              <w:bottom w:val="single" w:sz="8" w:space="0" w:color="BFBFBF"/>
              <w:right w:val="single" w:sz="4" w:space="0" w:color="FFFFFF"/>
            </w:tcBorders>
            <w:shd w:val="clear" w:color="auto" w:fill="auto"/>
            <w:vAlign w:val="center"/>
            <w:hideMark/>
          </w:tcPr>
          <w:p w14:paraId="78AD1492"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r w:rsidRPr="004D67F9">
              <w:rPr>
                <w:rFonts w:ascii="Arial Narrow" w:eastAsia="Times New Roman" w:hAnsi="Arial Narrow" w:cs="Times New Roman"/>
                <w:b/>
                <w:bCs/>
                <w:color w:val="000000"/>
                <w:sz w:val="15"/>
                <w:szCs w:val="15"/>
                <w:lang w:val="en-US"/>
              </w:rPr>
              <w:t>13</w:t>
            </w:r>
          </w:p>
        </w:tc>
      </w:tr>
      <w:tr w:rsidR="004D67F9" w:rsidRPr="004D67F9" w14:paraId="2D20EFF1" w14:textId="77777777" w:rsidTr="004D67F9">
        <w:trPr>
          <w:divId w:val="882323394"/>
          <w:trHeight w:val="90"/>
        </w:trPr>
        <w:tc>
          <w:tcPr>
            <w:tcW w:w="2580" w:type="dxa"/>
            <w:tcBorders>
              <w:top w:val="nil"/>
              <w:left w:val="nil"/>
              <w:bottom w:val="nil"/>
              <w:right w:val="nil"/>
            </w:tcBorders>
            <w:shd w:val="clear" w:color="auto" w:fill="auto"/>
            <w:hideMark/>
          </w:tcPr>
          <w:p w14:paraId="14A5F1BE" w14:textId="77777777" w:rsidR="004D67F9" w:rsidRPr="004D67F9" w:rsidRDefault="004D67F9" w:rsidP="004D67F9">
            <w:pPr>
              <w:spacing w:after="0" w:line="240" w:lineRule="auto"/>
              <w:jc w:val="right"/>
              <w:rPr>
                <w:rFonts w:ascii="Arial Narrow" w:eastAsia="Times New Roman" w:hAnsi="Arial Narrow" w:cs="Times New Roman"/>
                <w:b/>
                <w:bCs/>
                <w:color w:val="000000"/>
                <w:sz w:val="15"/>
                <w:szCs w:val="15"/>
                <w:lang w:val="en-US"/>
              </w:rPr>
            </w:pPr>
          </w:p>
        </w:tc>
        <w:tc>
          <w:tcPr>
            <w:tcW w:w="560" w:type="dxa"/>
            <w:tcBorders>
              <w:top w:val="nil"/>
              <w:left w:val="nil"/>
              <w:bottom w:val="nil"/>
              <w:right w:val="nil"/>
            </w:tcBorders>
            <w:shd w:val="clear" w:color="auto" w:fill="auto"/>
            <w:hideMark/>
          </w:tcPr>
          <w:p w14:paraId="3D37CB42"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207D7686"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0838BA7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03561B2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195CA2A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11D8A156"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3EB20A5A"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4F43FBAE"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7E1B2C02"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737434D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4C1C46DE"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73D78AFC"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2EFBEBAB"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118CDE5C"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643B1DBA"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4AF04C26"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7FA63700"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2698FC1A"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560C4A16"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noWrap/>
            <w:hideMark/>
          </w:tcPr>
          <w:p w14:paraId="30830343"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r>
      <w:tr w:rsidR="004D67F9" w:rsidRPr="004D67F9" w14:paraId="68DE5891" w14:textId="77777777" w:rsidTr="004D67F9">
        <w:trPr>
          <w:divId w:val="882323394"/>
          <w:trHeight w:val="255"/>
        </w:trPr>
        <w:tc>
          <w:tcPr>
            <w:tcW w:w="11820" w:type="dxa"/>
            <w:gridSpan w:val="17"/>
            <w:tcBorders>
              <w:top w:val="nil"/>
              <w:left w:val="nil"/>
              <w:bottom w:val="nil"/>
              <w:right w:val="nil"/>
            </w:tcBorders>
            <w:shd w:val="clear" w:color="auto" w:fill="auto"/>
            <w:noWrap/>
            <w:vAlign w:val="center"/>
            <w:hideMark/>
          </w:tcPr>
          <w:p w14:paraId="63A1B8C8" w14:textId="20663635" w:rsidR="004D67F9" w:rsidRPr="004D67F9" w:rsidRDefault="004D67F9" w:rsidP="0000041D">
            <w:pPr>
              <w:spacing w:after="0" w:line="240" w:lineRule="auto"/>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lang w:val="en-US"/>
              </w:rPr>
              <w:t>Note: 13 flexibility posts for the Madrid and the Hague Systems</w:t>
            </w:r>
            <w:r w:rsidR="0000041D">
              <w:rPr>
                <w:rFonts w:ascii="Arial Narrow" w:eastAsia="Times New Roman" w:hAnsi="Arial Narrow" w:cs="Times New Roman"/>
                <w:sz w:val="15"/>
                <w:szCs w:val="15"/>
                <w:lang w:val="en-US"/>
              </w:rPr>
              <w:t xml:space="preserve"> were created in 2023 in line with </w:t>
            </w:r>
            <w:r w:rsidRPr="004D67F9">
              <w:rPr>
                <w:rFonts w:ascii="Arial Narrow" w:eastAsia="Times New Roman" w:hAnsi="Arial Narrow" w:cs="Times New Roman"/>
                <w:sz w:val="15"/>
                <w:szCs w:val="15"/>
                <w:lang w:val="en-US"/>
              </w:rPr>
              <w:t>the releva</w:t>
            </w:r>
            <w:r w:rsidR="0000041D">
              <w:rPr>
                <w:rFonts w:ascii="Arial Narrow" w:eastAsia="Times New Roman" w:hAnsi="Arial Narrow" w:cs="Times New Roman"/>
                <w:sz w:val="15"/>
                <w:szCs w:val="15"/>
                <w:lang w:val="en-US"/>
              </w:rPr>
              <w:t xml:space="preserve">nt Flexibility Formulas </w:t>
            </w:r>
            <w:r w:rsidRPr="004D67F9">
              <w:rPr>
                <w:rFonts w:ascii="Arial Narrow" w:eastAsia="Times New Roman" w:hAnsi="Arial Narrow" w:cs="Times New Roman"/>
                <w:sz w:val="15"/>
                <w:szCs w:val="15"/>
                <w:lang w:val="en-US"/>
              </w:rPr>
              <w:t>(Appendix C).</w:t>
            </w:r>
            <w:r w:rsidR="0000041D">
              <w:rPr>
                <w:rFonts w:ascii="Arial Narrow" w:eastAsia="Times New Roman" w:hAnsi="Arial Narrow" w:cs="Times New Roman"/>
                <w:sz w:val="15"/>
                <w:szCs w:val="15"/>
                <w:lang w:val="en-US"/>
              </w:rPr>
              <w:t xml:space="preserve"> They have been baselined in 2024/25</w:t>
            </w:r>
          </w:p>
        </w:tc>
        <w:tc>
          <w:tcPr>
            <w:tcW w:w="560" w:type="dxa"/>
            <w:tcBorders>
              <w:top w:val="nil"/>
              <w:left w:val="nil"/>
              <w:bottom w:val="nil"/>
              <w:right w:val="nil"/>
            </w:tcBorders>
            <w:shd w:val="clear" w:color="auto" w:fill="auto"/>
            <w:hideMark/>
          </w:tcPr>
          <w:p w14:paraId="4E3AAE64" w14:textId="77777777" w:rsidR="004D67F9" w:rsidRPr="004D67F9" w:rsidRDefault="004D67F9" w:rsidP="004D67F9">
            <w:pPr>
              <w:spacing w:after="0" w:line="240" w:lineRule="auto"/>
              <w:rPr>
                <w:rFonts w:ascii="Arial Narrow" w:eastAsia="Times New Roman" w:hAnsi="Arial Narrow" w:cs="Times New Roman"/>
                <w:sz w:val="15"/>
                <w:szCs w:val="15"/>
                <w:lang w:val="en-US"/>
              </w:rPr>
            </w:pPr>
          </w:p>
        </w:tc>
        <w:tc>
          <w:tcPr>
            <w:tcW w:w="560" w:type="dxa"/>
            <w:tcBorders>
              <w:top w:val="nil"/>
              <w:left w:val="nil"/>
              <w:bottom w:val="nil"/>
              <w:right w:val="nil"/>
            </w:tcBorders>
            <w:shd w:val="clear" w:color="auto" w:fill="auto"/>
            <w:hideMark/>
          </w:tcPr>
          <w:p w14:paraId="3C411516"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27D2AFE8"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noWrap/>
            <w:hideMark/>
          </w:tcPr>
          <w:p w14:paraId="58B312A0"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r>
      <w:tr w:rsidR="004D67F9" w:rsidRPr="004D67F9" w14:paraId="3A21E14D" w14:textId="77777777" w:rsidTr="004D67F9">
        <w:trPr>
          <w:divId w:val="882323394"/>
          <w:trHeight w:val="255"/>
        </w:trPr>
        <w:tc>
          <w:tcPr>
            <w:tcW w:w="2580" w:type="dxa"/>
            <w:tcBorders>
              <w:top w:val="nil"/>
              <w:left w:val="nil"/>
              <w:bottom w:val="nil"/>
              <w:right w:val="nil"/>
            </w:tcBorders>
            <w:shd w:val="clear" w:color="auto" w:fill="auto"/>
            <w:noWrap/>
            <w:vAlign w:val="center"/>
            <w:hideMark/>
          </w:tcPr>
          <w:p w14:paraId="34F8A7B7" w14:textId="77777777" w:rsidR="004D67F9" w:rsidRPr="004D67F9" w:rsidRDefault="004D67F9" w:rsidP="004D67F9">
            <w:pPr>
              <w:spacing w:after="0" w:line="240" w:lineRule="auto"/>
              <w:rPr>
                <w:rFonts w:ascii="Arial Narrow" w:eastAsia="Times New Roman" w:hAnsi="Arial Narrow" w:cs="Times New Roman"/>
                <w:sz w:val="15"/>
                <w:szCs w:val="15"/>
                <w:lang w:val="en-US"/>
              </w:rPr>
            </w:pPr>
            <w:r w:rsidRPr="004D67F9">
              <w:rPr>
                <w:rFonts w:ascii="Arial Narrow" w:eastAsia="Times New Roman" w:hAnsi="Arial Narrow" w:cs="Times New Roman"/>
                <w:sz w:val="15"/>
                <w:szCs w:val="15"/>
                <w:vertAlign w:val="superscript"/>
                <w:lang w:val="en-US"/>
              </w:rPr>
              <w:t>1</w:t>
            </w:r>
            <w:r w:rsidRPr="004D67F9">
              <w:rPr>
                <w:rFonts w:ascii="Arial Narrow" w:eastAsia="Times New Roman" w:hAnsi="Arial Narrow" w:cs="Times New Roman"/>
                <w:sz w:val="15"/>
                <w:szCs w:val="15"/>
                <w:lang w:val="en-US"/>
              </w:rPr>
              <w:t xml:space="preserve"> As at 31 Dec 2022.</w:t>
            </w:r>
          </w:p>
        </w:tc>
        <w:tc>
          <w:tcPr>
            <w:tcW w:w="560" w:type="dxa"/>
            <w:tcBorders>
              <w:top w:val="nil"/>
              <w:left w:val="nil"/>
              <w:bottom w:val="nil"/>
              <w:right w:val="nil"/>
            </w:tcBorders>
            <w:shd w:val="clear" w:color="auto" w:fill="auto"/>
            <w:hideMark/>
          </w:tcPr>
          <w:p w14:paraId="4246E6AE" w14:textId="77777777" w:rsidR="004D67F9" w:rsidRPr="004D67F9" w:rsidRDefault="004D67F9" w:rsidP="004D67F9">
            <w:pPr>
              <w:spacing w:after="0" w:line="240" w:lineRule="auto"/>
              <w:rPr>
                <w:rFonts w:ascii="Arial Narrow" w:eastAsia="Times New Roman" w:hAnsi="Arial Narrow" w:cs="Times New Roman"/>
                <w:sz w:val="15"/>
                <w:szCs w:val="15"/>
                <w:lang w:val="en-US"/>
              </w:rPr>
            </w:pPr>
          </w:p>
        </w:tc>
        <w:tc>
          <w:tcPr>
            <w:tcW w:w="560" w:type="dxa"/>
            <w:tcBorders>
              <w:top w:val="nil"/>
              <w:left w:val="nil"/>
              <w:bottom w:val="nil"/>
              <w:right w:val="nil"/>
            </w:tcBorders>
            <w:shd w:val="clear" w:color="auto" w:fill="auto"/>
            <w:hideMark/>
          </w:tcPr>
          <w:p w14:paraId="350C7AD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3AD0D3C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7859856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1D5FDA4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0144794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3AED8331"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44CEC5F2"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4B8C9D5F"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6C7E11C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3B7D48C7"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505DBE67"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375E5387"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38B74147"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600" w:type="dxa"/>
            <w:tcBorders>
              <w:top w:val="nil"/>
              <w:left w:val="nil"/>
              <w:bottom w:val="nil"/>
              <w:right w:val="nil"/>
            </w:tcBorders>
            <w:shd w:val="clear" w:color="auto" w:fill="auto"/>
            <w:hideMark/>
          </w:tcPr>
          <w:p w14:paraId="69501576"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hideMark/>
          </w:tcPr>
          <w:p w14:paraId="40543372"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7946859C"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2180B2C7"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hideMark/>
          </w:tcPr>
          <w:p w14:paraId="61572E91" w14:textId="77777777" w:rsidR="004D67F9" w:rsidRPr="004D67F9" w:rsidRDefault="004D67F9" w:rsidP="004D67F9">
            <w:pPr>
              <w:spacing w:after="0" w:line="240" w:lineRule="auto"/>
              <w:jc w:val="center"/>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noWrap/>
            <w:hideMark/>
          </w:tcPr>
          <w:p w14:paraId="68A26C4E" w14:textId="77777777" w:rsidR="004D67F9" w:rsidRPr="004D67F9" w:rsidRDefault="004D67F9" w:rsidP="004D67F9">
            <w:pPr>
              <w:spacing w:after="0" w:line="240" w:lineRule="auto"/>
              <w:jc w:val="right"/>
              <w:rPr>
                <w:rFonts w:ascii="Times New Roman" w:eastAsia="Times New Roman" w:hAnsi="Times New Roman" w:cs="Times New Roman"/>
                <w:sz w:val="20"/>
                <w:szCs w:val="20"/>
                <w:lang w:val="en-US"/>
              </w:rPr>
            </w:pPr>
          </w:p>
        </w:tc>
      </w:tr>
    </w:tbl>
    <w:p w14:paraId="3334507F" w14:textId="42BD2B11" w:rsidR="00072F95" w:rsidRDefault="00072F95" w:rsidP="00710E7A">
      <w:pPr>
        <w:pStyle w:val="NormalNumb"/>
        <w:numPr>
          <w:ilvl w:val="0"/>
          <w:numId w:val="0"/>
        </w:numPr>
        <w:rPr>
          <w:lang w:val="en-US"/>
        </w:rPr>
      </w:pPr>
    </w:p>
    <w:p w14:paraId="7FC45EA0" w14:textId="64683FF9" w:rsidR="00F277A9" w:rsidRDefault="00F277A9" w:rsidP="006F19FA">
      <w:pPr>
        <w:rPr>
          <w:lang w:val="en-US"/>
        </w:rPr>
      </w:pPr>
    </w:p>
    <w:p w14:paraId="2CA20BFB" w14:textId="4CE023FD" w:rsidR="006F19FA" w:rsidRDefault="006F19FA" w:rsidP="006F19FA">
      <w:pPr>
        <w:rPr>
          <w:lang w:val="en-US"/>
        </w:rPr>
        <w:sectPr w:rsidR="006F19FA" w:rsidSect="006F19FA">
          <w:headerReference w:type="default" r:id="rId70"/>
          <w:footerReference w:type="default" r:id="rId71"/>
          <w:headerReference w:type="first" r:id="rId72"/>
          <w:footerReference w:type="first" r:id="rId73"/>
          <w:pgSz w:w="16838" w:h="11906" w:orient="landscape"/>
          <w:pgMar w:top="1134" w:right="1361" w:bottom="1134" w:left="1080" w:header="567" w:footer="432" w:gutter="0"/>
          <w:cols w:space="708"/>
          <w:titlePg/>
          <w:docGrid w:linePitch="360"/>
        </w:sectPr>
      </w:pPr>
    </w:p>
    <w:p w14:paraId="32C1E75F" w14:textId="63A19C5B" w:rsidR="00AB028D" w:rsidRDefault="00EC5AD6" w:rsidP="008407D7">
      <w:pPr>
        <w:pStyle w:val="AnnexTitle2"/>
        <w:numPr>
          <w:ilvl w:val="0"/>
          <w:numId w:val="18"/>
        </w:numPr>
        <w:rPr>
          <w:lang w:val="en-US"/>
        </w:rPr>
      </w:pPr>
      <w:bookmarkStart w:id="36" w:name="_Toc131175995"/>
      <w:r w:rsidRPr="00D350B5">
        <w:rPr>
          <w:lang w:val="en-US"/>
        </w:rPr>
        <w:t>20</w:t>
      </w:r>
      <w:r w:rsidR="003933F4">
        <w:rPr>
          <w:lang w:val="en-US"/>
        </w:rPr>
        <w:t>24</w:t>
      </w:r>
      <w:r w:rsidRPr="00D350B5">
        <w:rPr>
          <w:lang w:val="en-US"/>
        </w:rPr>
        <w:t>/</w:t>
      </w:r>
      <w:r w:rsidR="003933F4">
        <w:rPr>
          <w:lang w:val="en-US"/>
        </w:rPr>
        <w:t>25</w:t>
      </w:r>
      <w:r w:rsidRPr="00D350B5">
        <w:rPr>
          <w:lang w:val="en-US"/>
        </w:rPr>
        <w:t xml:space="preserve"> Allocation of Income and Expenditure by Union</w:t>
      </w:r>
      <w:bookmarkEnd w:id="36"/>
    </w:p>
    <w:p w14:paraId="0C631E77" w14:textId="77777777" w:rsidR="008D4A20" w:rsidRPr="00A35DAE" w:rsidRDefault="008D4A20" w:rsidP="00A35DAE">
      <w:pPr>
        <w:rPr>
          <w:color w:val="005172" w:themeColor="text2"/>
          <w:sz w:val="32"/>
          <w:szCs w:val="32"/>
        </w:rPr>
      </w:pPr>
      <w:r w:rsidRPr="00A35DAE">
        <w:rPr>
          <w:color w:val="005172" w:themeColor="text2"/>
          <w:sz w:val="32"/>
          <w:szCs w:val="32"/>
        </w:rPr>
        <w:t>Introduction</w:t>
      </w:r>
    </w:p>
    <w:p w14:paraId="51947094" w14:textId="77777777" w:rsidR="008D4A20" w:rsidRPr="00D350B5" w:rsidRDefault="008D4A20" w:rsidP="008407D7">
      <w:pPr>
        <w:pStyle w:val="NormalNumb"/>
        <w:numPr>
          <w:ilvl w:val="4"/>
          <w:numId w:val="27"/>
        </w:numPr>
        <w:rPr>
          <w:rFonts w:eastAsia="Arial" w:cs="Arial"/>
        </w:rPr>
      </w:pPr>
      <w:r w:rsidRPr="00D350B5">
        <w:rPr>
          <w:rFonts w:eastAsia="Arial" w:cs="Arial"/>
        </w:rPr>
        <w:t>In accordance with WIPO’s Financial Regulations and Rules (Regulation 2.</w:t>
      </w:r>
      <w:r>
        <w:rPr>
          <w:rFonts w:eastAsia="Arial" w:cs="Arial"/>
        </w:rPr>
        <w:t>17</w:t>
      </w:r>
      <w:r w:rsidRPr="00D350B5">
        <w:rPr>
          <w:rFonts w:eastAsia="Arial" w:cs="Arial"/>
        </w:rPr>
        <w:t xml:space="preserve">), this Annex presents the Organization’s Program </w:t>
      </w:r>
      <w:r>
        <w:rPr>
          <w:rFonts w:eastAsia="Arial" w:cs="Arial"/>
        </w:rPr>
        <w:t xml:space="preserve">of Work </w:t>
      </w:r>
      <w:r w:rsidRPr="00D350B5">
        <w:rPr>
          <w:rFonts w:eastAsia="Arial" w:cs="Arial"/>
        </w:rPr>
        <w:t>and Budget 202</w:t>
      </w:r>
      <w:r>
        <w:rPr>
          <w:rFonts w:eastAsia="Arial" w:cs="Arial"/>
        </w:rPr>
        <w:t>4</w:t>
      </w:r>
      <w:r w:rsidRPr="00D350B5">
        <w:rPr>
          <w:rFonts w:eastAsia="Arial" w:cs="Arial"/>
        </w:rPr>
        <w:t>/2</w:t>
      </w:r>
      <w:r>
        <w:rPr>
          <w:rFonts w:eastAsia="Arial" w:cs="Arial"/>
        </w:rPr>
        <w:t>5</w:t>
      </w:r>
      <w:r w:rsidRPr="00D350B5">
        <w:rPr>
          <w:rFonts w:eastAsia="Arial" w:cs="Arial"/>
        </w:rPr>
        <w:t xml:space="preserve"> for each Union. </w:t>
      </w:r>
      <w:r>
        <w:rPr>
          <w:rFonts w:eastAsia="Arial" w:cs="Arial"/>
        </w:rPr>
        <w:t xml:space="preserve"> </w:t>
      </w:r>
      <w:r w:rsidRPr="00D350B5">
        <w:rPr>
          <w:rFonts w:eastAsia="Arial" w:cs="Arial"/>
        </w:rPr>
        <w:t xml:space="preserve">The Unions include the contribution-financed (CF) Unions (Paris, Berne, International Patent Classification (IPC), Nice, Locarno, and Vienna) and the WIPO Convention, and the four Unions of the international registration systems (PCT, Madrid, the Hague and Lisbon).  </w:t>
      </w:r>
      <w:r>
        <w:rPr>
          <w:rFonts w:eastAsia="Arial" w:cs="Arial"/>
        </w:rPr>
        <w:t xml:space="preserve">The methodology for the allocation of income and expenditure to the Unions in the context of the Program of Work and Budget 2024/25 has remained unchanged from the methodology used for the Program of Work and Budget 2022/23.  </w:t>
      </w:r>
      <w:r w:rsidRPr="00B965B0">
        <w:rPr>
          <w:rFonts w:eastAsia="Arial" w:cs="Arial"/>
        </w:rPr>
        <w:t>As regards the allocation of direct and indirect Union expenses, as per past practice,</w:t>
      </w:r>
      <w:r w:rsidRPr="00B965B0" w:rsidDel="00CA585B">
        <w:rPr>
          <w:rFonts w:eastAsia="Arial" w:cs="Arial"/>
        </w:rPr>
        <w:t xml:space="preserve"> </w:t>
      </w:r>
      <w:r w:rsidRPr="00B965B0">
        <w:rPr>
          <w:rFonts w:eastAsia="Arial" w:cs="Arial"/>
        </w:rPr>
        <w:t>the calculations have been refined to better reflect the evolution of the work of the Organization enabled by the ERP systems.</w:t>
      </w:r>
      <w:r w:rsidRPr="00D350B5">
        <w:rPr>
          <w:rFonts w:eastAsia="Arial" w:cs="Arial"/>
        </w:rPr>
        <w:t xml:space="preserve"> </w:t>
      </w:r>
      <w:r>
        <w:rPr>
          <w:rFonts w:eastAsia="Arial" w:cs="Arial"/>
        </w:rPr>
        <w:t xml:space="preserve"> The t</w:t>
      </w:r>
      <w:r w:rsidRPr="00D350B5">
        <w:rPr>
          <w:rFonts w:eastAsia="Arial" w:cs="Arial"/>
        </w:rPr>
        <w:t xml:space="preserve">ables </w:t>
      </w:r>
      <w:r>
        <w:rPr>
          <w:rFonts w:eastAsia="Arial" w:cs="Arial"/>
        </w:rPr>
        <w:t xml:space="preserve">in this Annex </w:t>
      </w:r>
      <w:r w:rsidRPr="00D350B5">
        <w:rPr>
          <w:rFonts w:eastAsia="Arial" w:cs="Arial"/>
        </w:rPr>
        <w:t>provide an overview of the 202</w:t>
      </w:r>
      <w:r>
        <w:rPr>
          <w:rFonts w:eastAsia="Arial" w:cs="Arial"/>
        </w:rPr>
        <w:t>4</w:t>
      </w:r>
      <w:r w:rsidRPr="00D350B5">
        <w:rPr>
          <w:rFonts w:eastAsia="Arial" w:cs="Arial"/>
        </w:rPr>
        <w:t>/2</w:t>
      </w:r>
      <w:r>
        <w:rPr>
          <w:rFonts w:eastAsia="Arial" w:cs="Arial"/>
        </w:rPr>
        <w:t>5</w:t>
      </w:r>
      <w:r w:rsidRPr="00D350B5">
        <w:rPr>
          <w:rFonts w:eastAsia="Arial" w:cs="Arial"/>
        </w:rPr>
        <w:t xml:space="preserve"> Allocation of Income and Expenditure by Union, the Income Estimates by Union and the </w:t>
      </w:r>
      <w:r>
        <w:rPr>
          <w:rFonts w:eastAsia="Arial" w:cs="Arial"/>
        </w:rPr>
        <w:t xml:space="preserve">Expenditure </w:t>
      </w:r>
      <w:r w:rsidRPr="00D350B5">
        <w:rPr>
          <w:rFonts w:eastAsia="Arial" w:cs="Arial"/>
        </w:rPr>
        <w:t xml:space="preserve">Budget by </w:t>
      </w:r>
      <w:r>
        <w:rPr>
          <w:rFonts w:eastAsia="Arial" w:cs="Arial"/>
        </w:rPr>
        <w:t>Sector</w:t>
      </w:r>
      <w:r w:rsidRPr="00D350B5">
        <w:rPr>
          <w:rFonts w:eastAsia="Arial" w:cs="Arial"/>
        </w:rPr>
        <w:t xml:space="preserve"> and Union.</w:t>
      </w:r>
    </w:p>
    <w:p w14:paraId="46AFC431" w14:textId="77777777" w:rsidR="008D4A20" w:rsidRPr="00AB028D" w:rsidRDefault="008D4A20" w:rsidP="00A35DAE">
      <w:pPr>
        <w:spacing w:before="320" w:after="240"/>
        <w:rPr>
          <w:rFonts w:eastAsia="Arial" w:cs="Arial"/>
          <w:color w:val="005172"/>
          <w:sz w:val="32"/>
        </w:rPr>
      </w:pPr>
      <w:r>
        <w:rPr>
          <w:lang w:val="en-US"/>
        </w:rPr>
        <w:t xml:space="preserve"> </w:t>
      </w:r>
      <w:r w:rsidRPr="00A35DAE">
        <w:rPr>
          <w:color w:val="005172" w:themeColor="text2"/>
          <w:sz w:val="32"/>
          <w:szCs w:val="32"/>
        </w:rPr>
        <w:t>Allocation of Income by Union</w:t>
      </w:r>
    </w:p>
    <w:p w14:paraId="60067141" w14:textId="77777777" w:rsidR="008D4A20" w:rsidRPr="00AB028D" w:rsidRDefault="008D4A20" w:rsidP="008407D7">
      <w:pPr>
        <w:pStyle w:val="NormalNumb"/>
        <w:numPr>
          <w:ilvl w:val="4"/>
          <w:numId w:val="27"/>
        </w:numPr>
        <w:rPr>
          <w:rFonts w:eastAsia="Arial" w:cs="Arial"/>
        </w:rPr>
      </w:pPr>
      <w:r w:rsidRPr="00AB028D">
        <w:rPr>
          <w:rFonts w:eastAsia="Arial" w:cs="Arial"/>
        </w:rPr>
        <w:t>The allocation of income to the Unions is based on the following allocation methodology:</w:t>
      </w:r>
    </w:p>
    <w:p w14:paraId="7233A234" w14:textId="77777777" w:rsidR="008D4A20" w:rsidRPr="00AB028D" w:rsidRDefault="008D4A20" w:rsidP="008407D7">
      <w:pPr>
        <w:numPr>
          <w:ilvl w:val="0"/>
          <w:numId w:val="28"/>
        </w:numPr>
        <w:tabs>
          <w:tab w:val="num" w:pos="680"/>
        </w:tabs>
        <w:spacing w:before="120" w:after="0" w:line="240" w:lineRule="auto"/>
        <w:ind w:left="697" w:hanging="357"/>
        <w:rPr>
          <w:rFonts w:eastAsia="Arial" w:cs="Arial"/>
          <w:lang w:eastAsia="ja-JP"/>
        </w:rPr>
      </w:pPr>
      <w:r w:rsidRPr="00AB028D">
        <w:rPr>
          <w:rFonts w:eastAsia="Arial" w:cs="Arial"/>
          <w:lang w:eastAsia="ja-JP"/>
        </w:rPr>
        <w:t>Income from Member States’ contributions is allocated to the CF Unions;</w:t>
      </w:r>
    </w:p>
    <w:p w14:paraId="41E28BB1" w14:textId="77777777" w:rsidR="008D4A20" w:rsidRPr="00AB028D" w:rsidRDefault="008D4A20" w:rsidP="008407D7">
      <w:pPr>
        <w:numPr>
          <w:ilvl w:val="0"/>
          <w:numId w:val="28"/>
        </w:numPr>
        <w:tabs>
          <w:tab w:val="num" w:pos="680"/>
        </w:tabs>
        <w:spacing w:before="120" w:after="0" w:line="240" w:lineRule="auto"/>
        <w:ind w:left="697" w:hanging="357"/>
        <w:rPr>
          <w:rFonts w:eastAsia="Arial" w:cs="Arial"/>
          <w:lang w:eastAsia="ja-JP"/>
        </w:rPr>
      </w:pPr>
      <w:r w:rsidRPr="00AB028D">
        <w:rPr>
          <w:rFonts w:eastAsia="Arial" w:cs="Arial"/>
          <w:lang w:eastAsia="ja-JP"/>
        </w:rPr>
        <w:t>Fee income from the PCT, Madrid, the Hague and Lisbon registration systems is allocated to the respective Unions;</w:t>
      </w:r>
    </w:p>
    <w:p w14:paraId="2B15E73C" w14:textId="6FE3958D" w:rsidR="008D4A20" w:rsidRPr="00AB028D" w:rsidRDefault="008D4A20" w:rsidP="008407D7">
      <w:pPr>
        <w:numPr>
          <w:ilvl w:val="0"/>
          <w:numId w:val="28"/>
        </w:numPr>
        <w:tabs>
          <w:tab w:val="num" w:pos="680"/>
        </w:tabs>
        <w:spacing w:before="120" w:after="0" w:line="240" w:lineRule="auto"/>
        <w:ind w:left="697" w:hanging="357"/>
        <w:rPr>
          <w:rFonts w:eastAsia="Arial" w:cs="Arial"/>
          <w:lang w:eastAsia="ja-JP"/>
        </w:rPr>
      </w:pPr>
      <w:r w:rsidRPr="00AB028D">
        <w:rPr>
          <w:rFonts w:eastAsia="Arial" w:cs="Arial"/>
          <w:lang w:eastAsia="ja-JP"/>
        </w:rPr>
        <w:t xml:space="preserve">Income from publications is allocated to the PCT </w:t>
      </w:r>
      <w:r w:rsidR="0000041D">
        <w:rPr>
          <w:rFonts w:eastAsia="Arial" w:cs="Arial"/>
          <w:lang w:eastAsia="ja-JP"/>
        </w:rPr>
        <w:t>Union</w:t>
      </w:r>
      <w:r w:rsidRPr="00AB028D">
        <w:rPr>
          <w:rFonts w:eastAsia="Arial" w:cs="Arial"/>
          <w:lang w:eastAsia="ja-JP"/>
        </w:rPr>
        <w:t xml:space="preserve"> on the basis of the estimated publication</w:t>
      </w:r>
      <w:r w:rsidR="0000041D">
        <w:rPr>
          <w:rFonts w:eastAsia="Arial" w:cs="Arial"/>
          <w:lang w:eastAsia="ja-JP"/>
        </w:rPr>
        <w:t>s revenue</w:t>
      </w:r>
      <w:r w:rsidRPr="00AB028D">
        <w:rPr>
          <w:rFonts w:eastAsia="Arial" w:cs="Arial"/>
          <w:lang w:eastAsia="ja-JP"/>
        </w:rPr>
        <w:t>;</w:t>
      </w:r>
    </w:p>
    <w:p w14:paraId="0254ABC9" w14:textId="77777777" w:rsidR="008D4A20" w:rsidRPr="00AB028D" w:rsidRDefault="008D4A20" w:rsidP="008407D7">
      <w:pPr>
        <w:numPr>
          <w:ilvl w:val="0"/>
          <w:numId w:val="28"/>
        </w:numPr>
        <w:tabs>
          <w:tab w:val="num" w:pos="680"/>
        </w:tabs>
        <w:spacing w:before="120" w:after="0" w:line="240" w:lineRule="auto"/>
        <w:ind w:left="697" w:hanging="357"/>
        <w:rPr>
          <w:rFonts w:eastAsia="Arial" w:cs="Arial"/>
          <w:lang w:eastAsia="ja-JP"/>
        </w:rPr>
      </w:pPr>
      <w:r w:rsidRPr="00AB028D">
        <w:rPr>
          <w:rFonts w:eastAsia="Arial" w:cs="Arial"/>
          <w:lang w:eastAsia="ja-JP"/>
        </w:rPr>
        <w:t>Income from the Arbitration and Mediation Center is allocated to the Unions based on estimations;</w:t>
      </w:r>
      <w:r>
        <w:rPr>
          <w:rFonts w:eastAsia="Arial" w:cs="Arial"/>
          <w:lang w:eastAsia="ja-JP"/>
        </w:rPr>
        <w:t xml:space="preserve"> and</w:t>
      </w:r>
    </w:p>
    <w:p w14:paraId="054F0056" w14:textId="5C683910" w:rsidR="008D4A20" w:rsidRPr="00AB028D" w:rsidRDefault="008D4A20" w:rsidP="008407D7">
      <w:pPr>
        <w:numPr>
          <w:ilvl w:val="0"/>
          <w:numId w:val="28"/>
        </w:numPr>
        <w:tabs>
          <w:tab w:val="num" w:pos="680"/>
        </w:tabs>
        <w:spacing w:before="120" w:after="0" w:line="240" w:lineRule="auto"/>
        <w:ind w:left="697" w:hanging="357"/>
        <w:rPr>
          <w:rFonts w:eastAsia="Arial" w:cs="Arial"/>
          <w:lang w:eastAsia="ja-JP"/>
        </w:rPr>
      </w:pPr>
      <w:r w:rsidRPr="00AB028D">
        <w:rPr>
          <w:rFonts w:eastAsia="Arial" w:cs="Arial"/>
          <w:lang w:eastAsia="ja-JP"/>
        </w:rPr>
        <w:t>Miscellaneous income is allocated equally across all Unions</w:t>
      </w:r>
      <w:r>
        <w:rPr>
          <w:rFonts w:eastAsia="Arial" w:cs="Arial"/>
          <w:lang w:eastAsia="ja-JP"/>
        </w:rPr>
        <w:t>.</w:t>
      </w:r>
      <w:r w:rsidRPr="00AB028D">
        <w:rPr>
          <w:rFonts w:eastAsia="Arial" w:cs="Arial"/>
          <w:lang w:eastAsia="ja-JP"/>
        </w:rPr>
        <w:t xml:space="preserve"> </w:t>
      </w:r>
    </w:p>
    <w:p w14:paraId="42CC8D34" w14:textId="77777777" w:rsidR="008D4A20" w:rsidRPr="00A35DAE" w:rsidRDefault="008D4A20" w:rsidP="00A35DAE">
      <w:pPr>
        <w:spacing w:before="320" w:after="240"/>
        <w:rPr>
          <w:color w:val="005172" w:themeColor="text2"/>
          <w:sz w:val="32"/>
          <w:szCs w:val="32"/>
          <w:lang w:val="en-US"/>
        </w:rPr>
      </w:pPr>
      <w:r w:rsidRPr="00A35DAE">
        <w:rPr>
          <w:color w:val="005172" w:themeColor="text2"/>
          <w:sz w:val="32"/>
          <w:szCs w:val="32"/>
          <w:lang w:val="en-US"/>
        </w:rPr>
        <w:t>Allocation of Expenditure by Union</w:t>
      </w:r>
    </w:p>
    <w:p w14:paraId="3C51E9EF" w14:textId="77777777" w:rsidR="008D4A20" w:rsidRPr="00AB028D" w:rsidRDefault="008D4A20" w:rsidP="008D4A20">
      <w:pPr>
        <w:keepNext/>
        <w:spacing w:before="240"/>
        <w:outlineLvl w:val="2"/>
        <w:rPr>
          <w:rFonts w:ascii="Arial Bold" w:eastAsia="Arial" w:hAnsi="Arial Bold" w:cs="Arial"/>
          <w:b/>
          <w:color w:val="005172"/>
          <w:sz w:val="22"/>
        </w:rPr>
      </w:pPr>
      <w:r w:rsidRPr="00AB028D">
        <w:rPr>
          <w:rFonts w:ascii="Arial Bold" w:eastAsia="Arial" w:hAnsi="Arial Bold" w:cs="Arial"/>
          <w:b/>
          <w:color w:val="005172"/>
          <w:sz w:val="22"/>
        </w:rPr>
        <w:t>Allocation Principles</w:t>
      </w:r>
    </w:p>
    <w:p w14:paraId="2D884F84" w14:textId="77777777" w:rsidR="008D4A20" w:rsidRPr="00AB028D" w:rsidRDefault="008D4A20" w:rsidP="008407D7">
      <w:pPr>
        <w:pStyle w:val="NormalNumb"/>
        <w:numPr>
          <w:ilvl w:val="4"/>
          <w:numId w:val="27"/>
        </w:numPr>
        <w:rPr>
          <w:rFonts w:eastAsia="Arial" w:cs="Arial"/>
        </w:rPr>
      </w:pPr>
      <w:r w:rsidRPr="00AB028D">
        <w:rPr>
          <w:rFonts w:eastAsia="Arial" w:cs="Arial"/>
        </w:rPr>
        <w:t>Expenditure is allocated to the Unions under the following four categories:</w:t>
      </w:r>
    </w:p>
    <w:p w14:paraId="615F3EB0" w14:textId="77777777" w:rsidR="008D4A20" w:rsidRPr="00AB028D" w:rsidRDefault="008D4A20" w:rsidP="008407D7">
      <w:pPr>
        <w:numPr>
          <w:ilvl w:val="0"/>
          <w:numId w:val="29"/>
        </w:numPr>
        <w:spacing w:before="120" w:after="0" w:line="240" w:lineRule="auto"/>
        <w:ind w:left="1054" w:hanging="357"/>
        <w:rPr>
          <w:rFonts w:eastAsia="Arial" w:cs="Arial"/>
        </w:rPr>
      </w:pPr>
      <w:r w:rsidRPr="00AB028D">
        <w:rPr>
          <w:rFonts w:eastAsia="Arial" w:cs="Arial"/>
        </w:rPr>
        <w:t>“direct Union expenses” (e.g. the expenditure incurred by the PCT System (PT) - is a “</w:t>
      </w:r>
      <w:r>
        <w:rPr>
          <w:rFonts w:eastAsia="Arial" w:cs="Arial"/>
        </w:rPr>
        <w:t>D</w:t>
      </w:r>
      <w:r w:rsidRPr="00AB028D">
        <w:rPr>
          <w:rFonts w:eastAsia="Arial" w:cs="Arial"/>
        </w:rPr>
        <w:t>irect Union” expenditure of the PCT Union);</w:t>
      </w:r>
    </w:p>
    <w:p w14:paraId="1DF4C792" w14:textId="77777777" w:rsidR="008D4A20" w:rsidRPr="00AB028D" w:rsidRDefault="008D4A20" w:rsidP="008407D7">
      <w:pPr>
        <w:numPr>
          <w:ilvl w:val="0"/>
          <w:numId w:val="29"/>
        </w:numPr>
        <w:spacing w:before="120" w:after="0" w:line="240" w:lineRule="auto"/>
        <w:ind w:left="1054" w:hanging="357"/>
        <w:rPr>
          <w:rFonts w:eastAsia="Arial" w:cs="Arial"/>
          <w:lang w:eastAsia="ja-JP"/>
        </w:rPr>
      </w:pPr>
      <w:r w:rsidRPr="00AB028D">
        <w:rPr>
          <w:rFonts w:eastAsia="Arial" w:cs="Arial"/>
          <w:lang w:eastAsia="ja-JP"/>
        </w:rPr>
        <w:t>“indirect Union expenses” (e.g. the part of the expenditure of Regional and National Development – (RND) that is borne by the PCT Union is an “</w:t>
      </w:r>
      <w:r>
        <w:rPr>
          <w:rFonts w:eastAsia="Arial" w:cs="Arial"/>
          <w:lang w:eastAsia="ja-JP"/>
        </w:rPr>
        <w:t>I</w:t>
      </w:r>
      <w:r w:rsidRPr="00AB028D">
        <w:rPr>
          <w:rFonts w:eastAsia="Arial" w:cs="Arial"/>
          <w:lang w:eastAsia="ja-JP"/>
        </w:rPr>
        <w:t>ndirect Union” expenditure);</w:t>
      </w:r>
    </w:p>
    <w:p w14:paraId="5298F984" w14:textId="56FBA75B" w:rsidR="008D4A20" w:rsidRPr="00AB028D" w:rsidRDefault="008D4A20" w:rsidP="008407D7">
      <w:pPr>
        <w:numPr>
          <w:ilvl w:val="0"/>
          <w:numId w:val="29"/>
        </w:numPr>
        <w:spacing w:before="120" w:after="0" w:line="240" w:lineRule="auto"/>
        <w:ind w:left="1054" w:hanging="357"/>
        <w:rPr>
          <w:rFonts w:eastAsia="Arial" w:cs="Arial"/>
          <w:lang w:eastAsia="ja-JP"/>
        </w:rPr>
      </w:pPr>
      <w:r w:rsidRPr="00AB028D">
        <w:rPr>
          <w:rFonts w:eastAsia="Arial" w:cs="Arial"/>
          <w:lang w:eastAsia="ja-JP"/>
        </w:rPr>
        <w:t>“direct administrative expenses” (e.g. the expenditure of AFM</w:t>
      </w:r>
      <w:r w:rsidR="00721D32">
        <w:rPr>
          <w:rStyle w:val="FootnoteReference"/>
          <w:rFonts w:eastAsia="Arial" w:cs="Arial"/>
          <w:lang w:eastAsia="ja-JP"/>
        </w:rPr>
        <w:footnoteReference w:id="17"/>
      </w:r>
      <w:r w:rsidRPr="00AB028D">
        <w:rPr>
          <w:rFonts w:eastAsia="Arial" w:cs="Arial"/>
          <w:lang w:eastAsia="ja-JP"/>
        </w:rPr>
        <w:t xml:space="preserve"> that is incurred for administrative and management related support provided to the PCT System – is a “</w:t>
      </w:r>
      <w:r>
        <w:rPr>
          <w:rFonts w:eastAsia="Arial" w:cs="Arial"/>
          <w:lang w:eastAsia="ja-JP"/>
        </w:rPr>
        <w:t>D</w:t>
      </w:r>
      <w:r w:rsidRPr="00AB028D">
        <w:rPr>
          <w:rFonts w:eastAsia="Arial" w:cs="Arial"/>
          <w:lang w:eastAsia="ja-JP"/>
        </w:rPr>
        <w:t xml:space="preserve">irect </w:t>
      </w:r>
      <w:r>
        <w:rPr>
          <w:rFonts w:eastAsia="Arial" w:cs="Arial"/>
          <w:lang w:eastAsia="ja-JP"/>
        </w:rPr>
        <w:t>A</w:t>
      </w:r>
      <w:r w:rsidRPr="00AB028D">
        <w:rPr>
          <w:rFonts w:eastAsia="Arial" w:cs="Arial"/>
          <w:lang w:eastAsia="ja-JP"/>
        </w:rPr>
        <w:t>dmin” expenditure of the PCT Union); and</w:t>
      </w:r>
    </w:p>
    <w:p w14:paraId="51A90FC0" w14:textId="684C6CC8" w:rsidR="008D4A20" w:rsidRPr="00AB028D" w:rsidRDefault="008D4A20" w:rsidP="008407D7">
      <w:pPr>
        <w:numPr>
          <w:ilvl w:val="0"/>
          <w:numId w:val="29"/>
        </w:numPr>
        <w:spacing w:before="120" w:after="120" w:line="240" w:lineRule="auto"/>
        <w:ind w:left="1054" w:hanging="357"/>
        <w:rPr>
          <w:rFonts w:eastAsia="Arial" w:cs="Arial"/>
          <w:lang w:eastAsia="ja-JP"/>
        </w:rPr>
      </w:pPr>
      <w:r w:rsidRPr="00AB028D">
        <w:rPr>
          <w:rFonts w:eastAsia="Arial" w:cs="Arial"/>
          <w:lang w:eastAsia="ja-JP"/>
        </w:rPr>
        <w:t>“indirect administrative expenses” (e.g. the part of the expenditure of AFM that is incurred for administrative and management related support provided to R</w:t>
      </w:r>
      <w:r w:rsidR="00721D32">
        <w:rPr>
          <w:rFonts w:eastAsia="Arial" w:cs="Arial"/>
          <w:lang w:eastAsia="ja-JP"/>
        </w:rPr>
        <w:t>ND</w:t>
      </w:r>
      <w:r w:rsidRPr="00AB028D">
        <w:rPr>
          <w:rFonts w:eastAsia="Arial" w:cs="Arial"/>
          <w:lang w:eastAsia="ja-JP"/>
        </w:rPr>
        <w:t xml:space="preserve"> borne by the PCT Union is an “</w:t>
      </w:r>
      <w:r>
        <w:rPr>
          <w:rFonts w:eastAsia="Arial" w:cs="Arial"/>
          <w:lang w:eastAsia="ja-JP"/>
        </w:rPr>
        <w:t>I</w:t>
      </w:r>
      <w:r w:rsidRPr="00AB028D">
        <w:rPr>
          <w:rFonts w:eastAsia="Arial" w:cs="Arial"/>
          <w:lang w:eastAsia="ja-JP"/>
        </w:rPr>
        <w:t xml:space="preserve">ndirect </w:t>
      </w:r>
      <w:r>
        <w:rPr>
          <w:rFonts w:eastAsia="Arial" w:cs="Arial"/>
          <w:lang w:eastAsia="ja-JP"/>
        </w:rPr>
        <w:t>Admin</w:t>
      </w:r>
      <w:r w:rsidRPr="00AB028D">
        <w:rPr>
          <w:rFonts w:eastAsia="Arial" w:cs="Arial"/>
          <w:lang w:eastAsia="ja-JP"/>
        </w:rPr>
        <w:t>” expenditure).</w:t>
      </w:r>
    </w:p>
    <w:p w14:paraId="5DCE0793" w14:textId="77777777" w:rsidR="008D4A20" w:rsidRPr="00AB028D" w:rsidRDefault="008D4A20" w:rsidP="008407D7">
      <w:pPr>
        <w:pStyle w:val="NormalNumb"/>
        <w:numPr>
          <w:ilvl w:val="4"/>
          <w:numId w:val="27"/>
        </w:numPr>
        <w:rPr>
          <w:rFonts w:eastAsia="Arial" w:cs="Arial"/>
        </w:rPr>
      </w:pPr>
      <w:r w:rsidRPr="00AB028D">
        <w:rPr>
          <w:rFonts w:eastAsia="Arial" w:cs="Arial"/>
        </w:rPr>
        <w:t xml:space="preserve">Direct Union expenses are allocated to Unions either fully or on the basis of estimates. </w:t>
      </w:r>
      <w:r>
        <w:rPr>
          <w:rFonts w:eastAsia="Arial" w:cs="Arial"/>
        </w:rPr>
        <w:t xml:space="preserve"> </w:t>
      </w:r>
      <w:r w:rsidRPr="00AB028D">
        <w:rPr>
          <w:rFonts w:eastAsia="Arial" w:cs="Arial"/>
        </w:rPr>
        <w:t xml:space="preserve">Direct </w:t>
      </w:r>
      <w:r>
        <w:rPr>
          <w:rFonts w:eastAsia="Arial" w:cs="Arial"/>
        </w:rPr>
        <w:t>A</w:t>
      </w:r>
      <w:r w:rsidRPr="00AB028D">
        <w:rPr>
          <w:rFonts w:eastAsia="Arial" w:cs="Arial"/>
        </w:rPr>
        <w:t>dmin expenses are allocated to the Unions based on relative headcount shares.</w:t>
      </w:r>
    </w:p>
    <w:p w14:paraId="44056F8A" w14:textId="77777777" w:rsidR="008D4A20" w:rsidRPr="00AB028D" w:rsidRDefault="008D4A20" w:rsidP="008407D7">
      <w:pPr>
        <w:pStyle w:val="NormalNumb"/>
        <w:numPr>
          <w:ilvl w:val="4"/>
          <w:numId w:val="27"/>
        </w:numPr>
        <w:rPr>
          <w:rFonts w:eastAsia="Arial" w:cs="Arial"/>
        </w:rPr>
      </w:pPr>
      <w:r w:rsidRPr="00AB028D">
        <w:rPr>
          <w:rFonts w:eastAsia="Arial" w:cs="Arial"/>
        </w:rPr>
        <w:t>Indirect Union expenses and indirect administrative expenses are allocated to the Unions based on the “capacity-to-pay” principle.  If the Union has a reserve level above its reserve target, it is deemed to be able to support activities</w:t>
      </w:r>
      <w:r>
        <w:rPr>
          <w:rFonts w:eastAsia="Arial" w:cs="Arial"/>
        </w:rPr>
        <w:t xml:space="preserve"> not directly linked to the Union</w:t>
      </w:r>
      <w:r w:rsidRPr="00AB028D">
        <w:rPr>
          <w:rFonts w:eastAsia="Arial" w:cs="Arial"/>
        </w:rPr>
        <w:t xml:space="preserve">. </w:t>
      </w:r>
      <w:r>
        <w:rPr>
          <w:rFonts w:eastAsia="Arial" w:cs="Arial"/>
        </w:rPr>
        <w:t xml:space="preserve"> </w:t>
      </w:r>
      <w:r w:rsidRPr="00AB028D">
        <w:rPr>
          <w:rFonts w:eastAsia="Arial" w:cs="Arial"/>
        </w:rPr>
        <w:t xml:space="preserve">The “capacity to pay” is calculated as the difference between a Union’s projected biennial income and its Direct Union and Direct Admin expenses.  The extent to which this support can be provided by each Union is calculated by considering the relative extent to which the Union’s income exceeds its direct expenditure.  </w:t>
      </w:r>
    </w:p>
    <w:p w14:paraId="36B8D545" w14:textId="77777777" w:rsidR="008D4A20" w:rsidRPr="00AB028D" w:rsidRDefault="008D4A20" w:rsidP="008D4A20">
      <w:pPr>
        <w:keepNext/>
        <w:spacing w:before="240"/>
        <w:outlineLvl w:val="2"/>
        <w:rPr>
          <w:rFonts w:ascii="Arial Bold" w:eastAsia="Arial" w:hAnsi="Arial Bold" w:cs="Arial"/>
          <w:b/>
          <w:color w:val="005172"/>
          <w:sz w:val="22"/>
        </w:rPr>
      </w:pPr>
      <w:r w:rsidRPr="00AB028D">
        <w:rPr>
          <w:rFonts w:ascii="Arial Bold" w:eastAsia="Arial" w:hAnsi="Arial Bold" w:cs="Arial"/>
          <w:b/>
          <w:color w:val="005172"/>
          <w:sz w:val="22"/>
        </w:rPr>
        <w:t>Allocation of 202</w:t>
      </w:r>
      <w:r>
        <w:rPr>
          <w:rFonts w:ascii="Arial Bold" w:eastAsia="Arial" w:hAnsi="Arial Bold" w:cs="Arial"/>
          <w:b/>
          <w:color w:val="005172"/>
          <w:sz w:val="22"/>
        </w:rPr>
        <w:t>4</w:t>
      </w:r>
      <w:r w:rsidRPr="00AB028D">
        <w:rPr>
          <w:rFonts w:ascii="Arial Bold" w:eastAsia="Arial" w:hAnsi="Arial Bold" w:cs="Arial"/>
          <w:b/>
          <w:color w:val="005172"/>
          <w:sz w:val="22"/>
        </w:rPr>
        <w:t>/2</w:t>
      </w:r>
      <w:r>
        <w:rPr>
          <w:rFonts w:ascii="Arial Bold" w:eastAsia="Arial" w:hAnsi="Arial Bold" w:cs="Arial"/>
          <w:b/>
          <w:color w:val="005172"/>
          <w:sz w:val="22"/>
        </w:rPr>
        <w:t>5</w:t>
      </w:r>
      <w:r w:rsidRPr="00AB028D">
        <w:rPr>
          <w:rFonts w:ascii="Arial Bold" w:eastAsia="Arial" w:hAnsi="Arial Bold" w:cs="Arial"/>
          <w:b/>
          <w:color w:val="005172"/>
          <w:sz w:val="22"/>
        </w:rPr>
        <w:t xml:space="preserve"> Expenditure by Allocation Category</w:t>
      </w:r>
    </w:p>
    <w:p w14:paraId="65E702D0" w14:textId="77777777" w:rsidR="008D4A20" w:rsidRPr="00AB028D" w:rsidRDefault="008D4A20" w:rsidP="008407D7">
      <w:pPr>
        <w:pStyle w:val="NormalNumb"/>
        <w:numPr>
          <w:ilvl w:val="4"/>
          <w:numId w:val="27"/>
        </w:numPr>
        <w:rPr>
          <w:rFonts w:eastAsia="Arial" w:cs="Arial"/>
        </w:rPr>
      </w:pPr>
      <w:r w:rsidRPr="00AB028D">
        <w:rPr>
          <w:rFonts w:eastAsia="Arial" w:cs="Arial"/>
        </w:rPr>
        <w:t>The table below summarizes the allocation of the 202</w:t>
      </w:r>
      <w:r>
        <w:rPr>
          <w:rFonts w:eastAsia="Arial" w:cs="Arial"/>
        </w:rPr>
        <w:t>4</w:t>
      </w:r>
      <w:r w:rsidRPr="00AB028D">
        <w:rPr>
          <w:rFonts w:eastAsia="Arial" w:cs="Arial"/>
        </w:rPr>
        <w:t>/2</w:t>
      </w:r>
      <w:r>
        <w:rPr>
          <w:rFonts w:eastAsia="Arial" w:cs="Arial"/>
        </w:rPr>
        <w:t>5</w:t>
      </w:r>
      <w:r w:rsidRPr="00AB028D">
        <w:rPr>
          <w:rFonts w:eastAsia="Arial" w:cs="Arial"/>
        </w:rPr>
        <w:t xml:space="preserve"> expenditure to the Unions based on the four allocation categories. </w:t>
      </w:r>
      <w:r>
        <w:rPr>
          <w:rFonts w:eastAsia="Arial" w:cs="Arial"/>
        </w:rPr>
        <w:t xml:space="preserve"> </w:t>
      </w:r>
      <w:r w:rsidRPr="00AB028D">
        <w:rPr>
          <w:rFonts w:eastAsia="Arial" w:cs="Arial"/>
        </w:rPr>
        <w:t>Indirect expenditure is allocated to the PCT and Madrid Unions based on their “capacity-to-pay”.</w:t>
      </w:r>
    </w:p>
    <w:tbl>
      <w:tblPr>
        <w:tblStyle w:val="TableGrid7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1927"/>
        <w:gridCol w:w="1928"/>
        <w:gridCol w:w="1928"/>
        <w:gridCol w:w="1928"/>
        <w:gridCol w:w="1928"/>
      </w:tblGrid>
      <w:tr w:rsidR="008D4A20" w:rsidRPr="00AB028D" w14:paraId="3E6CCB21" w14:textId="77777777" w:rsidTr="008D4A20">
        <w:tc>
          <w:tcPr>
            <w:tcW w:w="1000" w:type="pct"/>
            <w:shd w:val="clear" w:color="auto" w:fill="C6CFD7"/>
          </w:tcPr>
          <w:p w14:paraId="6A63C5FE" w14:textId="77777777" w:rsidR="008D4A20" w:rsidRPr="00AB028D" w:rsidRDefault="008D4A20" w:rsidP="008D4A20">
            <w:pPr>
              <w:keepNext/>
              <w:spacing w:before="40" w:after="20" w:line="200" w:lineRule="atLeast"/>
              <w:ind w:left="113"/>
              <w:rPr>
                <w:rFonts w:ascii="Arial Narrow" w:hAnsi="Arial Narrow"/>
                <w:b/>
                <w:sz w:val="16"/>
              </w:rPr>
            </w:pPr>
            <w:r w:rsidRPr="00AB028D">
              <w:rPr>
                <w:rFonts w:ascii="Arial Narrow" w:hAnsi="Arial Narrow"/>
                <w:b/>
                <w:sz w:val="16"/>
              </w:rPr>
              <w:t>CF Unions</w:t>
            </w:r>
          </w:p>
        </w:tc>
        <w:tc>
          <w:tcPr>
            <w:tcW w:w="1000" w:type="pct"/>
            <w:shd w:val="clear" w:color="auto" w:fill="C6CFD7"/>
          </w:tcPr>
          <w:p w14:paraId="10AF98B6" w14:textId="77777777" w:rsidR="008D4A20" w:rsidRPr="00AB028D" w:rsidRDefault="008D4A20" w:rsidP="008D4A20">
            <w:pPr>
              <w:keepNext/>
              <w:spacing w:before="40" w:after="20" w:line="200" w:lineRule="atLeast"/>
              <w:ind w:left="113"/>
              <w:rPr>
                <w:rFonts w:ascii="Arial Narrow" w:hAnsi="Arial Narrow"/>
                <w:b/>
                <w:sz w:val="16"/>
              </w:rPr>
            </w:pPr>
            <w:r w:rsidRPr="00AB028D">
              <w:rPr>
                <w:rFonts w:ascii="Arial Narrow" w:hAnsi="Arial Narrow"/>
                <w:b/>
                <w:sz w:val="16"/>
              </w:rPr>
              <w:t>PCT Union</w:t>
            </w:r>
          </w:p>
        </w:tc>
        <w:tc>
          <w:tcPr>
            <w:tcW w:w="1000" w:type="pct"/>
            <w:shd w:val="clear" w:color="auto" w:fill="C6CFD7"/>
          </w:tcPr>
          <w:p w14:paraId="3B824620" w14:textId="77777777" w:rsidR="008D4A20" w:rsidRPr="00AB028D" w:rsidRDefault="008D4A20" w:rsidP="008D4A20">
            <w:pPr>
              <w:keepNext/>
              <w:spacing w:before="40" w:after="20" w:line="200" w:lineRule="atLeast"/>
              <w:ind w:left="113"/>
              <w:rPr>
                <w:rFonts w:ascii="Arial Narrow" w:hAnsi="Arial Narrow"/>
                <w:b/>
                <w:sz w:val="16"/>
              </w:rPr>
            </w:pPr>
            <w:r w:rsidRPr="00AB028D">
              <w:rPr>
                <w:rFonts w:ascii="Arial Narrow" w:hAnsi="Arial Narrow"/>
                <w:b/>
                <w:sz w:val="16"/>
              </w:rPr>
              <w:t>Madrid Union</w:t>
            </w:r>
          </w:p>
        </w:tc>
        <w:tc>
          <w:tcPr>
            <w:tcW w:w="1000" w:type="pct"/>
            <w:shd w:val="clear" w:color="auto" w:fill="C6CFD7"/>
          </w:tcPr>
          <w:p w14:paraId="0FC90275" w14:textId="77777777" w:rsidR="008D4A20" w:rsidRPr="00AB028D" w:rsidRDefault="008D4A20" w:rsidP="008D4A20">
            <w:pPr>
              <w:keepNext/>
              <w:spacing w:before="40" w:after="20" w:line="200" w:lineRule="atLeast"/>
              <w:ind w:left="113"/>
              <w:rPr>
                <w:rFonts w:ascii="Arial Narrow" w:hAnsi="Arial Narrow"/>
                <w:b/>
                <w:sz w:val="16"/>
              </w:rPr>
            </w:pPr>
            <w:r w:rsidRPr="00AB028D">
              <w:rPr>
                <w:rFonts w:ascii="Arial Narrow" w:hAnsi="Arial Narrow"/>
                <w:b/>
                <w:sz w:val="16"/>
              </w:rPr>
              <w:t>The Hague Union</w:t>
            </w:r>
          </w:p>
        </w:tc>
        <w:tc>
          <w:tcPr>
            <w:tcW w:w="1000" w:type="pct"/>
            <w:shd w:val="clear" w:color="auto" w:fill="C6CFD7"/>
          </w:tcPr>
          <w:p w14:paraId="2D700B43" w14:textId="77777777" w:rsidR="008D4A20" w:rsidRPr="00AB028D" w:rsidRDefault="008D4A20" w:rsidP="008D4A20">
            <w:pPr>
              <w:keepNext/>
              <w:spacing w:before="40" w:after="20" w:line="200" w:lineRule="atLeast"/>
              <w:ind w:left="113"/>
              <w:rPr>
                <w:rFonts w:ascii="Arial Narrow" w:hAnsi="Arial Narrow"/>
                <w:b/>
                <w:sz w:val="16"/>
              </w:rPr>
            </w:pPr>
            <w:r w:rsidRPr="00AB028D">
              <w:rPr>
                <w:rFonts w:ascii="Arial Narrow" w:hAnsi="Arial Narrow"/>
                <w:b/>
                <w:sz w:val="16"/>
              </w:rPr>
              <w:t>Lisbon Union</w:t>
            </w:r>
          </w:p>
        </w:tc>
      </w:tr>
      <w:tr w:rsidR="008D4A20" w:rsidRPr="00AB028D" w14:paraId="16EBA629" w14:textId="77777777" w:rsidTr="008D4A20">
        <w:tc>
          <w:tcPr>
            <w:tcW w:w="1000" w:type="pct"/>
          </w:tcPr>
          <w:p w14:paraId="6EB976E5"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Union</w:t>
            </w:r>
          </w:p>
        </w:tc>
        <w:tc>
          <w:tcPr>
            <w:tcW w:w="1000" w:type="pct"/>
          </w:tcPr>
          <w:p w14:paraId="5C131B16"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Union</w:t>
            </w:r>
          </w:p>
        </w:tc>
        <w:tc>
          <w:tcPr>
            <w:tcW w:w="1000" w:type="pct"/>
          </w:tcPr>
          <w:p w14:paraId="64030A69"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Union</w:t>
            </w:r>
          </w:p>
        </w:tc>
        <w:tc>
          <w:tcPr>
            <w:tcW w:w="1000" w:type="pct"/>
          </w:tcPr>
          <w:p w14:paraId="63B33BCE"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Union</w:t>
            </w:r>
          </w:p>
        </w:tc>
        <w:tc>
          <w:tcPr>
            <w:tcW w:w="1000" w:type="pct"/>
          </w:tcPr>
          <w:p w14:paraId="6E0A299F"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Union</w:t>
            </w:r>
          </w:p>
        </w:tc>
      </w:tr>
      <w:tr w:rsidR="008D4A20" w:rsidRPr="00AB028D" w14:paraId="2E1B61AD" w14:textId="77777777" w:rsidTr="008D4A20">
        <w:tc>
          <w:tcPr>
            <w:tcW w:w="1000" w:type="pct"/>
          </w:tcPr>
          <w:p w14:paraId="69522DDC"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Admin</w:t>
            </w:r>
          </w:p>
        </w:tc>
        <w:tc>
          <w:tcPr>
            <w:tcW w:w="1000" w:type="pct"/>
          </w:tcPr>
          <w:p w14:paraId="10B64F41"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Admin</w:t>
            </w:r>
          </w:p>
        </w:tc>
        <w:tc>
          <w:tcPr>
            <w:tcW w:w="1000" w:type="pct"/>
          </w:tcPr>
          <w:p w14:paraId="3D0B2D88"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Admin</w:t>
            </w:r>
          </w:p>
        </w:tc>
        <w:tc>
          <w:tcPr>
            <w:tcW w:w="1000" w:type="pct"/>
          </w:tcPr>
          <w:p w14:paraId="70DE87BB"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Admin</w:t>
            </w:r>
          </w:p>
        </w:tc>
        <w:tc>
          <w:tcPr>
            <w:tcW w:w="1000" w:type="pct"/>
          </w:tcPr>
          <w:p w14:paraId="2409FC28"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Direct Admin</w:t>
            </w:r>
          </w:p>
        </w:tc>
      </w:tr>
      <w:tr w:rsidR="008D4A20" w:rsidRPr="00AB028D" w14:paraId="6A0FBA0E" w14:textId="77777777" w:rsidTr="008D4A20">
        <w:tc>
          <w:tcPr>
            <w:tcW w:w="1000" w:type="pct"/>
          </w:tcPr>
          <w:p w14:paraId="6B7EE6D6"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Union</w:t>
            </w:r>
          </w:p>
        </w:tc>
        <w:tc>
          <w:tcPr>
            <w:tcW w:w="1000" w:type="pct"/>
          </w:tcPr>
          <w:p w14:paraId="7E6A9A65"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Union</w:t>
            </w:r>
          </w:p>
        </w:tc>
        <w:tc>
          <w:tcPr>
            <w:tcW w:w="1000" w:type="pct"/>
          </w:tcPr>
          <w:p w14:paraId="5AB2223B"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Union</w:t>
            </w:r>
          </w:p>
        </w:tc>
        <w:tc>
          <w:tcPr>
            <w:tcW w:w="1000" w:type="pct"/>
          </w:tcPr>
          <w:p w14:paraId="7ED80FEA"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Union</w:t>
            </w:r>
          </w:p>
        </w:tc>
        <w:tc>
          <w:tcPr>
            <w:tcW w:w="1000" w:type="pct"/>
          </w:tcPr>
          <w:p w14:paraId="41E78615"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Union</w:t>
            </w:r>
          </w:p>
        </w:tc>
      </w:tr>
      <w:tr w:rsidR="008D4A20" w:rsidRPr="00AB028D" w14:paraId="4C8EE31E" w14:textId="77777777" w:rsidTr="008D4A20">
        <w:tc>
          <w:tcPr>
            <w:tcW w:w="1000" w:type="pct"/>
          </w:tcPr>
          <w:p w14:paraId="78619089"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Admin</w:t>
            </w:r>
          </w:p>
        </w:tc>
        <w:tc>
          <w:tcPr>
            <w:tcW w:w="1000" w:type="pct"/>
          </w:tcPr>
          <w:p w14:paraId="51F2D5B9"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Admin</w:t>
            </w:r>
          </w:p>
        </w:tc>
        <w:tc>
          <w:tcPr>
            <w:tcW w:w="1000" w:type="pct"/>
          </w:tcPr>
          <w:p w14:paraId="6BFE0115"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Admin</w:t>
            </w:r>
          </w:p>
        </w:tc>
        <w:tc>
          <w:tcPr>
            <w:tcW w:w="1000" w:type="pct"/>
          </w:tcPr>
          <w:p w14:paraId="0A7C6B88"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Admin</w:t>
            </w:r>
          </w:p>
        </w:tc>
        <w:tc>
          <w:tcPr>
            <w:tcW w:w="1000" w:type="pct"/>
          </w:tcPr>
          <w:p w14:paraId="6235FF45" w14:textId="77777777" w:rsidR="008D4A20" w:rsidRPr="00AB028D" w:rsidRDefault="008D4A20" w:rsidP="008D4A20">
            <w:pPr>
              <w:spacing w:after="0" w:line="200" w:lineRule="atLeast"/>
              <w:rPr>
                <w:rFonts w:ascii="Arial Narrow" w:hAnsi="Arial Narrow"/>
                <w:sz w:val="16"/>
              </w:rPr>
            </w:pPr>
            <w:r w:rsidRPr="00AB028D">
              <w:rPr>
                <w:rFonts w:ascii="Arial Narrow" w:hAnsi="Arial Narrow"/>
                <w:sz w:val="16"/>
              </w:rPr>
              <w:t>Indirect Admin</w:t>
            </w:r>
          </w:p>
        </w:tc>
      </w:tr>
      <w:tr w:rsidR="008D4A20" w:rsidRPr="00AB028D" w14:paraId="78592DD5" w14:textId="77777777" w:rsidTr="008D4A20">
        <w:tc>
          <w:tcPr>
            <w:tcW w:w="5000" w:type="pct"/>
            <w:gridSpan w:val="5"/>
            <w:shd w:val="clear" w:color="auto" w:fill="C6CFD7"/>
          </w:tcPr>
          <w:p w14:paraId="20ABC2B4" w14:textId="77777777" w:rsidR="008D4A20" w:rsidRPr="00AB028D" w:rsidRDefault="008D4A20" w:rsidP="008D4A20">
            <w:pPr>
              <w:spacing w:after="0" w:line="200" w:lineRule="atLeast"/>
              <w:jc w:val="center"/>
              <w:rPr>
                <w:rFonts w:ascii="Arial Narrow" w:hAnsi="Arial Narrow"/>
                <w:sz w:val="16"/>
              </w:rPr>
            </w:pPr>
            <w:r w:rsidRPr="00AB028D">
              <w:rPr>
                <w:rFonts w:ascii="Arial Narrow" w:hAnsi="Arial Narrow"/>
                <w:sz w:val="16"/>
              </w:rPr>
              <w:t>IPSAS adjustments to expenditure</w:t>
            </w:r>
          </w:p>
        </w:tc>
      </w:tr>
    </w:tbl>
    <w:p w14:paraId="278759E0" w14:textId="77777777" w:rsidR="008D4A20" w:rsidRPr="00AB028D" w:rsidRDefault="008D4A20" w:rsidP="008D4A20">
      <w:pPr>
        <w:keepNext/>
        <w:spacing w:before="240"/>
        <w:outlineLvl w:val="2"/>
        <w:rPr>
          <w:rFonts w:ascii="Arial Bold" w:eastAsia="Arial" w:hAnsi="Arial Bold" w:cs="Arial"/>
          <w:b/>
          <w:color w:val="005172"/>
          <w:sz w:val="22"/>
        </w:rPr>
      </w:pPr>
      <w:r w:rsidRPr="00AB028D">
        <w:rPr>
          <w:rFonts w:ascii="Arial Bold" w:eastAsia="Arial" w:hAnsi="Arial Bold" w:cs="Arial"/>
          <w:b/>
          <w:color w:val="005172"/>
          <w:sz w:val="22"/>
        </w:rPr>
        <w:t xml:space="preserve">Allocation of Expenditure by </w:t>
      </w:r>
      <w:r>
        <w:rPr>
          <w:rFonts w:ascii="Arial Bold" w:eastAsia="Arial" w:hAnsi="Arial Bold" w:cs="Arial"/>
          <w:b/>
          <w:color w:val="005172"/>
          <w:sz w:val="22"/>
        </w:rPr>
        <w:t>Activities</w:t>
      </w:r>
      <w:r w:rsidRPr="00AB028D">
        <w:rPr>
          <w:rFonts w:ascii="Arial Bold" w:eastAsia="Arial" w:hAnsi="Arial Bold" w:cs="Arial"/>
          <w:b/>
          <w:color w:val="005172"/>
          <w:sz w:val="22"/>
        </w:rPr>
        <w:t xml:space="preserve"> </w:t>
      </w:r>
    </w:p>
    <w:p w14:paraId="0E8FC0D1" w14:textId="77777777" w:rsidR="008D4A20" w:rsidRDefault="008D4A20" w:rsidP="008407D7">
      <w:pPr>
        <w:pStyle w:val="NormalNumb"/>
        <w:keepNext/>
        <w:numPr>
          <w:ilvl w:val="4"/>
          <w:numId w:val="27"/>
        </w:numPr>
        <w:spacing w:after="0" w:line="240" w:lineRule="auto"/>
        <w:rPr>
          <w:rFonts w:eastAsia="Arial" w:cs="Arial"/>
        </w:rPr>
      </w:pPr>
      <w:r w:rsidRPr="00B22294">
        <w:rPr>
          <w:rFonts w:eastAsia="Arial" w:cs="Arial"/>
        </w:rPr>
        <w:t>WIPO’s activities are implemented in accordance with its Program of Work implemented by Sectors.  Expenditure related to activities in the tables below is allocated as “Direct Union” expenses as follows.</w:t>
      </w:r>
    </w:p>
    <w:p w14:paraId="3BE4CE9E" w14:textId="77777777" w:rsidR="008D4A20" w:rsidRPr="00B22294" w:rsidRDefault="008D4A20" w:rsidP="008D4A20">
      <w:pPr>
        <w:pStyle w:val="NormalNumb"/>
        <w:keepNext/>
        <w:numPr>
          <w:ilvl w:val="0"/>
          <w:numId w:val="0"/>
        </w:numPr>
        <w:spacing w:after="0" w:line="240" w:lineRule="auto"/>
        <w:rPr>
          <w:rFonts w:eastAsia="Arial" w:cs="Arial"/>
        </w:rPr>
      </w:pPr>
    </w:p>
    <w:tbl>
      <w:tblPr>
        <w:tblStyle w:val="TableGrid71"/>
        <w:tblW w:w="9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433"/>
        <w:gridCol w:w="1983"/>
        <w:gridCol w:w="1992"/>
        <w:gridCol w:w="1987"/>
        <w:gridCol w:w="1845"/>
        <w:gridCol w:w="1441"/>
      </w:tblGrid>
      <w:tr w:rsidR="008D4A20" w:rsidRPr="00AB028D" w14:paraId="2585C4DF" w14:textId="77777777" w:rsidTr="008D4A20">
        <w:trPr>
          <w:trHeight w:val="418"/>
        </w:trPr>
        <w:tc>
          <w:tcPr>
            <w:tcW w:w="224" w:type="pct"/>
            <w:shd w:val="clear" w:color="auto" w:fill="C6CFD7"/>
          </w:tcPr>
          <w:p w14:paraId="53D7622F"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285F7B">
              <w:rPr>
                <w:rFonts w:ascii="Arial Narrow" w:hAnsi="Arial Narrow"/>
                <w:b/>
                <w:sz w:val="11"/>
                <w:szCs w:val="15"/>
              </w:rPr>
              <w:t>Sector</w:t>
            </w:r>
          </w:p>
        </w:tc>
        <w:tc>
          <w:tcPr>
            <w:tcW w:w="1024" w:type="pct"/>
            <w:shd w:val="clear" w:color="auto" w:fill="C6CFD7"/>
          </w:tcPr>
          <w:p w14:paraId="08DE764D"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CF Unions</w:t>
            </w:r>
          </w:p>
          <w:p w14:paraId="596D178D" w14:textId="77777777" w:rsidR="008D4A20" w:rsidRPr="00AB028D" w:rsidRDefault="008D4A20" w:rsidP="008D4A20">
            <w:pPr>
              <w:keepNext/>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1029" w:type="pct"/>
            <w:shd w:val="clear" w:color="auto" w:fill="C6CFD7"/>
          </w:tcPr>
          <w:p w14:paraId="492D632D"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PCT Union</w:t>
            </w:r>
          </w:p>
          <w:p w14:paraId="6D427EDA"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1026" w:type="pct"/>
            <w:shd w:val="clear" w:color="auto" w:fill="C6CFD7"/>
          </w:tcPr>
          <w:p w14:paraId="2B09524E"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Madrid Union</w:t>
            </w:r>
          </w:p>
          <w:p w14:paraId="1FA73D66"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953" w:type="pct"/>
            <w:shd w:val="clear" w:color="auto" w:fill="C6CFD7"/>
          </w:tcPr>
          <w:p w14:paraId="6DEB3B55"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The Hague Union</w:t>
            </w:r>
          </w:p>
          <w:p w14:paraId="74501E71"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744" w:type="pct"/>
            <w:shd w:val="clear" w:color="auto" w:fill="C6CFD7"/>
          </w:tcPr>
          <w:p w14:paraId="40ACCAEA"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Lisbon Union</w:t>
            </w:r>
          </w:p>
          <w:p w14:paraId="3FF14235"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r>
      <w:tr w:rsidR="008D4A20" w:rsidRPr="00AB028D" w14:paraId="388F997A" w14:textId="77777777" w:rsidTr="008D4A20">
        <w:trPr>
          <w:trHeight w:val="182"/>
        </w:trPr>
        <w:tc>
          <w:tcPr>
            <w:tcW w:w="224" w:type="pct"/>
          </w:tcPr>
          <w:p w14:paraId="17DE5BC8"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PT</w:t>
            </w:r>
          </w:p>
        </w:tc>
        <w:tc>
          <w:tcPr>
            <w:tcW w:w="1024" w:type="pct"/>
          </w:tcPr>
          <w:p w14:paraId="4873C70C" w14:textId="77777777" w:rsidR="008D4A20" w:rsidRPr="00AB028D" w:rsidRDefault="008D4A20" w:rsidP="008D4A20">
            <w:pPr>
              <w:keepNext/>
              <w:spacing w:after="0" w:line="200" w:lineRule="atLeast"/>
              <w:ind w:left="113"/>
              <w:rPr>
                <w:rFonts w:ascii="Arial Narrow" w:hAnsi="Arial Narrow"/>
                <w:i/>
                <w:sz w:val="15"/>
                <w:szCs w:val="15"/>
              </w:rPr>
            </w:pPr>
            <w:r w:rsidRPr="00AB028D">
              <w:rPr>
                <w:rFonts w:ascii="Arial Narrow" w:hAnsi="Arial Narrow"/>
                <w:sz w:val="15"/>
                <w:szCs w:val="15"/>
              </w:rPr>
              <w:t xml:space="preserve">SCP </w:t>
            </w:r>
            <w:r w:rsidRPr="00AB028D">
              <w:rPr>
                <w:rFonts w:ascii="Arial Narrow" w:hAnsi="Arial Narrow"/>
                <w:i/>
                <w:sz w:val="15"/>
                <w:szCs w:val="15"/>
              </w:rPr>
              <w:t>(10% - estimate)</w:t>
            </w:r>
          </w:p>
        </w:tc>
        <w:tc>
          <w:tcPr>
            <w:tcW w:w="1029" w:type="pct"/>
          </w:tcPr>
          <w:p w14:paraId="1CA7E477" w14:textId="77777777" w:rsidR="008D4A20" w:rsidRPr="00AB028D" w:rsidRDefault="008D4A20" w:rsidP="008D4A20">
            <w:pPr>
              <w:spacing w:after="0" w:line="200" w:lineRule="atLeast"/>
              <w:ind w:left="113"/>
              <w:rPr>
                <w:rFonts w:ascii="Arial Narrow" w:hAnsi="Arial Narrow"/>
                <w:i/>
                <w:sz w:val="15"/>
                <w:szCs w:val="15"/>
              </w:rPr>
            </w:pPr>
            <w:r w:rsidRPr="00AB028D">
              <w:rPr>
                <w:rFonts w:ascii="Arial Narrow" w:hAnsi="Arial Narrow"/>
                <w:sz w:val="15"/>
                <w:szCs w:val="15"/>
              </w:rPr>
              <w:t xml:space="preserve">SCP </w:t>
            </w:r>
            <w:r w:rsidRPr="00AB028D">
              <w:rPr>
                <w:rFonts w:ascii="Arial Narrow" w:hAnsi="Arial Narrow"/>
                <w:i/>
                <w:sz w:val="15"/>
                <w:szCs w:val="15"/>
              </w:rPr>
              <w:t>(90% - estimate)</w:t>
            </w:r>
          </w:p>
        </w:tc>
        <w:tc>
          <w:tcPr>
            <w:tcW w:w="1026" w:type="pct"/>
          </w:tcPr>
          <w:p w14:paraId="6FF4592F" w14:textId="77777777" w:rsidR="008D4A20" w:rsidRPr="00AB028D" w:rsidRDefault="008D4A20" w:rsidP="008D4A20">
            <w:pPr>
              <w:spacing w:after="0" w:line="200" w:lineRule="atLeast"/>
              <w:rPr>
                <w:rFonts w:ascii="Arial Narrow" w:hAnsi="Arial Narrow"/>
                <w:i/>
                <w:sz w:val="15"/>
                <w:szCs w:val="15"/>
              </w:rPr>
            </w:pPr>
          </w:p>
        </w:tc>
        <w:tc>
          <w:tcPr>
            <w:tcW w:w="953" w:type="pct"/>
          </w:tcPr>
          <w:p w14:paraId="0C0E4382" w14:textId="77777777" w:rsidR="008D4A20" w:rsidRPr="00AB028D" w:rsidRDefault="008D4A20" w:rsidP="008D4A20">
            <w:pPr>
              <w:spacing w:after="0" w:line="200" w:lineRule="atLeast"/>
              <w:rPr>
                <w:rFonts w:ascii="Arial Narrow" w:hAnsi="Arial Narrow"/>
                <w:i/>
                <w:sz w:val="15"/>
                <w:szCs w:val="15"/>
              </w:rPr>
            </w:pPr>
          </w:p>
        </w:tc>
        <w:tc>
          <w:tcPr>
            <w:tcW w:w="744" w:type="pct"/>
          </w:tcPr>
          <w:p w14:paraId="1A408734" w14:textId="77777777" w:rsidR="008D4A20" w:rsidRPr="00AB028D" w:rsidRDefault="008D4A20" w:rsidP="008D4A20">
            <w:pPr>
              <w:spacing w:after="0" w:line="200" w:lineRule="atLeast"/>
              <w:rPr>
                <w:rFonts w:ascii="Arial Narrow" w:hAnsi="Arial Narrow"/>
                <w:sz w:val="15"/>
                <w:szCs w:val="15"/>
              </w:rPr>
            </w:pPr>
          </w:p>
        </w:tc>
      </w:tr>
      <w:tr w:rsidR="008D4A20" w:rsidRPr="00AB028D" w14:paraId="6CD1825D" w14:textId="77777777" w:rsidTr="008D4A20">
        <w:trPr>
          <w:trHeight w:val="410"/>
        </w:trPr>
        <w:tc>
          <w:tcPr>
            <w:tcW w:w="224" w:type="pct"/>
          </w:tcPr>
          <w:p w14:paraId="77FFB103"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2736BC2C" w14:textId="77777777" w:rsidR="008D4A20" w:rsidRPr="00AB028D" w:rsidRDefault="008D4A20" w:rsidP="008D4A20">
            <w:pPr>
              <w:keepNext/>
              <w:keepLines/>
              <w:spacing w:after="0" w:line="200" w:lineRule="atLeast"/>
              <w:ind w:left="113"/>
              <w:rPr>
                <w:rFonts w:ascii="Arial Narrow" w:hAnsi="Arial Narrow"/>
                <w:sz w:val="15"/>
                <w:szCs w:val="15"/>
              </w:rPr>
            </w:pPr>
            <w:r>
              <w:rPr>
                <w:rFonts w:ascii="Arial Narrow" w:hAnsi="Arial Narrow"/>
                <w:sz w:val="15"/>
                <w:szCs w:val="15"/>
              </w:rPr>
              <w:t>Promotion of Paris Convention, PLT &amp; Budapest T</w:t>
            </w:r>
            <w:r w:rsidRPr="00AB028D">
              <w:rPr>
                <w:rFonts w:ascii="Arial Narrow" w:hAnsi="Arial Narrow"/>
                <w:sz w:val="15"/>
                <w:szCs w:val="15"/>
              </w:rPr>
              <w:t xml:space="preserve">reaty  </w:t>
            </w:r>
            <w:r w:rsidRPr="00AB028D">
              <w:rPr>
                <w:rFonts w:ascii="Arial Narrow" w:hAnsi="Arial Narrow"/>
                <w:i/>
                <w:sz w:val="15"/>
                <w:szCs w:val="15"/>
              </w:rPr>
              <w:t>(10% - estimate)</w:t>
            </w:r>
          </w:p>
        </w:tc>
        <w:tc>
          <w:tcPr>
            <w:tcW w:w="1029" w:type="pct"/>
          </w:tcPr>
          <w:p w14:paraId="79DDB607"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Promotion of</w:t>
            </w:r>
            <w:r>
              <w:rPr>
                <w:rFonts w:ascii="Arial Narrow" w:hAnsi="Arial Narrow"/>
                <w:sz w:val="15"/>
                <w:szCs w:val="15"/>
              </w:rPr>
              <w:t xml:space="preserve"> Paris Convention,</w:t>
            </w:r>
            <w:r w:rsidRPr="00AB028D">
              <w:rPr>
                <w:rFonts w:ascii="Arial Narrow" w:hAnsi="Arial Narrow"/>
                <w:sz w:val="15"/>
                <w:szCs w:val="15"/>
              </w:rPr>
              <w:t xml:space="preserve"> PLT &amp; Budapest </w:t>
            </w:r>
            <w:r>
              <w:rPr>
                <w:rFonts w:ascii="Arial Narrow" w:hAnsi="Arial Narrow"/>
                <w:sz w:val="15"/>
                <w:szCs w:val="15"/>
              </w:rPr>
              <w:t>T</w:t>
            </w:r>
            <w:r w:rsidRPr="00AB028D">
              <w:rPr>
                <w:rFonts w:ascii="Arial Narrow" w:hAnsi="Arial Narrow"/>
                <w:sz w:val="15"/>
                <w:szCs w:val="15"/>
              </w:rPr>
              <w:t xml:space="preserve">reaty </w:t>
            </w:r>
            <w:r w:rsidRPr="00AB028D">
              <w:rPr>
                <w:rFonts w:ascii="Arial Narrow" w:hAnsi="Arial Narrow"/>
                <w:i/>
                <w:sz w:val="15"/>
                <w:szCs w:val="15"/>
              </w:rPr>
              <w:t>(90% - estimate)</w:t>
            </w:r>
          </w:p>
        </w:tc>
        <w:tc>
          <w:tcPr>
            <w:tcW w:w="1026" w:type="pct"/>
          </w:tcPr>
          <w:p w14:paraId="499D26C6" w14:textId="77777777" w:rsidR="008D4A20" w:rsidRPr="00AB028D" w:rsidRDefault="008D4A20" w:rsidP="008D4A20">
            <w:pPr>
              <w:spacing w:after="0" w:line="200" w:lineRule="atLeast"/>
              <w:rPr>
                <w:rFonts w:ascii="Arial Narrow" w:hAnsi="Arial Narrow"/>
                <w:i/>
                <w:sz w:val="15"/>
                <w:szCs w:val="15"/>
              </w:rPr>
            </w:pPr>
          </w:p>
        </w:tc>
        <w:tc>
          <w:tcPr>
            <w:tcW w:w="953" w:type="pct"/>
          </w:tcPr>
          <w:p w14:paraId="2CE55A10" w14:textId="77777777" w:rsidR="008D4A20" w:rsidRPr="00AB028D" w:rsidRDefault="008D4A20" w:rsidP="008D4A20">
            <w:pPr>
              <w:spacing w:after="0" w:line="200" w:lineRule="atLeast"/>
              <w:rPr>
                <w:rFonts w:ascii="Arial Narrow" w:hAnsi="Arial Narrow"/>
                <w:i/>
                <w:sz w:val="15"/>
                <w:szCs w:val="15"/>
              </w:rPr>
            </w:pPr>
          </w:p>
        </w:tc>
        <w:tc>
          <w:tcPr>
            <w:tcW w:w="744" w:type="pct"/>
          </w:tcPr>
          <w:p w14:paraId="75BCF35F" w14:textId="77777777" w:rsidR="008D4A20" w:rsidRPr="00AB028D" w:rsidRDefault="008D4A20" w:rsidP="008D4A20">
            <w:pPr>
              <w:spacing w:after="0" w:line="200" w:lineRule="atLeast"/>
              <w:rPr>
                <w:rFonts w:ascii="Arial Narrow" w:hAnsi="Arial Narrow"/>
                <w:sz w:val="15"/>
                <w:szCs w:val="15"/>
              </w:rPr>
            </w:pPr>
          </w:p>
        </w:tc>
      </w:tr>
      <w:tr w:rsidR="008D4A20" w:rsidRPr="00AB028D" w14:paraId="4C59366F" w14:textId="77777777" w:rsidTr="008D4A20">
        <w:trPr>
          <w:trHeight w:val="480"/>
        </w:trPr>
        <w:tc>
          <w:tcPr>
            <w:tcW w:w="224" w:type="pct"/>
          </w:tcPr>
          <w:p w14:paraId="3C83178E"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0C2B8079"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Confidential information</w:t>
            </w:r>
          </w:p>
          <w:p w14:paraId="7BEC6C48" w14:textId="77777777" w:rsidR="008D4A20" w:rsidRPr="00AB028D" w:rsidRDefault="008D4A20" w:rsidP="008D4A20">
            <w:pPr>
              <w:keepNext/>
              <w:keepLines/>
              <w:spacing w:after="0" w:line="200" w:lineRule="atLeast"/>
              <w:ind w:left="113"/>
              <w:rPr>
                <w:rFonts w:ascii="Arial Narrow" w:hAnsi="Arial Narrow"/>
                <w:sz w:val="15"/>
                <w:szCs w:val="15"/>
              </w:rPr>
            </w:pPr>
            <w:r w:rsidRPr="00AB028D">
              <w:rPr>
                <w:rFonts w:ascii="Arial Narrow" w:hAnsi="Arial Narrow"/>
                <w:i/>
                <w:sz w:val="15"/>
                <w:szCs w:val="15"/>
              </w:rPr>
              <w:t>(10% - estimate)</w:t>
            </w:r>
          </w:p>
        </w:tc>
        <w:tc>
          <w:tcPr>
            <w:tcW w:w="1029" w:type="pct"/>
          </w:tcPr>
          <w:p w14:paraId="38030D8D"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Confidential information</w:t>
            </w:r>
          </w:p>
          <w:p w14:paraId="682BBCC0"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(90% - estimate)</w:t>
            </w:r>
          </w:p>
        </w:tc>
        <w:tc>
          <w:tcPr>
            <w:tcW w:w="1026" w:type="pct"/>
          </w:tcPr>
          <w:p w14:paraId="70F50C7B" w14:textId="77777777" w:rsidR="008D4A20" w:rsidRPr="00AB028D" w:rsidRDefault="008D4A20" w:rsidP="008D4A20">
            <w:pPr>
              <w:spacing w:after="0" w:line="200" w:lineRule="atLeast"/>
              <w:rPr>
                <w:rFonts w:ascii="Arial Narrow" w:hAnsi="Arial Narrow"/>
                <w:i/>
                <w:sz w:val="15"/>
                <w:szCs w:val="15"/>
              </w:rPr>
            </w:pPr>
          </w:p>
        </w:tc>
        <w:tc>
          <w:tcPr>
            <w:tcW w:w="953" w:type="pct"/>
          </w:tcPr>
          <w:p w14:paraId="03ECB8C2" w14:textId="77777777" w:rsidR="008D4A20" w:rsidRPr="00AB028D" w:rsidRDefault="008D4A20" w:rsidP="008D4A20">
            <w:pPr>
              <w:spacing w:after="0" w:line="200" w:lineRule="atLeast"/>
              <w:rPr>
                <w:rFonts w:ascii="Arial Narrow" w:hAnsi="Arial Narrow"/>
                <w:i/>
                <w:sz w:val="15"/>
                <w:szCs w:val="15"/>
              </w:rPr>
            </w:pPr>
          </w:p>
        </w:tc>
        <w:tc>
          <w:tcPr>
            <w:tcW w:w="744" w:type="pct"/>
          </w:tcPr>
          <w:p w14:paraId="2B789783" w14:textId="77777777" w:rsidR="008D4A20" w:rsidRPr="00AB028D" w:rsidRDefault="008D4A20" w:rsidP="008D4A20">
            <w:pPr>
              <w:spacing w:after="0" w:line="200" w:lineRule="atLeast"/>
              <w:rPr>
                <w:rFonts w:ascii="Arial Narrow" w:hAnsi="Arial Narrow"/>
                <w:sz w:val="15"/>
                <w:szCs w:val="15"/>
              </w:rPr>
            </w:pPr>
          </w:p>
        </w:tc>
      </w:tr>
      <w:tr w:rsidR="008D4A20" w:rsidRPr="00AB028D" w14:paraId="54171877" w14:textId="77777777" w:rsidTr="008D4A20">
        <w:trPr>
          <w:trHeight w:val="544"/>
        </w:trPr>
        <w:tc>
          <w:tcPr>
            <w:tcW w:w="224" w:type="pct"/>
          </w:tcPr>
          <w:p w14:paraId="158A22DC"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6F67FFED" w14:textId="77777777" w:rsidR="008D4A20" w:rsidRPr="00AB028D" w:rsidRDefault="008D4A20" w:rsidP="008D4A20">
            <w:pPr>
              <w:spacing w:after="0" w:line="200" w:lineRule="atLeast"/>
              <w:ind w:left="113"/>
              <w:rPr>
                <w:rFonts w:ascii="Arial Narrow" w:hAnsi="Arial Narrow"/>
                <w:sz w:val="15"/>
                <w:szCs w:val="15"/>
              </w:rPr>
            </w:pPr>
          </w:p>
        </w:tc>
        <w:tc>
          <w:tcPr>
            <w:tcW w:w="1029" w:type="pct"/>
          </w:tcPr>
          <w:p w14:paraId="03D2152C"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PCT</w:t>
            </w:r>
            <w:r>
              <w:rPr>
                <w:rFonts w:ascii="Arial Narrow" w:hAnsi="Arial Narrow"/>
                <w:sz w:val="15"/>
                <w:szCs w:val="15"/>
              </w:rPr>
              <w:t xml:space="preserve"> Union</w:t>
            </w:r>
            <w:r w:rsidRPr="00AB028D">
              <w:rPr>
                <w:rFonts w:ascii="Arial Narrow" w:hAnsi="Arial Narrow"/>
                <w:sz w:val="15"/>
                <w:szCs w:val="15"/>
              </w:rPr>
              <w:t xml:space="preserve"> Assembly, PCT Working Group, PCT legal and promotion activities</w:t>
            </w:r>
          </w:p>
        </w:tc>
        <w:tc>
          <w:tcPr>
            <w:tcW w:w="1026" w:type="pct"/>
          </w:tcPr>
          <w:p w14:paraId="2D82E605" w14:textId="77777777" w:rsidR="008D4A20" w:rsidRPr="00AB028D" w:rsidRDefault="008D4A20" w:rsidP="008D4A20">
            <w:pPr>
              <w:spacing w:after="0" w:line="200" w:lineRule="atLeast"/>
              <w:rPr>
                <w:rFonts w:ascii="Arial Narrow" w:hAnsi="Arial Narrow"/>
                <w:i/>
                <w:sz w:val="15"/>
                <w:szCs w:val="15"/>
              </w:rPr>
            </w:pPr>
          </w:p>
        </w:tc>
        <w:tc>
          <w:tcPr>
            <w:tcW w:w="953" w:type="pct"/>
          </w:tcPr>
          <w:p w14:paraId="11BF07AA" w14:textId="77777777" w:rsidR="008D4A20" w:rsidRPr="00AB028D" w:rsidRDefault="008D4A20" w:rsidP="008D4A20">
            <w:pPr>
              <w:spacing w:after="0" w:line="200" w:lineRule="atLeast"/>
              <w:rPr>
                <w:rFonts w:ascii="Arial Narrow" w:hAnsi="Arial Narrow"/>
                <w:i/>
                <w:sz w:val="15"/>
                <w:szCs w:val="15"/>
              </w:rPr>
            </w:pPr>
          </w:p>
        </w:tc>
        <w:tc>
          <w:tcPr>
            <w:tcW w:w="744" w:type="pct"/>
          </w:tcPr>
          <w:p w14:paraId="6895C0EC" w14:textId="77777777" w:rsidR="008D4A20" w:rsidRPr="00AB028D" w:rsidRDefault="008D4A20" w:rsidP="008D4A20">
            <w:pPr>
              <w:spacing w:after="0" w:line="200" w:lineRule="atLeast"/>
              <w:rPr>
                <w:rFonts w:ascii="Arial Narrow" w:hAnsi="Arial Narrow"/>
                <w:sz w:val="15"/>
                <w:szCs w:val="15"/>
              </w:rPr>
            </w:pPr>
          </w:p>
        </w:tc>
      </w:tr>
      <w:tr w:rsidR="008D4A20" w:rsidRPr="00AB028D" w14:paraId="7AEF6043" w14:textId="77777777" w:rsidTr="008D4A20">
        <w:trPr>
          <w:trHeight w:val="448"/>
        </w:trPr>
        <w:tc>
          <w:tcPr>
            <w:tcW w:w="224" w:type="pct"/>
            <w:tcBorders>
              <w:bottom w:val="single" w:sz="6" w:space="0" w:color="BFBFBF"/>
            </w:tcBorders>
          </w:tcPr>
          <w:p w14:paraId="15127B4E"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bottom w:val="single" w:sz="6" w:space="0" w:color="BFBFBF"/>
            </w:tcBorders>
          </w:tcPr>
          <w:p w14:paraId="01110C4C" w14:textId="77777777" w:rsidR="008D4A20" w:rsidRPr="00AB028D" w:rsidRDefault="008D4A20" w:rsidP="008D4A20">
            <w:pPr>
              <w:spacing w:after="0" w:line="200" w:lineRule="atLeast"/>
              <w:ind w:left="113"/>
              <w:rPr>
                <w:rFonts w:ascii="Arial Narrow" w:hAnsi="Arial Narrow"/>
                <w:sz w:val="15"/>
                <w:szCs w:val="15"/>
              </w:rPr>
            </w:pPr>
          </w:p>
        </w:tc>
        <w:tc>
          <w:tcPr>
            <w:tcW w:w="1029" w:type="pct"/>
            <w:tcBorders>
              <w:bottom w:val="single" w:sz="6" w:space="0" w:color="BFBFBF"/>
            </w:tcBorders>
          </w:tcPr>
          <w:p w14:paraId="0611727D" w14:textId="50820D00" w:rsidR="008D4A20" w:rsidRPr="00AB028D" w:rsidRDefault="0035361F" w:rsidP="008D4A20">
            <w:pPr>
              <w:spacing w:after="0" w:line="200" w:lineRule="atLeast"/>
              <w:ind w:left="113"/>
              <w:rPr>
                <w:rFonts w:ascii="Arial Narrow" w:hAnsi="Arial Narrow"/>
                <w:sz w:val="15"/>
                <w:szCs w:val="15"/>
              </w:rPr>
            </w:pPr>
            <w:r>
              <w:rPr>
                <w:rFonts w:ascii="Arial Narrow" w:hAnsi="Arial Narrow"/>
                <w:sz w:val="15"/>
                <w:szCs w:val="15"/>
              </w:rPr>
              <w:t xml:space="preserve">PCT processing and </w:t>
            </w:r>
            <w:r w:rsidR="008D4A20" w:rsidRPr="00AB028D">
              <w:rPr>
                <w:rFonts w:ascii="Arial Narrow" w:hAnsi="Arial Narrow"/>
                <w:sz w:val="15"/>
                <w:szCs w:val="15"/>
              </w:rPr>
              <w:t>tran</w:t>
            </w:r>
            <w:r>
              <w:rPr>
                <w:rFonts w:ascii="Arial Narrow" w:hAnsi="Arial Narrow"/>
                <w:sz w:val="15"/>
                <w:szCs w:val="15"/>
              </w:rPr>
              <w:t xml:space="preserve">slation  </w:t>
            </w:r>
            <w:r w:rsidR="008D4A20" w:rsidRPr="00AB028D">
              <w:rPr>
                <w:rFonts w:ascii="Arial Narrow" w:hAnsi="Arial Narrow"/>
                <w:sz w:val="15"/>
                <w:szCs w:val="15"/>
              </w:rPr>
              <w:t>services</w:t>
            </w:r>
          </w:p>
        </w:tc>
        <w:tc>
          <w:tcPr>
            <w:tcW w:w="1026" w:type="pct"/>
            <w:tcBorders>
              <w:bottom w:val="single" w:sz="6" w:space="0" w:color="BFBFBF"/>
            </w:tcBorders>
          </w:tcPr>
          <w:p w14:paraId="6661E5B3" w14:textId="77777777" w:rsidR="008D4A20" w:rsidRPr="00AB028D" w:rsidRDefault="008D4A20" w:rsidP="008D4A20">
            <w:pPr>
              <w:spacing w:after="0" w:line="200" w:lineRule="atLeast"/>
              <w:rPr>
                <w:rFonts w:ascii="Arial Narrow" w:hAnsi="Arial Narrow"/>
                <w:i/>
                <w:sz w:val="15"/>
                <w:szCs w:val="15"/>
              </w:rPr>
            </w:pPr>
          </w:p>
        </w:tc>
        <w:tc>
          <w:tcPr>
            <w:tcW w:w="953" w:type="pct"/>
            <w:tcBorders>
              <w:bottom w:val="single" w:sz="6" w:space="0" w:color="BFBFBF"/>
            </w:tcBorders>
          </w:tcPr>
          <w:p w14:paraId="54B5E385" w14:textId="77777777" w:rsidR="008D4A20" w:rsidRPr="00AB028D" w:rsidRDefault="008D4A20" w:rsidP="008D4A20">
            <w:pPr>
              <w:spacing w:after="0" w:line="200" w:lineRule="atLeast"/>
              <w:rPr>
                <w:rFonts w:ascii="Arial Narrow" w:hAnsi="Arial Narrow"/>
                <w:i/>
                <w:sz w:val="15"/>
                <w:szCs w:val="15"/>
              </w:rPr>
            </w:pPr>
          </w:p>
        </w:tc>
        <w:tc>
          <w:tcPr>
            <w:tcW w:w="744" w:type="pct"/>
            <w:tcBorders>
              <w:bottom w:val="single" w:sz="6" w:space="0" w:color="BFBFBF"/>
            </w:tcBorders>
          </w:tcPr>
          <w:p w14:paraId="60E63796" w14:textId="77777777" w:rsidR="008D4A20" w:rsidRPr="00AB028D" w:rsidRDefault="008D4A20" w:rsidP="008D4A20">
            <w:pPr>
              <w:spacing w:after="0" w:line="200" w:lineRule="atLeast"/>
              <w:rPr>
                <w:rFonts w:ascii="Arial Narrow" w:hAnsi="Arial Narrow"/>
                <w:sz w:val="15"/>
                <w:szCs w:val="15"/>
              </w:rPr>
            </w:pPr>
          </w:p>
        </w:tc>
      </w:tr>
      <w:tr w:rsidR="008D4A20" w:rsidRPr="00AB028D" w14:paraId="42A9FCE4" w14:textId="77777777" w:rsidTr="008D4A20">
        <w:trPr>
          <w:trHeight w:val="267"/>
        </w:trPr>
        <w:tc>
          <w:tcPr>
            <w:tcW w:w="224" w:type="pct"/>
            <w:tcBorders>
              <w:top w:val="single" w:sz="6" w:space="0" w:color="BFBFBF"/>
            </w:tcBorders>
          </w:tcPr>
          <w:p w14:paraId="4C4CE453"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BD</w:t>
            </w:r>
          </w:p>
        </w:tc>
        <w:tc>
          <w:tcPr>
            <w:tcW w:w="1024" w:type="pct"/>
            <w:tcBorders>
              <w:top w:val="single" w:sz="6" w:space="0" w:color="BFBFBF"/>
            </w:tcBorders>
          </w:tcPr>
          <w:p w14:paraId="3CE012E7" w14:textId="77777777" w:rsidR="008D4A20" w:rsidRPr="00AB028D" w:rsidRDefault="008D4A20" w:rsidP="008D4A20">
            <w:pPr>
              <w:keepNext/>
              <w:spacing w:after="0" w:line="200" w:lineRule="atLeast"/>
              <w:ind w:left="113"/>
              <w:rPr>
                <w:rFonts w:ascii="Arial Narrow" w:hAnsi="Arial Narrow"/>
                <w:i/>
                <w:sz w:val="15"/>
                <w:szCs w:val="15"/>
              </w:rPr>
            </w:pPr>
            <w:r w:rsidRPr="00AB028D">
              <w:rPr>
                <w:rFonts w:ascii="Arial Narrow" w:hAnsi="Arial Narrow"/>
                <w:sz w:val="15"/>
                <w:szCs w:val="15"/>
              </w:rPr>
              <w:t xml:space="preserve">SCT </w:t>
            </w:r>
            <w:r w:rsidRPr="00AB028D">
              <w:rPr>
                <w:rFonts w:ascii="Arial Narrow" w:hAnsi="Arial Narrow"/>
                <w:i/>
                <w:sz w:val="15"/>
                <w:szCs w:val="15"/>
              </w:rPr>
              <w:t>(20% - estimate)</w:t>
            </w:r>
          </w:p>
        </w:tc>
        <w:tc>
          <w:tcPr>
            <w:tcW w:w="1029" w:type="pct"/>
            <w:tcBorders>
              <w:top w:val="single" w:sz="6" w:space="0" w:color="BFBFBF"/>
            </w:tcBorders>
          </w:tcPr>
          <w:p w14:paraId="7B41FE15" w14:textId="77777777" w:rsidR="008D4A20" w:rsidRPr="00AB028D" w:rsidRDefault="008D4A20" w:rsidP="008D4A20">
            <w:pPr>
              <w:spacing w:after="0" w:line="200" w:lineRule="atLeast"/>
              <w:rPr>
                <w:rFonts w:ascii="Arial Narrow" w:hAnsi="Arial Narrow"/>
                <w:sz w:val="15"/>
                <w:szCs w:val="15"/>
              </w:rPr>
            </w:pPr>
          </w:p>
        </w:tc>
        <w:tc>
          <w:tcPr>
            <w:tcW w:w="1026" w:type="pct"/>
            <w:tcBorders>
              <w:top w:val="single" w:sz="6" w:space="0" w:color="BFBFBF"/>
            </w:tcBorders>
          </w:tcPr>
          <w:p w14:paraId="2DBD677D"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SCT </w:t>
            </w:r>
            <w:r w:rsidRPr="00AB028D">
              <w:rPr>
                <w:rFonts w:ascii="Arial Narrow" w:hAnsi="Arial Narrow"/>
                <w:i/>
                <w:sz w:val="15"/>
                <w:szCs w:val="15"/>
              </w:rPr>
              <w:t>(65% - estimate)</w:t>
            </w:r>
          </w:p>
        </w:tc>
        <w:tc>
          <w:tcPr>
            <w:tcW w:w="953" w:type="pct"/>
            <w:tcBorders>
              <w:top w:val="single" w:sz="6" w:space="0" w:color="BFBFBF"/>
            </w:tcBorders>
          </w:tcPr>
          <w:p w14:paraId="5637E3A0"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SCT </w:t>
            </w:r>
            <w:r w:rsidRPr="00AB028D">
              <w:rPr>
                <w:rFonts w:ascii="Arial Narrow" w:hAnsi="Arial Narrow"/>
                <w:i/>
                <w:sz w:val="15"/>
                <w:szCs w:val="15"/>
              </w:rPr>
              <w:t>(15% - estimate)</w:t>
            </w:r>
          </w:p>
        </w:tc>
        <w:tc>
          <w:tcPr>
            <w:tcW w:w="744" w:type="pct"/>
            <w:tcBorders>
              <w:top w:val="single" w:sz="6" w:space="0" w:color="BFBFBF"/>
            </w:tcBorders>
          </w:tcPr>
          <w:p w14:paraId="39245A53" w14:textId="77777777" w:rsidR="008D4A20" w:rsidRPr="00AB028D" w:rsidRDefault="008D4A20" w:rsidP="008D4A20">
            <w:pPr>
              <w:spacing w:after="0" w:line="200" w:lineRule="atLeast"/>
              <w:rPr>
                <w:rFonts w:ascii="Arial Narrow" w:hAnsi="Arial Narrow"/>
                <w:sz w:val="15"/>
                <w:szCs w:val="15"/>
              </w:rPr>
            </w:pPr>
          </w:p>
        </w:tc>
      </w:tr>
      <w:tr w:rsidR="008D4A20" w:rsidRPr="00AB028D" w14:paraId="15C8CBF7" w14:textId="77777777" w:rsidTr="008D4A20">
        <w:trPr>
          <w:trHeight w:val="376"/>
        </w:trPr>
        <w:tc>
          <w:tcPr>
            <w:tcW w:w="224" w:type="pct"/>
          </w:tcPr>
          <w:p w14:paraId="0E578F66"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5024E3FE" w14:textId="77777777" w:rsidR="008D4A20" w:rsidRPr="00AB028D" w:rsidRDefault="008D4A20" w:rsidP="008D4A20">
            <w:pPr>
              <w:keepNext/>
              <w:keepLines/>
              <w:spacing w:after="0" w:line="200" w:lineRule="atLeast"/>
              <w:ind w:left="113"/>
              <w:rPr>
                <w:rFonts w:ascii="Arial Narrow" w:hAnsi="Arial Narrow"/>
                <w:sz w:val="15"/>
                <w:szCs w:val="15"/>
              </w:rPr>
            </w:pPr>
            <w:r>
              <w:rPr>
                <w:rFonts w:ascii="Arial Narrow" w:hAnsi="Arial Narrow"/>
                <w:sz w:val="15"/>
                <w:szCs w:val="15"/>
              </w:rPr>
              <w:t>Promotion of Singapore T</w:t>
            </w:r>
            <w:r w:rsidRPr="00AB028D">
              <w:rPr>
                <w:rFonts w:ascii="Arial Narrow" w:hAnsi="Arial Narrow"/>
                <w:sz w:val="15"/>
                <w:szCs w:val="15"/>
              </w:rPr>
              <w:t>reaty</w:t>
            </w:r>
          </w:p>
          <w:p w14:paraId="324B59FF"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i/>
                <w:sz w:val="15"/>
                <w:szCs w:val="15"/>
              </w:rPr>
              <w:t>(20% - estimate)</w:t>
            </w:r>
          </w:p>
        </w:tc>
        <w:tc>
          <w:tcPr>
            <w:tcW w:w="1029" w:type="pct"/>
          </w:tcPr>
          <w:p w14:paraId="0FC8537F" w14:textId="77777777" w:rsidR="008D4A20" w:rsidRPr="00AB028D" w:rsidRDefault="008D4A20" w:rsidP="008D4A20">
            <w:pPr>
              <w:spacing w:after="0" w:line="200" w:lineRule="atLeast"/>
              <w:ind w:left="113"/>
              <w:rPr>
                <w:rFonts w:ascii="Arial Narrow" w:hAnsi="Arial Narrow"/>
                <w:sz w:val="15"/>
                <w:szCs w:val="15"/>
              </w:rPr>
            </w:pPr>
          </w:p>
        </w:tc>
        <w:tc>
          <w:tcPr>
            <w:tcW w:w="1026" w:type="pct"/>
          </w:tcPr>
          <w:p w14:paraId="1337EA09"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Promotion of Singapore </w:t>
            </w:r>
            <w:r>
              <w:rPr>
                <w:rFonts w:ascii="Arial Narrow" w:hAnsi="Arial Narrow"/>
                <w:sz w:val="15"/>
                <w:szCs w:val="15"/>
              </w:rPr>
              <w:t>T</w:t>
            </w:r>
            <w:r w:rsidRPr="00AB028D">
              <w:rPr>
                <w:rFonts w:ascii="Arial Narrow" w:hAnsi="Arial Narrow"/>
                <w:sz w:val="15"/>
                <w:szCs w:val="15"/>
              </w:rPr>
              <w:t>reaty</w:t>
            </w:r>
          </w:p>
          <w:p w14:paraId="631A05E7"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(65% - estimate)</w:t>
            </w:r>
          </w:p>
        </w:tc>
        <w:tc>
          <w:tcPr>
            <w:tcW w:w="953" w:type="pct"/>
          </w:tcPr>
          <w:p w14:paraId="78615651"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Promotion of Singapore </w:t>
            </w:r>
            <w:r>
              <w:rPr>
                <w:rFonts w:ascii="Arial Narrow" w:hAnsi="Arial Narrow"/>
                <w:sz w:val="15"/>
                <w:szCs w:val="15"/>
              </w:rPr>
              <w:t>T</w:t>
            </w:r>
            <w:r w:rsidRPr="00AB028D">
              <w:rPr>
                <w:rFonts w:ascii="Arial Narrow" w:hAnsi="Arial Narrow"/>
                <w:sz w:val="15"/>
                <w:szCs w:val="15"/>
              </w:rPr>
              <w:t>reaty</w:t>
            </w:r>
          </w:p>
          <w:p w14:paraId="493954BD"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i/>
                <w:sz w:val="15"/>
                <w:szCs w:val="15"/>
              </w:rPr>
              <w:t>(15% - estimate)</w:t>
            </w:r>
          </w:p>
        </w:tc>
        <w:tc>
          <w:tcPr>
            <w:tcW w:w="744" w:type="pct"/>
          </w:tcPr>
          <w:p w14:paraId="3774C57B" w14:textId="77777777" w:rsidR="008D4A20" w:rsidRPr="00AB028D" w:rsidRDefault="008D4A20" w:rsidP="008D4A20">
            <w:pPr>
              <w:spacing w:after="0" w:line="200" w:lineRule="atLeast"/>
              <w:rPr>
                <w:rFonts w:ascii="Arial Narrow" w:hAnsi="Arial Narrow"/>
                <w:sz w:val="15"/>
                <w:szCs w:val="15"/>
              </w:rPr>
            </w:pPr>
          </w:p>
        </w:tc>
      </w:tr>
      <w:tr w:rsidR="008D4A20" w:rsidRPr="00AB028D" w14:paraId="45751C51" w14:textId="77777777" w:rsidTr="008D4A20">
        <w:trPr>
          <w:trHeight w:val="198"/>
        </w:trPr>
        <w:tc>
          <w:tcPr>
            <w:tcW w:w="224" w:type="pct"/>
          </w:tcPr>
          <w:p w14:paraId="534572C2"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2A5066E0" w14:textId="77777777" w:rsidR="008D4A20" w:rsidRPr="00AB028D" w:rsidRDefault="008D4A20" w:rsidP="008D4A20">
            <w:pPr>
              <w:keepNext/>
              <w:keepLines/>
              <w:spacing w:after="0" w:line="200" w:lineRule="atLeast"/>
              <w:ind w:left="113"/>
              <w:rPr>
                <w:rFonts w:ascii="Arial Narrow" w:hAnsi="Arial Narrow"/>
                <w:sz w:val="15"/>
                <w:szCs w:val="15"/>
              </w:rPr>
            </w:pPr>
            <w:r w:rsidRPr="00AB028D">
              <w:rPr>
                <w:rFonts w:ascii="Arial Narrow" w:hAnsi="Arial Narrow"/>
                <w:sz w:val="15"/>
                <w:szCs w:val="15"/>
              </w:rPr>
              <w:t>Article 6</w:t>
            </w:r>
            <w:r w:rsidRPr="00AB028D">
              <w:rPr>
                <w:rFonts w:ascii="Arial Narrow" w:hAnsi="Arial Narrow"/>
                <w:i/>
                <w:sz w:val="15"/>
                <w:szCs w:val="15"/>
              </w:rPr>
              <w:t>ter</w:t>
            </w:r>
            <w:r w:rsidRPr="00AB028D">
              <w:rPr>
                <w:rFonts w:ascii="Arial Narrow" w:hAnsi="Arial Narrow"/>
                <w:sz w:val="15"/>
                <w:szCs w:val="15"/>
              </w:rPr>
              <w:t xml:space="preserve"> (20% - estimate)</w:t>
            </w:r>
          </w:p>
        </w:tc>
        <w:tc>
          <w:tcPr>
            <w:tcW w:w="1029" w:type="pct"/>
          </w:tcPr>
          <w:p w14:paraId="69877684" w14:textId="77777777" w:rsidR="008D4A20" w:rsidRPr="00AB028D" w:rsidRDefault="008D4A20" w:rsidP="008D4A20">
            <w:pPr>
              <w:spacing w:after="0" w:line="200" w:lineRule="atLeast"/>
              <w:ind w:left="113"/>
              <w:rPr>
                <w:rFonts w:ascii="Arial Narrow" w:hAnsi="Arial Narrow"/>
                <w:sz w:val="15"/>
                <w:szCs w:val="15"/>
              </w:rPr>
            </w:pPr>
          </w:p>
        </w:tc>
        <w:tc>
          <w:tcPr>
            <w:tcW w:w="1026" w:type="pct"/>
          </w:tcPr>
          <w:p w14:paraId="0CDA8950"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Article 6</w:t>
            </w:r>
            <w:r w:rsidRPr="00AB028D">
              <w:rPr>
                <w:rFonts w:ascii="Arial Narrow" w:hAnsi="Arial Narrow"/>
                <w:i/>
                <w:sz w:val="15"/>
                <w:szCs w:val="15"/>
              </w:rPr>
              <w:t>ter</w:t>
            </w:r>
            <w:r w:rsidRPr="00AB028D">
              <w:rPr>
                <w:rFonts w:ascii="Arial Narrow" w:hAnsi="Arial Narrow"/>
                <w:sz w:val="15"/>
                <w:szCs w:val="15"/>
              </w:rPr>
              <w:t xml:space="preserve"> (65% - estimate) </w:t>
            </w:r>
          </w:p>
        </w:tc>
        <w:tc>
          <w:tcPr>
            <w:tcW w:w="953" w:type="pct"/>
          </w:tcPr>
          <w:p w14:paraId="36D26FFF"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Article 6</w:t>
            </w:r>
            <w:r w:rsidRPr="00AB028D">
              <w:rPr>
                <w:rFonts w:ascii="Arial Narrow" w:hAnsi="Arial Narrow"/>
                <w:i/>
                <w:sz w:val="15"/>
                <w:szCs w:val="15"/>
              </w:rPr>
              <w:t>ter</w:t>
            </w:r>
            <w:r w:rsidRPr="00AB028D">
              <w:rPr>
                <w:rFonts w:ascii="Arial Narrow" w:hAnsi="Arial Narrow"/>
                <w:sz w:val="15"/>
                <w:szCs w:val="15"/>
              </w:rPr>
              <w:t xml:space="preserve"> (15% - estimate)</w:t>
            </w:r>
          </w:p>
        </w:tc>
        <w:tc>
          <w:tcPr>
            <w:tcW w:w="744" w:type="pct"/>
          </w:tcPr>
          <w:p w14:paraId="421F4A60" w14:textId="77777777" w:rsidR="008D4A20" w:rsidRPr="00AB028D" w:rsidRDefault="008D4A20" w:rsidP="008D4A20">
            <w:pPr>
              <w:spacing w:after="0" w:line="200" w:lineRule="atLeast"/>
              <w:rPr>
                <w:rFonts w:ascii="Arial Narrow" w:hAnsi="Arial Narrow"/>
                <w:sz w:val="15"/>
                <w:szCs w:val="15"/>
              </w:rPr>
            </w:pPr>
          </w:p>
        </w:tc>
      </w:tr>
      <w:tr w:rsidR="008D4A20" w:rsidRPr="00AB028D" w14:paraId="3DA53762" w14:textId="77777777" w:rsidTr="008D4A20">
        <w:trPr>
          <w:trHeight w:val="376"/>
        </w:trPr>
        <w:tc>
          <w:tcPr>
            <w:tcW w:w="224" w:type="pct"/>
          </w:tcPr>
          <w:p w14:paraId="38CC284B"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0B32890F"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TM, ID, GI capacity building</w:t>
            </w:r>
          </w:p>
          <w:p w14:paraId="2CC0C6B0" w14:textId="77777777" w:rsidR="008D4A20" w:rsidRPr="00AB028D" w:rsidRDefault="008D4A20" w:rsidP="008D4A20">
            <w:pPr>
              <w:keepNext/>
              <w:keepLines/>
              <w:spacing w:after="0" w:line="200" w:lineRule="atLeast"/>
              <w:ind w:left="113"/>
              <w:rPr>
                <w:rFonts w:ascii="Arial Narrow" w:hAnsi="Arial Narrow"/>
                <w:sz w:val="15"/>
                <w:szCs w:val="15"/>
              </w:rPr>
            </w:pPr>
            <w:r w:rsidRPr="00AB028D">
              <w:rPr>
                <w:rFonts w:ascii="Arial Narrow" w:hAnsi="Arial Narrow"/>
                <w:i/>
                <w:sz w:val="15"/>
                <w:szCs w:val="15"/>
              </w:rPr>
              <w:t>(20% - estimate)</w:t>
            </w:r>
          </w:p>
        </w:tc>
        <w:tc>
          <w:tcPr>
            <w:tcW w:w="1029" w:type="pct"/>
          </w:tcPr>
          <w:p w14:paraId="7A93174A" w14:textId="77777777" w:rsidR="008D4A20" w:rsidRPr="00AB028D" w:rsidRDefault="008D4A20" w:rsidP="008D4A20">
            <w:pPr>
              <w:spacing w:after="0" w:line="200" w:lineRule="atLeast"/>
              <w:ind w:left="113"/>
              <w:rPr>
                <w:rFonts w:ascii="Arial Narrow" w:hAnsi="Arial Narrow"/>
                <w:sz w:val="15"/>
                <w:szCs w:val="15"/>
              </w:rPr>
            </w:pPr>
          </w:p>
        </w:tc>
        <w:tc>
          <w:tcPr>
            <w:tcW w:w="1026" w:type="pct"/>
          </w:tcPr>
          <w:p w14:paraId="77F16B6A"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TM, ID, GI capacity building</w:t>
            </w:r>
          </w:p>
          <w:p w14:paraId="03B2B354"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i/>
                <w:sz w:val="15"/>
                <w:szCs w:val="15"/>
              </w:rPr>
              <w:t>(65% - estimate)</w:t>
            </w:r>
          </w:p>
        </w:tc>
        <w:tc>
          <w:tcPr>
            <w:tcW w:w="953" w:type="pct"/>
          </w:tcPr>
          <w:p w14:paraId="79964DB1"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TM, ID, GI capacity building</w:t>
            </w:r>
          </w:p>
          <w:p w14:paraId="162F77A3"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i/>
                <w:sz w:val="15"/>
                <w:szCs w:val="15"/>
              </w:rPr>
              <w:t>(15% - estimate)</w:t>
            </w:r>
          </w:p>
        </w:tc>
        <w:tc>
          <w:tcPr>
            <w:tcW w:w="744" w:type="pct"/>
          </w:tcPr>
          <w:p w14:paraId="360D7744" w14:textId="77777777" w:rsidR="008D4A20" w:rsidRPr="00AB028D" w:rsidRDefault="008D4A20" w:rsidP="008D4A20">
            <w:pPr>
              <w:spacing w:after="0" w:line="200" w:lineRule="atLeast"/>
              <w:rPr>
                <w:rFonts w:ascii="Arial Narrow" w:hAnsi="Arial Narrow"/>
                <w:sz w:val="15"/>
                <w:szCs w:val="15"/>
              </w:rPr>
            </w:pPr>
          </w:p>
        </w:tc>
      </w:tr>
      <w:tr w:rsidR="008D4A20" w:rsidRPr="00AB028D" w14:paraId="0A2E6C8C" w14:textId="77777777" w:rsidTr="008D4A20">
        <w:trPr>
          <w:trHeight w:val="544"/>
        </w:trPr>
        <w:tc>
          <w:tcPr>
            <w:tcW w:w="224" w:type="pct"/>
          </w:tcPr>
          <w:p w14:paraId="064A6F9D"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70A898AC" w14:textId="77777777" w:rsidR="008D4A20" w:rsidRPr="00AB028D" w:rsidRDefault="008D4A20" w:rsidP="008D4A20">
            <w:pPr>
              <w:keepNext/>
              <w:keepLines/>
              <w:spacing w:after="0" w:line="200" w:lineRule="atLeast"/>
              <w:ind w:left="113"/>
              <w:rPr>
                <w:rFonts w:ascii="Arial Narrow" w:hAnsi="Arial Narrow"/>
                <w:sz w:val="15"/>
                <w:szCs w:val="15"/>
              </w:rPr>
            </w:pPr>
          </w:p>
        </w:tc>
        <w:tc>
          <w:tcPr>
            <w:tcW w:w="1029" w:type="pct"/>
          </w:tcPr>
          <w:p w14:paraId="0EF5F8FF" w14:textId="77777777" w:rsidR="008D4A20" w:rsidRPr="00AB028D" w:rsidRDefault="008D4A20" w:rsidP="008D4A20">
            <w:pPr>
              <w:spacing w:after="0" w:line="200" w:lineRule="atLeast"/>
              <w:ind w:left="113"/>
              <w:rPr>
                <w:rFonts w:ascii="Arial Narrow" w:hAnsi="Arial Narrow"/>
                <w:sz w:val="15"/>
                <w:szCs w:val="15"/>
              </w:rPr>
            </w:pPr>
          </w:p>
        </w:tc>
        <w:tc>
          <w:tcPr>
            <w:tcW w:w="1026" w:type="pct"/>
          </w:tcPr>
          <w:p w14:paraId="0D5E0184"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Madrid </w:t>
            </w:r>
            <w:r>
              <w:rPr>
                <w:rFonts w:ascii="Arial Narrow" w:hAnsi="Arial Narrow"/>
                <w:sz w:val="15"/>
                <w:szCs w:val="15"/>
              </w:rPr>
              <w:t xml:space="preserve">Union </w:t>
            </w:r>
            <w:r w:rsidRPr="00AB028D">
              <w:rPr>
                <w:rFonts w:ascii="Arial Narrow" w:hAnsi="Arial Narrow"/>
                <w:sz w:val="15"/>
                <w:szCs w:val="15"/>
              </w:rPr>
              <w:t>Assembly, Madrid Working Group, Madrid legal and promotion activities</w:t>
            </w:r>
          </w:p>
        </w:tc>
        <w:tc>
          <w:tcPr>
            <w:tcW w:w="953" w:type="pct"/>
          </w:tcPr>
          <w:p w14:paraId="6A6CE53D" w14:textId="77777777" w:rsidR="008D4A20" w:rsidRPr="00AB028D" w:rsidRDefault="008D4A20" w:rsidP="008D4A20">
            <w:pPr>
              <w:spacing w:after="0" w:line="200" w:lineRule="atLeast"/>
              <w:ind w:left="113"/>
              <w:rPr>
                <w:rFonts w:ascii="Arial Narrow" w:hAnsi="Arial Narrow"/>
                <w:sz w:val="15"/>
                <w:szCs w:val="15"/>
              </w:rPr>
            </w:pPr>
            <w:r>
              <w:rPr>
                <w:rFonts w:ascii="Arial Narrow" w:hAnsi="Arial Narrow"/>
                <w:sz w:val="15"/>
                <w:szCs w:val="15"/>
              </w:rPr>
              <w:t>The Hague Union Assembly, t</w:t>
            </w:r>
            <w:r w:rsidRPr="00AB028D">
              <w:rPr>
                <w:rFonts w:ascii="Arial Narrow" w:hAnsi="Arial Narrow"/>
                <w:sz w:val="15"/>
                <w:szCs w:val="15"/>
              </w:rPr>
              <w:t>he Hague Working Group, the Hague legal and promotion activities</w:t>
            </w:r>
          </w:p>
        </w:tc>
        <w:tc>
          <w:tcPr>
            <w:tcW w:w="744" w:type="pct"/>
          </w:tcPr>
          <w:p w14:paraId="6EA34F84" w14:textId="77777777" w:rsidR="008D4A20" w:rsidRPr="00AB028D" w:rsidRDefault="008D4A20" w:rsidP="008D4A20">
            <w:pPr>
              <w:spacing w:after="0" w:line="200" w:lineRule="atLeast"/>
              <w:ind w:left="113"/>
              <w:rPr>
                <w:rFonts w:ascii="Arial Narrow" w:hAnsi="Arial Narrow"/>
                <w:sz w:val="15"/>
                <w:szCs w:val="15"/>
              </w:rPr>
            </w:pPr>
            <w:r>
              <w:rPr>
                <w:rFonts w:ascii="Arial Narrow" w:hAnsi="Arial Narrow"/>
                <w:sz w:val="15"/>
                <w:szCs w:val="15"/>
              </w:rPr>
              <w:t xml:space="preserve">The Lisbon Union Assembly, </w:t>
            </w:r>
            <w:r w:rsidRPr="00AB028D">
              <w:rPr>
                <w:rFonts w:ascii="Arial Narrow" w:hAnsi="Arial Narrow"/>
                <w:sz w:val="15"/>
                <w:szCs w:val="15"/>
              </w:rPr>
              <w:t>Lisbon System, Lisbon Working Group, promotion</w:t>
            </w:r>
          </w:p>
        </w:tc>
      </w:tr>
      <w:tr w:rsidR="008D4A20" w:rsidRPr="00AB028D" w14:paraId="56D0E7AE" w14:textId="77777777" w:rsidTr="008D4A20">
        <w:trPr>
          <w:trHeight w:val="544"/>
        </w:trPr>
        <w:tc>
          <w:tcPr>
            <w:tcW w:w="224" w:type="pct"/>
            <w:tcBorders>
              <w:bottom w:val="single" w:sz="6" w:space="0" w:color="BFBFBF"/>
            </w:tcBorders>
          </w:tcPr>
          <w:p w14:paraId="3206F86C"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bottom w:val="single" w:sz="6" w:space="0" w:color="BFBFBF"/>
            </w:tcBorders>
          </w:tcPr>
          <w:p w14:paraId="50751E9A" w14:textId="77777777" w:rsidR="008D4A20" w:rsidRPr="00AB028D" w:rsidRDefault="008D4A20" w:rsidP="008D4A20">
            <w:pPr>
              <w:keepNext/>
              <w:keepLines/>
              <w:spacing w:after="0" w:line="200" w:lineRule="atLeast"/>
              <w:ind w:left="113"/>
              <w:rPr>
                <w:rFonts w:ascii="Arial Narrow" w:hAnsi="Arial Narrow"/>
                <w:sz w:val="15"/>
                <w:szCs w:val="15"/>
              </w:rPr>
            </w:pPr>
          </w:p>
        </w:tc>
        <w:tc>
          <w:tcPr>
            <w:tcW w:w="1029" w:type="pct"/>
            <w:tcBorders>
              <w:bottom w:val="single" w:sz="6" w:space="0" w:color="BFBFBF"/>
            </w:tcBorders>
          </w:tcPr>
          <w:p w14:paraId="3823CBD8" w14:textId="77777777" w:rsidR="008D4A20" w:rsidRPr="00AB028D" w:rsidRDefault="008D4A20" w:rsidP="008D4A20">
            <w:pPr>
              <w:spacing w:after="0" w:line="200" w:lineRule="atLeast"/>
              <w:ind w:left="113"/>
              <w:rPr>
                <w:rFonts w:ascii="Arial Narrow" w:hAnsi="Arial Narrow"/>
                <w:sz w:val="15"/>
                <w:szCs w:val="15"/>
              </w:rPr>
            </w:pPr>
          </w:p>
        </w:tc>
        <w:tc>
          <w:tcPr>
            <w:tcW w:w="1026" w:type="pct"/>
            <w:tcBorders>
              <w:bottom w:val="single" w:sz="6" w:space="0" w:color="BFBFBF"/>
            </w:tcBorders>
          </w:tcPr>
          <w:p w14:paraId="504FE566" w14:textId="222667F2" w:rsidR="008D4A20" w:rsidRPr="00AB028D" w:rsidRDefault="0035361F" w:rsidP="0035361F">
            <w:pPr>
              <w:spacing w:after="0" w:line="200" w:lineRule="atLeast"/>
              <w:ind w:left="113"/>
              <w:rPr>
                <w:rFonts w:ascii="Arial Narrow" w:hAnsi="Arial Narrow"/>
                <w:sz w:val="15"/>
                <w:szCs w:val="15"/>
              </w:rPr>
            </w:pPr>
            <w:r>
              <w:rPr>
                <w:rFonts w:ascii="Arial Narrow" w:hAnsi="Arial Narrow"/>
                <w:sz w:val="15"/>
                <w:szCs w:val="15"/>
              </w:rPr>
              <w:t>Madrid System processing</w:t>
            </w:r>
            <w:r w:rsidR="008D4A20" w:rsidRPr="00AB028D">
              <w:rPr>
                <w:rFonts w:ascii="Arial Narrow" w:hAnsi="Arial Narrow"/>
                <w:sz w:val="15"/>
                <w:szCs w:val="15"/>
              </w:rPr>
              <w:t xml:space="preserve"> </w:t>
            </w:r>
            <w:r>
              <w:rPr>
                <w:rFonts w:ascii="Arial Narrow" w:hAnsi="Arial Narrow"/>
                <w:sz w:val="15"/>
                <w:szCs w:val="15"/>
              </w:rPr>
              <w:t xml:space="preserve">and </w:t>
            </w:r>
            <w:r w:rsidR="008D4A20" w:rsidRPr="00AB028D">
              <w:rPr>
                <w:rFonts w:ascii="Arial Narrow" w:hAnsi="Arial Narrow"/>
                <w:sz w:val="15"/>
                <w:szCs w:val="15"/>
              </w:rPr>
              <w:t>translation services</w:t>
            </w:r>
            <w:r w:rsidR="008D4A20" w:rsidRPr="00AB028D">
              <w:rPr>
                <w:rFonts w:ascii="Arial Narrow" w:hAnsi="Arial Narrow"/>
                <w:sz w:val="15"/>
                <w:szCs w:val="15"/>
                <w:vertAlign w:val="superscript"/>
              </w:rPr>
              <w:footnoteReference w:id="18"/>
            </w:r>
          </w:p>
        </w:tc>
        <w:tc>
          <w:tcPr>
            <w:tcW w:w="953" w:type="pct"/>
            <w:tcBorders>
              <w:bottom w:val="single" w:sz="6" w:space="0" w:color="BFBFBF"/>
            </w:tcBorders>
          </w:tcPr>
          <w:p w14:paraId="24206248" w14:textId="01EAE00A" w:rsidR="008D4A20" w:rsidRPr="00AB028D" w:rsidRDefault="008D4A20" w:rsidP="0035361F">
            <w:pPr>
              <w:spacing w:after="0" w:line="200" w:lineRule="atLeast"/>
              <w:ind w:left="113"/>
              <w:rPr>
                <w:rFonts w:ascii="Arial Narrow" w:hAnsi="Arial Narrow"/>
                <w:sz w:val="15"/>
                <w:szCs w:val="15"/>
              </w:rPr>
            </w:pPr>
            <w:r w:rsidRPr="00AB028D">
              <w:rPr>
                <w:rFonts w:ascii="Arial Narrow" w:hAnsi="Arial Narrow"/>
                <w:sz w:val="15"/>
                <w:szCs w:val="15"/>
              </w:rPr>
              <w:t>T</w:t>
            </w:r>
            <w:r w:rsidR="0035361F">
              <w:rPr>
                <w:rFonts w:ascii="Arial Narrow" w:hAnsi="Arial Narrow"/>
                <w:sz w:val="15"/>
                <w:szCs w:val="15"/>
              </w:rPr>
              <w:t>he Hague S</w:t>
            </w:r>
            <w:r w:rsidRPr="00AB028D">
              <w:rPr>
                <w:rFonts w:ascii="Arial Narrow" w:hAnsi="Arial Narrow"/>
                <w:sz w:val="15"/>
                <w:szCs w:val="15"/>
              </w:rPr>
              <w:t xml:space="preserve">ystem processing </w:t>
            </w:r>
          </w:p>
        </w:tc>
        <w:tc>
          <w:tcPr>
            <w:tcW w:w="744" w:type="pct"/>
            <w:tcBorders>
              <w:bottom w:val="single" w:sz="6" w:space="0" w:color="BFBFBF"/>
            </w:tcBorders>
          </w:tcPr>
          <w:p w14:paraId="09673109"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Lisbon System processing and IT development</w:t>
            </w:r>
          </w:p>
        </w:tc>
      </w:tr>
      <w:tr w:rsidR="008D4A20" w:rsidRPr="00AB028D" w14:paraId="0C4B17DF" w14:textId="77777777" w:rsidTr="008D4A20">
        <w:trPr>
          <w:trHeight w:val="185"/>
        </w:trPr>
        <w:tc>
          <w:tcPr>
            <w:tcW w:w="224" w:type="pct"/>
            <w:tcBorders>
              <w:top w:val="single" w:sz="6" w:space="0" w:color="BFBFBF"/>
            </w:tcBorders>
          </w:tcPr>
          <w:p w14:paraId="2754EE01"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CCI</w:t>
            </w:r>
          </w:p>
        </w:tc>
        <w:tc>
          <w:tcPr>
            <w:tcW w:w="1024" w:type="pct"/>
            <w:tcBorders>
              <w:top w:val="single" w:sz="6" w:space="0" w:color="BFBFBF"/>
            </w:tcBorders>
          </w:tcPr>
          <w:p w14:paraId="003B7682"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SCCR</w:t>
            </w:r>
          </w:p>
        </w:tc>
        <w:tc>
          <w:tcPr>
            <w:tcW w:w="1029" w:type="pct"/>
            <w:tcBorders>
              <w:top w:val="single" w:sz="6" w:space="0" w:color="BFBFBF"/>
            </w:tcBorders>
          </w:tcPr>
          <w:p w14:paraId="043DFA0D" w14:textId="77777777" w:rsidR="008D4A20" w:rsidRPr="00AB028D" w:rsidRDefault="008D4A20" w:rsidP="008D4A20">
            <w:pPr>
              <w:spacing w:after="0" w:line="200" w:lineRule="atLeast"/>
              <w:rPr>
                <w:rFonts w:ascii="Arial Narrow" w:hAnsi="Arial Narrow"/>
                <w:sz w:val="15"/>
                <w:szCs w:val="15"/>
              </w:rPr>
            </w:pPr>
          </w:p>
        </w:tc>
        <w:tc>
          <w:tcPr>
            <w:tcW w:w="1026" w:type="pct"/>
            <w:tcBorders>
              <w:top w:val="single" w:sz="6" w:space="0" w:color="BFBFBF"/>
            </w:tcBorders>
          </w:tcPr>
          <w:p w14:paraId="58AE6744" w14:textId="77777777" w:rsidR="008D4A20" w:rsidRPr="00AB028D" w:rsidRDefault="008D4A20" w:rsidP="008D4A20">
            <w:pPr>
              <w:spacing w:after="0" w:line="200" w:lineRule="atLeast"/>
              <w:rPr>
                <w:rFonts w:ascii="Arial Narrow" w:hAnsi="Arial Narrow"/>
                <w:sz w:val="15"/>
                <w:szCs w:val="15"/>
              </w:rPr>
            </w:pPr>
          </w:p>
        </w:tc>
        <w:tc>
          <w:tcPr>
            <w:tcW w:w="953" w:type="pct"/>
            <w:tcBorders>
              <w:top w:val="single" w:sz="6" w:space="0" w:color="BFBFBF"/>
            </w:tcBorders>
          </w:tcPr>
          <w:p w14:paraId="35BC79CD" w14:textId="77777777" w:rsidR="008D4A20" w:rsidRPr="00AB028D" w:rsidRDefault="008D4A20" w:rsidP="008D4A20">
            <w:pPr>
              <w:spacing w:after="0" w:line="200" w:lineRule="atLeast"/>
              <w:rPr>
                <w:rFonts w:ascii="Arial Narrow" w:hAnsi="Arial Narrow"/>
                <w:sz w:val="15"/>
                <w:szCs w:val="15"/>
              </w:rPr>
            </w:pPr>
          </w:p>
        </w:tc>
        <w:tc>
          <w:tcPr>
            <w:tcW w:w="744" w:type="pct"/>
            <w:tcBorders>
              <w:top w:val="single" w:sz="6" w:space="0" w:color="BFBFBF"/>
            </w:tcBorders>
          </w:tcPr>
          <w:p w14:paraId="1A9975DB" w14:textId="77777777" w:rsidR="008D4A20" w:rsidRPr="00AB028D" w:rsidRDefault="008D4A20" w:rsidP="008D4A20">
            <w:pPr>
              <w:spacing w:after="0" w:line="200" w:lineRule="atLeast"/>
              <w:rPr>
                <w:rFonts w:ascii="Arial Narrow" w:hAnsi="Arial Narrow"/>
                <w:sz w:val="15"/>
                <w:szCs w:val="15"/>
              </w:rPr>
            </w:pPr>
          </w:p>
        </w:tc>
      </w:tr>
      <w:tr w:rsidR="008D4A20" w:rsidRPr="00AB028D" w14:paraId="410736D8" w14:textId="77777777" w:rsidTr="008D4A20">
        <w:trPr>
          <w:trHeight w:val="185"/>
        </w:trPr>
        <w:tc>
          <w:tcPr>
            <w:tcW w:w="224" w:type="pct"/>
          </w:tcPr>
          <w:p w14:paraId="37DF7A2A"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135E60EC"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Promotion of treaties (Beijing, Marrakesh, WCT, WPPT, etc.)</w:t>
            </w:r>
          </w:p>
        </w:tc>
        <w:tc>
          <w:tcPr>
            <w:tcW w:w="1029" w:type="pct"/>
          </w:tcPr>
          <w:p w14:paraId="26B8F209" w14:textId="77777777" w:rsidR="008D4A20" w:rsidRPr="00AB028D" w:rsidRDefault="008D4A20" w:rsidP="008D4A20">
            <w:pPr>
              <w:spacing w:after="0" w:line="200" w:lineRule="atLeast"/>
              <w:rPr>
                <w:rFonts w:ascii="Arial Narrow" w:hAnsi="Arial Narrow"/>
                <w:sz w:val="15"/>
                <w:szCs w:val="15"/>
              </w:rPr>
            </w:pPr>
          </w:p>
        </w:tc>
        <w:tc>
          <w:tcPr>
            <w:tcW w:w="1026" w:type="pct"/>
          </w:tcPr>
          <w:p w14:paraId="202A14DE" w14:textId="77777777" w:rsidR="008D4A20" w:rsidRPr="00AB028D" w:rsidRDefault="008D4A20" w:rsidP="008D4A20">
            <w:pPr>
              <w:spacing w:after="0" w:line="200" w:lineRule="atLeast"/>
              <w:rPr>
                <w:rFonts w:ascii="Arial Narrow" w:hAnsi="Arial Narrow"/>
                <w:sz w:val="15"/>
                <w:szCs w:val="15"/>
              </w:rPr>
            </w:pPr>
          </w:p>
        </w:tc>
        <w:tc>
          <w:tcPr>
            <w:tcW w:w="953" w:type="pct"/>
          </w:tcPr>
          <w:p w14:paraId="096F5B13" w14:textId="77777777" w:rsidR="008D4A20" w:rsidRPr="00AB028D" w:rsidRDefault="008D4A20" w:rsidP="008D4A20">
            <w:pPr>
              <w:spacing w:after="0" w:line="200" w:lineRule="atLeast"/>
              <w:rPr>
                <w:rFonts w:ascii="Arial Narrow" w:hAnsi="Arial Narrow"/>
                <w:sz w:val="15"/>
                <w:szCs w:val="15"/>
              </w:rPr>
            </w:pPr>
          </w:p>
        </w:tc>
        <w:tc>
          <w:tcPr>
            <w:tcW w:w="744" w:type="pct"/>
          </w:tcPr>
          <w:p w14:paraId="100593E3" w14:textId="77777777" w:rsidR="008D4A20" w:rsidRPr="00AB028D" w:rsidRDefault="008D4A20" w:rsidP="008D4A20">
            <w:pPr>
              <w:spacing w:after="0" w:line="200" w:lineRule="atLeast"/>
              <w:rPr>
                <w:rFonts w:ascii="Arial Narrow" w:hAnsi="Arial Narrow"/>
                <w:sz w:val="15"/>
                <w:szCs w:val="15"/>
              </w:rPr>
            </w:pPr>
          </w:p>
        </w:tc>
      </w:tr>
      <w:tr w:rsidR="008D4A20" w:rsidRPr="00AB028D" w14:paraId="7C1A90A4" w14:textId="77777777" w:rsidTr="008D4A20">
        <w:trPr>
          <w:trHeight w:val="185"/>
        </w:trPr>
        <w:tc>
          <w:tcPr>
            <w:tcW w:w="224" w:type="pct"/>
          </w:tcPr>
          <w:p w14:paraId="4CCFCBF8"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5AD0B837"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ABC Book Service, ABC inclusive publishing</w:t>
            </w:r>
          </w:p>
        </w:tc>
        <w:tc>
          <w:tcPr>
            <w:tcW w:w="1029" w:type="pct"/>
          </w:tcPr>
          <w:p w14:paraId="14380EFE" w14:textId="77777777" w:rsidR="008D4A20" w:rsidRPr="00AB028D" w:rsidRDefault="008D4A20" w:rsidP="008D4A20">
            <w:pPr>
              <w:spacing w:after="0" w:line="200" w:lineRule="atLeast"/>
              <w:rPr>
                <w:rFonts w:ascii="Arial Narrow" w:hAnsi="Arial Narrow"/>
                <w:sz w:val="15"/>
                <w:szCs w:val="15"/>
              </w:rPr>
            </w:pPr>
          </w:p>
        </w:tc>
        <w:tc>
          <w:tcPr>
            <w:tcW w:w="1026" w:type="pct"/>
          </w:tcPr>
          <w:p w14:paraId="45A3E729" w14:textId="77777777" w:rsidR="008D4A20" w:rsidRPr="00AB028D" w:rsidRDefault="008D4A20" w:rsidP="008D4A20">
            <w:pPr>
              <w:spacing w:after="0" w:line="200" w:lineRule="atLeast"/>
              <w:rPr>
                <w:rFonts w:ascii="Arial Narrow" w:hAnsi="Arial Narrow"/>
                <w:sz w:val="15"/>
                <w:szCs w:val="15"/>
              </w:rPr>
            </w:pPr>
          </w:p>
        </w:tc>
        <w:tc>
          <w:tcPr>
            <w:tcW w:w="953" w:type="pct"/>
          </w:tcPr>
          <w:p w14:paraId="3BE7F546" w14:textId="77777777" w:rsidR="008D4A20" w:rsidRPr="00AB028D" w:rsidRDefault="008D4A20" w:rsidP="008D4A20">
            <w:pPr>
              <w:spacing w:after="0" w:line="200" w:lineRule="atLeast"/>
              <w:rPr>
                <w:rFonts w:ascii="Arial Narrow" w:hAnsi="Arial Narrow"/>
                <w:sz w:val="15"/>
                <w:szCs w:val="15"/>
              </w:rPr>
            </w:pPr>
          </w:p>
        </w:tc>
        <w:tc>
          <w:tcPr>
            <w:tcW w:w="744" w:type="pct"/>
          </w:tcPr>
          <w:p w14:paraId="4CB94F0D" w14:textId="77777777" w:rsidR="008D4A20" w:rsidRPr="00AB028D" w:rsidRDefault="008D4A20" w:rsidP="008D4A20">
            <w:pPr>
              <w:spacing w:after="0" w:line="200" w:lineRule="atLeast"/>
              <w:rPr>
                <w:rFonts w:ascii="Arial Narrow" w:hAnsi="Arial Narrow"/>
                <w:sz w:val="15"/>
                <w:szCs w:val="15"/>
              </w:rPr>
            </w:pPr>
          </w:p>
        </w:tc>
      </w:tr>
      <w:tr w:rsidR="008D4A20" w:rsidRPr="00AB028D" w14:paraId="783C9C92" w14:textId="77777777" w:rsidTr="008D4A20">
        <w:trPr>
          <w:trHeight w:val="185"/>
        </w:trPr>
        <w:tc>
          <w:tcPr>
            <w:tcW w:w="224" w:type="pct"/>
          </w:tcPr>
          <w:p w14:paraId="222BEB80"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09F65429"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Skills development in collective copyright and related rights management</w:t>
            </w:r>
          </w:p>
        </w:tc>
        <w:tc>
          <w:tcPr>
            <w:tcW w:w="1029" w:type="pct"/>
          </w:tcPr>
          <w:p w14:paraId="4A076762" w14:textId="77777777" w:rsidR="008D4A20" w:rsidRPr="00AB028D" w:rsidRDefault="008D4A20" w:rsidP="008D4A20">
            <w:pPr>
              <w:spacing w:after="0" w:line="200" w:lineRule="atLeast"/>
              <w:rPr>
                <w:rFonts w:ascii="Arial Narrow" w:hAnsi="Arial Narrow"/>
                <w:sz w:val="15"/>
                <w:szCs w:val="15"/>
              </w:rPr>
            </w:pPr>
          </w:p>
        </w:tc>
        <w:tc>
          <w:tcPr>
            <w:tcW w:w="1026" w:type="pct"/>
          </w:tcPr>
          <w:p w14:paraId="1916072D" w14:textId="77777777" w:rsidR="008D4A20" w:rsidRPr="00AB028D" w:rsidRDefault="008D4A20" w:rsidP="008D4A20">
            <w:pPr>
              <w:spacing w:after="0" w:line="200" w:lineRule="atLeast"/>
              <w:rPr>
                <w:rFonts w:ascii="Arial Narrow" w:hAnsi="Arial Narrow"/>
                <w:sz w:val="15"/>
                <w:szCs w:val="15"/>
              </w:rPr>
            </w:pPr>
          </w:p>
        </w:tc>
        <w:tc>
          <w:tcPr>
            <w:tcW w:w="953" w:type="pct"/>
          </w:tcPr>
          <w:p w14:paraId="7D1E0463" w14:textId="77777777" w:rsidR="008D4A20" w:rsidRPr="00AB028D" w:rsidRDefault="008D4A20" w:rsidP="008D4A20">
            <w:pPr>
              <w:spacing w:after="0" w:line="200" w:lineRule="atLeast"/>
              <w:rPr>
                <w:rFonts w:ascii="Arial Narrow" w:hAnsi="Arial Narrow"/>
                <w:sz w:val="15"/>
                <w:szCs w:val="15"/>
              </w:rPr>
            </w:pPr>
          </w:p>
        </w:tc>
        <w:tc>
          <w:tcPr>
            <w:tcW w:w="744" w:type="pct"/>
          </w:tcPr>
          <w:p w14:paraId="039B4F44" w14:textId="77777777" w:rsidR="008D4A20" w:rsidRPr="00AB028D" w:rsidRDefault="008D4A20" w:rsidP="008D4A20">
            <w:pPr>
              <w:spacing w:after="0" w:line="200" w:lineRule="atLeast"/>
              <w:rPr>
                <w:rFonts w:ascii="Arial Narrow" w:hAnsi="Arial Narrow"/>
                <w:sz w:val="15"/>
                <w:szCs w:val="15"/>
              </w:rPr>
            </w:pPr>
          </w:p>
        </w:tc>
      </w:tr>
      <w:tr w:rsidR="008D4A20" w:rsidRPr="00AB028D" w14:paraId="1CFFA9FB" w14:textId="77777777" w:rsidTr="008D4A20">
        <w:trPr>
          <w:trHeight w:val="185"/>
        </w:trPr>
        <w:tc>
          <w:tcPr>
            <w:tcW w:w="224" w:type="pct"/>
            <w:tcBorders>
              <w:bottom w:val="single" w:sz="6" w:space="0" w:color="BFBFBF"/>
            </w:tcBorders>
          </w:tcPr>
          <w:p w14:paraId="484F8812"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bottom w:val="single" w:sz="6" w:space="0" w:color="BFBFBF"/>
            </w:tcBorders>
          </w:tcPr>
          <w:p w14:paraId="2E23FE45" w14:textId="77777777" w:rsidR="008D4A20"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WIPO Connect development, deployment and maintenance</w:t>
            </w:r>
          </w:p>
          <w:p w14:paraId="35DE6DD7"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 xml:space="preserve">WIPO for Creators </w:t>
            </w:r>
          </w:p>
        </w:tc>
        <w:tc>
          <w:tcPr>
            <w:tcW w:w="1029" w:type="pct"/>
            <w:tcBorders>
              <w:bottom w:val="single" w:sz="6" w:space="0" w:color="BFBFBF"/>
            </w:tcBorders>
          </w:tcPr>
          <w:p w14:paraId="3128A39A" w14:textId="77777777" w:rsidR="008D4A20" w:rsidRPr="00AB028D" w:rsidRDefault="008D4A20" w:rsidP="008D4A20">
            <w:pPr>
              <w:spacing w:after="0" w:line="200" w:lineRule="atLeast"/>
              <w:rPr>
                <w:rFonts w:ascii="Arial Narrow" w:hAnsi="Arial Narrow"/>
                <w:sz w:val="15"/>
                <w:szCs w:val="15"/>
              </w:rPr>
            </w:pPr>
          </w:p>
        </w:tc>
        <w:tc>
          <w:tcPr>
            <w:tcW w:w="1026" w:type="pct"/>
            <w:tcBorders>
              <w:bottom w:val="single" w:sz="6" w:space="0" w:color="BFBFBF"/>
            </w:tcBorders>
          </w:tcPr>
          <w:p w14:paraId="7F192442" w14:textId="77777777" w:rsidR="008D4A20" w:rsidRPr="00AB028D" w:rsidRDefault="008D4A20" w:rsidP="008D4A20">
            <w:pPr>
              <w:spacing w:after="0" w:line="200" w:lineRule="atLeast"/>
              <w:rPr>
                <w:rFonts w:ascii="Arial Narrow" w:hAnsi="Arial Narrow"/>
                <w:sz w:val="15"/>
                <w:szCs w:val="15"/>
              </w:rPr>
            </w:pPr>
          </w:p>
        </w:tc>
        <w:tc>
          <w:tcPr>
            <w:tcW w:w="953" w:type="pct"/>
            <w:tcBorders>
              <w:bottom w:val="single" w:sz="6" w:space="0" w:color="BFBFBF"/>
            </w:tcBorders>
          </w:tcPr>
          <w:p w14:paraId="0290E59A" w14:textId="77777777" w:rsidR="008D4A20" w:rsidRPr="00AB028D" w:rsidRDefault="008D4A20" w:rsidP="008D4A20">
            <w:pPr>
              <w:spacing w:after="0" w:line="200" w:lineRule="atLeast"/>
              <w:rPr>
                <w:rFonts w:ascii="Arial Narrow" w:hAnsi="Arial Narrow"/>
                <w:sz w:val="15"/>
                <w:szCs w:val="15"/>
              </w:rPr>
            </w:pPr>
          </w:p>
        </w:tc>
        <w:tc>
          <w:tcPr>
            <w:tcW w:w="744" w:type="pct"/>
            <w:tcBorders>
              <w:bottom w:val="single" w:sz="6" w:space="0" w:color="BFBFBF"/>
            </w:tcBorders>
          </w:tcPr>
          <w:p w14:paraId="0BC4EE89" w14:textId="77777777" w:rsidR="008D4A20" w:rsidRPr="00AB028D" w:rsidRDefault="008D4A20" w:rsidP="008D4A20">
            <w:pPr>
              <w:spacing w:after="0" w:line="200" w:lineRule="atLeast"/>
              <w:rPr>
                <w:rFonts w:ascii="Arial Narrow" w:hAnsi="Arial Narrow"/>
                <w:sz w:val="15"/>
                <w:szCs w:val="15"/>
              </w:rPr>
            </w:pPr>
          </w:p>
        </w:tc>
      </w:tr>
    </w:tbl>
    <w:p w14:paraId="61E46363" w14:textId="77777777" w:rsidR="008D4A20" w:rsidRDefault="008D4A20">
      <w:r>
        <w:br w:type="page"/>
      </w:r>
    </w:p>
    <w:tbl>
      <w:tblPr>
        <w:tblStyle w:val="TableGrid71"/>
        <w:tblW w:w="9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433"/>
        <w:gridCol w:w="1983"/>
        <w:gridCol w:w="1992"/>
        <w:gridCol w:w="1987"/>
        <w:gridCol w:w="1845"/>
        <w:gridCol w:w="1441"/>
      </w:tblGrid>
      <w:tr w:rsidR="008D4A20" w:rsidRPr="00AB028D" w14:paraId="6D3E9CD7" w14:textId="77777777" w:rsidTr="008D4A20">
        <w:trPr>
          <w:trHeight w:val="418"/>
        </w:trPr>
        <w:tc>
          <w:tcPr>
            <w:tcW w:w="224" w:type="pct"/>
            <w:shd w:val="clear" w:color="auto" w:fill="C6CFD7"/>
          </w:tcPr>
          <w:p w14:paraId="1728D319" w14:textId="012E223E" w:rsidR="008D4A20" w:rsidRPr="00AB028D" w:rsidRDefault="008D4A20" w:rsidP="008D4A20">
            <w:pPr>
              <w:keepNext/>
              <w:spacing w:before="40" w:after="20" w:line="200" w:lineRule="atLeast"/>
              <w:ind w:left="113"/>
              <w:jc w:val="center"/>
              <w:rPr>
                <w:rFonts w:ascii="Arial Narrow" w:hAnsi="Arial Narrow"/>
                <w:b/>
                <w:sz w:val="15"/>
                <w:szCs w:val="15"/>
              </w:rPr>
            </w:pPr>
            <w:r w:rsidRPr="00285F7B">
              <w:rPr>
                <w:rFonts w:ascii="Arial Narrow" w:hAnsi="Arial Narrow"/>
                <w:b/>
                <w:sz w:val="11"/>
                <w:szCs w:val="15"/>
              </w:rPr>
              <w:t>Sector</w:t>
            </w:r>
          </w:p>
        </w:tc>
        <w:tc>
          <w:tcPr>
            <w:tcW w:w="1024" w:type="pct"/>
            <w:shd w:val="clear" w:color="auto" w:fill="C6CFD7"/>
          </w:tcPr>
          <w:p w14:paraId="14373745"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CF Unions</w:t>
            </w:r>
          </w:p>
          <w:p w14:paraId="25501158" w14:textId="77777777" w:rsidR="008D4A20" w:rsidRPr="00AB028D" w:rsidRDefault="008D4A20" w:rsidP="008D4A20">
            <w:pPr>
              <w:keepNext/>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1029" w:type="pct"/>
            <w:shd w:val="clear" w:color="auto" w:fill="C6CFD7"/>
          </w:tcPr>
          <w:p w14:paraId="0BB632CD"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PCT Union</w:t>
            </w:r>
          </w:p>
          <w:p w14:paraId="67C7ABCA"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1026" w:type="pct"/>
            <w:shd w:val="clear" w:color="auto" w:fill="C6CFD7"/>
          </w:tcPr>
          <w:p w14:paraId="7216473F"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Madrid Union</w:t>
            </w:r>
          </w:p>
          <w:p w14:paraId="5BB842C2"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953" w:type="pct"/>
            <w:shd w:val="clear" w:color="auto" w:fill="C6CFD7"/>
          </w:tcPr>
          <w:p w14:paraId="46E5E484"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The Hague Union</w:t>
            </w:r>
          </w:p>
          <w:p w14:paraId="7C7C8633"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c>
          <w:tcPr>
            <w:tcW w:w="744" w:type="pct"/>
            <w:shd w:val="clear" w:color="auto" w:fill="C6CFD7"/>
          </w:tcPr>
          <w:p w14:paraId="50354218" w14:textId="77777777" w:rsidR="008D4A20" w:rsidRPr="00AB028D" w:rsidRDefault="008D4A20" w:rsidP="008D4A20">
            <w:pPr>
              <w:keepNext/>
              <w:spacing w:before="40" w:after="20" w:line="200" w:lineRule="atLeast"/>
              <w:ind w:left="113"/>
              <w:jc w:val="center"/>
              <w:rPr>
                <w:rFonts w:ascii="Arial Narrow" w:hAnsi="Arial Narrow"/>
                <w:b/>
                <w:sz w:val="15"/>
                <w:szCs w:val="15"/>
              </w:rPr>
            </w:pPr>
            <w:r w:rsidRPr="00AB028D">
              <w:rPr>
                <w:rFonts w:ascii="Arial Narrow" w:hAnsi="Arial Narrow"/>
                <w:b/>
                <w:sz w:val="15"/>
                <w:szCs w:val="15"/>
              </w:rPr>
              <w:t>Lisbon Union</w:t>
            </w:r>
          </w:p>
          <w:p w14:paraId="26357E65" w14:textId="77777777" w:rsidR="008D4A20" w:rsidRPr="00AB028D" w:rsidRDefault="008D4A20" w:rsidP="008D4A20">
            <w:pPr>
              <w:spacing w:after="0" w:line="200" w:lineRule="atLeast"/>
              <w:ind w:left="113"/>
              <w:jc w:val="center"/>
              <w:rPr>
                <w:rFonts w:ascii="Arial Narrow" w:hAnsi="Arial Narrow"/>
                <w:sz w:val="15"/>
                <w:szCs w:val="15"/>
              </w:rPr>
            </w:pPr>
            <w:r w:rsidRPr="00AB028D">
              <w:rPr>
                <w:rFonts w:ascii="Arial Narrow" w:hAnsi="Arial Narrow"/>
                <w:sz w:val="15"/>
                <w:szCs w:val="15"/>
              </w:rPr>
              <w:t>Direct Union Expense</w:t>
            </w:r>
          </w:p>
        </w:tc>
      </w:tr>
      <w:tr w:rsidR="008D4A20" w:rsidRPr="00AB028D" w14:paraId="06B79927" w14:textId="77777777" w:rsidTr="008D4A20">
        <w:trPr>
          <w:trHeight w:hRule="exact" w:val="57"/>
        </w:trPr>
        <w:tc>
          <w:tcPr>
            <w:tcW w:w="224" w:type="pct"/>
            <w:tcBorders>
              <w:top w:val="single" w:sz="6" w:space="0" w:color="BFBFBF"/>
            </w:tcBorders>
          </w:tcPr>
          <w:p w14:paraId="1613CE22"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top w:val="single" w:sz="6" w:space="0" w:color="BFBFBF"/>
            </w:tcBorders>
          </w:tcPr>
          <w:p w14:paraId="10D7A2BB" w14:textId="77777777" w:rsidR="008D4A20" w:rsidRPr="00AB028D" w:rsidRDefault="008D4A20" w:rsidP="008D4A20">
            <w:pPr>
              <w:keepNext/>
              <w:keepLines/>
              <w:spacing w:after="0" w:line="200" w:lineRule="atLeast"/>
              <w:ind w:left="113"/>
              <w:rPr>
                <w:rFonts w:ascii="Arial Narrow" w:hAnsi="Arial Narrow"/>
                <w:sz w:val="15"/>
                <w:szCs w:val="15"/>
              </w:rPr>
            </w:pPr>
          </w:p>
        </w:tc>
        <w:tc>
          <w:tcPr>
            <w:tcW w:w="1029" w:type="pct"/>
            <w:tcBorders>
              <w:top w:val="single" w:sz="6" w:space="0" w:color="BFBFBF"/>
            </w:tcBorders>
          </w:tcPr>
          <w:p w14:paraId="3B8A9223" w14:textId="77777777" w:rsidR="008D4A20" w:rsidRPr="00AB028D" w:rsidRDefault="008D4A20" w:rsidP="008D4A20">
            <w:pPr>
              <w:spacing w:after="0" w:line="200" w:lineRule="atLeast"/>
              <w:ind w:left="113"/>
              <w:rPr>
                <w:rFonts w:ascii="Arial Narrow" w:hAnsi="Arial Narrow"/>
                <w:sz w:val="15"/>
                <w:szCs w:val="15"/>
              </w:rPr>
            </w:pPr>
          </w:p>
        </w:tc>
        <w:tc>
          <w:tcPr>
            <w:tcW w:w="1026" w:type="pct"/>
            <w:tcBorders>
              <w:top w:val="single" w:sz="6" w:space="0" w:color="BFBFBF"/>
            </w:tcBorders>
          </w:tcPr>
          <w:p w14:paraId="4E151704" w14:textId="77777777" w:rsidR="008D4A20" w:rsidRPr="00AB028D" w:rsidRDefault="008D4A20" w:rsidP="008D4A20">
            <w:pPr>
              <w:spacing w:after="0" w:line="200" w:lineRule="atLeast"/>
              <w:ind w:left="113"/>
              <w:rPr>
                <w:rFonts w:ascii="Arial Narrow" w:hAnsi="Arial Narrow"/>
                <w:sz w:val="15"/>
                <w:szCs w:val="15"/>
              </w:rPr>
            </w:pPr>
          </w:p>
        </w:tc>
        <w:tc>
          <w:tcPr>
            <w:tcW w:w="953" w:type="pct"/>
            <w:tcBorders>
              <w:top w:val="single" w:sz="6" w:space="0" w:color="BFBFBF"/>
            </w:tcBorders>
          </w:tcPr>
          <w:p w14:paraId="1A20C72D" w14:textId="77777777" w:rsidR="008D4A20" w:rsidRPr="00AB028D" w:rsidRDefault="008D4A20" w:rsidP="008D4A20">
            <w:pPr>
              <w:spacing w:after="0" w:line="200" w:lineRule="atLeast"/>
              <w:ind w:left="113"/>
              <w:rPr>
                <w:rFonts w:ascii="Arial Narrow" w:hAnsi="Arial Narrow"/>
                <w:sz w:val="15"/>
                <w:szCs w:val="15"/>
              </w:rPr>
            </w:pPr>
          </w:p>
        </w:tc>
        <w:tc>
          <w:tcPr>
            <w:tcW w:w="744" w:type="pct"/>
            <w:tcBorders>
              <w:top w:val="single" w:sz="6" w:space="0" w:color="BFBFBF"/>
            </w:tcBorders>
          </w:tcPr>
          <w:p w14:paraId="7685D133" w14:textId="77777777" w:rsidR="008D4A20" w:rsidRPr="00AB028D" w:rsidRDefault="008D4A20" w:rsidP="008D4A20">
            <w:pPr>
              <w:spacing w:after="0" w:line="200" w:lineRule="atLeast"/>
              <w:ind w:left="113"/>
              <w:rPr>
                <w:rFonts w:ascii="Arial Narrow" w:hAnsi="Arial Narrow"/>
                <w:sz w:val="15"/>
                <w:szCs w:val="15"/>
              </w:rPr>
            </w:pPr>
          </w:p>
        </w:tc>
      </w:tr>
      <w:tr w:rsidR="008D4A20" w:rsidRPr="00AB028D" w14:paraId="5AB13697" w14:textId="77777777" w:rsidTr="008D4A20">
        <w:trPr>
          <w:trHeight w:val="255"/>
        </w:trPr>
        <w:tc>
          <w:tcPr>
            <w:tcW w:w="224" w:type="pct"/>
          </w:tcPr>
          <w:p w14:paraId="4C7B17F4"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RND</w:t>
            </w:r>
          </w:p>
        </w:tc>
        <w:tc>
          <w:tcPr>
            <w:tcW w:w="1024" w:type="pct"/>
          </w:tcPr>
          <w:p w14:paraId="2952BA9E" w14:textId="77777777" w:rsidR="008D4A20" w:rsidRPr="00AB028D" w:rsidRDefault="008D4A20" w:rsidP="008D4A20">
            <w:pPr>
              <w:keepNext/>
              <w:keepLines/>
              <w:spacing w:after="0" w:line="200" w:lineRule="atLeast"/>
              <w:ind w:left="113"/>
              <w:rPr>
                <w:rFonts w:ascii="Arial Narrow" w:hAnsi="Arial Narrow"/>
                <w:sz w:val="15"/>
                <w:szCs w:val="15"/>
              </w:rPr>
            </w:pPr>
          </w:p>
        </w:tc>
        <w:tc>
          <w:tcPr>
            <w:tcW w:w="1029" w:type="pct"/>
          </w:tcPr>
          <w:p w14:paraId="65CE041B"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Promotion of the PCT</w:t>
            </w:r>
          </w:p>
        </w:tc>
        <w:tc>
          <w:tcPr>
            <w:tcW w:w="1026" w:type="pct"/>
          </w:tcPr>
          <w:p w14:paraId="2B806F4E"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Promotion of Madrid</w:t>
            </w:r>
          </w:p>
        </w:tc>
        <w:tc>
          <w:tcPr>
            <w:tcW w:w="953" w:type="pct"/>
          </w:tcPr>
          <w:p w14:paraId="793AC199"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Promotion of the Hague</w:t>
            </w:r>
          </w:p>
        </w:tc>
        <w:tc>
          <w:tcPr>
            <w:tcW w:w="744" w:type="pct"/>
          </w:tcPr>
          <w:p w14:paraId="5E22089C"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 Promotion of Lisbon</w:t>
            </w:r>
          </w:p>
        </w:tc>
      </w:tr>
      <w:tr w:rsidR="008D4A20" w:rsidRPr="00AB028D" w14:paraId="62E2496A" w14:textId="77777777" w:rsidTr="008D4A20">
        <w:trPr>
          <w:trHeight w:val="255"/>
        </w:trPr>
        <w:tc>
          <w:tcPr>
            <w:tcW w:w="224" w:type="pct"/>
          </w:tcPr>
          <w:p w14:paraId="5B882A9A"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11D7376E" w14:textId="77777777" w:rsidR="008D4A20" w:rsidRPr="00AB028D" w:rsidRDefault="008D4A20" w:rsidP="008D4A20">
            <w:pPr>
              <w:keepNext/>
              <w:keepLines/>
              <w:spacing w:after="0" w:line="200" w:lineRule="atLeast"/>
              <w:ind w:left="113"/>
              <w:rPr>
                <w:rFonts w:ascii="Arial Narrow" w:hAnsi="Arial Narrow"/>
                <w:sz w:val="15"/>
                <w:szCs w:val="15"/>
              </w:rPr>
            </w:pPr>
          </w:p>
        </w:tc>
        <w:tc>
          <w:tcPr>
            <w:tcW w:w="1029" w:type="pct"/>
          </w:tcPr>
          <w:p w14:paraId="08763681"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3A15A78A" w14:textId="5A2288A4"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w:t>
            </w:r>
            <w:r w:rsidRPr="00F053C0">
              <w:rPr>
                <w:rFonts w:ascii="Arial Narrow" w:hAnsi="Arial Narrow"/>
                <w:sz w:val="15"/>
                <w:szCs w:val="15"/>
              </w:rPr>
              <w:t>6</w:t>
            </w:r>
            <w:r>
              <w:rPr>
                <w:rFonts w:ascii="Arial Narrow" w:hAnsi="Arial Narrow"/>
                <w:sz w:val="15"/>
                <w:szCs w:val="15"/>
              </w:rPr>
              <w:t>0</w:t>
            </w:r>
            <w:r w:rsidRPr="00F053C0">
              <w:rPr>
                <w:rFonts w:ascii="Arial Narrow" w:hAnsi="Arial Narrow"/>
                <w:sz w:val="15"/>
                <w:szCs w:val="15"/>
              </w:rPr>
              <w:t>% - estimate</w:t>
            </w:r>
            <w:r w:rsidRPr="00AB028D">
              <w:rPr>
                <w:rFonts w:ascii="Arial Narrow" w:hAnsi="Arial Narrow"/>
                <w:sz w:val="15"/>
                <w:szCs w:val="15"/>
              </w:rPr>
              <w:t>)</w:t>
            </w:r>
          </w:p>
        </w:tc>
        <w:tc>
          <w:tcPr>
            <w:tcW w:w="1026" w:type="pct"/>
          </w:tcPr>
          <w:p w14:paraId="6BC92735"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1EF2006F" w14:textId="7C1052FD"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w:t>
            </w:r>
            <w:r w:rsidR="00040069">
              <w:rPr>
                <w:rFonts w:ascii="Arial Narrow" w:hAnsi="Arial Narrow"/>
                <w:sz w:val="15"/>
                <w:szCs w:val="15"/>
              </w:rPr>
              <w:t>31</w:t>
            </w:r>
            <w:r w:rsidRPr="00AB028D">
              <w:rPr>
                <w:rFonts w:ascii="Arial Narrow" w:hAnsi="Arial Narrow"/>
                <w:sz w:val="15"/>
                <w:szCs w:val="15"/>
              </w:rPr>
              <w:t>% - estimate)</w:t>
            </w:r>
          </w:p>
        </w:tc>
        <w:tc>
          <w:tcPr>
            <w:tcW w:w="953" w:type="pct"/>
          </w:tcPr>
          <w:p w14:paraId="4507769E"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4A5E7280" w14:textId="16415FE9" w:rsidR="008D4A20" w:rsidRPr="00AB028D" w:rsidRDefault="00040069" w:rsidP="008D4A20">
            <w:pPr>
              <w:spacing w:after="0" w:line="200" w:lineRule="atLeast"/>
              <w:ind w:left="113"/>
              <w:rPr>
                <w:rFonts w:ascii="Arial Narrow" w:hAnsi="Arial Narrow"/>
                <w:sz w:val="15"/>
                <w:szCs w:val="15"/>
              </w:rPr>
            </w:pPr>
            <w:r>
              <w:rPr>
                <w:rFonts w:ascii="Arial Narrow" w:hAnsi="Arial Narrow"/>
                <w:sz w:val="15"/>
                <w:szCs w:val="15"/>
              </w:rPr>
              <w:t>(9</w:t>
            </w:r>
            <w:r w:rsidR="008D4A20" w:rsidRPr="00AB028D">
              <w:rPr>
                <w:rFonts w:ascii="Arial Narrow" w:hAnsi="Arial Narrow"/>
                <w:sz w:val="15"/>
                <w:szCs w:val="15"/>
              </w:rPr>
              <w:t>% - estimate)</w:t>
            </w:r>
          </w:p>
        </w:tc>
        <w:tc>
          <w:tcPr>
            <w:tcW w:w="744" w:type="pct"/>
          </w:tcPr>
          <w:p w14:paraId="245B6FF1" w14:textId="77777777" w:rsidR="008D4A20" w:rsidRPr="00AB028D" w:rsidRDefault="008D4A20" w:rsidP="008D4A20">
            <w:pPr>
              <w:spacing w:after="0" w:line="200" w:lineRule="atLeast"/>
              <w:ind w:left="113"/>
              <w:rPr>
                <w:rFonts w:ascii="Arial Narrow" w:hAnsi="Arial Narrow"/>
                <w:sz w:val="15"/>
                <w:szCs w:val="15"/>
              </w:rPr>
            </w:pPr>
          </w:p>
        </w:tc>
      </w:tr>
      <w:tr w:rsidR="008D4A20" w:rsidRPr="00AB028D" w14:paraId="13BCA197" w14:textId="77777777" w:rsidTr="008D4A20">
        <w:trPr>
          <w:trHeight w:val="255"/>
        </w:trPr>
        <w:tc>
          <w:tcPr>
            <w:tcW w:w="224" w:type="pct"/>
            <w:tcBorders>
              <w:bottom w:val="single" w:sz="6" w:space="0" w:color="BFBFBF"/>
            </w:tcBorders>
          </w:tcPr>
          <w:p w14:paraId="1E2751AF"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Pr>
          <w:p w14:paraId="657568CF"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Dispute R</w:t>
            </w:r>
            <w:r w:rsidRPr="00AB028D">
              <w:rPr>
                <w:rFonts w:ascii="Arial Narrow" w:hAnsi="Arial Narrow"/>
                <w:sz w:val="15"/>
                <w:szCs w:val="15"/>
              </w:rPr>
              <w:t>esolution (ADR) services</w:t>
            </w:r>
          </w:p>
          <w:p w14:paraId="6442BCEA" w14:textId="77777777" w:rsidR="008D4A20" w:rsidRPr="00AB028D" w:rsidRDefault="008D4A20" w:rsidP="008D4A20">
            <w:pPr>
              <w:keepNext/>
              <w:keepLines/>
              <w:spacing w:after="0" w:line="200" w:lineRule="atLeast"/>
              <w:ind w:left="113"/>
              <w:rPr>
                <w:rFonts w:ascii="Arial Narrow" w:hAnsi="Arial Narrow"/>
                <w:sz w:val="15"/>
                <w:szCs w:val="15"/>
              </w:rPr>
            </w:pPr>
            <w:r w:rsidRPr="00AB028D">
              <w:rPr>
                <w:rFonts w:ascii="Arial Narrow" w:hAnsi="Arial Narrow"/>
                <w:sz w:val="15"/>
                <w:szCs w:val="15"/>
              </w:rPr>
              <w:t>(18% - estimate)</w:t>
            </w:r>
          </w:p>
        </w:tc>
        <w:tc>
          <w:tcPr>
            <w:tcW w:w="1029" w:type="pct"/>
          </w:tcPr>
          <w:p w14:paraId="6F56568A"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Dispute R</w:t>
            </w:r>
            <w:r w:rsidRPr="00AB028D">
              <w:rPr>
                <w:rFonts w:ascii="Arial Narrow" w:hAnsi="Arial Narrow"/>
                <w:sz w:val="15"/>
                <w:szCs w:val="15"/>
              </w:rPr>
              <w:t>esolution (ADR) services</w:t>
            </w:r>
          </w:p>
          <w:p w14:paraId="5E42DDCC"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(17% - estimate)</w:t>
            </w:r>
          </w:p>
        </w:tc>
        <w:tc>
          <w:tcPr>
            <w:tcW w:w="1026" w:type="pct"/>
          </w:tcPr>
          <w:p w14:paraId="4643CA14"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 xml:space="preserve">Alternative </w:t>
            </w:r>
            <w:r>
              <w:rPr>
                <w:rFonts w:ascii="Arial Narrow" w:hAnsi="Arial Narrow"/>
                <w:sz w:val="15"/>
                <w:szCs w:val="15"/>
              </w:rPr>
              <w:t>D</w:t>
            </w:r>
            <w:r w:rsidRPr="00AB028D">
              <w:rPr>
                <w:rFonts w:ascii="Arial Narrow" w:hAnsi="Arial Narrow"/>
                <w:sz w:val="15"/>
                <w:szCs w:val="15"/>
              </w:rPr>
              <w:t xml:space="preserve">ispute </w:t>
            </w:r>
            <w:r>
              <w:rPr>
                <w:rFonts w:ascii="Arial Narrow" w:hAnsi="Arial Narrow"/>
                <w:sz w:val="15"/>
                <w:szCs w:val="15"/>
              </w:rPr>
              <w:t>R</w:t>
            </w:r>
            <w:r w:rsidRPr="00AB028D">
              <w:rPr>
                <w:rFonts w:ascii="Arial Narrow" w:hAnsi="Arial Narrow"/>
                <w:sz w:val="15"/>
                <w:szCs w:val="15"/>
              </w:rPr>
              <w:t xml:space="preserve">esolution (ADR) services </w:t>
            </w:r>
          </w:p>
          <w:p w14:paraId="31AC3B7B" w14:textId="2541219A"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(46% - estimate)</w:t>
            </w:r>
          </w:p>
        </w:tc>
        <w:tc>
          <w:tcPr>
            <w:tcW w:w="953" w:type="pct"/>
          </w:tcPr>
          <w:p w14:paraId="3772ABD6"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w:t>
            </w:r>
            <w:r w:rsidRPr="00AB028D">
              <w:rPr>
                <w:rFonts w:ascii="Arial Narrow" w:hAnsi="Arial Narrow"/>
                <w:sz w:val="15"/>
                <w:szCs w:val="15"/>
              </w:rPr>
              <w:t xml:space="preserve">ispute </w:t>
            </w:r>
            <w:r>
              <w:rPr>
                <w:rFonts w:ascii="Arial Narrow" w:hAnsi="Arial Narrow"/>
                <w:sz w:val="15"/>
                <w:szCs w:val="15"/>
              </w:rPr>
              <w:t>R</w:t>
            </w:r>
            <w:r w:rsidRPr="00AB028D">
              <w:rPr>
                <w:rFonts w:ascii="Arial Narrow" w:hAnsi="Arial Narrow"/>
                <w:sz w:val="15"/>
                <w:szCs w:val="15"/>
              </w:rPr>
              <w:t xml:space="preserve">esolution (ADR) services </w:t>
            </w:r>
          </w:p>
          <w:p w14:paraId="4536F587" w14:textId="4FAADE94"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(19% - estimate)</w:t>
            </w:r>
          </w:p>
        </w:tc>
        <w:tc>
          <w:tcPr>
            <w:tcW w:w="744" w:type="pct"/>
            <w:tcBorders>
              <w:bottom w:val="single" w:sz="6" w:space="0" w:color="BFBFBF"/>
            </w:tcBorders>
          </w:tcPr>
          <w:p w14:paraId="68760C24" w14:textId="77777777" w:rsidR="008D4A20" w:rsidRPr="00AB028D" w:rsidRDefault="008D4A20" w:rsidP="008D4A20">
            <w:pPr>
              <w:spacing w:after="0" w:line="200" w:lineRule="atLeast"/>
              <w:ind w:left="113"/>
              <w:rPr>
                <w:rFonts w:ascii="Arial Narrow" w:hAnsi="Arial Narrow"/>
                <w:sz w:val="15"/>
                <w:szCs w:val="15"/>
              </w:rPr>
            </w:pPr>
          </w:p>
        </w:tc>
      </w:tr>
      <w:tr w:rsidR="008D4A20" w:rsidRPr="00AB028D" w14:paraId="5D2A85D7" w14:textId="77777777" w:rsidTr="008D4A20">
        <w:trPr>
          <w:trHeight w:val="179"/>
        </w:trPr>
        <w:tc>
          <w:tcPr>
            <w:tcW w:w="224" w:type="pct"/>
            <w:tcBorders>
              <w:top w:val="single" w:sz="6" w:space="0" w:color="BFBFBF"/>
            </w:tcBorders>
          </w:tcPr>
          <w:p w14:paraId="468FCF88"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IP</w:t>
            </w:r>
          </w:p>
        </w:tc>
        <w:tc>
          <w:tcPr>
            <w:tcW w:w="1024" w:type="pct"/>
            <w:tcBorders>
              <w:top w:val="single" w:sz="6" w:space="0" w:color="BFBFBF"/>
            </w:tcBorders>
          </w:tcPr>
          <w:p w14:paraId="16197EA8" w14:textId="77777777" w:rsidR="008D4A20" w:rsidRPr="00AB028D" w:rsidRDefault="008D4A20" w:rsidP="008D4A20">
            <w:pPr>
              <w:keepNext/>
              <w:keepLines/>
              <w:spacing w:after="0" w:line="200" w:lineRule="atLeast"/>
              <w:ind w:left="113"/>
              <w:rPr>
                <w:rFonts w:ascii="Arial Narrow" w:hAnsi="Arial Narrow"/>
                <w:sz w:val="15"/>
                <w:szCs w:val="15"/>
              </w:rPr>
            </w:pPr>
            <w:r>
              <w:rPr>
                <w:rFonts w:ascii="Arial Narrow" w:hAnsi="Arial Narrow"/>
                <w:sz w:val="15"/>
                <w:szCs w:val="15"/>
              </w:rPr>
              <w:t>Int. Classifications &amp; WIPO S</w:t>
            </w:r>
            <w:r w:rsidRPr="00AB028D">
              <w:rPr>
                <w:rFonts w:ascii="Arial Narrow" w:hAnsi="Arial Narrow"/>
                <w:sz w:val="15"/>
                <w:szCs w:val="15"/>
              </w:rPr>
              <w:t xml:space="preserve">tandards </w:t>
            </w:r>
            <w:r w:rsidRPr="00AB028D">
              <w:rPr>
                <w:rFonts w:ascii="Arial Narrow" w:hAnsi="Arial Narrow"/>
                <w:i/>
                <w:sz w:val="15"/>
                <w:szCs w:val="15"/>
              </w:rPr>
              <w:t>(9% - estimate)</w:t>
            </w:r>
          </w:p>
        </w:tc>
        <w:tc>
          <w:tcPr>
            <w:tcW w:w="1029" w:type="pct"/>
            <w:tcBorders>
              <w:top w:val="single" w:sz="6" w:space="0" w:color="BFBFBF"/>
            </w:tcBorders>
          </w:tcPr>
          <w:p w14:paraId="6B1CBC3C"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Int. </w:t>
            </w:r>
            <w:r>
              <w:rPr>
                <w:rFonts w:ascii="Arial Narrow" w:hAnsi="Arial Narrow"/>
                <w:sz w:val="15"/>
                <w:szCs w:val="15"/>
              </w:rPr>
              <w:t>C</w:t>
            </w:r>
            <w:r w:rsidRPr="00AB028D">
              <w:rPr>
                <w:rFonts w:ascii="Arial Narrow" w:hAnsi="Arial Narrow"/>
                <w:sz w:val="15"/>
                <w:szCs w:val="15"/>
              </w:rPr>
              <w:t xml:space="preserve">lassifications &amp; WIPO </w:t>
            </w:r>
            <w:r>
              <w:rPr>
                <w:rFonts w:ascii="Arial Narrow" w:hAnsi="Arial Narrow"/>
                <w:sz w:val="15"/>
                <w:szCs w:val="15"/>
              </w:rPr>
              <w:t>S</w:t>
            </w:r>
            <w:r w:rsidRPr="00AB028D">
              <w:rPr>
                <w:rFonts w:ascii="Arial Narrow" w:hAnsi="Arial Narrow"/>
                <w:sz w:val="15"/>
                <w:szCs w:val="15"/>
              </w:rPr>
              <w:t xml:space="preserve">tandards </w:t>
            </w:r>
            <w:r w:rsidRPr="00AB028D">
              <w:rPr>
                <w:rFonts w:ascii="Arial Narrow" w:hAnsi="Arial Narrow"/>
                <w:i/>
                <w:sz w:val="15"/>
                <w:szCs w:val="15"/>
              </w:rPr>
              <w:t>(70% - estimate)</w:t>
            </w:r>
          </w:p>
        </w:tc>
        <w:tc>
          <w:tcPr>
            <w:tcW w:w="1026" w:type="pct"/>
            <w:tcBorders>
              <w:top w:val="single" w:sz="6" w:space="0" w:color="BFBFBF"/>
            </w:tcBorders>
          </w:tcPr>
          <w:p w14:paraId="486E3565"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Int. </w:t>
            </w:r>
            <w:r>
              <w:rPr>
                <w:rFonts w:ascii="Arial Narrow" w:hAnsi="Arial Narrow"/>
                <w:sz w:val="15"/>
                <w:szCs w:val="15"/>
              </w:rPr>
              <w:t>C</w:t>
            </w:r>
            <w:r w:rsidRPr="00AB028D">
              <w:rPr>
                <w:rFonts w:ascii="Arial Narrow" w:hAnsi="Arial Narrow"/>
                <w:sz w:val="15"/>
                <w:szCs w:val="15"/>
              </w:rPr>
              <w:t xml:space="preserve">lassifications &amp; WIPO </w:t>
            </w:r>
            <w:r>
              <w:rPr>
                <w:rFonts w:ascii="Arial Narrow" w:hAnsi="Arial Narrow"/>
                <w:sz w:val="15"/>
                <w:szCs w:val="15"/>
              </w:rPr>
              <w:t>S</w:t>
            </w:r>
            <w:r w:rsidRPr="00AB028D">
              <w:rPr>
                <w:rFonts w:ascii="Arial Narrow" w:hAnsi="Arial Narrow"/>
                <w:sz w:val="15"/>
                <w:szCs w:val="15"/>
              </w:rPr>
              <w:t xml:space="preserve">tandards </w:t>
            </w:r>
            <w:r w:rsidRPr="00AB028D">
              <w:rPr>
                <w:rFonts w:ascii="Arial Narrow" w:hAnsi="Arial Narrow"/>
                <w:i/>
                <w:sz w:val="15"/>
                <w:szCs w:val="15"/>
              </w:rPr>
              <w:t>(20% - estimate)</w:t>
            </w:r>
          </w:p>
        </w:tc>
        <w:tc>
          <w:tcPr>
            <w:tcW w:w="953" w:type="pct"/>
            <w:tcBorders>
              <w:top w:val="single" w:sz="6" w:space="0" w:color="BFBFBF"/>
            </w:tcBorders>
          </w:tcPr>
          <w:p w14:paraId="4703373D"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Int. </w:t>
            </w:r>
            <w:r>
              <w:rPr>
                <w:rFonts w:ascii="Arial Narrow" w:hAnsi="Arial Narrow"/>
                <w:sz w:val="15"/>
                <w:szCs w:val="15"/>
              </w:rPr>
              <w:t>C</w:t>
            </w:r>
            <w:r w:rsidRPr="00AB028D">
              <w:rPr>
                <w:rFonts w:ascii="Arial Narrow" w:hAnsi="Arial Narrow"/>
                <w:sz w:val="15"/>
                <w:szCs w:val="15"/>
              </w:rPr>
              <w:t xml:space="preserve">lassifications &amp; WIPO </w:t>
            </w:r>
            <w:r>
              <w:rPr>
                <w:rFonts w:ascii="Arial Narrow" w:hAnsi="Arial Narrow"/>
                <w:sz w:val="15"/>
                <w:szCs w:val="15"/>
              </w:rPr>
              <w:t>S</w:t>
            </w:r>
            <w:r w:rsidRPr="00AB028D">
              <w:rPr>
                <w:rFonts w:ascii="Arial Narrow" w:hAnsi="Arial Narrow"/>
                <w:sz w:val="15"/>
                <w:szCs w:val="15"/>
              </w:rPr>
              <w:t xml:space="preserve">tandards </w:t>
            </w:r>
            <w:r w:rsidRPr="00AB028D">
              <w:rPr>
                <w:rFonts w:ascii="Arial Narrow" w:hAnsi="Arial Narrow"/>
                <w:i/>
                <w:sz w:val="15"/>
                <w:szCs w:val="15"/>
              </w:rPr>
              <w:t>(1% - estimate)</w:t>
            </w:r>
          </w:p>
        </w:tc>
        <w:tc>
          <w:tcPr>
            <w:tcW w:w="744" w:type="pct"/>
            <w:tcBorders>
              <w:top w:val="single" w:sz="6" w:space="0" w:color="BFBFBF"/>
            </w:tcBorders>
          </w:tcPr>
          <w:p w14:paraId="616AE6F1" w14:textId="77777777" w:rsidR="008D4A20" w:rsidRPr="00AB028D" w:rsidRDefault="008D4A20" w:rsidP="008D4A20">
            <w:pPr>
              <w:spacing w:after="0" w:line="200" w:lineRule="atLeast"/>
              <w:ind w:left="113"/>
              <w:rPr>
                <w:rFonts w:ascii="Arial Narrow" w:hAnsi="Arial Narrow"/>
                <w:sz w:val="15"/>
                <w:szCs w:val="15"/>
              </w:rPr>
            </w:pPr>
          </w:p>
        </w:tc>
      </w:tr>
      <w:tr w:rsidR="008D4A20" w:rsidRPr="00AB028D" w14:paraId="006F8334" w14:textId="77777777" w:rsidTr="008D4A20">
        <w:trPr>
          <w:trHeight w:val="179"/>
        </w:trPr>
        <w:tc>
          <w:tcPr>
            <w:tcW w:w="224" w:type="pct"/>
            <w:tcBorders>
              <w:bottom w:val="single" w:sz="6" w:space="0" w:color="BFBFBF"/>
            </w:tcBorders>
          </w:tcPr>
          <w:p w14:paraId="435D5E39"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bottom w:val="single" w:sz="6" w:space="0" w:color="BFBFBF"/>
            </w:tcBorders>
          </w:tcPr>
          <w:p w14:paraId="6FF497BB" w14:textId="77777777" w:rsidR="008D4A20" w:rsidRPr="00AB028D" w:rsidRDefault="008D4A20" w:rsidP="008D4A20">
            <w:pPr>
              <w:keepNext/>
              <w:spacing w:after="0" w:line="200" w:lineRule="atLeast"/>
              <w:ind w:left="113"/>
              <w:rPr>
                <w:rFonts w:ascii="Arial Narrow" w:hAnsi="Arial Narrow"/>
                <w:sz w:val="15"/>
                <w:szCs w:val="15"/>
              </w:rPr>
            </w:pPr>
          </w:p>
        </w:tc>
        <w:tc>
          <w:tcPr>
            <w:tcW w:w="1029" w:type="pct"/>
            <w:tcBorders>
              <w:bottom w:val="single" w:sz="6" w:space="0" w:color="BFBFBF"/>
            </w:tcBorders>
          </w:tcPr>
          <w:p w14:paraId="156DD7C6"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31FB7DB4" w14:textId="3303B66A"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(6</w:t>
            </w:r>
            <w:r>
              <w:rPr>
                <w:rFonts w:ascii="Arial Narrow" w:hAnsi="Arial Narrow"/>
                <w:sz w:val="15"/>
                <w:szCs w:val="15"/>
              </w:rPr>
              <w:t>0</w:t>
            </w:r>
            <w:r w:rsidRPr="00AB028D">
              <w:rPr>
                <w:rFonts w:ascii="Arial Narrow" w:hAnsi="Arial Narrow"/>
                <w:sz w:val="15"/>
                <w:szCs w:val="15"/>
              </w:rPr>
              <w:t>% - estimate)</w:t>
            </w:r>
          </w:p>
        </w:tc>
        <w:tc>
          <w:tcPr>
            <w:tcW w:w="1026" w:type="pct"/>
            <w:tcBorders>
              <w:bottom w:val="single" w:sz="6" w:space="0" w:color="BFBFBF"/>
            </w:tcBorders>
          </w:tcPr>
          <w:p w14:paraId="181233C4"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0D58A3B9" w14:textId="0DA8503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w:t>
            </w:r>
            <w:r w:rsidR="00040069">
              <w:rPr>
                <w:rFonts w:ascii="Arial Narrow" w:hAnsi="Arial Narrow"/>
                <w:sz w:val="15"/>
                <w:szCs w:val="15"/>
              </w:rPr>
              <w:t>31</w:t>
            </w:r>
            <w:r w:rsidRPr="00AB028D">
              <w:rPr>
                <w:rFonts w:ascii="Arial Narrow" w:hAnsi="Arial Narrow"/>
                <w:sz w:val="15"/>
                <w:szCs w:val="15"/>
              </w:rPr>
              <w:t>% - estimate)</w:t>
            </w:r>
          </w:p>
        </w:tc>
        <w:tc>
          <w:tcPr>
            <w:tcW w:w="953" w:type="pct"/>
            <w:tcBorders>
              <w:bottom w:val="single" w:sz="6" w:space="0" w:color="BFBFBF"/>
            </w:tcBorders>
          </w:tcPr>
          <w:p w14:paraId="1C8DA88E" w14:textId="77777777" w:rsidR="008D4A20" w:rsidRPr="00AB028D" w:rsidRDefault="008D4A20" w:rsidP="008D4A20">
            <w:pPr>
              <w:spacing w:after="0" w:line="200" w:lineRule="atLeast"/>
              <w:ind w:left="113"/>
              <w:rPr>
                <w:rFonts w:ascii="Arial Narrow" w:hAnsi="Arial Narrow"/>
                <w:sz w:val="15"/>
                <w:szCs w:val="15"/>
              </w:rPr>
            </w:pPr>
            <w:r w:rsidRPr="00AB028D">
              <w:rPr>
                <w:rFonts w:ascii="Arial Narrow" w:hAnsi="Arial Narrow"/>
                <w:sz w:val="15"/>
                <w:szCs w:val="15"/>
              </w:rPr>
              <w:t xml:space="preserve">Global </w:t>
            </w:r>
            <w:r>
              <w:rPr>
                <w:rFonts w:ascii="Arial Narrow" w:hAnsi="Arial Narrow"/>
                <w:sz w:val="15"/>
                <w:szCs w:val="15"/>
              </w:rPr>
              <w:t>D</w:t>
            </w:r>
            <w:r w:rsidRPr="00AB028D">
              <w:rPr>
                <w:rFonts w:ascii="Arial Narrow" w:hAnsi="Arial Narrow"/>
                <w:sz w:val="15"/>
                <w:szCs w:val="15"/>
              </w:rPr>
              <w:t xml:space="preserve">atabases </w:t>
            </w:r>
          </w:p>
          <w:p w14:paraId="018819D8" w14:textId="15F5E646" w:rsidR="008D4A20" w:rsidRPr="00AB028D" w:rsidRDefault="00040069" w:rsidP="008D4A20">
            <w:pPr>
              <w:spacing w:after="0" w:line="200" w:lineRule="atLeast"/>
              <w:ind w:left="113"/>
              <w:rPr>
                <w:rFonts w:ascii="Arial Narrow" w:hAnsi="Arial Narrow"/>
                <w:sz w:val="15"/>
                <w:szCs w:val="15"/>
              </w:rPr>
            </w:pPr>
            <w:r>
              <w:rPr>
                <w:rFonts w:ascii="Arial Narrow" w:hAnsi="Arial Narrow"/>
                <w:sz w:val="15"/>
                <w:szCs w:val="15"/>
              </w:rPr>
              <w:t>(9</w:t>
            </w:r>
            <w:r w:rsidR="008D4A20" w:rsidRPr="00AB028D">
              <w:rPr>
                <w:rFonts w:ascii="Arial Narrow" w:hAnsi="Arial Narrow"/>
                <w:sz w:val="15"/>
                <w:szCs w:val="15"/>
              </w:rPr>
              <w:t>% - estimate)</w:t>
            </w:r>
          </w:p>
        </w:tc>
        <w:tc>
          <w:tcPr>
            <w:tcW w:w="744" w:type="pct"/>
            <w:tcBorders>
              <w:bottom w:val="single" w:sz="6" w:space="0" w:color="BFBFBF"/>
            </w:tcBorders>
          </w:tcPr>
          <w:p w14:paraId="5D54272B" w14:textId="77777777" w:rsidR="008D4A20" w:rsidRPr="00AB028D" w:rsidRDefault="008D4A20" w:rsidP="008D4A20">
            <w:pPr>
              <w:spacing w:after="0" w:line="200" w:lineRule="atLeast"/>
              <w:ind w:left="113"/>
              <w:rPr>
                <w:rFonts w:ascii="Arial Narrow" w:hAnsi="Arial Narrow"/>
                <w:sz w:val="15"/>
                <w:szCs w:val="15"/>
              </w:rPr>
            </w:pPr>
          </w:p>
        </w:tc>
      </w:tr>
      <w:tr w:rsidR="008D4A20" w:rsidRPr="00AB028D" w14:paraId="4793B31A" w14:textId="77777777" w:rsidTr="008D4A20">
        <w:trPr>
          <w:trHeight w:val="185"/>
        </w:trPr>
        <w:tc>
          <w:tcPr>
            <w:tcW w:w="224" w:type="pct"/>
            <w:tcBorders>
              <w:top w:val="single" w:sz="6" w:space="0" w:color="BFBFBF"/>
            </w:tcBorders>
          </w:tcPr>
          <w:p w14:paraId="51091404"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GCP</w:t>
            </w:r>
          </w:p>
        </w:tc>
        <w:tc>
          <w:tcPr>
            <w:tcW w:w="1024" w:type="pct"/>
            <w:tcBorders>
              <w:top w:val="single" w:sz="6" w:space="0" w:color="BFBFBF"/>
            </w:tcBorders>
          </w:tcPr>
          <w:p w14:paraId="6451CB26"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 xml:space="preserve"> IGC</w:t>
            </w:r>
          </w:p>
        </w:tc>
        <w:tc>
          <w:tcPr>
            <w:tcW w:w="1029" w:type="pct"/>
            <w:tcBorders>
              <w:top w:val="single" w:sz="6" w:space="0" w:color="BFBFBF"/>
            </w:tcBorders>
          </w:tcPr>
          <w:p w14:paraId="30EB531D" w14:textId="77777777" w:rsidR="008D4A20" w:rsidRPr="00AB028D" w:rsidRDefault="008D4A20" w:rsidP="008D4A20">
            <w:pPr>
              <w:spacing w:after="0" w:line="200" w:lineRule="atLeast"/>
              <w:rPr>
                <w:rFonts w:ascii="Arial Narrow" w:hAnsi="Arial Narrow"/>
                <w:sz w:val="15"/>
                <w:szCs w:val="15"/>
              </w:rPr>
            </w:pPr>
          </w:p>
        </w:tc>
        <w:tc>
          <w:tcPr>
            <w:tcW w:w="1026" w:type="pct"/>
            <w:tcBorders>
              <w:top w:val="single" w:sz="6" w:space="0" w:color="BFBFBF"/>
            </w:tcBorders>
          </w:tcPr>
          <w:p w14:paraId="4EE03F00" w14:textId="77777777" w:rsidR="008D4A20" w:rsidRPr="00AB028D" w:rsidRDefault="008D4A20" w:rsidP="008D4A20">
            <w:pPr>
              <w:spacing w:after="0" w:line="200" w:lineRule="atLeast"/>
              <w:rPr>
                <w:rFonts w:ascii="Arial Narrow" w:hAnsi="Arial Narrow"/>
                <w:sz w:val="15"/>
                <w:szCs w:val="15"/>
              </w:rPr>
            </w:pPr>
          </w:p>
        </w:tc>
        <w:tc>
          <w:tcPr>
            <w:tcW w:w="953" w:type="pct"/>
            <w:tcBorders>
              <w:top w:val="single" w:sz="6" w:space="0" w:color="BFBFBF"/>
            </w:tcBorders>
          </w:tcPr>
          <w:p w14:paraId="0BDDB713" w14:textId="77777777" w:rsidR="008D4A20" w:rsidRPr="00AB028D" w:rsidRDefault="008D4A20" w:rsidP="008D4A20">
            <w:pPr>
              <w:spacing w:after="0" w:line="200" w:lineRule="atLeast"/>
              <w:rPr>
                <w:rFonts w:ascii="Arial Narrow" w:hAnsi="Arial Narrow"/>
                <w:sz w:val="15"/>
                <w:szCs w:val="15"/>
              </w:rPr>
            </w:pPr>
          </w:p>
        </w:tc>
        <w:tc>
          <w:tcPr>
            <w:tcW w:w="744" w:type="pct"/>
            <w:tcBorders>
              <w:top w:val="single" w:sz="6" w:space="0" w:color="BFBFBF"/>
            </w:tcBorders>
          </w:tcPr>
          <w:p w14:paraId="53C4FFBC" w14:textId="77777777" w:rsidR="008D4A20" w:rsidRPr="00AB028D" w:rsidRDefault="008D4A20" w:rsidP="008D4A20">
            <w:pPr>
              <w:spacing w:after="0" w:line="200" w:lineRule="atLeast"/>
              <w:rPr>
                <w:rFonts w:ascii="Arial Narrow" w:hAnsi="Arial Narrow"/>
                <w:sz w:val="15"/>
                <w:szCs w:val="15"/>
              </w:rPr>
            </w:pPr>
          </w:p>
        </w:tc>
      </w:tr>
      <w:tr w:rsidR="008D4A20" w:rsidRPr="00AB028D" w14:paraId="75E3B10C" w14:textId="77777777" w:rsidTr="008D4A20">
        <w:trPr>
          <w:trHeight w:val="185"/>
        </w:trPr>
        <w:tc>
          <w:tcPr>
            <w:tcW w:w="224" w:type="pct"/>
            <w:tcBorders>
              <w:bottom w:val="single" w:sz="6" w:space="0" w:color="BFBFBF"/>
            </w:tcBorders>
          </w:tcPr>
          <w:p w14:paraId="084AC431" w14:textId="77777777" w:rsidR="008D4A20" w:rsidRPr="00AB028D" w:rsidRDefault="008D4A20" w:rsidP="008D4A20">
            <w:pPr>
              <w:keepNext/>
              <w:spacing w:after="0" w:line="200" w:lineRule="atLeast"/>
              <w:ind w:left="113"/>
              <w:rPr>
                <w:rFonts w:ascii="Arial Narrow" w:hAnsi="Arial Narrow"/>
                <w:sz w:val="15"/>
                <w:szCs w:val="15"/>
              </w:rPr>
            </w:pPr>
          </w:p>
        </w:tc>
        <w:tc>
          <w:tcPr>
            <w:tcW w:w="1024" w:type="pct"/>
            <w:tcBorders>
              <w:bottom w:val="single" w:sz="6" w:space="0" w:color="BFBFBF"/>
            </w:tcBorders>
          </w:tcPr>
          <w:p w14:paraId="375533D0"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TK, TCEs &amp; GRs capacity building</w:t>
            </w:r>
          </w:p>
        </w:tc>
        <w:tc>
          <w:tcPr>
            <w:tcW w:w="1029" w:type="pct"/>
            <w:tcBorders>
              <w:bottom w:val="single" w:sz="6" w:space="0" w:color="BFBFBF"/>
            </w:tcBorders>
          </w:tcPr>
          <w:p w14:paraId="5AB18C40" w14:textId="77777777" w:rsidR="008D4A20" w:rsidRPr="00AB028D" w:rsidRDefault="008D4A20" w:rsidP="008D4A20">
            <w:pPr>
              <w:spacing w:after="0" w:line="200" w:lineRule="atLeast"/>
              <w:rPr>
                <w:rFonts w:ascii="Arial Narrow" w:hAnsi="Arial Narrow"/>
                <w:sz w:val="15"/>
                <w:szCs w:val="15"/>
              </w:rPr>
            </w:pPr>
          </w:p>
        </w:tc>
        <w:tc>
          <w:tcPr>
            <w:tcW w:w="1026" w:type="pct"/>
            <w:tcBorders>
              <w:bottom w:val="single" w:sz="6" w:space="0" w:color="BFBFBF"/>
            </w:tcBorders>
          </w:tcPr>
          <w:p w14:paraId="685E5D59" w14:textId="77777777" w:rsidR="008D4A20" w:rsidRPr="00AB028D" w:rsidRDefault="008D4A20" w:rsidP="008D4A20">
            <w:pPr>
              <w:spacing w:after="0" w:line="200" w:lineRule="atLeast"/>
              <w:rPr>
                <w:rFonts w:ascii="Arial Narrow" w:hAnsi="Arial Narrow"/>
                <w:sz w:val="15"/>
                <w:szCs w:val="15"/>
              </w:rPr>
            </w:pPr>
          </w:p>
        </w:tc>
        <w:tc>
          <w:tcPr>
            <w:tcW w:w="953" w:type="pct"/>
            <w:tcBorders>
              <w:bottom w:val="single" w:sz="6" w:space="0" w:color="BFBFBF"/>
            </w:tcBorders>
          </w:tcPr>
          <w:p w14:paraId="073000F8" w14:textId="77777777" w:rsidR="008D4A20" w:rsidRPr="00AB028D" w:rsidRDefault="008D4A20" w:rsidP="008D4A20">
            <w:pPr>
              <w:spacing w:after="0" w:line="200" w:lineRule="atLeast"/>
              <w:rPr>
                <w:rFonts w:ascii="Arial Narrow" w:hAnsi="Arial Narrow"/>
                <w:sz w:val="15"/>
                <w:szCs w:val="15"/>
              </w:rPr>
            </w:pPr>
          </w:p>
        </w:tc>
        <w:tc>
          <w:tcPr>
            <w:tcW w:w="744" w:type="pct"/>
            <w:tcBorders>
              <w:bottom w:val="single" w:sz="6" w:space="0" w:color="BFBFBF"/>
            </w:tcBorders>
          </w:tcPr>
          <w:p w14:paraId="57A1D135" w14:textId="77777777" w:rsidR="008D4A20" w:rsidRPr="00AB028D" w:rsidRDefault="008D4A20" w:rsidP="008D4A20">
            <w:pPr>
              <w:spacing w:after="0" w:line="200" w:lineRule="atLeast"/>
              <w:rPr>
                <w:rFonts w:ascii="Arial Narrow" w:hAnsi="Arial Narrow"/>
                <w:sz w:val="15"/>
                <w:szCs w:val="15"/>
              </w:rPr>
            </w:pPr>
          </w:p>
        </w:tc>
      </w:tr>
      <w:tr w:rsidR="008D4A20" w:rsidRPr="00AB028D" w14:paraId="2BE15AFF" w14:textId="77777777" w:rsidTr="008D4A20">
        <w:trPr>
          <w:trHeight w:val="185"/>
        </w:trPr>
        <w:tc>
          <w:tcPr>
            <w:tcW w:w="224" w:type="pct"/>
            <w:tcBorders>
              <w:top w:val="single" w:sz="6" w:space="0" w:color="BFBFBF"/>
            </w:tcBorders>
          </w:tcPr>
          <w:p w14:paraId="3B0C0E8C"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IE</w:t>
            </w:r>
          </w:p>
        </w:tc>
        <w:tc>
          <w:tcPr>
            <w:tcW w:w="1024" w:type="pct"/>
            <w:tcBorders>
              <w:top w:val="single" w:sz="6" w:space="0" w:color="BFBFBF"/>
            </w:tcBorders>
          </w:tcPr>
          <w:p w14:paraId="5896EDFE"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Dispute R</w:t>
            </w:r>
            <w:r w:rsidRPr="00AB028D">
              <w:rPr>
                <w:rFonts w:ascii="Arial Narrow" w:hAnsi="Arial Narrow"/>
                <w:sz w:val="15"/>
                <w:szCs w:val="15"/>
              </w:rPr>
              <w:t>esolution (ADR) services</w:t>
            </w:r>
          </w:p>
          <w:p w14:paraId="31352103"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(18% - estimate)</w:t>
            </w:r>
          </w:p>
        </w:tc>
        <w:tc>
          <w:tcPr>
            <w:tcW w:w="1029" w:type="pct"/>
            <w:tcBorders>
              <w:top w:val="single" w:sz="6" w:space="0" w:color="BFBFBF"/>
            </w:tcBorders>
          </w:tcPr>
          <w:p w14:paraId="5E402D9B"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Dispute R</w:t>
            </w:r>
            <w:r w:rsidRPr="00AB028D">
              <w:rPr>
                <w:rFonts w:ascii="Arial Narrow" w:hAnsi="Arial Narrow"/>
                <w:sz w:val="15"/>
                <w:szCs w:val="15"/>
              </w:rPr>
              <w:t>esolution (ADR) services</w:t>
            </w:r>
          </w:p>
          <w:p w14:paraId="5F227204"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(17% - estimate)</w:t>
            </w:r>
          </w:p>
        </w:tc>
        <w:tc>
          <w:tcPr>
            <w:tcW w:w="1026" w:type="pct"/>
            <w:tcBorders>
              <w:top w:val="single" w:sz="6" w:space="0" w:color="BFBFBF"/>
            </w:tcBorders>
          </w:tcPr>
          <w:p w14:paraId="477CF412" w14:textId="77777777" w:rsidR="008D4A20" w:rsidRPr="00AB028D" w:rsidRDefault="008D4A20" w:rsidP="008D4A20">
            <w:pPr>
              <w:keepNext/>
              <w:spacing w:after="0" w:line="200" w:lineRule="atLeast"/>
              <w:ind w:left="113"/>
              <w:rPr>
                <w:rFonts w:ascii="Arial Narrow" w:hAnsi="Arial Narrow"/>
                <w:sz w:val="15"/>
                <w:szCs w:val="15"/>
              </w:rPr>
            </w:pPr>
            <w:r w:rsidRPr="00AB028D">
              <w:rPr>
                <w:rFonts w:ascii="Arial Narrow" w:hAnsi="Arial Narrow"/>
                <w:sz w:val="15"/>
                <w:szCs w:val="15"/>
              </w:rPr>
              <w:t xml:space="preserve">Alternative </w:t>
            </w:r>
            <w:r>
              <w:rPr>
                <w:rFonts w:ascii="Arial Narrow" w:hAnsi="Arial Narrow"/>
                <w:sz w:val="15"/>
                <w:szCs w:val="15"/>
              </w:rPr>
              <w:t>D</w:t>
            </w:r>
            <w:r w:rsidRPr="00AB028D">
              <w:rPr>
                <w:rFonts w:ascii="Arial Narrow" w:hAnsi="Arial Narrow"/>
                <w:sz w:val="15"/>
                <w:szCs w:val="15"/>
              </w:rPr>
              <w:t xml:space="preserve">ispute </w:t>
            </w:r>
            <w:r>
              <w:rPr>
                <w:rFonts w:ascii="Arial Narrow" w:hAnsi="Arial Narrow"/>
                <w:sz w:val="15"/>
                <w:szCs w:val="15"/>
              </w:rPr>
              <w:t>R</w:t>
            </w:r>
            <w:r w:rsidRPr="00AB028D">
              <w:rPr>
                <w:rFonts w:ascii="Arial Narrow" w:hAnsi="Arial Narrow"/>
                <w:sz w:val="15"/>
                <w:szCs w:val="15"/>
              </w:rPr>
              <w:t xml:space="preserve">esolution (ADR) services </w:t>
            </w:r>
          </w:p>
          <w:p w14:paraId="1FAC309B" w14:textId="77777777" w:rsidR="008D4A20" w:rsidRPr="00AB028D" w:rsidRDefault="008D4A20" w:rsidP="008D4A20">
            <w:pPr>
              <w:keepNext/>
              <w:spacing w:after="0" w:line="200" w:lineRule="atLeast"/>
              <w:rPr>
                <w:rFonts w:ascii="Arial Narrow" w:hAnsi="Arial Narrow"/>
                <w:sz w:val="15"/>
                <w:szCs w:val="15"/>
              </w:rPr>
            </w:pPr>
            <w:r w:rsidRPr="00AB028D">
              <w:rPr>
                <w:rFonts w:ascii="Arial Narrow" w:hAnsi="Arial Narrow"/>
                <w:sz w:val="15"/>
                <w:szCs w:val="15"/>
              </w:rPr>
              <w:t xml:space="preserve">   (46% - estimate)</w:t>
            </w:r>
          </w:p>
        </w:tc>
        <w:tc>
          <w:tcPr>
            <w:tcW w:w="953" w:type="pct"/>
            <w:tcBorders>
              <w:top w:val="single" w:sz="6" w:space="0" w:color="BFBFBF"/>
            </w:tcBorders>
          </w:tcPr>
          <w:p w14:paraId="2BD16A86" w14:textId="77777777" w:rsidR="008D4A20" w:rsidRPr="00AB028D" w:rsidRDefault="008D4A20" w:rsidP="008D4A20">
            <w:pPr>
              <w:keepNext/>
              <w:spacing w:after="0" w:line="200" w:lineRule="atLeast"/>
              <w:ind w:left="113"/>
              <w:rPr>
                <w:rFonts w:ascii="Arial Narrow" w:hAnsi="Arial Narrow"/>
                <w:sz w:val="15"/>
                <w:szCs w:val="15"/>
              </w:rPr>
            </w:pPr>
            <w:r>
              <w:rPr>
                <w:rFonts w:ascii="Arial Narrow" w:hAnsi="Arial Narrow"/>
                <w:sz w:val="15"/>
                <w:szCs w:val="15"/>
              </w:rPr>
              <w:t>Alternative D</w:t>
            </w:r>
            <w:r w:rsidRPr="00AB028D">
              <w:rPr>
                <w:rFonts w:ascii="Arial Narrow" w:hAnsi="Arial Narrow"/>
                <w:sz w:val="15"/>
                <w:szCs w:val="15"/>
              </w:rPr>
              <w:t xml:space="preserve">ispute </w:t>
            </w:r>
            <w:r>
              <w:rPr>
                <w:rFonts w:ascii="Arial Narrow" w:hAnsi="Arial Narrow"/>
                <w:sz w:val="15"/>
                <w:szCs w:val="15"/>
              </w:rPr>
              <w:t>R</w:t>
            </w:r>
            <w:r w:rsidRPr="00AB028D">
              <w:rPr>
                <w:rFonts w:ascii="Arial Narrow" w:hAnsi="Arial Narrow"/>
                <w:sz w:val="15"/>
                <w:szCs w:val="15"/>
              </w:rPr>
              <w:t xml:space="preserve">esolution (ADR) services </w:t>
            </w:r>
          </w:p>
          <w:p w14:paraId="1BF063B5" w14:textId="77777777" w:rsidR="008D4A20" w:rsidRPr="00AB028D" w:rsidRDefault="008D4A20" w:rsidP="008D4A20">
            <w:pPr>
              <w:keepNext/>
              <w:spacing w:after="0" w:line="200" w:lineRule="atLeast"/>
              <w:rPr>
                <w:rFonts w:ascii="Arial Narrow" w:hAnsi="Arial Narrow"/>
                <w:sz w:val="15"/>
                <w:szCs w:val="15"/>
              </w:rPr>
            </w:pPr>
            <w:r w:rsidRPr="00AB028D">
              <w:rPr>
                <w:rFonts w:ascii="Arial Narrow" w:hAnsi="Arial Narrow"/>
                <w:sz w:val="15"/>
                <w:szCs w:val="15"/>
              </w:rPr>
              <w:t xml:space="preserve">   (19% - estimate)</w:t>
            </w:r>
          </w:p>
        </w:tc>
        <w:tc>
          <w:tcPr>
            <w:tcW w:w="744" w:type="pct"/>
            <w:tcBorders>
              <w:top w:val="single" w:sz="6" w:space="0" w:color="BFBFBF"/>
            </w:tcBorders>
          </w:tcPr>
          <w:p w14:paraId="702DE61A" w14:textId="77777777" w:rsidR="008D4A20" w:rsidRPr="00AB028D" w:rsidRDefault="008D4A20" w:rsidP="008D4A20">
            <w:pPr>
              <w:spacing w:after="0" w:line="200" w:lineRule="atLeast"/>
              <w:rPr>
                <w:rFonts w:ascii="Arial Narrow" w:hAnsi="Arial Narrow"/>
                <w:sz w:val="15"/>
                <w:szCs w:val="15"/>
              </w:rPr>
            </w:pPr>
          </w:p>
        </w:tc>
      </w:tr>
      <w:tr w:rsidR="0000041D" w:rsidRPr="00AB028D" w14:paraId="1F390847" w14:textId="77777777" w:rsidTr="008D4A20">
        <w:trPr>
          <w:trHeight w:val="185"/>
        </w:trPr>
        <w:tc>
          <w:tcPr>
            <w:tcW w:w="224" w:type="pct"/>
            <w:tcBorders>
              <w:top w:val="single" w:sz="6" w:space="0" w:color="BFBFBF"/>
            </w:tcBorders>
          </w:tcPr>
          <w:p w14:paraId="6CD7B9C6" w14:textId="26033C1C" w:rsidR="0000041D" w:rsidRPr="00AB028D" w:rsidRDefault="0000041D" w:rsidP="008D4A20">
            <w:pPr>
              <w:keepNext/>
              <w:spacing w:after="0" w:line="200" w:lineRule="atLeast"/>
              <w:ind w:left="113"/>
              <w:rPr>
                <w:rFonts w:ascii="Arial Narrow" w:hAnsi="Arial Narrow"/>
                <w:sz w:val="15"/>
                <w:szCs w:val="15"/>
              </w:rPr>
            </w:pPr>
            <w:r>
              <w:rPr>
                <w:rFonts w:ascii="Arial Narrow" w:hAnsi="Arial Narrow"/>
                <w:sz w:val="15"/>
                <w:szCs w:val="15"/>
              </w:rPr>
              <w:t>AFM</w:t>
            </w:r>
          </w:p>
        </w:tc>
        <w:tc>
          <w:tcPr>
            <w:tcW w:w="1024" w:type="pct"/>
            <w:tcBorders>
              <w:top w:val="single" w:sz="6" w:space="0" w:color="BFBFBF"/>
            </w:tcBorders>
          </w:tcPr>
          <w:p w14:paraId="2AFEDCCA" w14:textId="77777777" w:rsidR="0000041D" w:rsidRDefault="0000041D" w:rsidP="008D4A20">
            <w:pPr>
              <w:keepNext/>
              <w:spacing w:after="0" w:line="200" w:lineRule="atLeast"/>
              <w:ind w:left="113"/>
              <w:rPr>
                <w:rFonts w:ascii="Arial Narrow" w:hAnsi="Arial Narrow"/>
                <w:sz w:val="15"/>
                <w:szCs w:val="15"/>
              </w:rPr>
            </w:pPr>
          </w:p>
        </w:tc>
        <w:tc>
          <w:tcPr>
            <w:tcW w:w="1029" w:type="pct"/>
            <w:tcBorders>
              <w:top w:val="single" w:sz="6" w:space="0" w:color="BFBFBF"/>
            </w:tcBorders>
          </w:tcPr>
          <w:p w14:paraId="0E68EE9A" w14:textId="2742FF86" w:rsidR="0000041D" w:rsidRDefault="0000041D" w:rsidP="0000041D">
            <w:pPr>
              <w:keepNext/>
              <w:spacing w:after="0" w:line="200" w:lineRule="atLeast"/>
              <w:ind w:left="113"/>
              <w:rPr>
                <w:rFonts w:ascii="Arial Narrow" w:hAnsi="Arial Narrow"/>
                <w:sz w:val="15"/>
                <w:szCs w:val="15"/>
              </w:rPr>
            </w:pPr>
            <w:r>
              <w:rPr>
                <w:rFonts w:ascii="Arial Narrow" w:hAnsi="Arial Narrow"/>
                <w:sz w:val="15"/>
                <w:szCs w:val="15"/>
              </w:rPr>
              <w:t>PCT information system, hosting (UNICC and Cloud) and Income Section services</w:t>
            </w:r>
          </w:p>
        </w:tc>
        <w:tc>
          <w:tcPr>
            <w:tcW w:w="1026" w:type="pct"/>
            <w:tcBorders>
              <w:top w:val="single" w:sz="6" w:space="0" w:color="BFBFBF"/>
            </w:tcBorders>
          </w:tcPr>
          <w:p w14:paraId="6A964CC7" w14:textId="3D87D608" w:rsidR="0000041D" w:rsidRPr="00AB028D" w:rsidRDefault="0000041D" w:rsidP="008D4A20">
            <w:pPr>
              <w:keepNext/>
              <w:spacing w:after="0" w:line="200" w:lineRule="atLeast"/>
              <w:ind w:left="113"/>
              <w:rPr>
                <w:rFonts w:ascii="Arial Narrow" w:hAnsi="Arial Narrow"/>
                <w:sz w:val="15"/>
                <w:szCs w:val="15"/>
              </w:rPr>
            </w:pPr>
            <w:r>
              <w:rPr>
                <w:rFonts w:ascii="Arial Narrow" w:hAnsi="Arial Narrow"/>
                <w:sz w:val="15"/>
                <w:szCs w:val="15"/>
              </w:rPr>
              <w:t>Madrid information system, hosting (UNICC and Cloud) and Income Section services</w:t>
            </w:r>
          </w:p>
        </w:tc>
        <w:tc>
          <w:tcPr>
            <w:tcW w:w="953" w:type="pct"/>
            <w:tcBorders>
              <w:top w:val="single" w:sz="6" w:space="0" w:color="BFBFBF"/>
            </w:tcBorders>
          </w:tcPr>
          <w:p w14:paraId="230C6F66" w14:textId="21D4402A" w:rsidR="0000041D" w:rsidRDefault="0000041D" w:rsidP="0035361F">
            <w:pPr>
              <w:spacing w:after="0" w:line="200" w:lineRule="atLeast"/>
              <w:ind w:left="113"/>
              <w:rPr>
                <w:rFonts w:ascii="Arial Narrow" w:hAnsi="Arial Narrow"/>
                <w:sz w:val="15"/>
                <w:szCs w:val="15"/>
              </w:rPr>
            </w:pPr>
            <w:r>
              <w:rPr>
                <w:rFonts w:ascii="Arial Narrow" w:hAnsi="Arial Narrow"/>
                <w:sz w:val="15"/>
                <w:szCs w:val="15"/>
              </w:rPr>
              <w:t>The Hague information system, hosting (UNICC and Cloud) and Income Section services  </w:t>
            </w:r>
          </w:p>
        </w:tc>
        <w:tc>
          <w:tcPr>
            <w:tcW w:w="744" w:type="pct"/>
            <w:tcBorders>
              <w:top w:val="single" w:sz="6" w:space="0" w:color="BFBFBF"/>
            </w:tcBorders>
          </w:tcPr>
          <w:p w14:paraId="2F1A4E42" w14:textId="77777777" w:rsidR="0000041D" w:rsidRPr="00AB028D" w:rsidRDefault="0000041D" w:rsidP="008D4A20">
            <w:pPr>
              <w:spacing w:after="0" w:line="200" w:lineRule="atLeast"/>
              <w:rPr>
                <w:rFonts w:ascii="Arial Narrow" w:hAnsi="Arial Narrow"/>
                <w:sz w:val="15"/>
                <w:szCs w:val="15"/>
              </w:rPr>
            </w:pPr>
          </w:p>
        </w:tc>
      </w:tr>
      <w:tr w:rsidR="008D4A20" w:rsidRPr="00AB028D" w14:paraId="0A9B91ED" w14:textId="77777777" w:rsidTr="008D4A20">
        <w:trPr>
          <w:trHeight w:val="52"/>
        </w:trPr>
        <w:tc>
          <w:tcPr>
            <w:tcW w:w="5000" w:type="pct"/>
            <w:gridSpan w:val="6"/>
            <w:shd w:val="clear" w:color="auto" w:fill="C6CFD7"/>
          </w:tcPr>
          <w:p w14:paraId="7F6CC3AC" w14:textId="77777777" w:rsidR="008D4A20" w:rsidRPr="00AB028D" w:rsidRDefault="008D4A20" w:rsidP="008D4A20">
            <w:pPr>
              <w:spacing w:after="0" w:line="200" w:lineRule="atLeast"/>
              <w:rPr>
                <w:rFonts w:ascii="Arial Narrow" w:hAnsi="Arial Narrow"/>
                <w:sz w:val="7"/>
                <w:szCs w:val="15"/>
              </w:rPr>
            </w:pPr>
          </w:p>
        </w:tc>
      </w:tr>
    </w:tbl>
    <w:p w14:paraId="0D39EF11" w14:textId="77777777" w:rsidR="008D4A20" w:rsidRPr="00AB028D" w:rsidRDefault="008D4A20" w:rsidP="008D4A20">
      <w:pPr>
        <w:spacing w:after="0"/>
        <w:rPr>
          <w:rFonts w:eastAsia="Arial" w:cs="Arial"/>
        </w:rPr>
      </w:pPr>
    </w:p>
    <w:p w14:paraId="02951AF9" w14:textId="77777777" w:rsidR="008D4A20" w:rsidRPr="00AB028D" w:rsidRDefault="008D4A20" w:rsidP="008407D7">
      <w:pPr>
        <w:pStyle w:val="NormalNumb"/>
        <w:numPr>
          <w:ilvl w:val="4"/>
          <w:numId w:val="27"/>
        </w:numPr>
        <w:rPr>
          <w:rFonts w:eastAsia="Arial" w:cs="Arial"/>
        </w:rPr>
      </w:pPr>
      <w:r w:rsidRPr="00AB028D">
        <w:rPr>
          <w:rFonts w:eastAsia="Arial" w:cs="Arial"/>
        </w:rPr>
        <w:t xml:space="preserve">Expenditure related to other activities is allocated as “Indirect Union” expenses based on the “capacity to pay” principle. </w:t>
      </w:r>
    </w:p>
    <w:p w14:paraId="2D3873FC" w14:textId="7501D6A8" w:rsidR="008D4A20" w:rsidRPr="00AB028D" w:rsidRDefault="008D4A20" w:rsidP="008407D7">
      <w:pPr>
        <w:pStyle w:val="NormalNumb"/>
        <w:numPr>
          <w:ilvl w:val="4"/>
          <w:numId w:val="27"/>
        </w:numPr>
        <w:spacing w:after="120"/>
        <w:rPr>
          <w:rFonts w:eastAsia="Arial" w:cs="Arial"/>
        </w:rPr>
      </w:pPr>
      <w:r w:rsidRPr="00AB028D">
        <w:rPr>
          <w:rFonts w:eastAsia="Arial" w:cs="Arial"/>
        </w:rPr>
        <w:t xml:space="preserve">Expenditure related to activities </w:t>
      </w:r>
      <w:r>
        <w:rPr>
          <w:rFonts w:eastAsia="Arial" w:cs="Arial"/>
        </w:rPr>
        <w:t xml:space="preserve">implemented by AFM, excluding News and Media, </w:t>
      </w:r>
      <w:r w:rsidRPr="00AB028D">
        <w:rPr>
          <w:rFonts w:eastAsia="Arial" w:cs="Arial"/>
        </w:rPr>
        <w:t xml:space="preserve">is allocated as “Direct Admin” expenses to all Unions as follows:  (a) direct attribution to the Unions of administrative costs such as the share of cost of server hosting at UNICC </w:t>
      </w:r>
      <w:r>
        <w:rPr>
          <w:rFonts w:eastAsia="Arial" w:cs="Arial"/>
        </w:rPr>
        <w:t xml:space="preserve">and in the cloud </w:t>
      </w:r>
      <w:r w:rsidRPr="00AB028D">
        <w:rPr>
          <w:rFonts w:eastAsia="Arial" w:cs="Arial"/>
        </w:rPr>
        <w:t>and share of cost of the Income Section in Finance</w:t>
      </w:r>
      <w:r w:rsidR="0026419C" w:rsidRPr="00AB028D">
        <w:rPr>
          <w:rFonts w:eastAsia="Arial" w:cs="Arial"/>
        </w:rPr>
        <w:t>; and</w:t>
      </w:r>
      <w:r w:rsidRPr="00AB028D">
        <w:rPr>
          <w:rFonts w:eastAsia="Arial" w:cs="Arial"/>
        </w:rPr>
        <w:t xml:space="preserve"> (b) attribution to the Unions of the remaining “direct administrative” costs based on relative headcount shares.  The administration related expenses that are not allocated as “Direct Admin” expenses are allocated as “Indirect Admin” expenses based on the “capacity-to-pay” principle.</w:t>
      </w:r>
    </w:p>
    <w:p w14:paraId="69C666DC" w14:textId="77777777" w:rsidR="008D4A20" w:rsidRPr="00AB028D" w:rsidRDefault="008D4A20" w:rsidP="00B14BAF">
      <w:pPr>
        <w:keepNext/>
        <w:spacing w:before="120"/>
        <w:outlineLvl w:val="2"/>
        <w:rPr>
          <w:rFonts w:ascii="Arial Bold" w:eastAsia="Arial" w:hAnsi="Arial Bold" w:cs="Arial"/>
          <w:b/>
          <w:color w:val="005172"/>
          <w:sz w:val="22"/>
        </w:rPr>
      </w:pPr>
      <w:r w:rsidRPr="00AB028D">
        <w:rPr>
          <w:rFonts w:ascii="Arial Bold" w:eastAsia="Arial" w:hAnsi="Arial Bold" w:cs="Arial"/>
          <w:b/>
          <w:color w:val="005172"/>
          <w:sz w:val="22"/>
        </w:rPr>
        <w:t>Allocation of IPSAS Adjustments by Union</w:t>
      </w:r>
    </w:p>
    <w:p w14:paraId="7B64EE5E" w14:textId="77777777" w:rsidR="008D4A20" w:rsidRPr="00AB028D" w:rsidRDefault="008D4A20" w:rsidP="008407D7">
      <w:pPr>
        <w:pStyle w:val="NormalNumb"/>
        <w:numPr>
          <w:ilvl w:val="4"/>
          <w:numId w:val="27"/>
        </w:numPr>
        <w:spacing w:after="0"/>
        <w:rPr>
          <w:rFonts w:eastAsia="Arial" w:cs="Arial"/>
        </w:rPr>
      </w:pPr>
      <w:r w:rsidRPr="00AB028D">
        <w:rPr>
          <w:rFonts w:eastAsia="Arial" w:cs="Arial"/>
        </w:rPr>
        <w:t>IPSAS adjustments to expenditure are allocated pro-rata among the Unions based on relative expenditure shares. IPSAS adjustments include after-service employee benefits, buildings and equipment depreciation, software and land surface rights amortization and capitalization.</w:t>
      </w:r>
    </w:p>
    <w:p w14:paraId="6A19944A" w14:textId="77777777" w:rsidR="008D4A20" w:rsidRPr="00AB028D" w:rsidRDefault="008D4A20" w:rsidP="008D4A20">
      <w:pPr>
        <w:keepNext/>
        <w:keepLines/>
        <w:spacing w:after="0" w:line="240" w:lineRule="auto"/>
        <w:jc w:val="center"/>
        <w:rPr>
          <w:rFonts w:eastAsia="Arial" w:cs="Arial"/>
          <w:b/>
          <w:color w:val="005172"/>
        </w:rPr>
      </w:pPr>
      <w:r w:rsidRPr="00AB028D">
        <w:rPr>
          <w:rFonts w:eastAsia="Arial" w:cs="Arial"/>
          <w:b/>
          <w:color w:val="005172"/>
        </w:rPr>
        <w:t>Overall Scenario by Union</w:t>
      </w:r>
    </w:p>
    <w:p w14:paraId="22D2E9D2" w14:textId="78E5957F" w:rsidR="008D4A20" w:rsidRDefault="008D4A20" w:rsidP="0040158A">
      <w:pPr>
        <w:keepNext/>
        <w:keepLines/>
        <w:spacing w:after="0" w:line="240" w:lineRule="auto"/>
        <w:jc w:val="center"/>
        <w:rPr>
          <w:rFonts w:eastAsia="Arial" w:cs="Arial"/>
          <w:i/>
          <w:sz w:val="16"/>
        </w:rPr>
      </w:pPr>
      <w:r w:rsidRPr="00AB028D">
        <w:rPr>
          <w:rFonts w:eastAsia="Arial" w:cs="Arial"/>
          <w:i/>
          <w:sz w:val="16"/>
        </w:rPr>
        <w:t>(in thousands of Swiss francs)</w:t>
      </w:r>
    </w:p>
    <w:p w14:paraId="1AA51124" w14:textId="77777777" w:rsidR="001C5319" w:rsidRDefault="001C5319" w:rsidP="0040158A">
      <w:pPr>
        <w:keepNext/>
        <w:keepLines/>
        <w:spacing w:after="0" w:line="240" w:lineRule="auto"/>
        <w:jc w:val="center"/>
        <w:rPr>
          <w:rFonts w:eastAsia="Arial" w:cs="Arial"/>
          <w:i/>
          <w:sz w:val="16"/>
        </w:rPr>
      </w:pPr>
    </w:p>
    <w:tbl>
      <w:tblPr>
        <w:tblW w:w="9400" w:type="dxa"/>
        <w:tblLook w:val="04A0" w:firstRow="1" w:lastRow="0" w:firstColumn="1" w:lastColumn="0" w:noHBand="0" w:noVBand="1"/>
      </w:tblPr>
      <w:tblGrid>
        <w:gridCol w:w="251"/>
        <w:gridCol w:w="1900"/>
        <w:gridCol w:w="718"/>
        <w:gridCol w:w="542"/>
        <w:gridCol w:w="697"/>
        <w:gridCol w:w="542"/>
        <w:gridCol w:w="686"/>
        <w:gridCol w:w="542"/>
        <w:gridCol w:w="706"/>
        <w:gridCol w:w="542"/>
        <w:gridCol w:w="772"/>
        <w:gridCol w:w="408"/>
        <w:gridCol w:w="780"/>
        <w:gridCol w:w="542"/>
      </w:tblGrid>
      <w:tr w:rsidR="001C5319" w:rsidRPr="001C5319" w14:paraId="2CC07B8B" w14:textId="77777777" w:rsidTr="001C5319">
        <w:trPr>
          <w:trHeight w:val="420"/>
        </w:trPr>
        <w:tc>
          <w:tcPr>
            <w:tcW w:w="220" w:type="dxa"/>
            <w:tcBorders>
              <w:top w:val="nil"/>
              <w:left w:val="nil"/>
              <w:bottom w:val="nil"/>
              <w:right w:val="nil"/>
            </w:tcBorders>
            <w:shd w:val="clear" w:color="000000" w:fill="C7CFD8"/>
            <w:noWrap/>
            <w:vAlign w:val="bottom"/>
            <w:hideMark/>
          </w:tcPr>
          <w:p w14:paraId="31F610A0"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1900" w:type="dxa"/>
            <w:tcBorders>
              <w:top w:val="nil"/>
              <w:left w:val="nil"/>
              <w:bottom w:val="nil"/>
              <w:right w:val="nil"/>
            </w:tcBorders>
            <w:shd w:val="clear" w:color="000000" w:fill="C7CFD8"/>
            <w:noWrap/>
            <w:vAlign w:val="bottom"/>
            <w:hideMark/>
          </w:tcPr>
          <w:p w14:paraId="47E8870B"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1240" w:type="dxa"/>
            <w:gridSpan w:val="2"/>
            <w:tcBorders>
              <w:top w:val="nil"/>
              <w:left w:val="nil"/>
              <w:bottom w:val="nil"/>
              <w:right w:val="nil"/>
            </w:tcBorders>
            <w:shd w:val="clear" w:color="000000" w:fill="C7CFD8"/>
            <w:noWrap/>
            <w:vAlign w:val="center"/>
            <w:hideMark/>
          </w:tcPr>
          <w:p w14:paraId="3E917E53"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CF Unions</w:t>
            </w:r>
          </w:p>
        </w:tc>
        <w:tc>
          <w:tcPr>
            <w:tcW w:w="1220" w:type="dxa"/>
            <w:gridSpan w:val="2"/>
            <w:tcBorders>
              <w:top w:val="nil"/>
              <w:left w:val="nil"/>
              <w:bottom w:val="nil"/>
              <w:right w:val="nil"/>
            </w:tcBorders>
            <w:shd w:val="clear" w:color="000000" w:fill="C7CFD8"/>
            <w:noWrap/>
            <w:vAlign w:val="center"/>
            <w:hideMark/>
          </w:tcPr>
          <w:p w14:paraId="6EA7FB02"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PCT Union</w:t>
            </w:r>
          </w:p>
        </w:tc>
        <w:tc>
          <w:tcPr>
            <w:tcW w:w="1200" w:type="dxa"/>
            <w:gridSpan w:val="2"/>
            <w:tcBorders>
              <w:top w:val="nil"/>
              <w:left w:val="nil"/>
              <w:bottom w:val="nil"/>
              <w:right w:val="nil"/>
            </w:tcBorders>
            <w:shd w:val="clear" w:color="000000" w:fill="C7CFD8"/>
            <w:noWrap/>
            <w:vAlign w:val="center"/>
            <w:hideMark/>
          </w:tcPr>
          <w:p w14:paraId="3D557928"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Madrid Union</w:t>
            </w:r>
          </w:p>
        </w:tc>
        <w:tc>
          <w:tcPr>
            <w:tcW w:w="1220" w:type="dxa"/>
            <w:gridSpan w:val="2"/>
            <w:tcBorders>
              <w:top w:val="nil"/>
              <w:left w:val="nil"/>
              <w:bottom w:val="nil"/>
              <w:right w:val="nil"/>
            </w:tcBorders>
            <w:shd w:val="clear" w:color="000000" w:fill="C7CFD8"/>
            <w:noWrap/>
            <w:vAlign w:val="center"/>
            <w:hideMark/>
          </w:tcPr>
          <w:p w14:paraId="1315D012"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Hague Union</w:t>
            </w:r>
          </w:p>
        </w:tc>
        <w:tc>
          <w:tcPr>
            <w:tcW w:w="1180" w:type="dxa"/>
            <w:gridSpan w:val="2"/>
            <w:tcBorders>
              <w:top w:val="nil"/>
              <w:left w:val="nil"/>
              <w:bottom w:val="nil"/>
              <w:right w:val="nil"/>
            </w:tcBorders>
            <w:shd w:val="clear" w:color="000000" w:fill="C7CFD8"/>
            <w:noWrap/>
            <w:vAlign w:val="center"/>
            <w:hideMark/>
          </w:tcPr>
          <w:p w14:paraId="46DC0287"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Lisbon Union</w:t>
            </w:r>
          </w:p>
        </w:tc>
        <w:tc>
          <w:tcPr>
            <w:tcW w:w="780" w:type="dxa"/>
            <w:tcBorders>
              <w:top w:val="nil"/>
              <w:left w:val="nil"/>
              <w:bottom w:val="nil"/>
              <w:right w:val="nil"/>
            </w:tcBorders>
            <w:shd w:val="clear" w:color="000000" w:fill="C7CFD8"/>
            <w:noWrap/>
            <w:vAlign w:val="center"/>
            <w:hideMark/>
          </w:tcPr>
          <w:p w14:paraId="0159D388" w14:textId="77777777" w:rsidR="001C5319" w:rsidRPr="001C5319" w:rsidRDefault="001C5319" w:rsidP="001C5319">
            <w:pPr>
              <w:spacing w:after="0" w:line="240" w:lineRule="auto"/>
              <w:ind w:firstLineChars="100" w:firstLine="150"/>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Total</w:t>
            </w:r>
          </w:p>
        </w:tc>
        <w:tc>
          <w:tcPr>
            <w:tcW w:w="440" w:type="dxa"/>
            <w:tcBorders>
              <w:top w:val="nil"/>
              <w:left w:val="nil"/>
              <w:bottom w:val="nil"/>
              <w:right w:val="nil"/>
            </w:tcBorders>
            <w:shd w:val="clear" w:color="000000" w:fill="C7CFD8"/>
            <w:noWrap/>
            <w:vAlign w:val="center"/>
            <w:hideMark/>
          </w:tcPr>
          <w:p w14:paraId="6E14BDC1"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r>
      <w:tr w:rsidR="001C5319" w:rsidRPr="001C5319" w14:paraId="118C28FB" w14:textId="77777777" w:rsidTr="001C5319">
        <w:trPr>
          <w:trHeight w:val="75"/>
        </w:trPr>
        <w:tc>
          <w:tcPr>
            <w:tcW w:w="220" w:type="dxa"/>
            <w:tcBorders>
              <w:top w:val="nil"/>
              <w:left w:val="nil"/>
              <w:bottom w:val="nil"/>
              <w:right w:val="nil"/>
            </w:tcBorders>
            <w:shd w:val="clear" w:color="auto" w:fill="auto"/>
            <w:noWrap/>
            <w:vAlign w:val="bottom"/>
            <w:hideMark/>
          </w:tcPr>
          <w:p w14:paraId="6F504E32"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p>
        </w:tc>
        <w:tc>
          <w:tcPr>
            <w:tcW w:w="1900" w:type="dxa"/>
            <w:tcBorders>
              <w:top w:val="nil"/>
              <w:left w:val="nil"/>
              <w:bottom w:val="nil"/>
              <w:right w:val="nil"/>
            </w:tcBorders>
            <w:shd w:val="clear" w:color="auto" w:fill="auto"/>
            <w:noWrap/>
            <w:vAlign w:val="bottom"/>
            <w:hideMark/>
          </w:tcPr>
          <w:p w14:paraId="76D4D80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18" w:type="dxa"/>
            <w:tcBorders>
              <w:top w:val="nil"/>
              <w:left w:val="nil"/>
              <w:bottom w:val="nil"/>
              <w:right w:val="nil"/>
            </w:tcBorders>
            <w:shd w:val="clear" w:color="auto" w:fill="auto"/>
            <w:noWrap/>
            <w:vAlign w:val="bottom"/>
            <w:hideMark/>
          </w:tcPr>
          <w:p w14:paraId="5E70C57B"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22" w:type="dxa"/>
            <w:tcBorders>
              <w:top w:val="nil"/>
              <w:left w:val="nil"/>
              <w:bottom w:val="nil"/>
              <w:right w:val="nil"/>
            </w:tcBorders>
            <w:shd w:val="clear" w:color="auto" w:fill="auto"/>
            <w:noWrap/>
            <w:vAlign w:val="bottom"/>
            <w:hideMark/>
          </w:tcPr>
          <w:p w14:paraId="2754F566"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97" w:type="dxa"/>
            <w:tcBorders>
              <w:top w:val="nil"/>
              <w:left w:val="nil"/>
              <w:bottom w:val="nil"/>
              <w:right w:val="nil"/>
            </w:tcBorders>
            <w:shd w:val="clear" w:color="auto" w:fill="auto"/>
            <w:noWrap/>
            <w:vAlign w:val="bottom"/>
            <w:hideMark/>
          </w:tcPr>
          <w:p w14:paraId="01570B3F"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23" w:type="dxa"/>
            <w:tcBorders>
              <w:top w:val="nil"/>
              <w:left w:val="nil"/>
              <w:bottom w:val="nil"/>
              <w:right w:val="nil"/>
            </w:tcBorders>
            <w:shd w:val="clear" w:color="auto" w:fill="auto"/>
            <w:noWrap/>
            <w:vAlign w:val="bottom"/>
            <w:hideMark/>
          </w:tcPr>
          <w:p w14:paraId="0357246A"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86" w:type="dxa"/>
            <w:tcBorders>
              <w:top w:val="nil"/>
              <w:left w:val="nil"/>
              <w:bottom w:val="nil"/>
              <w:right w:val="nil"/>
            </w:tcBorders>
            <w:shd w:val="clear" w:color="auto" w:fill="auto"/>
            <w:noWrap/>
            <w:vAlign w:val="bottom"/>
            <w:hideMark/>
          </w:tcPr>
          <w:p w14:paraId="411CB6A6"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0597CFD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06" w:type="dxa"/>
            <w:tcBorders>
              <w:top w:val="nil"/>
              <w:left w:val="nil"/>
              <w:bottom w:val="nil"/>
              <w:right w:val="nil"/>
            </w:tcBorders>
            <w:shd w:val="clear" w:color="auto" w:fill="auto"/>
            <w:noWrap/>
            <w:vAlign w:val="bottom"/>
            <w:hideMark/>
          </w:tcPr>
          <w:p w14:paraId="2C0E057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30F35D5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72" w:type="dxa"/>
            <w:tcBorders>
              <w:top w:val="nil"/>
              <w:left w:val="nil"/>
              <w:bottom w:val="nil"/>
              <w:right w:val="nil"/>
            </w:tcBorders>
            <w:shd w:val="clear" w:color="auto" w:fill="auto"/>
            <w:noWrap/>
            <w:vAlign w:val="bottom"/>
            <w:hideMark/>
          </w:tcPr>
          <w:p w14:paraId="0350FA0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08" w:type="dxa"/>
            <w:tcBorders>
              <w:top w:val="nil"/>
              <w:left w:val="nil"/>
              <w:bottom w:val="nil"/>
              <w:right w:val="nil"/>
            </w:tcBorders>
            <w:shd w:val="clear" w:color="auto" w:fill="auto"/>
            <w:noWrap/>
            <w:vAlign w:val="bottom"/>
            <w:hideMark/>
          </w:tcPr>
          <w:p w14:paraId="54937D3C"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vAlign w:val="bottom"/>
            <w:hideMark/>
          </w:tcPr>
          <w:p w14:paraId="3938393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40" w:type="dxa"/>
            <w:tcBorders>
              <w:top w:val="nil"/>
              <w:left w:val="nil"/>
              <w:bottom w:val="nil"/>
              <w:right w:val="nil"/>
            </w:tcBorders>
            <w:shd w:val="clear" w:color="auto" w:fill="auto"/>
            <w:noWrap/>
            <w:vAlign w:val="bottom"/>
            <w:hideMark/>
          </w:tcPr>
          <w:p w14:paraId="3CF802B2"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50DDBB97" w14:textId="77777777" w:rsidTr="002356E0">
        <w:trPr>
          <w:trHeight w:val="265"/>
        </w:trPr>
        <w:tc>
          <w:tcPr>
            <w:tcW w:w="2120" w:type="dxa"/>
            <w:gridSpan w:val="2"/>
            <w:tcBorders>
              <w:top w:val="nil"/>
              <w:left w:val="nil"/>
              <w:bottom w:val="nil"/>
              <w:right w:val="nil"/>
            </w:tcBorders>
            <w:shd w:val="clear" w:color="auto" w:fill="auto"/>
            <w:noWrap/>
            <w:vAlign w:val="bottom"/>
            <w:hideMark/>
          </w:tcPr>
          <w:p w14:paraId="490CCF25"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2024/25 Income</w:t>
            </w:r>
          </w:p>
        </w:tc>
        <w:tc>
          <w:tcPr>
            <w:tcW w:w="718" w:type="dxa"/>
            <w:tcBorders>
              <w:top w:val="nil"/>
              <w:left w:val="nil"/>
              <w:bottom w:val="nil"/>
              <w:right w:val="nil"/>
            </w:tcBorders>
            <w:shd w:val="clear" w:color="auto" w:fill="auto"/>
            <w:noWrap/>
            <w:vAlign w:val="bottom"/>
            <w:hideMark/>
          </w:tcPr>
          <w:p w14:paraId="0B738D7F"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36,249</w:t>
            </w:r>
          </w:p>
        </w:tc>
        <w:tc>
          <w:tcPr>
            <w:tcW w:w="522" w:type="dxa"/>
            <w:tcBorders>
              <w:top w:val="nil"/>
              <w:left w:val="nil"/>
              <w:bottom w:val="nil"/>
              <w:right w:val="nil"/>
            </w:tcBorders>
            <w:shd w:val="clear" w:color="auto" w:fill="auto"/>
            <w:noWrap/>
            <w:vAlign w:val="bottom"/>
            <w:hideMark/>
          </w:tcPr>
          <w:p w14:paraId="6B07E673"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c>
          <w:tcPr>
            <w:tcW w:w="697" w:type="dxa"/>
            <w:tcBorders>
              <w:top w:val="nil"/>
              <w:left w:val="nil"/>
              <w:bottom w:val="nil"/>
              <w:right w:val="nil"/>
            </w:tcBorders>
            <w:shd w:val="clear" w:color="auto" w:fill="auto"/>
            <w:noWrap/>
            <w:vAlign w:val="bottom"/>
            <w:hideMark/>
          </w:tcPr>
          <w:p w14:paraId="2920B527"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745,630</w:t>
            </w:r>
          </w:p>
        </w:tc>
        <w:tc>
          <w:tcPr>
            <w:tcW w:w="523" w:type="dxa"/>
            <w:tcBorders>
              <w:top w:val="nil"/>
              <w:left w:val="nil"/>
              <w:bottom w:val="nil"/>
              <w:right w:val="nil"/>
            </w:tcBorders>
            <w:shd w:val="clear" w:color="auto" w:fill="auto"/>
            <w:noWrap/>
            <w:vAlign w:val="bottom"/>
            <w:hideMark/>
          </w:tcPr>
          <w:p w14:paraId="66D257E2"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c>
          <w:tcPr>
            <w:tcW w:w="686" w:type="dxa"/>
            <w:tcBorders>
              <w:top w:val="nil"/>
              <w:left w:val="nil"/>
              <w:bottom w:val="nil"/>
              <w:right w:val="nil"/>
            </w:tcBorders>
            <w:shd w:val="clear" w:color="auto" w:fill="auto"/>
            <w:noWrap/>
            <w:vAlign w:val="bottom"/>
            <w:hideMark/>
          </w:tcPr>
          <w:p w14:paraId="2E825437"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172,624</w:t>
            </w:r>
          </w:p>
        </w:tc>
        <w:tc>
          <w:tcPr>
            <w:tcW w:w="514" w:type="dxa"/>
            <w:tcBorders>
              <w:top w:val="nil"/>
              <w:left w:val="nil"/>
              <w:bottom w:val="nil"/>
              <w:right w:val="nil"/>
            </w:tcBorders>
            <w:shd w:val="clear" w:color="auto" w:fill="auto"/>
            <w:noWrap/>
            <w:vAlign w:val="bottom"/>
            <w:hideMark/>
          </w:tcPr>
          <w:p w14:paraId="58E59706"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c>
          <w:tcPr>
            <w:tcW w:w="706" w:type="dxa"/>
            <w:tcBorders>
              <w:top w:val="nil"/>
              <w:left w:val="nil"/>
              <w:bottom w:val="nil"/>
              <w:right w:val="nil"/>
            </w:tcBorders>
            <w:shd w:val="clear" w:color="auto" w:fill="auto"/>
            <w:noWrap/>
            <w:vAlign w:val="bottom"/>
            <w:hideMark/>
          </w:tcPr>
          <w:p w14:paraId="7ADFA13C"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17,480</w:t>
            </w:r>
          </w:p>
        </w:tc>
        <w:tc>
          <w:tcPr>
            <w:tcW w:w="514" w:type="dxa"/>
            <w:tcBorders>
              <w:top w:val="nil"/>
              <w:left w:val="nil"/>
              <w:bottom w:val="nil"/>
              <w:right w:val="nil"/>
            </w:tcBorders>
            <w:shd w:val="clear" w:color="auto" w:fill="auto"/>
            <w:noWrap/>
            <w:vAlign w:val="bottom"/>
            <w:hideMark/>
          </w:tcPr>
          <w:p w14:paraId="703975C0"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c>
          <w:tcPr>
            <w:tcW w:w="772" w:type="dxa"/>
            <w:tcBorders>
              <w:top w:val="nil"/>
              <w:left w:val="nil"/>
              <w:bottom w:val="nil"/>
              <w:right w:val="nil"/>
            </w:tcBorders>
            <w:shd w:val="clear" w:color="auto" w:fill="auto"/>
            <w:noWrap/>
            <w:vAlign w:val="bottom"/>
            <w:hideMark/>
          </w:tcPr>
          <w:p w14:paraId="676749CC"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603</w:t>
            </w:r>
          </w:p>
        </w:tc>
        <w:tc>
          <w:tcPr>
            <w:tcW w:w="408" w:type="dxa"/>
            <w:tcBorders>
              <w:top w:val="nil"/>
              <w:left w:val="nil"/>
              <w:bottom w:val="nil"/>
              <w:right w:val="nil"/>
            </w:tcBorders>
            <w:shd w:val="clear" w:color="auto" w:fill="auto"/>
            <w:noWrap/>
            <w:vAlign w:val="bottom"/>
            <w:hideMark/>
          </w:tcPr>
          <w:p w14:paraId="00870B7A"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c>
          <w:tcPr>
            <w:tcW w:w="780" w:type="dxa"/>
            <w:tcBorders>
              <w:top w:val="nil"/>
              <w:left w:val="nil"/>
              <w:bottom w:val="nil"/>
              <w:right w:val="nil"/>
            </w:tcBorders>
            <w:shd w:val="clear" w:color="auto" w:fill="auto"/>
            <w:noWrap/>
            <w:vAlign w:val="bottom"/>
            <w:hideMark/>
          </w:tcPr>
          <w:p w14:paraId="57CFFE2B"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972,586</w:t>
            </w:r>
          </w:p>
        </w:tc>
        <w:tc>
          <w:tcPr>
            <w:tcW w:w="440" w:type="dxa"/>
            <w:tcBorders>
              <w:top w:val="nil"/>
              <w:left w:val="nil"/>
              <w:bottom w:val="nil"/>
              <w:right w:val="nil"/>
            </w:tcBorders>
            <w:shd w:val="clear" w:color="auto" w:fill="auto"/>
            <w:noWrap/>
            <w:vAlign w:val="bottom"/>
            <w:hideMark/>
          </w:tcPr>
          <w:p w14:paraId="61568FF6"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p>
        </w:tc>
      </w:tr>
      <w:tr w:rsidR="001C5319" w:rsidRPr="001C5319" w14:paraId="29C60DE8" w14:textId="77777777" w:rsidTr="001C5319">
        <w:trPr>
          <w:trHeight w:val="270"/>
        </w:trPr>
        <w:tc>
          <w:tcPr>
            <w:tcW w:w="2120" w:type="dxa"/>
            <w:gridSpan w:val="2"/>
            <w:tcBorders>
              <w:top w:val="nil"/>
              <w:left w:val="nil"/>
              <w:bottom w:val="nil"/>
              <w:right w:val="nil"/>
            </w:tcBorders>
            <w:shd w:val="clear" w:color="auto" w:fill="auto"/>
            <w:noWrap/>
            <w:vAlign w:val="bottom"/>
            <w:hideMark/>
          </w:tcPr>
          <w:p w14:paraId="657266EC"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2024/25 Expenditure</w:t>
            </w:r>
          </w:p>
        </w:tc>
        <w:tc>
          <w:tcPr>
            <w:tcW w:w="718" w:type="dxa"/>
            <w:tcBorders>
              <w:top w:val="nil"/>
              <w:left w:val="nil"/>
              <w:bottom w:val="nil"/>
              <w:right w:val="nil"/>
            </w:tcBorders>
            <w:shd w:val="clear" w:color="auto" w:fill="auto"/>
            <w:noWrap/>
            <w:vAlign w:val="bottom"/>
            <w:hideMark/>
          </w:tcPr>
          <w:p w14:paraId="70E3481E"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p>
        </w:tc>
        <w:tc>
          <w:tcPr>
            <w:tcW w:w="522" w:type="dxa"/>
            <w:tcBorders>
              <w:top w:val="nil"/>
              <w:left w:val="nil"/>
              <w:bottom w:val="nil"/>
              <w:right w:val="nil"/>
            </w:tcBorders>
            <w:shd w:val="clear" w:color="auto" w:fill="auto"/>
            <w:noWrap/>
            <w:vAlign w:val="bottom"/>
            <w:hideMark/>
          </w:tcPr>
          <w:p w14:paraId="5A52A5A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97" w:type="dxa"/>
            <w:tcBorders>
              <w:top w:val="nil"/>
              <w:left w:val="nil"/>
              <w:bottom w:val="nil"/>
              <w:right w:val="nil"/>
            </w:tcBorders>
            <w:shd w:val="clear" w:color="auto" w:fill="auto"/>
            <w:noWrap/>
            <w:vAlign w:val="bottom"/>
            <w:hideMark/>
          </w:tcPr>
          <w:p w14:paraId="2FAAC493"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23" w:type="dxa"/>
            <w:tcBorders>
              <w:top w:val="nil"/>
              <w:left w:val="nil"/>
              <w:bottom w:val="nil"/>
              <w:right w:val="nil"/>
            </w:tcBorders>
            <w:shd w:val="clear" w:color="auto" w:fill="auto"/>
            <w:noWrap/>
            <w:vAlign w:val="bottom"/>
            <w:hideMark/>
          </w:tcPr>
          <w:p w14:paraId="4544165E"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86" w:type="dxa"/>
            <w:tcBorders>
              <w:top w:val="nil"/>
              <w:left w:val="nil"/>
              <w:bottom w:val="nil"/>
              <w:right w:val="nil"/>
            </w:tcBorders>
            <w:shd w:val="clear" w:color="auto" w:fill="auto"/>
            <w:noWrap/>
            <w:vAlign w:val="bottom"/>
            <w:hideMark/>
          </w:tcPr>
          <w:p w14:paraId="601ADB41"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015A34EB"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06" w:type="dxa"/>
            <w:tcBorders>
              <w:top w:val="nil"/>
              <w:left w:val="nil"/>
              <w:bottom w:val="nil"/>
              <w:right w:val="nil"/>
            </w:tcBorders>
            <w:shd w:val="clear" w:color="auto" w:fill="auto"/>
            <w:noWrap/>
            <w:vAlign w:val="bottom"/>
            <w:hideMark/>
          </w:tcPr>
          <w:p w14:paraId="7CACC8D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0BA236DB"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72" w:type="dxa"/>
            <w:tcBorders>
              <w:top w:val="nil"/>
              <w:left w:val="nil"/>
              <w:bottom w:val="nil"/>
              <w:right w:val="nil"/>
            </w:tcBorders>
            <w:shd w:val="clear" w:color="auto" w:fill="auto"/>
            <w:noWrap/>
            <w:vAlign w:val="bottom"/>
            <w:hideMark/>
          </w:tcPr>
          <w:p w14:paraId="691F1E8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08" w:type="dxa"/>
            <w:tcBorders>
              <w:top w:val="nil"/>
              <w:left w:val="nil"/>
              <w:bottom w:val="nil"/>
              <w:right w:val="nil"/>
            </w:tcBorders>
            <w:shd w:val="clear" w:color="auto" w:fill="auto"/>
            <w:noWrap/>
            <w:vAlign w:val="bottom"/>
            <w:hideMark/>
          </w:tcPr>
          <w:p w14:paraId="69E369B3"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vAlign w:val="bottom"/>
            <w:hideMark/>
          </w:tcPr>
          <w:p w14:paraId="545AE28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40" w:type="dxa"/>
            <w:tcBorders>
              <w:top w:val="nil"/>
              <w:left w:val="nil"/>
              <w:bottom w:val="nil"/>
              <w:right w:val="nil"/>
            </w:tcBorders>
            <w:shd w:val="clear" w:color="auto" w:fill="auto"/>
            <w:noWrap/>
            <w:vAlign w:val="bottom"/>
            <w:hideMark/>
          </w:tcPr>
          <w:p w14:paraId="3DB0269C"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4D0645ED" w14:textId="77777777" w:rsidTr="001C5319">
        <w:trPr>
          <w:trHeight w:val="270"/>
        </w:trPr>
        <w:tc>
          <w:tcPr>
            <w:tcW w:w="220" w:type="dxa"/>
            <w:tcBorders>
              <w:top w:val="nil"/>
              <w:left w:val="nil"/>
              <w:bottom w:val="nil"/>
              <w:right w:val="nil"/>
            </w:tcBorders>
            <w:shd w:val="clear" w:color="auto" w:fill="auto"/>
            <w:noWrap/>
            <w:vAlign w:val="bottom"/>
            <w:hideMark/>
          </w:tcPr>
          <w:p w14:paraId="2E1051F4"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nil"/>
              <w:left w:val="nil"/>
              <w:bottom w:val="nil"/>
              <w:right w:val="nil"/>
            </w:tcBorders>
            <w:shd w:val="clear" w:color="auto" w:fill="auto"/>
            <w:noWrap/>
            <w:vAlign w:val="bottom"/>
            <w:hideMark/>
          </w:tcPr>
          <w:p w14:paraId="4324BADB"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Direct Union</w:t>
            </w:r>
          </w:p>
        </w:tc>
        <w:tc>
          <w:tcPr>
            <w:tcW w:w="718" w:type="dxa"/>
            <w:tcBorders>
              <w:top w:val="nil"/>
              <w:left w:val="nil"/>
              <w:bottom w:val="nil"/>
              <w:right w:val="nil"/>
            </w:tcBorders>
            <w:shd w:val="clear" w:color="auto" w:fill="auto"/>
            <w:noWrap/>
            <w:vAlign w:val="bottom"/>
            <w:hideMark/>
          </w:tcPr>
          <w:p w14:paraId="73214CC1"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36,589</w:t>
            </w:r>
          </w:p>
        </w:tc>
        <w:tc>
          <w:tcPr>
            <w:tcW w:w="522" w:type="dxa"/>
            <w:tcBorders>
              <w:top w:val="nil"/>
              <w:left w:val="nil"/>
              <w:bottom w:val="nil"/>
              <w:right w:val="nil"/>
            </w:tcBorders>
            <w:shd w:val="clear" w:color="auto" w:fill="auto"/>
            <w:noWrap/>
            <w:vAlign w:val="bottom"/>
            <w:hideMark/>
          </w:tcPr>
          <w:p w14:paraId="5F8A893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97" w:type="dxa"/>
            <w:tcBorders>
              <w:top w:val="nil"/>
              <w:left w:val="nil"/>
              <w:bottom w:val="nil"/>
              <w:right w:val="nil"/>
            </w:tcBorders>
            <w:shd w:val="clear" w:color="auto" w:fill="auto"/>
            <w:noWrap/>
            <w:vAlign w:val="bottom"/>
            <w:hideMark/>
          </w:tcPr>
          <w:p w14:paraId="60BEDB9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251,796</w:t>
            </w:r>
          </w:p>
        </w:tc>
        <w:tc>
          <w:tcPr>
            <w:tcW w:w="523" w:type="dxa"/>
            <w:tcBorders>
              <w:top w:val="nil"/>
              <w:left w:val="nil"/>
              <w:bottom w:val="nil"/>
              <w:right w:val="nil"/>
            </w:tcBorders>
            <w:shd w:val="clear" w:color="auto" w:fill="auto"/>
            <w:noWrap/>
            <w:vAlign w:val="bottom"/>
            <w:hideMark/>
          </w:tcPr>
          <w:p w14:paraId="14FC380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86" w:type="dxa"/>
            <w:tcBorders>
              <w:top w:val="nil"/>
              <w:left w:val="nil"/>
              <w:bottom w:val="nil"/>
              <w:right w:val="nil"/>
            </w:tcBorders>
            <w:shd w:val="clear" w:color="auto" w:fill="auto"/>
            <w:noWrap/>
            <w:vAlign w:val="bottom"/>
            <w:hideMark/>
          </w:tcPr>
          <w:p w14:paraId="2AFE598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81,479</w:t>
            </w:r>
          </w:p>
        </w:tc>
        <w:tc>
          <w:tcPr>
            <w:tcW w:w="514" w:type="dxa"/>
            <w:tcBorders>
              <w:top w:val="nil"/>
              <w:left w:val="nil"/>
              <w:bottom w:val="nil"/>
              <w:right w:val="nil"/>
            </w:tcBorders>
            <w:shd w:val="clear" w:color="auto" w:fill="auto"/>
            <w:noWrap/>
            <w:vAlign w:val="bottom"/>
            <w:hideMark/>
          </w:tcPr>
          <w:p w14:paraId="7ABC987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06" w:type="dxa"/>
            <w:tcBorders>
              <w:top w:val="nil"/>
              <w:left w:val="nil"/>
              <w:bottom w:val="nil"/>
              <w:right w:val="nil"/>
            </w:tcBorders>
            <w:shd w:val="clear" w:color="auto" w:fill="auto"/>
            <w:noWrap/>
            <w:vAlign w:val="bottom"/>
            <w:hideMark/>
          </w:tcPr>
          <w:p w14:paraId="30319E3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20,914</w:t>
            </w:r>
          </w:p>
        </w:tc>
        <w:tc>
          <w:tcPr>
            <w:tcW w:w="514" w:type="dxa"/>
            <w:tcBorders>
              <w:top w:val="nil"/>
              <w:left w:val="nil"/>
              <w:bottom w:val="nil"/>
              <w:right w:val="nil"/>
            </w:tcBorders>
            <w:shd w:val="clear" w:color="auto" w:fill="auto"/>
            <w:noWrap/>
            <w:vAlign w:val="bottom"/>
            <w:hideMark/>
          </w:tcPr>
          <w:p w14:paraId="7A906CF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72" w:type="dxa"/>
            <w:tcBorders>
              <w:top w:val="nil"/>
              <w:left w:val="nil"/>
              <w:bottom w:val="nil"/>
              <w:right w:val="nil"/>
            </w:tcBorders>
            <w:shd w:val="clear" w:color="auto" w:fill="auto"/>
            <w:noWrap/>
            <w:vAlign w:val="bottom"/>
            <w:hideMark/>
          </w:tcPr>
          <w:p w14:paraId="11B2162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2,224</w:t>
            </w:r>
          </w:p>
        </w:tc>
        <w:tc>
          <w:tcPr>
            <w:tcW w:w="408" w:type="dxa"/>
            <w:tcBorders>
              <w:top w:val="nil"/>
              <w:left w:val="nil"/>
              <w:bottom w:val="nil"/>
              <w:right w:val="nil"/>
            </w:tcBorders>
            <w:shd w:val="clear" w:color="auto" w:fill="auto"/>
            <w:noWrap/>
            <w:vAlign w:val="bottom"/>
            <w:hideMark/>
          </w:tcPr>
          <w:p w14:paraId="7808B3E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80" w:type="dxa"/>
            <w:tcBorders>
              <w:top w:val="nil"/>
              <w:left w:val="nil"/>
              <w:bottom w:val="nil"/>
              <w:right w:val="nil"/>
            </w:tcBorders>
            <w:shd w:val="clear" w:color="auto" w:fill="auto"/>
            <w:noWrap/>
            <w:vAlign w:val="bottom"/>
            <w:hideMark/>
          </w:tcPr>
          <w:p w14:paraId="00EA87A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393,003</w:t>
            </w:r>
          </w:p>
        </w:tc>
        <w:tc>
          <w:tcPr>
            <w:tcW w:w="440" w:type="dxa"/>
            <w:tcBorders>
              <w:top w:val="nil"/>
              <w:left w:val="nil"/>
              <w:bottom w:val="nil"/>
              <w:right w:val="nil"/>
            </w:tcBorders>
            <w:shd w:val="clear" w:color="auto" w:fill="auto"/>
            <w:noWrap/>
            <w:vAlign w:val="bottom"/>
            <w:hideMark/>
          </w:tcPr>
          <w:p w14:paraId="4063BAE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r>
      <w:tr w:rsidR="001C5319" w:rsidRPr="001C5319" w14:paraId="1B2A759E" w14:textId="77777777" w:rsidTr="001C5319">
        <w:trPr>
          <w:trHeight w:val="270"/>
        </w:trPr>
        <w:tc>
          <w:tcPr>
            <w:tcW w:w="220" w:type="dxa"/>
            <w:tcBorders>
              <w:top w:val="nil"/>
              <w:left w:val="nil"/>
              <w:bottom w:val="nil"/>
              <w:right w:val="nil"/>
            </w:tcBorders>
            <w:shd w:val="clear" w:color="auto" w:fill="auto"/>
            <w:noWrap/>
            <w:vAlign w:val="bottom"/>
            <w:hideMark/>
          </w:tcPr>
          <w:p w14:paraId="04B56CC5"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nil"/>
              <w:left w:val="nil"/>
              <w:bottom w:val="single" w:sz="4" w:space="0" w:color="A6A6A6"/>
              <w:right w:val="nil"/>
            </w:tcBorders>
            <w:shd w:val="clear" w:color="auto" w:fill="auto"/>
            <w:noWrap/>
            <w:vAlign w:val="bottom"/>
            <w:hideMark/>
          </w:tcPr>
          <w:p w14:paraId="3F1A629C"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Direct Admin</w:t>
            </w:r>
          </w:p>
        </w:tc>
        <w:tc>
          <w:tcPr>
            <w:tcW w:w="718" w:type="dxa"/>
            <w:tcBorders>
              <w:top w:val="nil"/>
              <w:left w:val="nil"/>
              <w:bottom w:val="single" w:sz="4" w:space="0" w:color="A6A6A6"/>
              <w:right w:val="nil"/>
            </w:tcBorders>
            <w:shd w:val="clear" w:color="auto" w:fill="auto"/>
            <w:noWrap/>
            <w:vAlign w:val="bottom"/>
            <w:hideMark/>
          </w:tcPr>
          <w:p w14:paraId="7245D87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14,874</w:t>
            </w:r>
          </w:p>
        </w:tc>
        <w:tc>
          <w:tcPr>
            <w:tcW w:w="522" w:type="dxa"/>
            <w:tcBorders>
              <w:top w:val="nil"/>
              <w:left w:val="nil"/>
              <w:bottom w:val="single" w:sz="4" w:space="0" w:color="A6A6A6"/>
              <w:right w:val="nil"/>
            </w:tcBorders>
            <w:shd w:val="clear" w:color="auto" w:fill="auto"/>
            <w:noWrap/>
            <w:vAlign w:val="bottom"/>
            <w:hideMark/>
          </w:tcPr>
          <w:p w14:paraId="7C8ED067"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697" w:type="dxa"/>
            <w:tcBorders>
              <w:top w:val="nil"/>
              <w:left w:val="nil"/>
              <w:bottom w:val="single" w:sz="4" w:space="0" w:color="A6A6A6"/>
              <w:right w:val="nil"/>
            </w:tcBorders>
            <w:shd w:val="clear" w:color="auto" w:fill="auto"/>
            <w:noWrap/>
            <w:vAlign w:val="bottom"/>
            <w:hideMark/>
          </w:tcPr>
          <w:p w14:paraId="0DDE0B03"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116,953</w:t>
            </w:r>
          </w:p>
        </w:tc>
        <w:tc>
          <w:tcPr>
            <w:tcW w:w="523" w:type="dxa"/>
            <w:tcBorders>
              <w:top w:val="nil"/>
              <w:left w:val="nil"/>
              <w:bottom w:val="single" w:sz="4" w:space="0" w:color="A6A6A6"/>
              <w:right w:val="nil"/>
            </w:tcBorders>
            <w:shd w:val="clear" w:color="auto" w:fill="auto"/>
            <w:noWrap/>
            <w:vAlign w:val="bottom"/>
            <w:hideMark/>
          </w:tcPr>
          <w:p w14:paraId="1A5934DB"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686" w:type="dxa"/>
            <w:tcBorders>
              <w:top w:val="nil"/>
              <w:left w:val="nil"/>
              <w:bottom w:val="single" w:sz="4" w:space="0" w:color="A6A6A6"/>
              <w:right w:val="nil"/>
            </w:tcBorders>
            <w:shd w:val="clear" w:color="auto" w:fill="auto"/>
            <w:noWrap/>
            <w:vAlign w:val="bottom"/>
            <w:hideMark/>
          </w:tcPr>
          <w:p w14:paraId="6B4D62F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56,388</w:t>
            </w:r>
          </w:p>
        </w:tc>
        <w:tc>
          <w:tcPr>
            <w:tcW w:w="514" w:type="dxa"/>
            <w:tcBorders>
              <w:top w:val="nil"/>
              <w:left w:val="nil"/>
              <w:bottom w:val="single" w:sz="4" w:space="0" w:color="A6A6A6"/>
              <w:right w:val="nil"/>
            </w:tcBorders>
            <w:shd w:val="clear" w:color="auto" w:fill="auto"/>
            <w:noWrap/>
            <w:vAlign w:val="bottom"/>
            <w:hideMark/>
          </w:tcPr>
          <w:p w14:paraId="12DA7A6B"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06" w:type="dxa"/>
            <w:tcBorders>
              <w:top w:val="nil"/>
              <w:left w:val="nil"/>
              <w:bottom w:val="single" w:sz="4" w:space="0" w:color="A6A6A6"/>
              <w:right w:val="nil"/>
            </w:tcBorders>
            <w:shd w:val="clear" w:color="auto" w:fill="auto"/>
            <w:noWrap/>
            <w:vAlign w:val="bottom"/>
            <w:hideMark/>
          </w:tcPr>
          <w:p w14:paraId="629728D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17,291</w:t>
            </w:r>
          </w:p>
        </w:tc>
        <w:tc>
          <w:tcPr>
            <w:tcW w:w="514" w:type="dxa"/>
            <w:tcBorders>
              <w:top w:val="nil"/>
              <w:left w:val="nil"/>
              <w:bottom w:val="single" w:sz="4" w:space="0" w:color="A6A6A6"/>
              <w:right w:val="nil"/>
            </w:tcBorders>
            <w:shd w:val="clear" w:color="auto" w:fill="auto"/>
            <w:noWrap/>
            <w:vAlign w:val="bottom"/>
            <w:hideMark/>
          </w:tcPr>
          <w:p w14:paraId="5C07D039"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72" w:type="dxa"/>
            <w:tcBorders>
              <w:top w:val="nil"/>
              <w:left w:val="nil"/>
              <w:bottom w:val="single" w:sz="4" w:space="0" w:color="A6A6A6"/>
              <w:right w:val="nil"/>
            </w:tcBorders>
            <w:shd w:val="clear" w:color="auto" w:fill="auto"/>
            <w:noWrap/>
            <w:vAlign w:val="bottom"/>
            <w:hideMark/>
          </w:tcPr>
          <w:p w14:paraId="32CBF30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1,078</w:t>
            </w:r>
          </w:p>
        </w:tc>
        <w:tc>
          <w:tcPr>
            <w:tcW w:w="408" w:type="dxa"/>
            <w:tcBorders>
              <w:top w:val="nil"/>
              <w:left w:val="nil"/>
              <w:bottom w:val="single" w:sz="4" w:space="0" w:color="A6A6A6"/>
              <w:right w:val="nil"/>
            </w:tcBorders>
            <w:shd w:val="clear" w:color="auto" w:fill="auto"/>
            <w:noWrap/>
            <w:vAlign w:val="bottom"/>
            <w:hideMark/>
          </w:tcPr>
          <w:p w14:paraId="5537F31E"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80" w:type="dxa"/>
            <w:tcBorders>
              <w:top w:val="nil"/>
              <w:left w:val="nil"/>
              <w:bottom w:val="single" w:sz="4" w:space="0" w:color="A6A6A6"/>
              <w:right w:val="nil"/>
            </w:tcBorders>
            <w:shd w:val="clear" w:color="auto" w:fill="auto"/>
            <w:noWrap/>
            <w:vAlign w:val="bottom"/>
            <w:hideMark/>
          </w:tcPr>
          <w:p w14:paraId="5E76A4F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206,584</w:t>
            </w:r>
          </w:p>
        </w:tc>
        <w:tc>
          <w:tcPr>
            <w:tcW w:w="440" w:type="dxa"/>
            <w:tcBorders>
              <w:top w:val="nil"/>
              <w:left w:val="nil"/>
              <w:bottom w:val="single" w:sz="4" w:space="0" w:color="A6A6A6"/>
              <w:right w:val="nil"/>
            </w:tcBorders>
            <w:shd w:val="clear" w:color="auto" w:fill="auto"/>
            <w:noWrap/>
            <w:vAlign w:val="bottom"/>
            <w:hideMark/>
          </w:tcPr>
          <w:p w14:paraId="08A41E48"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r>
      <w:tr w:rsidR="001C5319" w:rsidRPr="001C5319" w14:paraId="584FA1E0" w14:textId="77777777" w:rsidTr="001C5319">
        <w:trPr>
          <w:trHeight w:val="270"/>
        </w:trPr>
        <w:tc>
          <w:tcPr>
            <w:tcW w:w="220" w:type="dxa"/>
            <w:tcBorders>
              <w:top w:val="nil"/>
              <w:left w:val="nil"/>
              <w:bottom w:val="nil"/>
              <w:right w:val="nil"/>
            </w:tcBorders>
            <w:shd w:val="clear" w:color="auto" w:fill="auto"/>
            <w:noWrap/>
            <w:vAlign w:val="bottom"/>
            <w:hideMark/>
          </w:tcPr>
          <w:p w14:paraId="46EEF07C" w14:textId="77777777" w:rsidR="001C5319" w:rsidRPr="001C5319" w:rsidRDefault="001C5319" w:rsidP="001C5319">
            <w:pPr>
              <w:spacing w:after="0" w:line="240" w:lineRule="auto"/>
              <w:rPr>
                <w:rFonts w:ascii="Arial Narrow" w:eastAsia="Times New Roman" w:hAnsi="Arial Narrow" w:cs="Times New Roman"/>
                <w:sz w:val="15"/>
                <w:szCs w:val="15"/>
                <w:lang w:val="en-US"/>
              </w:rPr>
            </w:pPr>
          </w:p>
        </w:tc>
        <w:tc>
          <w:tcPr>
            <w:tcW w:w="1900" w:type="dxa"/>
            <w:tcBorders>
              <w:top w:val="nil"/>
              <w:left w:val="nil"/>
              <w:bottom w:val="nil"/>
              <w:right w:val="nil"/>
            </w:tcBorders>
            <w:shd w:val="clear" w:color="auto" w:fill="auto"/>
            <w:noWrap/>
            <w:vAlign w:val="bottom"/>
            <w:hideMark/>
          </w:tcPr>
          <w:p w14:paraId="578CA6D4" w14:textId="77777777" w:rsidR="001C5319" w:rsidRPr="001C5319" w:rsidRDefault="001C5319" w:rsidP="001C5319">
            <w:pPr>
              <w:spacing w:after="0" w:line="240" w:lineRule="auto"/>
              <w:ind w:firstLineChars="100" w:firstLine="150"/>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Sub-total, Direct</w:t>
            </w:r>
          </w:p>
        </w:tc>
        <w:tc>
          <w:tcPr>
            <w:tcW w:w="718" w:type="dxa"/>
            <w:tcBorders>
              <w:top w:val="nil"/>
              <w:left w:val="nil"/>
              <w:bottom w:val="nil"/>
              <w:right w:val="nil"/>
            </w:tcBorders>
            <w:shd w:val="clear" w:color="auto" w:fill="auto"/>
            <w:noWrap/>
            <w:vAlign w:val="bottom"/>
            <w:hideMark/>
          </w:tcPr>
          <w:p w14:paraId="49E8EE6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51,463</w:t>
            </w:r>
          </w:p>
        </w:tc>
        <w:tc>
          <w:tcPr>
            <w:tcW w:w="522" w:type="dxa"/>
            <w:tcBorders>
              <w:top w:val="nil"/>
              <w:left w:val="nil"/>
              <w:bottom w:val="nil"/>
              <w:right w:val="nil"/>
            </w:tcBorders>
            <w:shd w:val="clear" w:color="auto" w:fill="auto"/>
            <w:noWrap/>
            <w:vAlign w:val="bottom"/>
            <w:hideMark/>
          </w:tcPr>
          <w:p w14:paraId="080FBC8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97" w:type="dxa"/>
            <w:tcBorders>
              <w:top w:val="nil"/>
              <w:left w:val="nil"/>
              <w:bottom w:val="nil"/>
              <w:right w:val="nil"/>
            </w:tcBorders>
            <w:shd w:val="clear" w:color="auto" w:fill="auto"/>
            <w:noWrap/>
            <w:vAlign w:val="bottom"/>
            <w:hideMark/>
          </w:tcPr>
          <w:p w14:paraId="5EBFE38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368,750</w:t>
            </w:r>
          </w:p>
        </w:tc>
        <w:tc>
          <w:tcPr>
            <w:tcW w:w="523" w:type="dxa"/>
            <w:tcBorders>
              <w:top w:val="nil"/>
              <w:left w:val="nil"/>
              <w:bottom w:val="nil"/>
              <w:right w:val="nil"/>
            </w:tcBorders>
            <w:shd w:val="clear" w:color="auto" w:fill="auto"/>
            <w:noWrap/>
            <w:vAlign w:val="bottom"/>
            <w:hideMark/>
          </w:tcPr>
          <w:p w14:paraId="0288882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86" w:type="dxa"/>
            <w:tcBorders>
              <w:top w:val="nil"/>
              <w:left w:val="nil"/>
              <w:bottom w:val="nil"/>
              <w:right w:val="nil"/>
            </w:tcBorders>
            <w:shd w:val="clear" w:color="auto" w:fill="auto"/>
            <w:noWrap/>
            <w:vAlign w:val="bottom"/>
            <w:hideMark/>
          </w:tcPr>
          <w:p w14:paraId="4ADB753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137,867</w:t>
            </w:r>
          </w:p>
        </w:tc>
        <w:tc>
          <w:tcPr>
            <w:tcW w:w="514" w:type="dxa"/>
            <w:tcBorders>
              <w:top w:val="nil"/>
              <w:left w:val="nil"/>
              <w:bottom w:val="nil"/>
              <w:right w:val="nil"/>
            </w:tcBorders>
            <w:shd w:val="clear" w:color="auto" w:fill="auto"/>
            <w:noWrap/>
            <w:vAlign w:val="bottom"/>
            <w:hideMark/>
          </w:tcPr>
          <w:p w14:paraId="602D8CC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06" w:type="dxa"/>
            <w:tcBorders>
              <w:top w:val="nil"/>
              <w:left w:val="nil"/>
              <w:bottom w:val="nil"/>
              <w:right w:val="nil"/>
            </w:tcBorders>
            <w:shd w:val="clear" w:color="auto" w:fill="auto"/>
            <w:noWrap/>
            <w:vAlign w:val="bottom"/>
            <w:hideMark/>
          </w:tcPr>
          <w:p w14:paraId="4E7EF3E1"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38,205</w:t>
            </w:r>
          </w:p>
        </w:tc>
        <w:tc>
          <w:tcPr>
            <w:tcW w:w="514" w:type="dxa"/>
            <w:tcBorders>
              <w:top w:val="nil"/>
              <w:left w:val="nil"/>
              <w:bottom w:val="nil"/>
              <w:right w:val="nil"/>
            </w:tcBorders>
            <w:shd w:val="clear" w:color="auto" w:fill="auto"/>
            <w:noWrap/>
            <w:vAlign w:val="bottom"/>
            <w:hideMark/>
          </w:tcPr>
          <w:p w14:paraId="775ED80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72" w:type="dxa"/>
            <w:tcBorders>
              <w:top w:val="nil"/>
              <w:left w:val="nil"/>
              <w:bottom w:val="nil"/>
              <w:right w:val="nil"/>
            </w:tcBorders>
            <w:shd w:val="clear" w:color="auto" w:fill="auto"/>
            <w:noWrap/>
            <w:vAlign w:val="bottom"/>
            <w:hideMark/>
          </w:tcPr>
          <w:p w14:paraId="0C93585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3,302</w:t>
            </w:r>
          </w:p>
        </w:tc>
        <w:tc>
          <w:tcPr>
            <w:tcW w:w="408" w:type="dxa"/>
            <w:tcBorders>
              <w:top w:val="nil"/>
              <w:left w:val="nil"/>
              <w:bottom w:val="nil"/>
              <w:right w:val="nil"/>
            </w:tcBorders>
            <w:shd w:val="clear" w:color="auto" w:fill="auto"/>
            <w:noWrap/>
            <w:vAlign w:val="bottom"/>
            <w:hideMark/>
          </w:tcPr>
          <w:p w14:paraId="0BB0F7E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80" w:type="dxa"/>
            <w:tcBorders>
              <w:top w:val="nil"/>
              <w:left w:val="nil"/>
              <w:bottom w:val="nil"/>
              <w:right w:val="nil"/>
            </w:tcBorders>
            <w:shd w:val="clear" w:color="auto" w:fill="auto"/>
            <w:noWrap/>
            <w:vAlign w:val="bottom"/>
            <w:hideMark/>
          </w:tcPr>
          <w:p w14:paraId="1F23C4F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599,587</w:t>
            </w:r>
          </w:p>
        </w:tc>
        <w:tc>
          <w:tcPr>
            <w:tcW w:w="440" w:type="dxa"/>
            <w:tcBorders>
              <w:top w:val="nil"/>
              <w:left w:val="nil"/>
              <w:bottom w:val="nil"/>
              <w:right w:val="nil"/>
            </w:tcBorders>
            <w:shd w:val="clear" w:color="auto" w:fill="auto"/>
            <w:noWrap/>
            <w:vAlign w:val="bottom"/>
            <w:hideMark/>
          </w:tcPr>
          <w:p w14:paraId="3A4731D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r>
      <w:tr w:rsidR="001C5319" w:rsidRPr="001C5319" w14:paraId="5FE00394" w14:textId="77777777" w:rsidTr="001C5319">
        <w:trPr>
          <w:trHeight w:val="45"/>
        </w:trPr>
        <w:tc>
          <w:tcPr>
            <w:tcW w:w="220" w:type="dxa"/>
            <w:tcBorders>
              <w:top w:val="nil"/>
              <w:left w:val="nil"/>
              <w:bottom w:val="nil"/>
              <w:right w:val="nil"/>
            </w:tcBorders>
            <w:shd w:val="clear" w:color="auto" w:fill="auto"/>
            <w:noWrap/>
            <w:vAlign w:val="bottom"/>
            <w:hideMark/>
          </w:tcPr>
          <w:p w14:paraId="020204FE"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nil"/>
              <w:left w:val="nil"/>
              <w:bottom w:val="nil"/>
              <w:right w:val="nil"/>
            </w:tcBorders>
            <w:shd w:val="clear" w:color="auto" w:fill="auto"/>
            <w:noWrap/>
            <w:vAlign w:val="bottom"/>
            <w:hideMark/>
          </w:tcPr>
          <w:p w14:paraId="228625FE"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18" w:type="dxa"/>
            <w:tcBorders>
              <w:top w:val="nil"/>
              <w:left w:val="nil"/>
              <w:bottom w:val="nil"/>
              <w:right w:val="nil"/>
            </w:tcBorders>
            <w:shd w:val="clear" w:color="auto" w:fill="auto"/>
            <w:noWrap/>
            <w:vAlign w:val="bottom"/>
            <w:hideMark/>
          </w:tcPr>
          <w:p w14:paraId="0F6C5114"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22" w:type="dxa"/>
            <w:tcBorders>
              <w:top w:val="nil"/>
              <w:left w:val="nil"/>
              <w:bottom w:val="nil"/>
              <w:right w:val="nil"/>
            </w:tcBorders>
            <w:shd w:val="clear" w:color="auto" w:fill="auto"/>
            <w:noWrap/>
            <w:vAlign w:val="bottom"/>
            <w:hideMark/>
          </w:tcPr>
          <w:p w14:paraId="496F218A"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97" w:type="dxa"/>
            <w:tcBorders>
              <w:top w:val="nil"/>
              <w:left w:val="nil"/>
              <w:bottom w:val="nil"/>
              <w:right w:val="nil"/>
            </w:tcBorders>
            <w:shd w:val="clear" w:color="auto" w:fill="auto"/>
            <w:noWrap/>
            <w:vAlign w:val="bottom"/>
            <w:hideMark/>
          </w:tcPr>
          <w:p w14:paraId="47668A97"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23" w:type="dxa"/>
            <w:tcBorders>
              <w:top w:val="nil"/>
              <w:left w:val="nil"/>
              <w:bottom w:val="nil"/>
              <w:right w:val="nil"/>
            </w:tcBorders>
            <w:shd w:val="clear" w:color="auto" w:fill="auto"/>
            <w:noWrap/>
            <w:vAlign w:val="bottom"/>
            <w:hideMark/>
          </w:tcPr>
          <w:p w14:paraId="43DFAC6E"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86" w:type="dxa"/>
            <w:tcBorders>
              <w:top w:val="nil"/>
              <w:left w:val="nil"/>
              <w:bottom w:val="nil"/>
              <w:right w:val="nil"/>
            </w:tcBorders>
            <w:shd w:val="clear" w:color="auto" w:fill="auto"/>
            <w:noWrap/>
            <w:vAlign w:val="bottom"/>
            <w:hideMark/>
          </w:tcPr>
          <w:p w14:paraId="76E6CF2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0FA6DBA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06" w:type="dxa"/>
            <w:tcBorders>
              <w:top w:val="nil"/>
              <w:left w:val="nil"/>
              <w:bottom w:val="nil"/>
              <w:right w:val="nil"/>
            </w:tcBorders>
            <w:shd w:val="clear" w:color="auto" w:fill="auto"/>
            <w:noWrap/>
            <w:vAlign w:val="bottom"/>
            <w:hideMark/>
          </w:tcPr>
          <w:p w14:paraId="0F4625BC"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14" w:type="dxa"/>
            <w:tcBorders>
              <w:top w:val="nil"/>
              <w:left w:val="nil"/>
              <w:bottom w:val="nil"/>
              <w:right w:val="nil"/>
            </w:tcBorders>
            <w:shd w:val="clear" w:color="auto" w:fill="auto"/>
            <w:noWrap/>
            <w:vAlign w:val="bottom"/>
            <w:hideMark/>
          </w:tcPr>
          <w:p w14:paraId="11226562"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72" w:type="dxa"/>
            <w:tcBorders>
              <w:top w:val="nil"/>
              <w:left w:val="nil"/>
              <w:bottom w:val="nil"/>
              <w:right w:val="nil"/>
            </w:tcBorders>
            <w:shd w:val="clear" w:color="auto" w:fill="auto"/>
            <w:noWrap/>
            <w:vAlign w:val="bottom"/>
            <w:hideMark/>
          </w:tcPr>
          <w:p w14:paraId="6F980A0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08" w:type="dxa"/>
            <w:tcBorders>
              <w:top w:val="nil"/>
              <w:left w:val="nil"/>
              <w:bottom w:val="nil"/>
              <w:right w:val="nil"/>
            </w:tcBorders>
            <w:shd w:val="clear" w:color="auto" w:fill="auto"/>
            <w:noWrap/>
            <w:vAlign w:val="bottom"/>
            <w:hideMark/>
          </w:tcPr>
          <w:p w14:paraId="36C5E645"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vAlign w:val="bottom"/>
            <w:hideMark/>
          </w:tcPr>
          <w:p w14:paraId="611FA73A"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440" w:type="dxa"/>
            <w:tcBorders>
              <w:top w:val="nil"/>
              <w:left w:val="nil"/>
              <w:bottom w:val="nil"/>
              <w:right w:val="nil"/>
            </w:tcBorders>
            <w:shd w:val="clear" w:color="auto" w:fill="auto"/>
            <w:noWrap/>
            <w:vAlign w:val="bottom"/>
            <w:hideMark/>
          </w:tcPr>
          <w:p w14:paraId="165F44D3"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7EA58C8B" w14:textId="77777777" w:rsidTr="001C5319">
        <w:trPr>
          <w:trHeight w:val="270"/>
        </w:trPr>
        <w:tc>
          <w:tcPr>
            <w:tcW w:w="220" w:type="dxa"/>
            <w:tcBorders>
              <w:top w:val="nil"/>
              <w:left w:val="nil"/>
              <w:bottom w:val="nil"/>
              <w:right w:val="nil"/>
            </w:tcBorders>
            <w:shd w:val="clear" w:color="auto" w:fill="auto"/>
            <w:noWrap/>
            <w:vAlign w:val="bottom"/>
            <w:hideMark/>
          </w:tcPr>
          <w:p w14:paraId="2FF6360F"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nil"/>
              <w:left w:val="nil"/>
              <w:bottom w:val="nil"/>
              <w:right w:val="nil"/>
            </w:tcBorders>
            <w:shd w:val="clear" w:color="auto" w:fill="auto"/>
            <w:noWrap/>
            <w:vAlign w:val="bottom"/>
            <w:hideMark/>
          </w:tcPr>
          <w:p w14:paraId="1384A981"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Indirect Union</w:t>
            </w:r>
          </w:p>
        </w:tc>
        <w:tc>
          <w:tcPr>
            <w:tcW w:w="718" w:type="dxa"/>
            <w:tcBorders>
              <w:top w:val="nil"/>
              <w:left w:val="nil"/>
              <w:bottom w:val="nil"/>
              <w:right w:val="nil"/>
            </w:tcBorders>
            <w:shd w:val="clear" w:color="auto" w:fill="auto"/>
            <w:noWrap/>
            <w:vAlign w:val="bottom"/>
            <w:hideMark/>
          </w:tcPr>
          <w:p w14:paraId="63677B5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22" w:type="dxa"/>
            <w:tcBorders>
              <w:top w:val="nil"/>
              <w:left w:val="nil"/>
              <w:bottom w:val="nil"/>
              <w:right w:val="nil"/>
            </w:tcBorders>
            <w:shd w:val="clear" w:color="auto" w:fill="auto"/>
            <w:noWrap/>
            <w:vAlign w:val="bottom"/>
            <w:hideMark/>
          </w:tcPr>
          <w:p w14:paraId="13F3FC1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97" w:type="dxa"/>
            <w:tcBorders>
              <w:top w:val="nil"/>
              <w:left w:val="nil"/>
              <w:bottom w:val="nil"/>
              <w:right w:val="nil"/>
            </w:tcBorders>
            <w:shd w:val="clear" w:color="auto" w:fill="auto"/>
            <w:noWrap/>
            <w:vAlign w:val="bottom"/>
            <w:hideMark/>
          </w:tcPr>
          <w:p w14:paraId="121AFAB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161,836</w:t>
            </w:r>
          </w:p>
        </w:tc>
        <w:tc>
          <w:tcPr>
            <w:tcW w:w="523" w:type="dxa"/>
            <w:tcBorders>
              <w:top w:val="nil"/>
              <w:left w:val="nil"/>
              <w:bottom w:val="nil"/>
              <w:right w:val="nil"/>
            </w:tcBorders>
            <w:shd w:val="clear" w:color="auto" w:fill="auto"/>
            <w:noWrap/>
            <w:vAlign w:val="bottom"/>
            <w:hideMark/>
          </w:tcPr>
          <w:p w14:paraId="3011EC3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86" w:type="dxa"/>
            <w:tcBorders>
              <w:top w:val="nil"/>
              <w:left w:val="nil"/>
              <w:bottom w:val="nil"/>
              <w:right w:val="nil"/>
            </w:tcBorders>
            <w:shd w:val="clear" w:color="auto" w:fill="auto"/>
            <w:noWrap/>
            <w:vAlign w:val="bottom"/>
            <w:hideMark/>
          </w:tcPr>
          <w:p w14:paraId="3A9FE5BA"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14,925</w:t>
            </w:r>
          </w:p>
        </w:tc>
        <w:tc>
          <w:tcPr>
            <w:tcW w:w="514" w:type="dxa"/>
            <w:tcBorders>
              <w:top w:val="nil"/>
              <w:left w:val="nil"/>
              <w:bottom w:val="nil"/>
              <w:right w:val="nil"/>
            </w:tcBorders>
            <w:shd w:val="clear" w:color="auto" w:fill="auto"/>
            <w:noWrap/>
            <w:vAlign w:val="bottom"/>
            <w:hideMark/>
          </w:tcPr>
          <w:p w14:paraId="233CF20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06" w:type="dxa"/>
            <w:tcBorders>
              <w:top w:val="nil"/>
              <w:left w:val="nil"/>
              <w:bottom w:val="nil"/>
              <w:right w:val="nil"/>
            </w:tcBorders>
            <w:shd w:val="clear" w:color="auto" w:fill="auto"/>
            <w:noWrap/>
            <w:vAlign w:val="bottom"/>
            <w:hideMark/>
          </w:tcPr>
          <w:p w14:paraId="741EC29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14" w:type="dxa"/>
            <w:tcBorders>
              <w:top w:val="nil"/>
              <w:left w:val="nil"/>
              <w:bottom w:val="nil"/>
              <w:right w:val="nil"/>
            </w:tcBorders>
            <w:shd w:val="clear" w:color="auto" w:fill="auto"/>
            <w:noWrap/>
            <w:vAlign w:val="bottom"/>
            <w:hideMark/>
          </w:tcPr>
          <w:p w14:paraId="5B1D4F2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72" w:type="dxa"/>
            <w:tcBorders>
              <w:top w:val="nil"/>
              <w:left w:val="nil"/>
              <w:bottom w:val="nil"/>
              <w:right w:val="nil"/>
            </w:tcBorders>
            <w:shd w:val="clear" w:color="auto" w:fill="auto"/>
            <w:noWrap/>
            <w:vAlign w:val="bottom"/>
            <w:hideMark/>
          </w:tcPr>
          <w:p w14:paraId="0E72CC6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408" w:type="dxa"/>
            <w:tcBorders>
              <w:top w:val="nil"/>
              <w:left w:val="nil"/>
              <w:bottom w:val="nil"/>
              <w:right w:val="nil"/>
            </w:tcBorders>
            <w:shd w:val="clear" w:color="auto" w:fill="auto"/>
            <w:noWrap/>
            <w:vAlign w:val="bottom"/>
            <w:hideMark/>
          </w:tcPr>
          <w:p w14:paraId="65189CE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80" w:type="dxa"/>
            <w:tcBorders>
              <w:top w:val="nil"/>
              <w:left w:val="nil"/>
              <w:bottom w:val="nil"/>
              <w:right w:val="nil"/>
            </w:tcBorders>
            <w:shd w:val="clear" w:color="auto" w:fill="auto"/>
            <w:noWrap/>
            <w:vAlign w:val="bottom"/>
            <w:hideMark/>
          </w:tcPr>
          <w:p w14:paraId="7C49268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176,761</w:t>
            </w:r>
          </w:p>
        </w:tc>
        <w:tc>
          <w:tcPr>
            <w:tcW w:w="440" w:type="dxa"/>
            <w:tcBorders>
              <w:top w:val="nil"/>
              <w:left w:val="nil"/>
              <w:bottom w:val="nil"/>
              <w:right w:val="nil"/>
            </w:tcBorders>
            <w:shd w:val="clear" w:color="auto" w:fill="auto"/>
            <w:noWrap/>
            <w:vAlign w:val="bottom"/>
            <w:hideMark/>
          </w:tcPr>
          <w:p w14:paraId="1D591C7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r>
      <w:tr w:rsidR="001C5319" w:rsidRPr="001C5319" w14:paraId="4040BB32" w14:textId="77777777" w:rsidTr="001C5319">
        <w:trPr>
          <w:trHeight w:val="270"/>
        </w:trPr>
        <w:tc>
          <w:tcPr>
            <w:tcW w:w="220" w:type="dxa"/>
            <w:tcBorders>
              <w:top w:val="nil"/>
              <w:left w:val="nil"/>
              <w:bottom w:val="nil"/>
              <w:right w:val="nil"/>
            </w:tcBorders>
            <w:shd w:val="clear" w:color="auto" w:fill="auto"/>
            <w:noWrap/>
            <w:vAlign w:val="bottom"/>
            <w:hideMark/>
          </w:tcPr>
          <w:p w14:paraId="300D9ABF"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nil"/>
              <w:left w:val="nil"/>
              <w:bottom w:val="single" w:sz="4" w:space="0" w:color="A6A6A6"/>
              <w:right w:val="nil"/>
            </w:tcBorders>
            <w:shd w:val="clear" w:color="auto" w:fill="auto"/>
            <w:noWrap/>
            <w:vAlign w:val="bottom"/>
            <w:hideMark/>
          </w:tcPr>
          <w:p w14:paraId="14F65ABF"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Indirect Admin</w:t>
            </w:r>
          </w:p>
        </w:tc>
        <w:tc>
          <w:tcPr>
            <w:tcW w:w="718" w:type="dxa"/>
            <w:tcBorders>
              <w:top w:val="nil"/>
              <w:left w:val="nil"/>
              <w:bottom w:val="single" w:sz="4" w:space="0" w:color="A6A6A6"/>
              <w:right w:val="nil"/>
            </w:tcBorders>
            <w:shd w:val="clear" w:color="auto" w:fill="auto"/>
            <w:noWrap/>
            <w:vAlign w:val="bottom"/>
            <w:hideMark/>
          </w:tcPr>
          <w:p w14:paraId="4A03FE3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22" w:type="dxa"/>
            <w:tcBorders>
              <w:top w:val="nil"/>
              <w:left w:val="nil"/>
              <w:bottom w:val="single" w:sz="4" w:space="0" w:color="A6A6A6"/>
              <w:right w:val="nil"/>
            </w:tcBorders>
            <w:shd w:val="clear" w:color="auto" w:fill="auto"/>
            <w:noWrap/>
            <w:vAlign w:val="bottom"/>
            <w:hideMark/>
          </w:tcPr>
          <w:p w14:paraId="163B8F78"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697" w:type="dxa"/>
            <w:tcBorders>
              <w:top w:val="nil"/>
              <w:left w:val="nil"/>
              <w:bottom w:val="single" w:sz="4" w:space="0" w:color="A6A6A6"/>
              <w:right w:val="nil"/>
            </w:tcBorders>
            <w:shd w:val="clear" w:color="auto" w:fill="auto"/>
            <w:noWrap/>
            <w:vAlign w:val="bottom"/>
            <w:hideMark/>
          </w:tcPr>
          <w:p w14:paraId="05FBB721"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74,117</w:t>
            </w:r>
          </w:p>
        </w:tc>
        <w:tc>
          <w:tcPr>
            <w:tcW w:w="523" w:type="dxa"/>
            <w:tcBorders>
              <w:top w:val="nil"/>
              <w:left w:val="nil"/>
              <w:bottom w:val="single" w:sz="4" w:space="0" w:color="A6A6A6"/>
              <w:right w:val="nil"/>
            </w:tcBorders>
            <w:shd w:val="clear" w:color="auto" w:fill="auto"/>
            <w:noWrap/>
            <w:vAlign w:val="bottom"/>
            <w:hideMark/>
          </w:tcPr>
          <w:p w14:paraId="24AD19DF"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686" w:type="dxa"/>
            <w:tcBorders>
              <w:top w:val="nil"/>
              <w:left w:val="nil"/>
              <w:bottom w:val="single" w:sz="4" w:space="0" w:color="A6A6A6"/>
              <w:right w:val="nil"/>
            </w:tcBorders>
            <w:shd w:val="clear" w:color="auto" w:fill="auto"/>
            <w:noWrap/>
            <w:vAlign w:val="bottom"/>
            <w:hideMark/>
          </w:tcPr>
          <w:p w14:paraId="1FC6524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6,835</w:t>
            </w:r>
          </w:p>
        </w:tc>
        <w:tc>
          <w:tcPr>
            <w:tcW w:w="514" w:type="dxa"/>
            <w:tcBorders>
              <w:top w:val="nil"/>
              <w:left w:val="nil"/>
              <w:bottom w:val="single" w:sz="4" w:space="0" w:color="A6A6A6"/>
              <w:right w:val="nil"/>
            </w:tcBorders>
            <w:shd w:val="clear" w:color="auto" w:fill="auto"/>
            <w:noWrap/>
            <w:vAlign w:val="bottom"/>
            <w:hideMark/>
          </w:tcPr>
          <w:p w14:paraId="164F7EEF"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06" w:type="dxa"/>
            <w:tcBorders>
              <w:top w:val="nil"/>
              <w:left w:val="nil"/>
              <w:bottom w:val="single" w:sz="4" w:space="0" w:color="A6A6A6"/>
              <w:right w:val="nil"/>
            </w:tcBorders>
            <w:shd w:val="clear" w:color="auto" w:fill="auto"/>
            <w:noWrap/>
            <w:vAlign w:val="bottom"/>
            <w:hideMark/>
          </w:tcPr>
          <w:p w14:paraId="02C5441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14" w:type="dxa"/>
            <w:tcBorders>
              <w:top w:val="nil"/>
              <w:left w:val="nil"/>
              <w:bottom w:val="single" w:sz="4" w:space="0" w:color="A6A6A6"/>
              <w:right w:val="nil"/>
            </w:tcBorders>
            <w:shd w:val="clear" w:color="auto" w:fill="auto"/>
            <w:noWrap/>
            <w:vAlign w:val="bottom"/>
            <w:hideMark/>
          </w:tcPr>
          <w:p w14:paraId="64D1A860"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72" w:type="dxa"/>
            <w:tcBorders>
              <w:top w:val="nil"/>
              <w:left w:val="nil"/>
              <w:bottom w:val="single" w:sz="4" w:space="0" w:color="A6A6A6"/>
              <w:right w:val="nil"/>
            </w:tcBorders>
            <w:shd w:val="clear" w:color="auto" w:fill="auto"/>
            <w:noWrap/>
            <w:vAlign w:val="bottom"/>
            <w:hideMark/>
          </w:tcPr>
          <w:p w14:paraId="5A35676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408" w:type="dxa"/>
            <w:tcBorders>
              <w:top w:val="nil"/>
              <w:left w:val="nil"/>
              <w:bottom w:val="single" w:sz="4" w:space="0" w:color="A6A6A6"/>
              <w:right w:val="nil"/>
            </w:tcBorders>
            <w:shd w:val="clear" w:color="auto" w:fill="auto"/>
            <w:noWrap/>
            <w:vAlign w:val="bottom"/>
            <w:hideMark/>
          </w:tcPr>
          <w:p w14:paraId="4DCCED47"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80" w:type="dxa"/>
            <w:tcBorders>
              <w:top w:val="nil"/>
              <w:left w:val="nil"/>
              <w:bottom w:val="single" w:sz="4" w:space="0" w:color="A6A6A6"/>
              <w:right w:val="nil"/>
            </w:tcBorders>
            <w:shd w:val="clear" w:color="auto" w:fill="auto"/>
            <w:noWrap/>
            <w:vAlign w:val="bottom"/>
            <w:hideMark/>
          </w:tcPr>
          <w:p w14:paraId="49B7973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80,952</w:t>
            </w:r>
          </w:p>
        </w:tc>
        <w:tc>
          <w:tcPr>
            <w:tcW w:w="440" w:type="dxa"/>
            <w:tcBorders>
              <w:top w:val="nil"/>
              <w:left w:val="nil"/>
              <w:bottom w:val="single" w:sz="4" w:space="0" w:color="A6A6A6"/>
              <w:right w:val="nil"/>
            </w:tcBorders>
            <w:shd w:val="clear" w:color="auto" w:fill="auto"/>
            <w:noWrap/>
            <w:vAlign w:val="bottom"/>
            <w:hideMark/>
          </w:tcPr>
          <w:p w14:paraId="2331957E"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r>
      <w:tr w:rsidR="001C5319" w:rsidRPr="001C5319" w14:paraId="208650F6" w14:textId="77777777" w:rsidTr="001C5319">
        <w:trPr>
          <w:trHeight w:val="270"/>
        </w:trPr>
        <w:tc>
          <w:tcPr>
            <w:tcW w:w="220" w:type="dxa"/>
            <w:tcBorders>
              <w:top w:val="nil"/>
              <w:left w:val="nil"/>
              <w:bottom w:val="nil"/>
              <w:right w:val="nil"/>
            </w:tcBorders>
            <w:shd w:val="clear" w:color="auto" w:fill="auto"/>
            <w:noWrap/>
            <w:vAlign w:val="bottom"/>
            <w:hideMark/>
          </w:tcPr>
          <w:p w14:paraId="0E5A3E64" w14:textId="77777777" w:rsidR="001C5319" w:rsidRPr="001C5319" w:rsidRDefault="001C5319" w:rsidP="001C5319">
            <w:pPr>
              <w:spacing w:after="0" w:line="240" w:lineRule="auto"/>
              <w:rPr>
                <w:rFonts w:ascii="Arial Narrow" w:eastAsia="Times New Roman" w:hAnsi="Arial Narrow" w:cs="Times New Roman"/>
                <w:sz w:val="15"/>
                <w:szCs w:val="15"/>
                <w:lang w:val="en-US"/>
              </w:rPr>
            </w:pPr>
          </w:p>
        </w:tc>
        <w:tc>
          <w:tcPr>
            <w:tcW w:w="1900" w:type="dxa"/>
            <w:tcBorders>
              <w:top w:val="nil"/>
              <w:left w:val="nil"/>
              <w:bottom w:val="nil"/>
              <w:right w:val="nil"/>
            </w:tcBorders>
            <w:shd w:val="clear" w:color="auto" w:fill="auto"/>
            <w:noWrap/>
            <w:vAlign w:val="bottom"/>
            <w:hideMark/>
          </w:tcPr>
          <w:p w14:paraId="371831E9" w14:textId="77777777" w:rsidR="001C5319" w:rsidRPr="001C5319" w:rsidRDefault="001C5319" w:rsidP="001C5319">
            <w:pPr>
              <w:spacing w:after="0" w:line="240" w:lineRule="auto"/>
              <w:ind w:firstLineChars="100" w:firstLine="150"/>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Sub-total, Indirect</w:t>
            </w:r>
          </w:p>
        </w:tc>
        <w:tc>
          <w:tcPr>
            <w:tcW w:w="718" w:type="dxa"/>
            <w:tcBorders>
              <w:top w:val="nil"/>
              <w:left w:val="nil"/>
              <w:bottom w:val="nil"/>
              <w:right w:val="nil"/>
            </w:tcBorders>
            <w:shd w:val="clear" w:color="auto" w:fill="auto"/>
            <w:noWrap/>
            <w:vAlign w:val="bottom"/>
            <w:hideMark/>
          </w:tcPr>
          <w:p w14:paraId="363F783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22" w:type="dxa"/>
            <w:tcBorders>
              <w:top w:val="nil"/>
              <w:left w:val="nil"/>
              <w:bottom w:val="nil"/>
              <w:right w:val="nil"/>
            </w:tcBorders>
            <w:shd w:val="clear" w:color="auto" w:fill="auto"/>
            <w:noWrap/>
            <w:vAlign w:val="bottom"/>
            <w:hideMark/>
          </w:tcPr>
          <w:p w14:paraId="3BF45F4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97" w:type="dxa"/>
            <w:tcBorders>
              <w:top w:val="nil"/>
              <w:left w:val="nil"/>
              <w:bottom w:val="nil"/>
              <w:right w:val="nil"/>
            </w:tcBorders>
            <w:shd w:val="clear" w:color="auto" w:fill="auto"/>
            <w:noWrap/>
            <w:vAlign w:val="bottom"/>
            <w:hideMark/>
          </w:tcPr>
          <w:p w14:paraId="28F8EE1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235,953</w:t>
            </w:r>
          </w:p>
        </w:tc>
        <w:tc>
          <w:tcPr>
            <w:tcW w:w="523" w:type="dxa"/>
            <w:tcBorders>
              <w:top w:val="nil"/>
              <w:left w:val="nil"/>
              <w:bottom w:val="nil"/>
              <w:right w:val="nil"/>
            </w:tcBorders>
            <w:shd w:val="clear" w:color="auto" w:fill="auto"/>
            <w:noWrap/>
            <w:vAlign w:val="bottom"/>
            <w:hideMark/>
          </w:tcPr>
          <w:p w14:paraId="70D25EB0"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86" w:type="dxa"/>
            <w:tcBorders>
              <w:top w:val="nil"/>
              <w:left w:val="nil"/>
              <w:bottom w:val="nil"/>
              <w:right w:val="nil"/>
            </w:tcBorders>
            <w:shd w:val="clear" w:color="auto" w:fill="auto"/>
            <w:noWrap/>
            <w:vAlign w:val="bottom"/>
            <w:hideMark/>
          </w:tcPr>
          <w:p w14:paraId="5187759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21,760</w:t>
            </w:r>
          </w:p>
        </w:tc>
        <w:tc>
          <w:tcPr>
            <w:tcW w:w="514" w:type="dxa"/>
            <w:tcBorders>
              <w:top w:val="nil"/>
              <w:left w:val="nil"/>
              <w:bottom w:val="nil"/>
              <w:right w:val="nil"/>
            </w:tcBorders>
            <w:shd w:val="clear" w:color="auto" w:fill="auto"/>
            <w:noWrap/>
            <w:vAlign w:val="bottom"/>
            <w:hideMark/>
          </w:tcPr>
          <w:p w14:paraId="54B6A17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06" w:type="dxa"/>
            <w:tcBorders>
              <w:top w:val="nil"/>
              <w:left w:val="nil"/>
              <w:bottom w:val="nil"/>
              <w:right w:val="nil"/>
            </w:tcBorders>
            <w:shd w:val="clear" w:color="auto" w:fill="auto"/>
            <w:noWrap/>
            <w:vAlign w:val="bottom"/>
            <w:hideMark/>
          </w:tcPr>
          <w:p w14:paraId="7D5DC90A"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14" w:type="dxa"/>
            <w:tcBorders>
              <w:top w:val="nil"/>
              <w:left w:val="nil"/>
              <w:bottom w:val="nil"/>
              <w:right w:val="nil"/>
            </w:tcBorders>
            <w:shd w:val="clear" w:color="auto" w:fill="auto"/>
            <w:noWrap/>
            <w:vAlign w:val="bottom"/>
            <w:hideMark/>
          </w:tcPr>
          <w:p w14:paraId="11F6914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72" w:type="dxa"/>
            <w:tcBorders>
              <w:top w:val="nil"/>
              <w:left w:val="nil"/>
              <w:bottom w:val="nil"/>
              <w:right w:val="nil"/>
            </w:tcBorders>
            <w:shd w:val="clear" w:color="auto" w:fill="auto"/>
            <w:noWrap/>
            <w:vAlign w:val="bottom"/>
            <w:hideMark/>
          </w:tcPr>
          <w:p w14:paraId="3B30020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408" w:type="dxa"/>
            <w:tcBorders>
              <w:top w:val="nil"/>
              <w:left w:val="nil"/>
              <w:bottom w:val="nil"/>
              <w:right w:val="nil"/>
            </w:tcBorders>
            <w:shd w:val="clear" w:color="auto" w:fill="auto"/>
            <w:noWrap/>
            <w:vAlign w:val="bottom"/>
            <w:hideMark/>
          </w:tcPr>
          <w:p w14:paraId="3BCA609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80" w:type="dxa"/>
            <w:tcBorders>
              <w:top w:val="nil"/>
              <w:left w:val="nil"/>
              <w:bottom w:val="nil"/>
              <w:right w:val="nil"/>
            </w:tcBorders>
            <w:shd w:val="clear" w:color="auto" w:fill="auto"/>
            <w:noWrap/>
            <w:vAlign w:val="bottom"/>
            <w:hideMark/>
          </w:tcPr>
          <w:p w14:paraId="5DE96F5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257,713</w:t>
            </w:r>
          </w:p>
        </w:tc>
        <w:tc>
          <w:tcPr>
            <w:tcW w:w="440" w:type="dxa"/>
            <w:tcBorders>
              <w:top w:val="nil"/>
              <w:left w:val="nil"/>
              <w:bottom w:val="nil"/>
              <w:right w:val="nil"/>
            </w:tcBorders>
            <w:shd w:val="clear" w:color="auto" w:fill="auto"/>
            <w:noWrap/>
            <w:vAlign w:val="bottom"/>
            <w:hideMark/>
          </w:tcPr>
          <w:p w14:paraId="5F60D2D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r>
      <w:tr w:rsidR="001C5319" w:rsidRPr="001C5319" w14:paraId="20ADB830" w14:textId="77777777" w:rsidTr="001C5319">
        <w:trPr>
          <w:trHeight w:val="300"/>
        </w:trPr>
        <w:tc>
          <w:tcPr>
            <w:tcW w:w="220" w:type="dxa"/>
            <w:tcBorders>
              <w:top w:val="nil"/>
              <w:left w:val="nil"/>
              <w:bottom w:val="nil"/>
              <w:right w:val="nil"/>
            </w:tcBorders>
            <w:shd w:val="clear" w:color="auto" w:fill="auto"/>
            <w:noWrap/>
            <w:vAlign w:val="bottom"/>
            <w:hideMark/>
          </w:tcPr>
          <w:p w14:paraId="5BDCBDB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900" w:type="dxa"/>
            <w:tcBorders>
              <w:top w:val="single" w:sz="4" w:space="0" w:color="BFBFBF"/>
              <w:left w:val="nil"/>
              <w:bottom w:val="single" w:sz="8" w:space="0" w:color="BFBFBF"/>
              <w:right w:val="nil"/>
            </w:tcBorders>
            <w:shd w:val="clear" w:color="auto" w:fill="auto"/>
            <w:noWrap/>
            <w:vAlign w:val="bottom"/>
            <w:hideMark/>
          </w:tcPr>
          <w:p w14:paraId="3E65FE5A"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Total, 2024/25 Expenditure</w:t>
            </w:r>
          </w:p>
        </w:tc>
        <w:tc>
          <w:tcPr>
            <w:tcW w:w="718" w:type="dxa"/>
            <w:tcBorders>
              <w:top w:val="single" w:sz="4" w:space="0" w:color="BFBFBF"/>
              <w:left w:val="nil"/>
              <w:bottom w:val="single" w:sz="8" w:space="0" w:color="BFBFBF"/>
              <w:right w:val="nil"/>
            </w:tcBorders>
            <w:shd w:val="clear" w:color="auto" w:fill="auto"/>
            <w:noWrap/>
            <w:vAlign w:val="bottom"/>
            <w:hideMark/>
          </w:tcPr>
          <w:p w14:paraId="69DB8E5F"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51,463</w:t>
            </w:r>
          </w:p>
        </w:tc>
        <w:tc>
          <w:tcPr>
            <w:tcW w:w="522" w:type="dxa"/>
            <w:tcBorders>
              <w:top w:val="single" w:sz="4" w:space="0" w:color="BFBFBF"/>
              <w:left w:val="nil"/>
              <w:bottom w:val="single" w:sz="8" w:space="0" w:color="BFBFBF"/>
              <w:right w:val="single" w:sz="4" w:space="0" w:color="FFFFFF"/>
            </w:tcBorders>
            <w:shd w:val="clear" w:color="auto" w:fill="auto"/>
            <w:noWrap/>
            <w:vAlign w:val="bottom"/>
            <w:hideMark/>
          </w:tcPr>
          <w:p w14:paraId="26F1BDE3"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97" w:type="dxa"/>
            <w:tcBorders>
              <w:top w:val="single" w:sz="4" w:space="0" w:color="BFBFBF"/>
              <w:left w:val="nil"/>
              <w:bottom w:val="single" w:sz="8" w:space="0" w:color="BFBFBF"/>
              <w:right w:val="nil"/>
            </w:tcBorders>
            <w:shd w:val="clear" w:color="auto" w:fill="auto"/>
            <w:noWrap/>
            <w:vAlign w:val="bottom"/>
            <w:hideMark/>
          </w:tcPr>
          <w:p w14:paraId="230E6C1B"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604,702</w:t>
            </w:r>
          </w:p>
        </w:tc>
        <w:tc>
          <w:tcPr>
            <w:tcW w:w="523" w:type="dxa"/>
            <w:tcBorders>
              <w:top w:val="single" w:sz="4" w:space="0" w:color="BFBFBF"/>
              <w:left w:val="nil"/>
              <w:bottom w:val="single" w:sz="8" w:space="0" w:color="BFBFBF"/>
              <w:right w:val="single" w:sz="4" w:space="0" w:color="FFFFFF"/>
            </w:tcBorders>
            <w:shd w:val="clear" w:color="auto" w:fill="auto"/>
            <w:noWrap/>
            <w:vAlign w:val="bottom"/>
            <w:hideMark/>
          </w:tcPr>
          <w:p w14:paraId="7B561BF3"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86" w:type="dxa"/>
            <w:tcBorders>
              <w:top w:val="single" w:sz="4" w:space="0" w:color="BFBFBF"/>
              <w:left w:val="nil"/>
              <w:bottom w:val="single" w:sz="8" w:space="0" w:color="BFBFBF"/>
              <w:right w:val="nil"/>
            </w:tcBorders>
            <w:shd w:val="clear" w:color="auto" w:fill="auto"/>
            <w:noWrap/>
            <w:vAlign w:val="bottom"/>
            <w:hideMark/>
          </w:tcPr>
          <w:p w14:paraId="317B38CE"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159,627</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5F3F16AB"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06" w:type="dxa"/>
            <w:tcBorders>
              <w:top w:val="single" w:sz="4" w:space="0" w:color="BFBFBF"/>
              <w:left w:val="nil"/>
              <w:bottom w:val="single" w:sz="8" w:space="0" w:color="BFBFBF"/>
              <w:right w:val="nil"/>
            </w:tcBorders>
            <w:shd w:val="clear" w:color="auto" w:fill="auto"/>
            <w:noWrap/>
            <w:vAlign w:val="bottom"/>
            <w:hideMark/>
          </w:tcPr>
          <w:p w14:paraId="1255842D"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38,205</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75BC74F5"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72" w:type="dxa"/>
            <w:tcBorders>
              <w:top w:val="single" w:sz="4" w:space="0" w:color="BFBFBF"/>
              <w:left w:val="nil"/>
              <w:bottom w:val="single" w:sz="8" w:space="0" w:color="BFBFBF"/>
              <w:right w:val="nil"/>
            </w:tcBorders>
            <w:shd w:val="clear" w:color="auto" w:fill="auto"/>
            <w:noWrap/>
            <w:vAlign w:val="bottom"/>
            <w:hideMark/>
          </w:tcPr>
          <w:p w14:paraId="59DFC733"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3,302</w:t>
            </w:r>
          </w:p>
        </w:tc>
        <w:tc>
          <w:tcPr>
            <w:tcW w:w="408" w:type="dxa"/>
            <w:tcBorders>
              <w:top w:val="single" w:sz="4" w:space="0" w:color="BFBFBF"/>
              <w:left w:val="nil"/>
              <w:bottom w:val="single" w:sz="8" w:space="0" w:color="BFBFBF"/>
              <w:right w:val="single" w:sz="4" w:space="0" w:color="FFFFFF"/>
            </w:tcBorders>
            <w:shd w:val="clear" w:color="auto" w:fill="auto"/>
            <w:noWrap/>
            <w:vAlign w:val="bottom"/>
            <w:hideMark/>
          </w:tcPr>
          <w:p w14:paraId="78E9D474"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80" w:type="dxa"/>
            <w:tcBorders>
              <w:top w:val="single" w:sz="4" w:space="0" w:color="BFBFBF"/>
              <w:left w:val="nil"/>
              <w:bottom w:val="single" w:sz="8" w:space="0" w:color="BFBFBF"/>
              <w:right w:val="nil"/>
            </w:tcBorders>
            <w:shd w:val="clear" w:color="auto" w:fill="auto"/>
            <w:noWrap/>
            <w:vAlign w:val="bottom"/>
            <w:hideMark/>
          </w:tcPr>
          <w:p w14:paraId="3D8859AE"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857,300</w:t>
            </w:r>
          </w:p>
        </w:tc>
        <w:tc>
          <w:tcPr>
            <w:tcW w:w="440" w:type="dxa"/>
            <w:tcBorders>
              <w:top w:val="single" w:sz="4" w:space="0" w:color="BFBFBF"/>
              <w:left w:val="nil"/>
              <w:bottom w:val="single" w:sz="8" w:space="0" w:color="BFBFBF"/>
              <w:right w:val="nil"/>
            </w:tcBorders>
            <w:shd w:val="clear" w:color="auto" w:fill="auto"/>
            <w:noWrap/>
            <w:vAlign w:val="bottom"/>
            <w:hideMark/>
          </w:tcPr>
          <w:p w14:paraId="32E545A6"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r>
      <w:tr w:rsidR="001C5319" w:rsidRPr="001C5319" w14:paraId="574A0F64" w14:textId="77777777" w:rsidTr="001C5319">
        <w:trPr>
          <w:trHeight w:val="420"/>
        </w:trPr>
        <w:tc>
          <w:tcPr>
            <w:tcW w:w="2120" w:type="dxa"/>
            <w:gridSpan w:val="2"/>
            <w:tcBorders>
              <w:top w:val="nil"/>
              <w:left w:val="nil"/>
              <w:bottom w:val="single" w:sz="4" w:space="0" w:color="BFBFBF"/>
              <w:right w:val="nil"/>
            </w:tcBorders>
            <w:shd w:val="clear" w:color="auto" w:fill="auto"/>
            <w:noWrap/>
            <w:vAlign w:val="bottom"/>
            <w:hideMark/>
          </w:tcPr>
          <w:p w14:paraId="437FDCD5"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Estimated IPSAS adjustment</w:t>
            </w:r>
          </w:p>
        </w:tc>
        <w:tc>
          <w:tcPr>
            <w:tcW w:w="718" w:type="dxa"/>
            <w:tcBorders>
              <w:top w:val="nil"/>
              <w:left w:val="nil"/>
              <w:bottom w:val="nil"/>
              <w:right w:val="nil"/>
            </w:tcBorders>
            <w:shd w:val="clear" w:color="auto" w:fill="auto"/>
            <w:noWrap/>
            <w:vAlign w:val="bottom"/>
            <w:hideMark/>
          </w:tcPr>
          <w:p w14:paraId="1B47B79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2,812</w:t>
            </w:r>
          </w:p>
        </w:tc>
        <w:tc>
          <w:tcPr>
            <w:tcW w:w="522" w:type="dxa"/>
            <w:tcBorders>
              <w:top w:val="nil"/>
              <w:left w:val="nil"/>
              <w:bottom w:val="nil"/>
              <w:right w:val="nil"/>
            </w:tcBorders>
            <w:shd w:val="clear" w:color="auto" w:fill="auto"/>
            <w:noWrap/>
            <w:vAlign w:val="bottom"/>
            <w:hideMark/>
          </w:tcPr>
          <w:p w14:paraId="295AD80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97" w:type="dxa"/>
            <w:tcBorders>
              <w:top w:val="nil"/>
              <w:left w:val="nil"/>
              <w:bottom w:val="nil"/>
              <w:right w:val="nil"/>
            </w:tcBorders>
            <w:shd w:val="clear" w:color="auto" w:fill="auto"/>
            <w:noWrap/>
            <w:vAlign w:val="bottom"/>
            <w:hideMark/>
          </w:tcPr>
          <w:p w14:paraId="1D1E328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33,045</w:t>
            </w:r>
          </w:p>
        </w:tc>
        <w:tc>
          <w:tcPr>
            <w:tcW w:w="523" w:type="dxa"/>
            <w:tcBorders>
              <w:top w:val="nil"/>
              <w:left w:val="nil"/>
              <w:bottom w:val="nil"/>
              <w:right w:val="nil"/>
            </w:tcBorders>
            <w:shd w:val="clear" w:color="auto" w:fill="auto"/>
            <w:noWrap/>
            <w:vAlign w:val="bottom"/>
            <w:hideMark/>
          </w:tcPr>
          <w:p w14:paraId="2A8612E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686" w:type="dxa"/>
            <w:tcBorders>
              <w:top w:val="nil"/>
              <w:left w:val="nil"/>
              <w:bottom w:val="nil"/>
              <w:right w:val="nil"/>
            </w:tcBorders>
            <w:shd w:val="clear" w:color="auto" w:fill="auto"/>
            <w:noWrap/>
            <w:vAlign w:val="bottom"/>
            <w:hideMark/>
          </w:tcPr>
          <w:p w14:paraId="749107C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8,723</w:t>
            </w:r>
          </w:p>
        </w:tc>
        <w:tc>
          <w:tcPr>
            <w:tcW w:w="514" w:type="dxa"/>
            <w:tcBorders>
              <w:top w:val="nil"/>
              <w:left w:val="nil"/>
              <w:bottom w:val="nil"/>
              <w:right w:val="nil"/>
            </w:tcBorders>
            <w:shd w:val="clear" w:color="auto" w:fill="auto"/>
            <w:noWrap/>
            <w:vAlign w:val="bottom"/>
            <w:hideMark/>
          </w:tcPr>
          <w:p w14:paraId="7AE45CE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06" w:type="dxa"/>
            <w:tcBorders>
              <w:top w:val="nil"/>
              <w:left w:val="nil"/>
              <w:bottom w:val="nil"/>
              <w:right w:val="nil"/>
            </w:tcBorders>
            <w:shd w:val="clear" w:color="auto" w:fill="auto"/>
            <w:noWrap/>
            <w:vAlign w:val="bottom"/>
            <w:hideMark/>
          </w:tcPr>
          <w:p w14:paraId="25CCA3E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2,088</w:t>
            </w:r>
          </w:p>
        </w:tc>
        <w:tc>
          <w:tcPr>
            <w:tcW w:w="514" w:type="dxa"/>
            <w:tcBorders>
              <w:top w:val="nil"/>
              <w:left w:val="nil"/>
              <w:bottom w:val="nil"/>
              <w:right w:val="nil"/>
            </w:tcBorders>
            <w:shd w:val="clear" w:color="auto" w:fill="auto"/>
            <w:noWrap/>
            <w:vAlign w:val="bottom"/>
            <w:hideMark/>
          </w:tcPr>
          <w:p w14:paraId="36B9496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72" w:type="dxa"/>
            <w:tcBorders>
              <w:top w:val="nil"/>
              <w:left w:val="nil"/>
              <w:bottom w:val="nil"/>
              <w:right w:val="nil"/>
            </w:tcBorders>
            <w:shd w:val="clear" w:color="auto" w:fill="auto"/>
            <w:noWrap/>
            <w:vAlign w:val="bottom"/>
            <w:hideMark/>
          </w:tcPr>
          <w:p w14:paraId="7D420F3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180</w:t>
            </w:r>
          </w:p>
        </w:tc>
        <w:tc>
          <w:tcPr>
            <w:tcW w:w="408" w:type="dxa"/>
            <w:tcBorders>
              <w:top w:val="nil"/>
              <w:left w:val="nil"/>
              <w:bottom w:val="nil"/>
              <w:right w:val="nil"/>
            </w:tcBorders>
            <w:shd w:val="clear" w:color="auto" w:fill="auto"/>
            <w:noWrap/>
            <w:vAlign w:val="bottom"/>
            <w:hideMark/>
          </w:tcPr>
          <w:p w14:paraId="6A4EBB8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c>
          <w:tcPr>
            <w:tcW w:w="780" w:type="dxa"/>
            <w:tcBorders>
              <w:top w:val="nil"/>
              <w:left w:val="nil"/>
              <w:bottom w:val="nil"/>
              <w:right w:val="nil"/>
            </w:tcBorders>
            <w:shd w:val="clear" w:color="auto" w:fill="auto"/>
            <w:noWrap/>
            <w:vAlign w:val="bottom"/>
            <w:hideMark/>
          </w:tcPr>
          <w:p w14:paraId="697CD7F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46,849</w:t>
            </w:r>
          </w:p>
        </w:tc>
        <w:tc>
          <w:tcPr>
            <w:tcW w:w="440" w:type="dxa"/>
            <w:tcBorders>
              <w:top w:val="nil"/>
              <w:left w:val="nil"/>
              <w:bottom w:val="nil"/>
              <w:right w:val="nil"/>
            </w:tcBorders>
            <w:shd w:val="clear" w:color="auto" w:fill="auto"/>
            <w:noWrap/>
            <w:vAlign w:val="bottom"/>
            <w:hideMark/>
          </w:tcPr>
          <w:p w14:paraId="7576528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p>
        </w:tc>
      </w:tr>
      <w:tr w:rsidR="001C5319" w:rsidRPr="001C5319" w14:paraId="7080BDBF" w14:textId="77777777" w:rsidTr="001C5319">
        <w:trPr>
          <w:trHeight w:val="420"/>
        </w:trPr>
        <w:tc>
          <w:tcPr>
            <w:tcW w:w="2120" w:type="dxa"/>
            <w:gridSpan w:val="2"/>
            <w:tcBorders>
              <w:top w:val="single" w:sz="4" w:space="0" w:color="BFBFBF"/>
              <w:left w:val="nil"/>
              <w:bottom w:val="single" w:sz="8" w:space="0" w:color="BFBFBF"/>
              <w:right w:val="nil"/>
            </w:tcBorders>
            <w:shd w:val="clear" w:color="auto" w:fill="auto"/>
            <w:vAlign w:val="bottom"/>
            <w:hideMark/>
          </w:tcPr>
          <w:p w14:paraId="4F3D4844"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Total Expenditure after IPSAS adjustments</w:t>
            </w:r>
          </w:p>
        </w:tc>
        <w:tc>
          <w:tcPr>
            <w:tcW w:w="718" w:type="dxa"/>
            <w:tcBorders>
              <w:top w:val="single" w:sz="4" w:space="0" w:color="BFBFBF"/>
              <w:left w:val="nil"/>
              <w:bottom w:val="single" w:sz="8" w:space="0" w:color="BFBFBF"/>
              <w:right w:val="nil"/>
            </w:tcBorders>
            <w:shd w:val="clear" w:color="auto" w:fill="auto"/>
            <w:noWrap/>
            <w:vAlign w:val="bottom"/>
            <w:hideMark/>
          </w:tcPr>
          <w:p w14:paraId="7D0A49D7"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54,276</w:t>
            </w:r>
          </w:p>
        </w:tc>
        <w:tc>
          <w:tcPr>
            <w:tcW w:w="522" w:type="dxa"/>
            <w:tcBorders>
              <w:top w:val="single" w:sz="4" w:space="0" w:color="BFBFBF"/>
              <w:left w:val="nil"/>
              <w:bottom w:val="single" w:sz="8" w:space="0" w:color="BFBFBF"/>
              <w:right w:val="single" w:sz="4" w:space="0" w:color="FFFFFF"/>
            </w:tcBorders>
            <w:shd w:val="clear" w:color="auto" w:fill="auto"/>
            <w:noWrap/>
            <w:vAlign w:val="bottom"/>
            <w:hideMark/>
          </w:tcPr>
          <w:p w14:paraId="0EBFC7F3"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97" w:type="dxa"/>
            <w:tcBorders>
              <w:top w:val="single" w:sz="4" w:space="0" w:color="BFBFBF"/>
              <w:left w:val="nil"/>
              <w:bottom w:val="single" w:sz="8" w:space="0" w:color="BFBFBF"/>
              <w:right w:val="nil"/>
            </w:tcBorders>
            <w:shd w:val="clear" w:color="auto" w:fill="auto"/>
            <w:noWrap/>
            <w:vAlign w:val="bottom"/>
            <w:hideMark/>
          </w:tcPr>
          <w:p w14:paraId="6E667F14"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637,748</w:t>
            </w:r>
          </w:p>
        </w:tc>
        <w:tc>
          <w:tcPr>
            <w:tcW w:w="523" w:type="dxa"/>
            <w:tcBorders>
              <w:top w:val="single" w:sz="4" w:space="0" w:color="BFBFBF"/>
              <w:left w:val="nil"/>
              <w:bottom w:val="single" w:sz="8" w:space="0" w:color="BFBFBF"/>
              <w:right w:val="single" w:sz="4" w:space="0" w:color="FFFFFF"/>
            </w:tcBorders>
            <w:shd w:val="clear" w:color="auto" w:fill="auto"/>
            <w:noWrap/>
            <w:vAlign w:val="bottom"/>
            <w:hideMark/>
          </w:tcPr>
          <w:p w14:paraId="6D261F3E"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86" w:type="dxa"/>
            <w:tcBorders>
              <w:top w:val="single" w:sz="4" w:space="0" w:color="BFBFBF"/>
              <w:left w:val="nil"/>
              <w:bottom w:val="single" w:sz="8" w:space="0" w:color="BFBFBF"/>
              <w:right w:val="nil"/>
            </w:tcBorders>
            <w:shd w:val="clear" w:color="auto" w:fill="auto"/>
            <w:noWrap/>
            <w:vAlign w:val="bottom"/>
            <w:hideMark/>
          </w:tcPr>
          <w:p w14:paraId="6A898CD3"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168,350</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39EC6BDF"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06" w:type="dxa"/>
            <w:tcBorders>
              <w:top w:val="single" w:sz="4" w:space="0" w:color="BFBFBF"/>
              <w:left w:val="nil"/>
              <w:bottom w:val="single" w:sz="8" w:space="0" w:color="BFBFBF"/>
              <w:right w:val="nil"/>
            </w:tcBorders>
            <w:shd w:val="clear" w:color="auto" w:fill="auto"/>
            <w:noWrap/>
            <w:vAlign w:val="bottom"/>
            <w:hideMark/>
          </w:tcPr>
          <w:p w14:paraId="3DF30F19"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40,293</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3096F7B1"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72" w:type="dxa"/>
            <w:tcBorders>
              <w:top w:val="single" w:sz="4" w:space="0" w:color="BFBFBF"/>
              <w:left w:val="nil"/>
              <w:bottom w:val="single" w:sz="8" w:space="0" w:color="BFBFBF"/>
              <w:right w:val="nil"/>
            </w:tcBorders>
            <w:shd w:val="clear" w:color="auto" w:fill="auto"/>
            <w:noWrap/>
            <w:vAlign w:val="bottom"/>
            <w:hideMark/>
          </w:tcPr>
          <w:p w14:paraId="2AA91153"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3,482</w:t>
            </w:r>
          </w:p>
        </w:tc>
        <w:tc>
          <w:tcPr>
            <w:tcW w:w="408" w:type="dxa"/>
            <w:tcBorders>
              <w:top w:val="single" w:sz="4" w:space="0" w:color="BFBFBF"/>
              <w:left w:val="nil"/>
              <w:bottom w:val="single" w:sz="8" w:space="0" w:color="BFBFBF"/>
              <w:right w:val="single" w:sz="4" w:space="0" w:color="FFFFFF"/>
            </w:tcBorders>
            <w:shd w:val="clear" w:color="auto" w:fill="auto"/>
            <w:noWrap/>
            <w:vAlign w:val="bottom"/>
            <w:hideMark/>
          </w:tcPr>
          <w:p w14:paraId="330A76B1"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80" w:type="dxa"/>
            <w:tcBorders>
              <w:top w:val="single" w:sz="4" w:space="0" w:color="BFBFBF"/>
              <w:left w:val="nil"/>
              <w:bottom w:val="single" w:sz="8" w:space="0" w:color="BFBFBF"/>
              <w:right w:val="nil"/>
            </w:tcBorders>
            <w:shd w:val="clear" w:color="auto" w:fill="auto"/>
            <w:noWrap/>
            <w:vAlign w:val="bottom"/>
            <w:hideMark/>
          </w:tcPr>
          <w:p w14:paraId="33784077"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904,149</w:t>
            </w:r>
          </w:p>
        </w:tc>
        <w:tc>
          <w:tcPr>
            <w:tcW w:w="440" w:type="dxa"/>
            <w:tcBorders>
              <w:top w:val="single" w:sz="4" w:space="0" w:color="BFBFBF"/>
              <w:left w:val="nil"/>
              <w:bottom w:val="single" w:sz="8" w:space="0" w:color="BFBFBF"/>
              <w:right w:val="nil"/>
            </w:tcBorders>
            <w:shd w:val="clear" w:color="auto" w:fill="auto"/>
            <w:noWrap/>
            <w:vAlign w:val="bottom"/>
            <w:hideMark/>
          </w:tcPr>
          <w:p w14:paraId="274DD8BE"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r>
      <w:tr w:rsidR="001C5319" w:rsidRPr="001C5319" w14:paraId="076DDD0E" w14:textId="77777777" w:rsidTr="001C5319">
        <w:trPr>
          <w:trHeight w:val="270"/>
        </w:trPr>
        <w:tc>
          <w:tcPr>
            <w:tcW w:w="2120" w:type="dxa"/>
            <w:gridSpan w:val="2"/>
            <w:tcBorders>
              <w:top w:val="single" w:sz="8" w:space="0" w:color="BFBFBF"/>
              <w:left w:val="nil"/>
              <w:bottom w:val="single" w:sz="8" w:space="0" w:color="BFBFBF"/>
              <w:right w:val="single" w:sz="4" w:space="0" w:color="FFFFFF"/>
            </w:tcBorders>
            <w:shd w:val="clear" w:color="auto" w:fill="auto"/>
            <w:noWrap/>
            <w:vAlign w:val="bottom"/>
            <w:hideMark/>
          </w:tcPr>
          <w:p w14:paraId="15FC4898"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Operating Result</w:t>
            </w:r>
          </w:p>
        </w:tc>
        <w:tc>
          <w:tcPr>
            <w:tcW w:w="718" w:type="dxa"/>
            <w:tcBorders>
              <w:top w:val="single" w:sz="4" w:space="0" w:color="BFBFBF"/>
              <w:left w:val="nil"/>
              <w:bottom w:val="single" w:sz="8" w:space="0" w:color="BFBFBF"/>
              <w:right w:val="nil"/>
            </w:tcBorders>
            <w:shd w:val="clear" w:color="auto" w:fill="auto"/>
            <w:noWrap/>
            <w:vAlign w:val="bottom"/>
            <w:hideMark/>
          </w:tcPr>
          <w:p w14:paraId="0A799A9B"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(18,027)</w:t>
            </w:r>
          </w:p>
        </w:tc>
        <w:tc>
          <w:tcPr>
            <w:tcW w:w="522" w:type="dxa"/>
            <w:tcBorders>
              <w:top w:val="single" w:sz="4" w:space="0" w:color="BFBFBF"/>
              <w:left w:val="nil"/>
              <w:bottom w:val="single" w:sz="8" w:space="0" w:color="BFBFBF"/>
              <w:right w:val="single" w:sz="4" w:space="0" w:color="FFFFFF"/>
            </w:tcBorders>
            <w:shd w:val="clear" w:color="auto" w:fill="auto"/>
            <w:noWrap/>
            <w:vAlign w:val="bottom"/>
            <w:hideMark/>
          </w:tcPr>
          <w:p w14:paraId="762CE64D"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97" w:type="dxa"/>
            <w:tcBorders>
              <w:top w:val="single" w:sz="4" w:space="0" w:color="BFBFBF"/>
              <w:left w:val="nil"/>
              <w:bottom w:val="single" w:sz="8" w:space="0" w:color="BFBFBF"/>
              <w:right w:val="nil"/>
            </w:tcBorders>
            <w:shd w:val="clear" w:color="auto" w:fill="auto"/>
            <w:noWrap/>
            <w:vAlign w:val="bottom"/>
            <w:hideMark/>
          </w:tcPr>
          <w:p w14:paraId="338C0871"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107,883</w:t>
            </w:r>
          </w:p>
        </w:tc>
        <w:tc>
          <w:tcPr>
            <w:tcW w:w="523" w:type="dxa"/>
            <w:tcBorders>
              <w:top w:val="single" w:sz="4" w:space="0" w:color="BFBFBF"/>
              <w:left w:val="nil"/>
              <w:bottom w:val="single" w:sz="8" w:space="0" w:color="BFBFBF"/>
              <w:right w:val="single" w:sz="4" w:space="0" w:color="FFFFFF"/>
            </w:tcBorders>
            <w:shd w:val="clear" w:color="auto" w:fill="auto"/>
            <w:noWrap/>
            <w:vAlign w:val="bottom"/>
            <w:hideMark/>
          </w:tcPr>
          <w:p w14:paraId="1E2CA341"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686" w:type="dxa"/>
            <w:tcBorders>
              <w:top w:val="single" w:sz="4" w:space="0" w:color="BFBFBF"/>
              <w:left w:val="nil"/>
              <w:bottom w:val="single" w:sz="8" w:space="0" w:color="BFBFBF"/>
              <w:right w:val="nil"/>
            </w:tcBorders>
            <w:shd w:val="clear" w:color="auto" w:fill="auto"/>
            <w:noWrap/>
            <w:vAlign w:val="bottom"/>
            <w:hideMark/>
          </w:tcPr>
          <w:p w14:paraId="317FC40A"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4,273</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0D907BCB"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06" w:type="dxa"/>
            <w:tcBorders>
              <w:top w:val="single" w:sz="4" w:space="0" w:color="BFBFBF"/>
              <w:left w:val="nil"/>
              <w:bottom w:val="single" w:sz="8" w:space="0" w:color="BFBFBF"/>
              <w:right w:val="nil"/>
            </w:tcBorders>
            <w:shd w:val="clear" w:color="auto" w:fill="auto"/>
            <w:noWrap/>
            <w:vAlign w:val="bottom"/>
            <w:hideMark/>
          </w:tcPr>
          <w:p w14:paraId="7AE9CB26"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(22,812)</w:t>
            </w:r>
          </w:p>
        </w:tc>
        <w:tc>
          <w:tcPr>
            <w:tcW w:w="514" w:type="dxa"/>
            <w:tcBorders>
              <w:top w:val="single" w:sz="4" w:space="0" w:color="BFBFBF"/>
              <w:left w:val="nil"/>
              <w:bottom w:val="single" w:sz="8" w:space="0" w:color="BFBFBF"/>
              <w:right w:val="single" w:sz="4" w:space="0" w:color="FFFFFF"/>
            </w:tcBorders>
            <w:shd w:val="clear" w:color="auto" w:fill="auto"/>
            <w:noWrap/>
            <w:vAlign w:val="bottom"/>
            <w:hideMark/>
          </w:tcPr>
          <w:p w14:paraId="762357AE"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72" w:type="dxa"/>
            <w:tcBorders>
              <w:top w:val="single" w:sz="4" w:space="0" w:color="BFBFBF"/>
              <w:left w:val="nil"/>
              <w:bottom w:val="single" w:sz="8" w:space="0" w:color="BFBFBF"/>
              <w:right w:val="nil"/>
            </w:tcBorders>
            <w:shd w:val="clear" w:color="auto" w:fill="auto"/>
            <w:noWrap/>
            <w:vAlign w:val="bottom"/>
            <w:hideMark/>
          </w:tcPr>
          <w:p w14:paraId="44E7972F"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(2,879)</w:t>
            </w:r>
          </w:p>
        </w:tc>
        <w:tc>
          <w:tcPr>
            <w:tcW w:w="408" w:type="dxa"/>
            <w:tcBorders>
              <w:top w:val="single" w:sz="4" w:space="0" w:color="BFBFBF"/>
              <w:left w:val="nil"/>
              <w:bottom w:val="single" w:sz="8" w:space="0" w:color="BFBFBF"/>
              <w:right w:val="single" w:sz="4" w:space="0" w:color="FFFFFF"/>
            </w:tcBorders>
            <w:shd w:val="clear" w:color="auto" w:fill="auto"/>
            <w:noWrap/>
            <w:vAlign w:val="bottom"/>
            <w:hideMark/>
          </w:tcPr>
          <w:p w14:paraId="039FD25A"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c>
          <w:tcPr>
            <w:tcW w:w="780" w:type="dxa"/>
            <w:tcBorders>
              <w:top w:val="single" w:sz="4" w:space="0" w:color="BFBFBF"/>
              <w:left w:val="nil"/>
              <w:bottom w:val="single" w:sz="8" w:space="0" w:color="BFBFBF"/>
              <w:right w:val="nil"/>
            </w:tcBorders>
            <w:shd w:val="clear" w:color="auto" w:fill="auto"/>
            <w:noWrap/>
            <w:vAlign w:val="bottom"/>
            <w:hideMark/>
          </w:tcPr>
          <w:p w14:paraId="255565DE"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68,437</w:t>
            </w:r>
          </w:p>
        </w:tc>
        <w:tc>
          <w:tcPr>
            <w:tcW w:w="440" w:type="dxa"/>
            <w:tcBorders>
              <w:top w:val="single" w:sz="4" w:space="0" w:color="BFBFBF"/>
              <w:left w:val="nil"/>
              <w:bottom w:val="single" w:sz="8" w:space="0" w:color="BFBFBF"/>
              <w:right w:val="nil"/>
            </w:tcBorders>
            <w:shd w:val="clear" w:color="auto" w:fill="auto"/>
            <w:noWrap/>
            <w:vAlign w:val="bottom"/>
            <w:hideMark/>
          </w:tcPr>
          <w:p w14:paraId="5831BEB4"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w:t>
            </w:r>
          </w:p>
        </w:tc>
      </w:tr>
      <w:tr w:rsidR="001C5319" w:rsidRPr="001C5319" w14:paraId="0B348030" w14:textId="77777777" w:rsidTr="001C5319">
        <w:trPr>
          <w:trHeight w:val="270"/>
        </w:trPr>
        <w:tc>
          <w:tcPr>
            <w:tcW w:w="2120" w:type="dxa"/>
            <w:gridSpan w:val="2"/>
            <w:tcBorders>
              <w:top w:val="single" w:sz="8" w:space="0" w:color="BFBFBF"/>
              <w:left w:val="nil"/>
              <w:bottom w:val="single" w:sz="4" w:space="0" w:color="BFBFBF"/>
              <w:right w:val="nil"/>
            </w:tcBorders>
            <w:shd w:val="clear" w:color="auto" w:fill="auto"/>
            <w:noWrap/>
            <w:vAlign w:val="bottom"/>
            <w:hideMark/>
          </w:tcPr>
          <w:p w14:paraId="1CC61783"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RWCF Target*</w:t>
            </w:r>
          </w:p>
        </w:tc>
        <w:tc>
          <w:tcPr>
            <w:tcW w:w="718" w:type="dxa"/>
            <w:tcBorders>
              <w:top w:val="nil"/>
              <w:left w:val="nil"/>
              <w:bottom w:val="single" w:sz="4" w:space="0" w:color="BFBFBF"/>
              <w:right w:val="nil"/>
            </w:tcBorders>
            <w:shd w:val="clear" w:color="auto" w:fill="auto"/>
            <w:noWrap/>
            <w:vAlign w:val="bottom"/>
            <w:hideMark/>
          </w:tcPr>
          <w:p w14:paraId="7680C39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25,732</w:t>
            </w:r>
          </w:p>
        </w:tc>
        <w:tc>
          <w:tcPr>
            <w:tcW w:w="522" w:type="dxa"/>
            <w:tcBorders>
              <w:top w:val="nil"/>
              <w:left w:val="nil"/>
              <w:bottom w:val="single" w:sz="4" w:space="0" w:color="BFBFBF"/>
              <w:right w:val="nil"/>
            </w:tcBorders>
            <w:shd w:val="clear" w:color="auto" w:fill="auto"/>
            <w:noWrap/>
            <w:vAlign w:val="bottom"/>
            <w:hideMark/>
          </w:tcPr>
          <w:p w14:paraId="44DD8C18"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50.0%</w:t>
            </w:r>
          </w:p>
        </w:tc>
        <w:tc>
          <w:tcPr>
            <w:tcW w:w="697" w:type="dxa"/>
            <w:tcBorders>
              <w:top w:val="nil"/>
              <w:left w:val="nil"/>
              <w:bottom w:val="single" w:sz="4" w:space="0" w:color="BFBFBF"/>
              <w:right w:val="nil"/>
            </w:tcBorders>
            <w:shd w:val="clear" w:color="auto" w:fill="auto"/>
            <w:noWrap/>
            <w:vAlign w:val="bottom"/>
            <w:hideMark/>
          </w:tcPr>
          <w:p w14:paraId="02544CC3"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151,176</w:t>
            </w:r>
          </w:p>
        </w:tc>
        <w:tc>
          <w:tcPr>
            <w:tcW w:w="523" w:type="dxa"/>
            <w:tcBorders>
              <w:top w:val="nil"/>
              <w:left w:val="nil"/>
              <w:bottom w:val="single" w:sz="4" w:space="0" w:color="BFBFBF"/>
              <w:right w:val="nil"/>
            </w:tcBorders>
            <w:shd w:val="clear" w:color="auto" w:fill="auto"/>
            <w:noWrap/>
            <w:vAlign w:val="bottom"/>
            <w:hideMark/>
          </w:tcPr>
          <w:p w14:paraId="771198B9"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25.0%</w:t>
            </w:r>
          </w:p>
        </w:tc>
        <w:tc>
          <w:tcPr>
            <w:tcW w:w="686" w:type="dxa"/>
            <w:tcBorders>
              <w:top w:val="nil"/>
              <w:left w:val="nil"/>
              <w:bottom w:val="single" w:sz="4" w:space="0" w:color="BFBFBF"/>
              <w:right w:val="nil"/>
            </w:tcBorders>
            <w:shd w:val="clear" w:color="auto" w:fill="auto"/>
            <w:noWrap/>
            <w:vAlign w:val="bottom"/>
            <w:hideMark/>
          </w:tcPr>
          <w:p w14:paraId="791CE0C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39,907</w:t>
            </w:r>
          </w:p>
        </w:tc>
        <w:tc>
          <w:tcPr>
            <w:tcW w:w="514" w:type="dxa"/>
            <w:tcBorders>
              <w:top w:val="nil"/>
              <w:left w:val="nil"/>
              <w:bottom w:val="single" w:sz="4" w:space="0" w:color="BFBFBF"/>
              <w:right w:val="nil"/>
            </w:tcBorders>
            <w:shd w:val="clear" w:color="auto" w:fill="auto"/>
            <w:noWrap/>
            <w:vAlign w:val="bottom"/>
            <w:hideMark/>
          </w:tcPr>
          <w:p w14:paraId="63E80E87"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25.0%</w:t>
            </w:r>
          </w:p>
        </w:tc>
        <w:tc>
          <w:tcPr>
            <w:tcW w:w="706" w:type="dxa"/>
            <w:tcBorders>
              <w:top w:val="nil"/>
              <w:left w:val="nil"/>
              <w:bottom w:val="single" w:sz="4" w:space="0" w:color="BFBFBF"/>
              <w:right w:val="nil"/>
            </w:tcBorders>
            <w:shd w:val="clear" w:color="auto" w:fill="auto"/>
            <w:noWrap/>
            <w:vAlign w:val="bottom"/>
            <w:hideMark/>
          </w:tcPr>
          <w:p w14:paraId="588241F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5,731</w:t>
            </w:r>
          </w:p>
        </w:tc>
        <w:tc>
          <w:tcPr>
            <w:tcW w:w="514" w:type="dxa"/>
            <w:tcBorders>
              <w:top w:val="nil"/>
              <w:left w:val="nil"/>
              <w:bottom w:val="single" w:sz="4" w:space="0" w:color="BFBFBF"/>
              <w:right w:val="nil"/>
            </w:tcBorders>
            <w:shd w:val="clear" w:color="auto" w:fill="auto"/>
            <w:noWrap/>
            <w:vAlign w:val="bottom"/>
            <w:hideMark/>
          </w:tcPr>
          <w:p w14:paraId="182949F2"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15.0%</w:t>
            </w:r>
          </w:p>
        </w:tc>
        <w:tc>
          <w:tcPr>
            <w:tcW w:w="772" w:type="dxa"/>
            <w:tcBorders>
              <w:top w:val="nil"/>
              <w:left w:val="nil"/>
              <w:bottom w:val="single" w:sz="4" w:space="0" w:color="BFBFBF"/>
              <w:right w:val="nil"/>
            </w:tcBorders>
            <w:shd w:val="clear" w:color="auto" w:fill="auto"/>
            <w:noWrap/>
            <w:vAlign w:val="bottom"/>
            <w:hideMark/>
          </w:tcPr>
          <w:p w14:paraId="030678A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408" w:type="dxa"/>
            <w:tcBorders>
              <w:top w:val="nil"/>
              <w:left w:val="nil"/>
              <w:bottom w:val="single" w:sz="4" w:space="0" w:color="BFBFBF"/>
              <w:right w:val="nil"/>
            </w:tcBorders>
            <w:shd w:val="clear" w:color="auto" w:fill="auto"/>
            <w:noWrap/>
            <w:vAlign w:val="bottom"/>
            <w:hideMark/>
          </w:tcPr>
          <w:p w14:paraId="2A4F2078"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 xml:space="preserve"> n/a </w:t>
            </w:r>
          </w:p>
        </w:tc>
        <w:tc>
          <w:tcPr>
            <w:tcW w:w="780" w:type="dxa"/>
            <w:tcBorders>
              <w:top w:val="nil"/>
              <w:left w:val="nil"/>
              <w:bottom w:val="single" w:sz="4" w:space="0" w:color="BFBFBF"/>
              <w:right w:val="nil"/>
            </w:tcBorders>
            <w:shd w:val="clear" w:color="auto" w:fill="auto"/>
            <w:noWrap/>
            <w:vAlign w:val="bottom"/>
            <w:hideMark/>
          </w:tcPr>
          <w:p w14:paraId="389D5CD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222,545</w:t>
            </w:r>
          </w:p>
        </w:tc>
        <w:tc>
          <w:tcPr>
            <w:tcW w:w="440" w:type="dxa"/>
            <w:tcBorders>
              <w:top w:val="nil"/>
              <w:left w:val="nil"/>
              <w:bottom w:val="single" w:sz="4" w:space="0" w:color="BFBFBF"/>
              <w:right w:val="nil"/>
            </w:tcBorders>
            <w:shd w:val="clear" w:color="auto" w:fill="auto"/>
            <w:noWrap/>
            <w:vAlign w:val="bottom"/>
            <w:hideMark/>
          </w:tcPr>
          <w:p w14:paraId="0800366C" w14:textId="77777777" w:rsidR="001C5319" w:rsidRPr="001C5319" w:rsidRDefault="001C5319" w:rsidP="001C5319">
            <w:pPr>
              <w:spacing w:after="0" w:line="240" w:lineRule="auto"/>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26.0%</w:t>
            </w:r>
          </w:p>
        </w:tc>
      </w:tr>
      <w:tr w:rsidR="001C5319" w:rsidRPr="001C5319" w14:paraId="76F11489" w14:textId="77777777" w:rsidTr="001C5319">
        <w:trPr>
          <w:trHeight w:val="315"/>
        </w:trPr>
        <w:tc>
          <w:tcPr>
            <w:tcW w:w="9400" w:type="dxa"/>
            <w:gridSpan w:val="14"/>
            <w:tcBorders>
              <w:top w:val="nil"/>
              <w:left w:val="nil"/>
              <w:bottom w:val="nil"/>
              <w:right w:val="nil"/>
            </w:tcBorders>
            <w:shd w:val="clear" w:color="auto" w:fill="auto"/>
            <w:noWrap/>
            <w:vAlign w:val="bottom"/>
            <w:hideMark/>
          </w:tcPr>
          <w:p w14:paraId="782678B1"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*RWCF targets are calculated by applying the PBE factors, as per the Revised Policy on Reserves (WO/PBC/23/8), to the biennial expenditure for each Union</w:t>
            </w:r>
          </w:p>
        </w:tc>
      </w:tr>
    </w:tbl>
    <w:p w14:paraId="2C787D99" w14:textId="77777777" w:rsidR="001C5319" w:rsidRPr="00AB028D" w:rsidRDefault="001C5319" w:rsidP="0040158A">
      <w:pPr>
        <w:keepNext/>
        <w:keepLines/>
        <w:spacing w:after="0" w:line="240" w:lineRule="auto"/>
        <w:jc w:val="center"/>
        <w:rPr>
          <w:rFonts w:eastAsia="Arial" w:cs="Arial"/>
          <w:i/>
          <w:sz w:val="16"/>
        </w:rPr>
      </w:pPr>
    </w:p>
    <w:p w14:paraId="4E60D869" w14:textId="1F33FFBF" w:rsidR="008D4A20" w:rsidRPr="00AB028D" w:rsidRDefault="008D4A20" w:rsidP="007160D4">
      <w:pPr>
        <w:keepLines/>
        <w:spacing w:after="0" w:line="240" w:lineRule="auto"/>
        <w:jc w:val="center"/>
        <w:rPr>
          <w:rFonts w:eastAsia="Arial" w:cs="Arial"/>
          <w:b/>
          <w:color w:val="005172"/>
        </w:rPr>
      </w:pPr>
      <w:r w:rsidRPr="00AB028D">
        <w:rPr>
          <w:rFonts w:eastAsia="Arial" w:cs="Arial"/>
          <w:b/>
          <w:color w:val="005172"/>
        </w:rPr>
        <w:t>Income Estimates by Union</w:t>
      </w:r>
    </w:p>
    <w:p w14:paraId="745B07C3" w14:textId="1A27B56E" w:rsidR="008D4A20" w:rsidRDefault="008D4A20" w:rsidP="008D4A20">
      <w:pPr>
        <w:keepNext/>
        <w:keepLines/>
        <w:spacing w:after="0" w:line="240" w:lineRule="auto"/>
        <w:jc w:val="center"/>
        <w:rPr>
          <w:rFonts w:eastAsia="Arial" w:cs="Arial"/>
          <w:i/>
          <w:sz w:val="16"/>
        </w:rPr>
      </w:pPr>
      <w:r w:rsidRPr="00AB028D">
        <w:rPr>
          <w:rFonts w:eastAsia="Arial" w:cs="Arial"/>
          <w:i/>
          <w:sz w:val="16"/>
        </w:rPr>
        <w:t>(in thousands of Swiss francs)</w:t>
      </w:r>
    </w:p>
    <w:p w14:paraId="006801AD" w14:textId="77777777" w:rsidR="001C5319" w:rsidRDefault="001C5319" w:rsidP="008D4A20">
      <w:pPr>
        <w:keepNext/>
        <w:keepLines/>
        <w:spacing w:after="0" w:line="240" w:lineRule="auto"/>
        <w:jc w:val="center"/>
        <w:rPr>
          <w:rFonts w:eastAsia="Arial" w:cs="Arial"/>
          <w:i/>
          <w:sz w:val="16"/>
        </w:rPr>
      </w:pPr>
    </w:p>
    <w:tbl>
      <w:tblPr>
        <w:tblW w:w="9600" w:type="dxa"/>
        <w:tblLook w:val="04A0" w:firstRow="1" w:lastRow="0" w:firstColumn="1" w:lastColumn="0" w:noHBand="0" w:noVBand="1"/>
      </w:tblPr>
      <w:tblGrid>
        <w:gridCol w:w="1600"/>
        <w:gridCol w:w="720"/>
        <w:gridCol w:w="580"/>
        <w:gridCol w:w="820"/>
        <w:gridCol w:w="565"/>
        <w:gridCol w:w="780"/>
        <w:gridCol w:w="580"/>
        <w:gridCol w:w="740"/>
        <w:gridCol w:w="580"/>
        <w:gridCol w:w="681"/>
        <w:gridCol w:w="565"/>
        <w:gridCol w:w="820"/>
        <w:gridCol w:w="580"/>
      </w:tblGrid>
      <w:tr w:rsidR="001C5319" w:rsidRPr="001C5319" w14:paraId="24467A2D" w14:textId="77777777" w:rsidTr="001C5319">
        <w:trPr>
          <w:trHeight w:val="345"/>
        </w:trPr>
        <w:tc>
          <w:tcPr>
            <w:tcW w:w="1600" w:type="dxa"/>
            <w:tcBorders>
              <w:top w:val="nil"/>
              <w:left w:val="nil"/>
              <w:bottom w:val="nil"/>
              <w:right w:val="nil"/>
            </w:tcBorders>
            <w:shd w:val="clear" w:color="000000" w:fill="C7CFD8"/>
            <w:noWrap/>
            <w:vAlign w:val="center"/>
            <w:hideMark/>
          </w:tcPr>
          <w:p w14:paraId="25E0C56E"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1300" w:type="dxa"/>
            <w:gridSpan w:val="2"/>
            <w:tcBorders>
              <w:top w:val="nil"/>
              <w:left w:val="nil"/>
              <w:bottom w:val="single" w:sz="4" w:space="0" w:color="748B9E"/>
              <w:right w:val="nil"/>
            </w:tcBorders>
            <w:shd w:val="clear" w:color="000000" w:fill="C7CFD8"/>
            <w:noWrap/>
            <w:vAlign w:val="center"/>
            <w:hideMark/>
          </w:tcPr>
          <w:p w14:paraId="3B02E2AE"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CF Unions</w:t>
            </w:r>
          </w:p>
        </w:tc>
        <w:tc>
          <w:tcPr>
            <w:tcW w:w="1380" w:type="dxa"/>
            <w:gridSpan w:val="2"/>
            <w:tcBorders>
              <w:top w:val="nil"/>
              <w:left w:val="nil"/>
              <w:bottom w:val="single" w:sz="4" w:space="0" w:color="748B9E"/>
              <w:right w:val="nil"/>
            </w:tcBorders>
            <w:shd w:val="clear" w:color="000000" w:fill="C7CFD8"/>
            <w:noWrap/>
            <w:vAlign w:val="center"/>
            <w:hideMark/>
          </w:tcPr>
          <w:p w14:paraId="78BEFF41"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PCT Union</w:t>
            </w:r>
          </w:p>
        </w:tc>
        <w:tc>
          <w:tcPr>
            <w:tcW w:w="1360" w:type="dxa"/>
            <w:gridSpan w:val="2"/>
            <w:tcBorders>
              <w:top w:val="nil"/>
              <w:left w:val="nil"/>
              <w:bottom w:val="single" w:sz="4" w:space="0" w:color="748B9E"/>
              <w:right w:val="nil"/>
            </w:tcBorders>
            <w:shd w:val="clear" w:color="000000" w:fill="C7CFD8"/>
            <w:noWrap/>
            <w:vAlign w:val="center"/>
            <w:hideMark/>
          </w:tcPr>
          <w:p w14:paraId="52535CD8"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Madrid Union</w:t>
            </w:r>
          </w:p>
        </w:tc>
        <w:tc>
          <w:tcPr>
            <w:tcW w:w="1320" w:type="dxa"/>
            <w:gridSpan w:val="2"/>
            <w:tcBorders>
              <w:top w:val="nil"/>
              <w:left w:val="nil"/>
              <w:bottom w:val="single" w:sz="4" w:space="0" w:color="748B9E"/>
              <w:right w:val="nil"/>
            </w:tcBorders>
            <w:shd w:val="clear" w:color="000000" w:fill="C7CFD8"/>
            <w:noWrap/>
            <w:vAlign w:val="center"/>
            <w:hideMark/>
          </w:tcPr>
          <w:p w14:paraId="631DAA9A"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Hague Union</w:t>
            </w:r>
          </w:p>
        </w:tc>
        <w:tc>
          <w:tcPr>
            <w:tcW w:w="1240" w:type="dxa"/>
            <w:gridSpan w:val="2"/>
            <w:tcBorders>
              <w:top w:val="nil"/>
              <w:left w:val="nil"/>
              <w:bottom w:val="single" w:sz="4" w:space="0" w:color="748B9E"/>
              <w:right w:val="nil"/>
            </w:tcBorders>
            <w:shd w:val="clear" w:color="000000" w:fill="C7CFD8"/>
            <w:noWrap/>
            <w:vAlign w:val="center"/>
            <w:hideMark/>
          </w:tcPr>
          <w:p w14:paraId="0426B183"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Lisbon Union</w:t>
            </w:r>
          </w:p>
        </w:tc>
        <w:tc>
          <w:tcPr>
            <w:tcW w:w="1400" w:type="dxa"/>
            <w:gridSpan w:val="2"/>
            <w:tcBorders>
              <w:top w:val="nil"/>
              <w:left w:val="nil"/>
              <w:bottom w:val="single" w:sz="4" w:space="0" w:color="748B9E"/>
              <w:right w:val="nil"/>
            </w:tcBorders>
            <w:shd w:val="clear" w:color="000000" w:fill="C7CFD8"/>
            <w:noWrap/>
            <w:vAlign w:val="center"/>
            <w:hideMark/>
          </w:tcPr>
          <w:p w14:paraId="5B74A0B7"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Total</w:t>
            </w:r>
          </w:p>
        </w:tc>
      </w:tr>
      <w:tr w:rsidR="001C5319" w:rsidRPr="001C5319" w14:paraId="19BB2873" w14:textId="77777777" w:rsidTr="001C5319">
        <w:trPr>
          <w:trHeight w:val="300"/>
        </w:trPr>
        <w:tc>
          <w:tcPr>
            <w:tcW w:w="1600" w:type="dxa"/>
            <w:tcBorders>
              <w:top w:val="nil"/>
              <w:left w:val="nil"/>
              <w:bottom w:val="nil"/>
              <w:right w:val="nil"/>
            </w:tcBorders>
            <w:shd w:val="clear" w:color="000000" w:fill="C7CFD8"/>
            <w:noWrap/>
            <w:vAlign w:val="bottom"/>
            <w:hideMark/>
          </w:tcPr>
          <w:p w14:paraId="3EC9E731"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 </w:t>
            </w:r>
          </w:p>
        </w:tc>
        <w:tc>
          <w:tcPr>
            <w:tcW w:w="720" w:type="dxa"/>
            <w:tcBorders>
              <w:top w:val="nil"/>
              <w:left w:val="nil"/>
              <w:bottom w:val="nil"/>
              <w:right w:val="nil"/>
            </w:tcBorders>
            <w:shd w:val="clear" w:color="000000" w:fill="C7CFD8"/>
            <w:noWrap/>
            <w:vAlign w:val="center"/>
            <w:hideMark/>
          </w:tcPr>
          <w:p w14:paraId="62B70A48"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80" w:type="dxa"/>
            <w:tcBorders>
              <w:top w:val="nil"/>
              <w:left w:val="nil"/>
              <w:bottom w:val="nil"/>
              <w:right w:val="single" w:sz="4" w:space="0" w:color="748B9E"/>
            </w:tcBorders>
            <w:shd w:val="clear" w:color="000000" w:fill="C7CFD8"/>
            <w:noWrap/>
            <w:vAlign w:val="center"/>
            <w:hideMark/>
          </w:tcPr>
          <w:p w14:paraId="231250F0"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c>
          <w:tcPr>
            <w:tcW w:w="820" w:type="dxa"/>
            <w:tcBorders>
              <w:top w:val="nil"/>
              <w:left w:val="nil"/>
              <w:bottom w:val="nil"/>
              <w:right w:val="nil"/>
            </w:tcBorders>
            <w:shd w:val="clear" w:color="000000" w:fill="C7CFD8"/>
            <w:noWrap/>
            <w:vAlign w:val="center"/>
            <w:hideMark/>
          </w:tcPr>
          <w:p w14:paraId="10B7C66E"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60" w:type="dxa"/>
            <w:tcBorders>
              <w:top w:val="nil"/>
              <w:left w:val="nil"/>
              <w:bottom w:val="nil"/>
              <w:right w:val="single" w:sz="4" w:space="0" w:color="748B9E"/>
            </w:tcBorders>
            <w:shd w:val="clear" w:color="000000" w:fill="C7CFD8"/>
            <w:noWrap/>
            <w:vAlign w:val="center"/>
            <w:hideMark/>
          </w:tcPr>
          <w:p w14:paraId="7544291F"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c>
          <w:tcPr>
            <w:tcW w:w="780" w:type="dxa"/>
            <w:tcBorders>
              <w:top w:val="nil"/>
              <w:left w:val="nil"/>
              <w:bottom w:val="nil"/>
              <w:right w:val="nil"/>
            </w:tcBorders>
            <w:shd w:val="clear" w:color="000000" w:fill="C7CFD8"/>
            <w:noWrap/>
            <w:vAlign w:val="center"/>
            <w:hideMark/>
          </w:tcPr>
          <w:p w14:paraId="52EA8F2F"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80" w:type="dxa"/>
            <w:tcBorders>
              <w:top w:val="nil"/>
              <w:left w:val="nil"/>
              <w:bottom w:val="nil"/>
              <w:right w:val="single" w:sz="4" w:space="0" w:color="748B9E"/>
            </w:tcBorders>
            <w:shd w:val="clear" w:color="000000" w:fill="C7CFD8"/>
            <w:noWrap/>
            <w:vAlign w:val="center"/>
            <w:hideMark/>
          </w:tcPr>
          <w:p w14:paraId="0B83E0E8"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c>
          <w:tcPr>
            <w:tcW w:w="740" w:type="dxa"/>
            <w:tcBorders>
              <w:top w:val="nil"/>
              <w:left w:val="nil"/>
              <w:bottom w:val="nil"/>
              <w:right w:val="nil"/>
            </w:tcBorders>
            <w:shd w:val="clear" w:color="000000" w:fill="C7CFD8"/>
            <w:noWrap/>
            <w:vAlign w:val="center"/>
            <w:hideMark/>
          </w:tcPr>
          <w:p w14:paraId="5D57EE29"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80" w:type="dxa"/>
            <w:tcBorders>
              <w:top w:val="nil"/>
              <w:left w:val="nil"/>
              <w:bottom w:val="nil"/>
              <w:right w:val="single" w:sz="4" w:space="0" w:color="748B9E"/>
            </w:tcBorders>
            <w:shd w:val="clear" w:color="000000" w:fill="C7CFD8"/>
            <w:noWrap/>
            <w:vAlign w:val="center"/>
            <w:hideMark/>
          </w:tcPr>
          <w:p w14:paraId="1158787C"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c>
          <w:tcPr>
            <w:tcW w:w="680" w:type="dxa"/>
            <w:tcBorders>
              <w:top w:val="nil"/>
              <w:left w:val="nil"/>
              <w:bottom w:val="nil"/>
              <w:right w:val="nil"/>
            </w:tcBorders>
            <w:shd w:val="clear" w:color="000000" w:fill="C7CFD8"/>
            <w:noWrap/>
            <w:vAlign w:val="center"/>
            <w:hideMark/>
          </w:tcPr>
          <w:p w14:paraId="0A12DB82"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60" w:type="dxa"/>
            <w:tcBorders>
              <w:top w:val="nil"/>
              <w:left w:val="nil"/>
              <w:bottom w:val="nil"/>
              <w:right w:val="single" w:sz="4" w:space="0" w:color="748B9E"/>
            </w:tcBorders>
            <w:shd w:val="clear" w:color="000000" w:fill="C7CFD8"/>
            <w:noWrap/>
            <w:vAlign w:val="center"/>
            <w:hideMark/>
          </w:tcPr>
          <w:p w14:paraId="107BAF05"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c>
          <w:tcPr>
            <w:tcW w:w="820" w:type="dxa"/>
            <w:tcBorders>
              <w:top w:val="nil"/>
              <w:left w:val="nil"/>
              <w:bottom w:val="nil"/>
              <w:right w:val="nil"/>
            </w:tcBorders>
            <w:shd w:val="clear" w:color="000000" w:fill="C7CFD8"/>
            <w:noWrap/>
            <w:vAlign w:val="center"/>
            <w:hideMark/>
          </w:tcPr>
          <w:p w14:paraId="73F60D68"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Amount</w:t>
            </w:r>
          </w:p>
        </w:tc>
        <w:tc>
          <w:tcPr>
            <w:tcW w:w="580" w:type="dxa"/>
            <w:tcBorders>
              <w:top w:val="nil"/>
              <w:left w:val="nil"/>
              <w:bottom w:val="nil"/>
              <w:right w:val="nil"/>
            </w:tcBorders>
            <w:shd w:val="clear" w:color="000000" w:fill="C7CFD8"/>
            <w:noWrap/>
            <w:vAlign w:val="center"/>
            <w:hideMark/>
          </w:tcPr>
          <w:p w14:paraId="416D50A2"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w:t>
            </w:r>
          </w:p>
        </w:tc>
      </w:tr>
      <w:tr w:rsidR="001C5319" w:rsidRPr="001C5319" w14:paraId="0E858814" w14:textId="77777777" w:rsidTr="001C5319">
        <w:trPr>
          <w:trHeight w:val="75"/>
        </w:trPr>
        <w:tc>
          <w:tcPr>
            <w:tcW w:w="1600" w:type="dxa"/>
            <w:tcBorders>
              <w:top w:val="nil"/>
              <w:left w:val="nil"/>
              <w:bottom w:val="nil"/>
              <w:right w:val="nil"/>
            </w:tcBorders>
            <w:shd w:val="clear" w:color="auto" w:fill="auto"/>
            <w:noWrap/>
            <w:vAlign w:val="bottom"/>
            <w:hideMark/>
          </w:tcPr>
          <w:p w14:paraId="3C0B9633" w14:textId="77777777" w:rsidR="001C5319" w:rsidRPr="001C5319" w:rsidRDefault="001C5319" w:rsidP="001C5319">
            <w:pPr>
              <w:spacing w:after="0" w:line="240" w:lineRule="auto"/>
              <w:jc w:val="center"/>
              <w:rPr>
                <w:rFonts w:ascii="Arial Narrow" w:eastAsia="Times New Roman" w:hAnsi="Arial Narrow" w:cs="Times New Roman"/>
                <w:b/>
                <w:bCs/>
                <w:sz w:val="15"/>
                <w:szCs w:val="15"/>
                <w:lang w:val="en-US"/>
              </w:rPr>
            </w:pPr>
          </w:p>
        </w:tc>
        <w:tc>
          <w:tcPr>
            <w:tcW w:w="720" w:type="dxa"/>
            <w:tcBorders>
              <w:top w:val="nil"/>
              <w:left w:val="nil"/>
              <w:bottom w:val="nil"/>
              <w:right w:val="nil"/>
            </w:tcBorders>
            <w:shd w:val="clear" w:color="auto" w:fill="auto"/>
            <w:noWrap/>
            <w:vAlign w:val="bottom"/>
            <w:hideMark/>
          </w:tcPr>
          <w:p w14:paraId="238DF4E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noWrap/>
            <w:vAlign w:val="bottom"/>
            <w:hideMark/>
          </w:tcPr>
          <w:p w14:paraId="17F800C1"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820" w:type="dxa"/>
            <w:tcBorders>
              <w:top w:val="nil"/>
              <w:left w:val="nil"/>
              <w:bottom w:val="nil"/>
              <w:right w:val="nil"/>
            </w:tcBorders>
            <w:shd w:val="clear" w:color="auto" w:fill="auto"/>
            <w:noWrap/>
            <w:vAlign w:val="bottom"/>
            <w:hideMark/>
          </w:tcPr>
          <w:p w14:paraId="2041BB9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noWrap/>
            <w:vAlign w:val="bottom"/>
            <w:hideMark/>
          </w:tcPr>
          <w:p w14:paraId="14C7452A"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80" w:type="dxa"/>
            <w:tcBorders>
              <w:top w:val="nil"/>
              <w:left w:val="nil"/>
              <w:bottom w:val="nil"/>
              <w:right w:val="nil"/>
            </w:tcBorders>
            <w:shd w:val="clear" w:color="auto" w:fill="auto"/>
            <w:noWrap/>
            <w:vAlign w:val="bottom"/>
            <w:hideMark/>
          </w:tcPr>
          <w:p w14:paraId="3BB5088B"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noWrap/>
            <w:vAlign w:val="bottom"/>
            <w:hideMark/>
          </w:tcPr>
          <w:p w14:paraId="2B157D63"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740" w:type="dxa"/>
            <w:tcBorders>
              <w:top w:val="nil"/>
              <w:left w:val="nil"/>
              <w:bottom w:val="nil"/>
              <w:right w:val="nil"/>
            </w:tcBorders>
            <w:shd w:val="clear" w:color="auto" w:fill="auto"/>
            <w:noWrap/>
            <w:vAlign w:val="bottom"/>
            <w:hideMark/>
          </w:tcPr>
          <w:p w14:paraId="7277FDFA"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noWrap/>
            <w:vAlign w:val="bottom"/>
            <w:hideMark/>
          </w:tcPr>
          <w:p w14:paraId="005756D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680" w:type="dxa"/>
            <w:tcBorders>
              <w:top w:val="nil"/>
              <w:left w:val="nil"/>
              <w:bottom w:val="nil"/>
              <w:right w:val="nil"/>
            </w:tcBorders>
            <w:shd w:val="clear" w:color="auto" w:fill="auto"/>
            <w:noWrap/>
            <w:vAlign w:val="bottom"/>
            <w:hideMark/>
          </w:tcPr>
          <w:p w14:paraId="31AA07C3"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60" w:type="dxa"/>
            <w:tcBorders>
              <w:top w:val="nil"/>
              <w:left w:val="nil"/>
              <w:bottom w:val="nil"/>
              <w:right w:val="nil"/>
            </w:tcBorders>
            <w:shd w:val="clear" w:color="auto" w:fill="auto"/>
            <w:noWrap/>
            <w:vAlign w:val="bottom"/>
            <w:hideMark/>
          </w:tcPr>
          <w:p w14:paraId="62F87F08"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820" w:type="dxa"/>
            <w:tcBorders>
              <w:top w:val="nil"/>
              <w:left w:val="nil"/>
              <w:bottom w:val="nil"/>
              <w:right w:val="nil"/>
            </w:tcBorders>
            <w:shd w:val="clear" w:color="auto" w:fill="auto"/>
            <w:noWrap/>
            <w:vAlign w:val="bottom"/>
            <w:hideMark/>
          </w:tcPr>
          <w:p w14:paraId="722E512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580" w:type="dxa"/>
            <w:tcBorders>
              <w:top w:val="nil"/>
              <w:left w:val="nil"/>
              <w:bottom w:val="nil"/>
              <w:right w:val="nil"/>
            </w:tcBorders>
            <w:shd w:val="clear" w:color="auto" w:fill="auto"/>
            <w:noWrap/>
            <w:vAlign w:val="bottom"/>
            <w:hideMark/>
          </w:tcPr>
          <w:p w14:paraId="75EC8A6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22C5B5B5" w14:textId="77777777" w:rsidTr="001C5319">
        <w:trPr>
          <w:trHeight w:val="270"/>
        </w:trPr>
        <w:tc>
          <w:tcPr>
            <w:tcW w:w="1600" w:type="dxa"/>
            <w:tcBorders>
              <w:top w:val="nil"/>
              <w:left w:val="nil"/>
              <w:bottom w:val="nil"/>
              <w:right w:val="nil"/>
            </w:tcBorders>
            <w:shd w:val="clear" w:color="auto" w:fill="auto"/>
            <w:noWrap/>
            <w:vAlign w:val="center"/>
            <w:hideMark/>
          </w:tcPr>
          <w:p w14:paraId="33C21CD7"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Fees</w:t>
            </w:r>
          </w:p>
        </w:tc>
        <w:tc>
          <w:tcPr>
            <w:tcW w:w="720" w:type="dxa"/>
            <w:tcBorders>
              <w:top w:val="nil"/>
              <w:left w:val="nil"/>
              <w:bottom w:val="nil"/>
              <w:right w:val="nil"/>
            </w:tcBorders>
            <w:shd w:val="clear" w:color="auto" w:fill="auto"/>
            <w:noWrap/>
            <w:vAlign w:val="center"/>
            <w:hideMark/>
          </w:tcPr>
          <w:p w14:paraId="38D93913"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006F66F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820" w:type="dxa"/>
            <w:tcBorders>
              <w:top w:val="nil"/>
              <w:left w:val="nil"/>
              <w:bottom w:val="nil"/>
              <w:right w:val="nil"/>
            </w:tcBorders>
            <w:shd w:val="clear" w:color="auto" w:fill="auto"/>
            <w:noWrap/>
            <w:vAlign w:val="center"/>
            <w:hideMark/>
          </w:tcPr>
          <w:p w14:paraId="4CCEF6F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743,709</w:t>
            </w:r>
          </w:p>
        </w:tc>
        <w:tc>
          <w:tcPr>
            <w:tcW w:w="560" w:type="dxa"/>
            <w:tcBorders>
              <w:top w:val="nil"/>
              <w:left w:val="nil"/>
              <w:bottom w:val="nil"/>
              <w:right w:val="nil"/>
            </w:tcBorders>
            <w:shd w:val="clear" w:color="auto" w:fill="auto"/>
            <w:noWrap/>
            <w:vAlign w:val="center"/>
            <w:hideMark/>
          </w:tcPr>
          <w:p w14:paraId="3AE6242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99.7%</w:t>
            </w:r>
          </w:p>
        </w:tc>
        <w:tc>
          <w:tcPr>
            <w:tcW w:w="780" w:type="dxa"/>
            <w:tcBorders>
              <w:top w:val="nil"/>
              <w:left w:val="nil"/>
              <w:bottom w:val="nil"/>
              <w:right w:val="nil"/>
            </w:tcBorders>
            <w:shd w:val="clear" w:color="auto" w:fill="auto"/>
            <w:noWrap/>
            <w:vAlign w:val="center"/>
            <w:hideMark/>
          </w:tcPr>
          <w:p w14:paraId="2A059BC0"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170,657</w:t>
            </w:r>
          </w:p>
        </w:tc>
        <w:tc>
          <w:tcPr>
            <w:tcW w:w="580" w:type="dxa"/>
            <w:tcBorders>
              <w:top w:val="nil"/>
              <w:left w:val="nil"/>
              <w:bottom w:val="nil"/>
              <w:right w:val="nil"/>
            </w:tcBorders>
            <w:shd w:val="clear" w:color="auto" w:fill="auto"/>
            <w:noWrap/>
            <w:vAlign w:val="center"/>
            <w:hideMark/>
          </w:tcPr>
          <w:p w14:paraId="3434D55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98.9%</w:t>
            </w:r>
          </w:p>
        </w:tc>
        <w:tc>
          <w:tcPr>
            <w:tcW w:w="740" w:type="dxa"/>
            <w:tcBorders>
              <w:top w:val="nil"/>
              <w:left w:val="nil"/>
              <w:bottom w:val="nil"/>
              <w:right w:val="nil"/>
            </w:tcBorders>
            <w:shd w:val="clear" w:color="auto" w:fill="auto"/>
            <w:noWrap/>
            <w:vAlign w:val="center"/>
            <w:hideMark/>
          </w:tcPr>
          <w:p w14:paraId="69E9341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16,431</w:t>
            </w:r>
          </w:p>
        </w:tc>
        <w:tc>
          <w:tcPr>
            <w:tcW w:w="580" w:type="dxa"/>
            <w:tcBorders>
              <w:top w:val="nil"/>
              <w:left w:val="nil"/>
              <w:bottom w:val="nil"/>
              <w:right w:val="nil"/>
            </w:tcBorders>
            <w:shd w:val="clear" w:color="auto" w:fill="auto"/>
            <w:noWrap/>
            <w:vAlign w:val="center"/>
            <w:hideMark/>
          </w:tcPr>
          <w:p w14:paraId="3280F74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94.0%</w:t>
            </w:r>
          </w:p>
        </w:tc>
        <w:tc>
          <w:tcPr>
            <w:tcW w:w="680" w:type="dxa"/>
            <w:tcBorders>
              <w:top w:val="nil"/>
              <w:left w:val="nil"/>
              <w:bottom w:val="nil"/>
              <w:right w:val="nil"/>
            </w:tcBorders>
            <w:shd w:val="clear" w:color="auto" w:fill="auto"/>
            <w:noWrap/>
            <w:vAlign w:val="center"/>
            <w:hideMark/>
          </w:tcPr>
          <w:p w14:paraId="189B483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200</w:t>
            </w:r>
          </w:p>
        </w:tc>
        <w:tc>
          <w:tcPr>
            <w:tcW w:w="560" w:type="dxa"/>
            <w:tcBorders>
              <w:top w:val="nil"/>
              <w:left w:val="nil"/>
              <w:bottom w:val="nil"/>
              <w:right w:val="nil"/>
            </w:tcBorders>
            <w:shd w:val="clear" w:color="auto" w:fill="auto"/>
            <w:noWrap/>
            <w:vAlign w:val="center"/>
            <w:hideMark/>
          </w:tcPr>
          <w:p w14:paraId="182E55A0"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33.2%</w:t>
            </w:r>
          </w:p>
        </w:tc>
        <w:tc>
          <w:tcPr>
            <w:tcW w:w="820" w:type="dxa"/>
            <w:tcBorders>
              <w:top w:val="nil"/>
              <w:left w:val="nil"/>
              <w:bottom w:val="nil"/>
              <w:right w:val="nil"/>
            </w:tcBorders>
            <w:shd w:val="clear" w:color="auto" w:fill="auto"/>
            <w:noWrap/>
            <w:vAlign w:val="center"/>
            <w:hideMark/>
          </w:tcPr>
          <w:p w14:paraId="4497A75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930,997</w:t>
            </w:r>
          </w:p>
        </w:tc>
        <w:tc>
          <w:tcPr>
            <w:tcW w:w="580" w:type="dxa"/>
            <w:tcBorders>
              <w:top w:val="nil"/>
              <w:left w:val="nil"/>
              <w:bottom w:val="nil"/>
              <w:right w:val="nil"/>
            </w:tcBorders>
            <w:shd w:val="clear" w:color="auto" w:fill="auto"/>
            <w:noWrap/>
            <w:vAlign w:val="center"/>
            <w:hideMark/>
          </w:tcPr>
          <w:p w14:paraId="08FB10F1"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95.7%</w:t>
            </w:r>
          </w:p>
        </w:tc>
      </w:tr>
      <w:tr w:rsidR="001C5319" w:rsidRPr="001C5319" w14:paraId="3557BC5E" w14:textId="77777777" w:rsidTr="001C5319">
        <w:trPr>
          <w:trHeight w:val="270"/>
        </w:trPr>
        <w:tc>
          <w:tcPr>
            <w:tcW w:w="1600" w:type="dxa"/>
            <w:tcBorders>
              <w:top w:val="nil"/>
              <w:left w:val="nil"/>
              <w:bottom w:val="nil"/>
              <w:right w:val="nil"/>
            </w:tcBorders>
            <w:shd w:val="clear" w:color="auto" w:fill="auto"/>
            <w:vAlign w:val="center"/>
            <w:hideMark/>
          </w:tcPr>
          <w:p w14:paraId="15D8B786"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Contributions (unitary)</w:t>
            </w:r>
          </w:p>
        </w:tc>
        <w:tc>
          <w:tcPr>
            <w:tcW w:w="720" w:type="dxa"/>
            <w:tcBorders>
              <w:top w:val="nil"/>
              <w:left w:val="nil"/>
              <w:bottom w:val="nil"/>
              <w:right w:val="nil"/>
            </w:tcBorders>
            <w:shd w:val="clear" w:color="auto" w:fill="auto"/>
            <w:noWrap/>
            <w:vAlign w:val="center"/>
            <w:hideMark/>
          </w:tcPr>
          <w:p w14:paraId="3605503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35,234</w:t>
            </w:r>
          </w:p>
        </w:tc>
        <w:tc>
          <w:tcPr>
            <w:tcW w:w="580" w:type="dxa"/>
            <w:tcBorders>
              <w:top w:val="nil"/>
              <w:left w:val="nil"/>
              <w:bottom w:val="nil"/>
              <w:right w:val="nil"/>
            </w:tcBorders>
            <w:shd w:val="clear" w:color="auto" w:fill="auto"/>
            <w:noWrap/>
            <w:vAlign w:val="center"/>
            <w:hideMark/>
          </w:tcPr>
          <w:p w14:paraId="04E250B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97.2%</w:t>
            </w:r>
          </w:p>
        </w:tc>
        <w:tc>
          <w:tcPr>
            <w:tcW w:w="820" w:type="dxa"/>
            <w:tcBorders>
              <w:top w:val="nil"/>
              <w:left w:val="nil"/>
              <w:bottom w:val="nil"/>
              <w:right w:val="nil"/>
            </w:tcBorders>
            <w:shd w:val="clear" w:color="auto" w:fill="auto"/>
            <w:noWrap/>
            <w:vAlign w:val="center"/>
            <w:hideMark/>
          </w:tcPr>
          <w:p w14:paraId="793EC841"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vAlign w:val="center"/>
            <w:hideMark/>
          </w:tcPr>
          <w:p w14:paraId="78954EA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780" w:type="dxa"/>
            <w:tcBorders>
              <w:top w:val="nil"/>
              <w:left w:val="nil"/>
              <w:bottom w:val="nil"/>
              <w:right w:val="nil"/>
            </w:tcBorders>
            <w:shd w:val="clear" w:color="auto" w:fill="auto"/>
            <w:noWrap/>
            <w:vAlign w:val="center"/>
            <w:hideMark/>
          </w:tcPr>
          <w:p w14:paraId="12F79CB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4043BA93"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740" w:type="dxa"/>
            <w:tcBorders>
              <w:top w:val="nil"/>
              <w:left w:val="nil"/>
              <w:bottom w:val="nil"/>
              <w:right w:val="nil"/>
            </w:tcBorders>
            <w:shd w:val="clear" w:color="auto" w:fill="auto"/>
            <w:noWrap/>
            <w:vAlign w:val="center"/>
            <w:hideMark/>
          </w:tcPr>
          <w:p w14:paraId="015965A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5D9E9A9A"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680" w:type="dxa"/>
            <w:tcBorders>
              <w:top w:val="nil"/>
              <w:left w:val="nil"/>
              <w:bottom w:val="nil"/>
              <w:right w:val="nil"/>
            </w:tcBorders>
            <w:shd w:val="clear" w:color="auto" w:fill="auto"/>
            <w:noWrap/>
            <w:vAlign w:val="center"/>
            <w:hideMark/>
          </w:tcPr>
          <w:p w14:paraId="289DF05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vAlign w:val="center"/>
            <w:hideMark/>
          </w:tcPr>
          <w:p w14:paraId="4E1A4293"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820" w:type="dxa"/>
            <w:tcBorders>
              <w:top w:val="nil"/>
              <w:left w:val="nil"/>
              <w:bottom w:val="nil"/>
              <w:right w:val="nil"/>
            </w:tcBorders>
            <w:shd w:val="clear" w:color="auto" w:fill="auto"/>
            <w:noWrap/>
            <w:vAlign w:val="center"/>
            <w:hideMark/>
          </w:tcPr>
          <w:p w14:paraId="6078DCB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35,234</w:t>
            </w:r>
          </w:p>
        </w:tc>
        <w:tc>
          <w:tcPr>
            <w:tcW w:w="580" w:type="dxa"/>
            <w:tcBorders>
              <w:top w:val="nil"/>
              <w:left w:val="nil"/>
              <w:bottom w:val="nil"/>
              <w:right w:val="nil"/>
            </w:tcBorders>
            <w:shd w:val="clear" w:color="auto" w:fill="auto"/>
            <w:noWrap/>
            <w:vAlign w:val="center"/>
            <w:hideMark/>
          </w:tcPr>
          <w:p w14:paraId="17B9289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3.6%</w:t>
            </w:r>
          </w:p>
        </w:tc>
      </w:tr>
      <w:tr w:rsidR="001C5319" w:rsidRPr="001C5319" w14:paraId="4953AC1F" w14:textId="77777777" w:rsidTr="001C5319">
        <w:trPr>
          <w:trHeight w:val="270"/>
        </w:trPr>
        <w:tc>
          <w:tcPr>
            <w:tcW w:w="1600" w:type="dxa"/>
            <w:tcBorders>
              <w:top w:val="nil"/>
              <w:left w:val="nil"/>
              <w:bottom w:val="nil"/>
              <w:right w:val="nil"/>
            </w:tcBorders>
            <w:shd w:val="clear" w:color="auto" w:fill="auto"/>
            <w:vAlign w:val="center"/>
            <w:hideMark/>
          </w:tcPr>
          <w:p w14:paraId="01E237DF"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Arbitration</w:t>
            </w:r>
          </w:p>
        </w:tc>
        <w:tc>
          <w:tcPr>
            <w:tcW w:w="720" w:type="dxa"/>
            <w:tcBorders>
              <w:top w:val="nil"/>
              <w:left w:val="nil"/>
              <w:bottom w:val="nil"/>
              <w:right w:val="nil"/>
            </w:tcBorders>
            <w:shd w:val="clear" w:color="auto" w:fill="auto"/>
            <w:noWrap/>
            <w:vAlign w:val="center"/>
            <w:hideMark/>
          </w:tcPr>
          <w:p w14:paraId="5E8611B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612</w:t>
            </w:r>
          </w:p>
        </w:tc>
        <w:tc>
          <w:tcPr>
            <w:tcW w:w="580" w:type="dxa"/>
            <w:tcBorders>
              <w:top w:val="nil"/>
              <w:left w:val="nil"/>
              <w:bottom w:val="nil"/>
              <w:right w:val="nil"/>
            </w:tcBorders>
            <w:shd w:val="clear" w:color="auto" w:fill="auto"/>
            <w:noWrap/>
            <w:vAlign w:val="center"/>
            <w:hideMark/>
          </w:tcPr>
          <w:p w14:paraId="5861AF88"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1.7%</w:t>
            </w:r>
          </w:p>
        </w:tc>
        <w:tc>
          <w:tcPr>
            <w:tcW w:w="820" w:type="dxa"/>
            <w:tcBorders>
              <w:top w:val="nil"/>
              <w:left w:val="nil"/>
              <w:bottom w:val="nil"/>
              <w:right w:val="nil"/>
            </w:tcBorders>
            <w:shd w:val="clear" w:color="auto" w:fill="auto"/>
            <w:noWrap/>
            <w:vAlign w:val="center"/>
            <w:hideMark/>
          </w:tcPr>
          <w:p w14:paraId="3697EB6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578</w:t>
            </w:r>
          </w:p>
        </w:tc>
        <w:tc>
          <w:tcPr>
            <w:tcW w:w="560" w:type="dxa"/>
            <w:tcBorders>
              <w:top w:val="nil"/>
              <w:left w:val="nil"/>
              <w:bottom w:val="nil"/>
              <w:right w:val="nil"/>
            </w:tcBorders>
            <w:shd w:val="clear" w:color="auto" w:fill="auto"/>
            <w:noWrap/>
            <w:vAlign w:val="center"/>
            <w:hideMark/>
          </w:tcPr>
          <w:p w14:paraId="7D2E463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0.1%</w:t>
            </w:r>
          </w:p>
        </w:tc>
        <w:tc>
          <w:tcPr>
            <w:tcW w:w="780" w:type="dxa"/>
            <w:tcBorders>
              <w:top w:val="nil"/>
              <w:left w:val="nil"/>
              <w:bottom w:val="nil"/>
              <w:right w:val="nil"/>
            </w:tcBorders>
            <w:shd w:val="clear" w:color="auto" w:fill="auto"/>
            <w:noWrap/>
            <w:vAlign w:val="center"/>
            <w:hideMark/>
          </w:tcPr>
          <w:p w14:paraId="7349E6C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1,564</w:t>
            </w:r>
          </w:p>
        </w:tc>
        <w:tc>
          <w:tcPr>
            <w:tcW w:w="580" w:type="dxa"/>
            <w:tcBorders>
              <w:top w:val="nil"/>
              <w:left w:val="nil"/>
              <w:bottom w:val="nil"/>
              <w:right w:val="nil"/>
            </w:tcBorders>
            <w:shd w:val="clear" w:color="auto" w:fill="auto"/>
            <w:noWrap/>
            <w:vAlign w:val="center"/>
            <w:hideMark/>
          </w:tcPr>
          <w:p w14:paraId="752859D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0.9%</w:t>
            </w:r>
          </w:p>
        </w:tc>
        <w:tc>
          <w:tcPr>
            <w:tcW w:w="740" w:type="dxa"/>
            <w:tcBorders>
              <w:top w:val="nil"/>
              <w:left w:val="nil"/>
              <w:bottom w:val="nil"/>
              <w:right w:val="nil"/>
            </w:tcBorders>
            <w:shd w:val="clear" w:color="auto" w:fill="auto"/>
            <w:noWrap/>
            <w:vAlign w:val="center"/>
            <w:hideMark/>
          </w:tcPr>
          <w:p w14:paraId="280C0B7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646</w:t>
            </w:r>
          </w:p>
        </w:tc>
        <w:tc>
          <w:tcPr>
            <w:tcW w:w="580" w:type="dxa"/>
            <w:tcBorders>
              <w:top w:val="nil"/>
              <w:left w:val="nil"/>
              <w:bottom w:val="nil"/>
              <w:right w:val="nil"/>
            </w:tcBorders>
            <w:shd w:val="clear" w:color="auto" w:fill="auto"/>
            <w:noWrap/>
            <w:vAlign w:val="center"/>
            <w:hideMark/>
          </w:tcPr>
          <w:p w14:paraId="712187A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3.7%</w:t>
            </w:r>
          </w:p>
        </w:tc>
        <w:tc>
          <w:tcPr>
            <w:tcW w:w="680" w:type="dxa"/>
            <w:tcBorders>
              <w:top w:val="nil"/>
              <w:left w:val="nil"/>
              <w:bottom w:val="nil"/>
              <w:right w:val="nil"/>
            </w:tcBorders>
            <w:shd w:val="clear" w:color="auto" w:fill="auto"/>
            <w:noWrap/>
            <w:vAlign w:val="center"/>
            <w:hideMark/>
          </w:tcPr>
          <w:p w14:paraId="2E5E42A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vAlign w:val="center"/>
            <w:hideMark/>
          </w:tcPr>
          <w:p w14:paraId="712FB5A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820" w:type="dxa"/>
            <w:tcBorders>
              <w:top w:val="nil"/>
              <w:left w:val="nil"/>
              <w:bottom w:val="nil"/>
              <w:right w:val="nil"/>
            </w:tcBorders>
            <w:shd w:val="clear" w:color="auto" w:fill="auto"/>
            <w:noWrap/>
            <w:vAlign w:val="center"/>
            <w:hideMark/>
          </w:tcPr>
          <w:p w14:paraId="4E583E8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3,400</w:t>
            </w:r>
          </w:p>
        </w:tc>
        <w:tc>
          <w:tcPr>
            <w:tcW w:w="580" w:type="dxa"/>
            <w:tcBorders>
              <w:top w:val="nil"/>
              <w:left w:val="nil"/>
              <w:bottom w:val="nil"/>
              <w:right w:val="nil"/>
            </w:tcBorders>
            <w:shd w:val="clear" w:color="auto" w:fill="auto"/>
            <w:noWrap/>
            <w:vAlign w:val="center"/>
            <w:hideMark/>
          </w:tcPr>
          <w:p w14:paraId="2A6394E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0.3%</w:t>
            </w:r>
          </w:p>
        </w:tc>
      </w:tr>
      <w:tr w:rsidR="001C5319" w:rsidRPr="001C5319" w14:paraId="39CBF8E1" w14:textId="77777777" w:rsidTr="001C5319">
        <w:trPr>
          <w:trHeight w:val="270"/>
        </w:trPr>
        <w:tc>
          <w:tcPr>
            <w:tcW w:w="1600" w:type="dxa"/>
            <w:tcBorders>
              <w:top w:val="nil"/>
              <w:left w:val="nil"/>
              <w:bottom w:val="nil"/>
              <w:right w:val="nil"/>
            </w:tcBorders>
            <w:shd w:val="clear" w:color="auto" w:fill="auto"/>
            <w:vAlign w:val="center"/>
            <w:hideMark/>
          </w:tcPr>
          <w:p w14:paraId="29FEEB11"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Publications</w:t>
            </w:r>
          </w:p>
        </w:tc>
        <w:tc>
          <w:tcPr>
            <w:tcW w:w="720" w:type="dxa"/>
            <w:tcBorders>
              <w:top w:val="nil"/>
              <w:left w:val="nil"/>
              <w:bottom w:val="nil"/>
              <w:right w:val="nil"/>
            </w:tcBorders>
            <w:shd w:val="clear" w:color="auto" w:fill="auto"/>
            <w:noWrap/>
            <w:vAlign w:val="center"/>
            <w:hideMark/>
          </w:tcPr>
          <w:p w14:paraId="338CC1C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39F361B0"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820" w:type="dxa"/>
            <w:tcBorders>
              <w:top w:val="nil"/>
              <w:left w:val="nil"/>
              <w:bottom w:val="nil"/>
              <w:right w:val="nil"/>
            </w:tcBorders>
            <w:shd w:val="clear" w:color="auto" w:fill="auto"/>
            <w:noWrap/>
            <w:vAlign w:val="center"/>
            <w:hideMark/>
          </w:tcPr>
          <w:p w14:paraId="48F767B7"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940</w:t>
            </w:r>
          </w:p>
        </w:tc>
        <w:tc>
          <w:tcPr>
            <w:tcW w:w="560" w:type="dxa"/>
            <w:tcBorders>
              <w:top w:val="nil"/>
              <w:left w:val="nil"/>
              <w:bottom w:val="nil"/>
              <w:right w:val="nil"/>
            </w:tcBorders>
            <w:shd w:val="clear" w:color="auto" w:fill="auto"/>
            <w:noWrap/>
            <w:vAlign w:val="center"/>
            <w:hideMark/>
          </w:tcPr>
          <w:p w14:paraId="5652BBF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0.1%</w:t>
            </w:r>
          </w:p>
        </w:tc>
        <w:tc>
          <w:tcPr>
            <w:tcW w:w="780" w:type="dxa"/>
            <w:tcBorders>
              <w:top w:val="nil"/>
              <w:left w:val="nil"/>
              <w:bottom w:val="nil"/>
              <w:right w:val="nil"/>
            </w:tcBorders>
            <w:shd w:val="clear" w:color="auto" w:fill="auto"/>
            <w:noWrap/>
            <w:vAlign w:val="center"/>
            <w:hideMark/>
          </w:tcPr>
          <w:p w14:paraId="3F019619"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3AE80CB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740" w:type="dxa"/>
            <w:tcBorders>
              <w:top w:val="nil"/>
              <w:left w:val="nil"/>
              <w:bottom w:val="nil"/>
              <w:right w:val="nil"/>
            </w:tcBorders>
            <w:shd w:val="clear" w:color="auto" w:fill="auto"/>
            <w:noWrap/>
            <w:vAlign w:val="center"/>
            <w:hideMark/>
          </w:tcPr>
          <w:p w14:paraId="733D3EF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80" w:type="dxa"/>
            <w:tcBorders>
              <w:top w:val="nil"/>
              <w:left w:val="nil"/>
              <w:bottom w:val="nil"/>
              <w:right w:val="nil"/>
            </w:tcBorders>
            <w:shd w:val="clear" w:color="auto" w:fill="auto"/>
            <w:noWrap/>
            <w:vAlign w:val="center"/>
            <w:hideMark/>
          </w:tcPr>
          <w:p w14:paraId="0FA6870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680" w:type="dxa"/>
            <w:tcBorders>
              <w:top w:val="nil"/>
              <w:left w:val="nil"/>
              <w:bottom w:val="nil"/>
              <w:right w:val="nil"/>
            </w:tcBorders>
            <w:shd w:val="clear" w:color="auto" w:fill="auto"/>
            <w:noWrap/>
            <w:vAlign w:val="center"/>
            <w:hideMark/>
          </w:tcPr>
          <w:p w14:paraId="029772B6"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560" w:type="dxa"/>
            <w:tcBorders>
              <w:top w:val="nil"/>
              <w:left w:val="nil"/>
              <w:bottom w:val="nil"/>
              <w:right w:val="nil"/>
            </w:tcBorders>
            <w:shd w:val="clear" w:color="auto" w:fill="auto"/>
            <w:noWrap/>
            <w:vAlign w:val="center"/>
            <w:hideMark/>
          </w:tcPr>
          <w:p w14:paraId="07186F10"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w:t>
            </w:r>
          </w:p>
        </w:tc>
        <w:tc>
          <w:tcPr>
            <w:tcW w:w="820" w:type="dxa"/>
            <w:tcBorders>
              <w:top w:val="nil"/>
              <w:left w:val="nil"/>
              <w:bottom w:val="nil"/>
              <w:right w:val="nil"/>
            </w:tcBorders>
            <w:shd w:val="clear" w:color="auto" w:fill="auto"/>
            <w:noWrap/>
            <w:vAlign w:val="center"/>
            <w:hideMark/>
          </w:tcPr>
          <w:p w14:paraId="4F695C1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940</w:t>
            </w:r>
          </w:p>
        </w:tc>
        <w:tc>
          <w:tcPr>
            <w:tcW w:w="580" w:type="dxa"/>
            <w:tcBorders>
              <w:top w:val="nil"/>
              <w:left w:val="nil"/>
              <w:bottom w:val="nil"/>
              <w:right w:val="nil"/>
            </w:tcBorders>
            <w:shd w:val="clear" w:color="auto" w:fill="auto"/>
            <w:noWrap/>
            <w:vAlign w:val="center"/>
            <w:hideMark/>
          </w:tcPr>
          <w:p w14:paraId="17FF577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0.1%</w:t>
            </w:r>
          </w:p>
        </w:tc>
      </w:tr>
      <w:tr w:rsidR="001C5319" w:rsidRPr="001C5319" w14:paraId="57F62C11" w14:textId="77777777" w:rsidTr="001C5319">
        <w:trPr>
          <w:trHeight w:val="270"/>
        </w:trPr>
        <w:tc>
          <w:tcPr>
            <w:tcW w:w="1600" w:type="dxa"/>
            <w:tcBorders>
              <w:top w:val="nil"/>
              <w:left w:val="nil"/>
              <w:bottom w:val="single" w:sz="4" w:space="0" w:color="A6A6A6"/>
              <w:right w:val="nil"/>
            </w:tcBorders>
            <w:shd w:val="clear" w:color="auto" w:fill="auto"/>
            <w:vAlign w:val="center"/>
            <w:hideMark/>
          </w:tcPr>
          <w:p w14:paraId="6117987E"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Miscellaneous Income</w:t>
            </w:r>
          </w:p>
        </w:tc>
        <w:tc>
          <w:tcPr>
            <w:tcW w:w="720" w:type="dxa"/>
            <w:tcBorders>
              <w:top w:val="nil"/>
              <w:left w:val="nil"/>
              <w:bottom w:val="single" w:sz="4" w:space="0" w:color="A6A6A6"/>
              <w:right w:val="nil"/>
            </w:tcBorders>
            <w:shd w:val="clear" w:color="auto" w:fill="auto"/>
            <w:noWrap/>
            <w:vAlign w:val="center"/>
            <w:hideMark/>
          </w:tcPr>
          <w:p w14:paraId="614201E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403</w:t>
            </w:r>
          </w:p>
        </w:tc>
        <w:tc>
          <w:tcPr>
            <w:tcW w:w="580" w:type="dxa"/>
            <w:tcBorders>
              <w:top w:val="nil"/>
              <w:left w:val="nil"/>
              <w:bottom w:val="single" w:sz="4" w:space="0" w:color="A6A6A6"/>
              <w:right w:val="nil"/>
            </w:tcBorders>
            <w:shd w:val="clear" w:color="auto" w:fill="auto"/>
            <w:noWrap/>
            <w:vAlign w:val="center"/>
            <w:hideMark/>
          </w:tcPr>
          <w:p w14:paraId="3C50A70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1.1%</w:t>
            </w:r>
          </w:p>
        </w:tc>
        <w:tc>
          <w:tcPr>
            <w:tcW w:w="820" w:type="dxa"/>
            <w:tcBorders>
              <w:top w:val="nil"/>
              <w:left w:val="nil"/>
              <w:bottom w:val="single" w:sz="4" w:space="0" w:color="A6A6A6"/>
              <w:right w:val="nil"/>
            </w:tcBorders>
            <w:shd w:val="clear" w:color="auto" w:fill="auto"/>
            <w:noWrap/>
            <w:vAlign w:val="center"/>
            <w:hideMark/>
          </w:tcPr>
          <w:p w14:paraId="7D23BD42"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403</w:t>
            </w:r>
          </w:p>
        </w:tc>
        <w:tc>
          <w:tcPr>
            <w:tcW w:w="560" w:type="dxa"/>
            <w:tcBorders>
              <w:top w:val="nil"/>
              <w:left w:val="nil"/>
              <w:bottom w:val="single" w:sz="4" w:space="0" w:color="A6A6A6"/>
              <w:right w:val="nil"/>
            </w:tcBorders>
            <w:shd w:val="clear" w:color="auto" w:fill="auto"/>
            <w:noWrap/>
            <w:vAlign w:val="center"/>
            <w:hideMark/>
          </w:tcPr>
          <w:p w14:paraId="5F207C6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0.1%</w:t>
            </w:r>
          </w:p>
        </w:tc>
        <w:tc>
          <w:tcPr>
            <w:tcW w:w="780" w:type="dxa"/>
            <w:tcBorders>
              <w:top w:val="nil"/>
              <w:left w:val="nil"/>
              <w:bottom w:val="single" w:sz="4" w:space="0" w:color="A6A6A6"/>
              <w:right w:val="nil"/>
            </w:tcBorders>
            <w:shd w:val="clear" w:color="auto" w:fill="auto"/>
            <w:noWrap/>
            <w:vAlign w:val="center"/>
            <w:hideMark/>
          </w:tcPr>
          <w:p w14:paraId="7C510C6C"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403</w:t>
            </w:r>
          </w:p>
        </w:tc>
        <w:tc>
          <w:tcPr>
            <w:tcW w:w="580" w:type="dxa"/>
            <w:tcBorders>
              <w:top w:val="nil"/>
              <w:left w:val="nil"/>
              <w:bottom w:val="single" w:sz="4" w:space="0" w:color="A6A6A6"/>
              <w:right w:val="nil"/>
            </w:tcBorders>
            <w:shd w:val="clear" w:color="auto" w:fill="auto"/>
            <w:noWrap/>
            <w:vAlign w:val="center"/>
            <w:hideMark/>
          </w:tcPr>
          <w:p w14:paraId="4C56945A"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0.2%</w:t>
            </w:r>
          </w:p>
        </w:tc>
        <w:tc>
          <w:tcPr>
            <w:tcW w:w="740" w:type="dxa"/>
            <w:tcBorders>
              <w:top w:val="nil"/>
              <w:left w:val="nil"/>
              <w:bottom w:val="single" w:sz="4" w:space="0" w:color="A6A6A6"/>
              <w:right w:val="nil"/>
            </w:tcBorders>
            <w:shd w:val="clear" w:color="auto" w:fill="auto"/>
            <w:noWrap/>
            <w:vAlign w:val="center"/>
            <w:hideMark/>
          </w:tcPr>
          <w:p w14:paraId="30862A1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403</w:t>
            </w:r>
          </w:p>
        </w:tc>
        <w:tc>
          <w:tcPr>
            <w:tcW w:w="580" w:type="dxa"/>
            <w:tcBorders>
              <w:top w:val="nil"/>
              <w:left w:val="nil"/>
              <w:bottom w:val="single" w:sz="4" w:space="0" w:color="A6A6A6"/>
              <w:right w:val="nil"/>
            </w:tcBorders>
            <w:shd w:val="clear" w:color="auto" w:fill="auto"/>
            <w:noWrap/>
            <w:vAlign w:val="center"/>
            <w:hideMark/>
          </w:tcPr>
          <w:p w14:paraId="260AB08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2.3%</w:t>
            </w:r>
          </w:p>
        </w:tc>
        <w:tc>
          <w:tcPr>
            <w:tcW w:w="680" w:type="dxa"/>
            <w:tcBorders>
              <w:top w:val="nil"/>
              <w:left w:val="nil"/>
              <w:bottom w:val="single" w:sz="4" w:space="0" w:color="A6A6A6"/>
              <w:right w:val="nil"/>
            </w:tcBorders>
            <w:shd w:val="clear" w:color="auto" w:fill="auto"/>
            <w:noWrap/>
            <w:vAlign w:val="center"/>
            <w:hideMark/>
          </w:tcPr>
          <w:p w14:paraId="032390B4"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403</w:t>
            </w:r>
          </w:p>
        </w:tc>
        <w:tc>
          <w:tcPr>
            <w:tcW w:w="560" w:type="dxa"/>
            <w:tcBorders>
              <w:top w:val="nil"/>
              <w:left w:val="nil"/>
              <w:bottom w:val="single" w:sz="4" w:space="0" w:color="A6A6A6"/>
              <w:right w:val="nil"/>
            </w:tcBorders>
            <w:shd w:val="clear" w:color="auto" w:fill="auto"/>
            <w:noWrap/>
            <w:vAlign w:val="center"/>
            <w:hideMark/>
          </w:tcPr>
          <w:p w14:paraId="0672F27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66.8%</w:t>
            </w:r>
          </w:p>
        </w:tc>
        <w:tc>
          <w:tcPr>
            <w:tcW w:w="820" w:type="dxa"/>
            <w:tcBorders>
              <w:top w:val="nil"/>
              <w:left w:val="nil"/>
              <w:bottom w:val="single" w:sz="4" w:space="0" w:color="A6A6A6"/>
              <w:right w:val="nil"/>
            </w:tcBorders>
            <w:shd w:val="clear" w:color="auto" w:fill="auto"/>
            <w:noWrap/>
            <w:vAlign w:val="center"/>
            <w:hideMark/>
          </w:tcPr>
          <w:p w14:paraId="02CC144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2,015</w:t>
            </w:r>
          </w:p>
        </w:tc>
        <w:tc>
          <w:tcPr>
            <w:tcW w:w="580" w:type="dxa"/>
            <w:tcBorders>
              <w:top w:val="nil"/>
              <w:left w:val="nil"/>
              <w:bottom w:val="single" w:sz="4" w:space="0" w:color="A6A6A6"/>
              <w:right w:val="nil"/>
            </w:tcBorders>
            <w:shd w:val="clear" w:color="auto" w:fill="auto"/>
            <w:noWrap/>
            <w:vAlign w:val="center"/>
            <w:hideMark/>
          </w:tcPr>
          <w:p w14:paraId="6A33955E"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0.2%</w:t>
            </w:r>
          </w:p>
        </w:tc>
      </w:tr>
      <w:tr w:rsidR="001C5319" w:rsidRPr="001C5319" w14:paraId="56A0B062" w14:textId="77777777" w:rsidTr="001C5319">
        <w:trPr>
          <w:trHeight w:val="315"/>
        </w:trPr>
        <w:tc>
          <w:tcPr>
            <w:tcW w:w="1600" w:type="dxa"/>
            <w:tcBorders>
              <w:top w:val="nil"/>
              <w:left w:val="nil"/>
              <w:bottom w:val="single" w:sz="8" w:space="0" w:color="A6A6A6"/>
              <w:right w:val="nil"/>
            </w:tcBorders>
            <w:shd w:val="clear" w:color="auto" w:fill="auto"/>
            <w:vAlign w:val="center"/>
            <w:hideMark/>
          </w:tcPr>
          <w:p w14:paraId="1A0567DD" w14:textId="77777777" w:rsidR="001C5319" w:rsidRPr="001C5319" w:rsidRDefault="001C5319" w:rsidP="001C5319">
            <w:pPr>
              <w:spacing w:after="0" w:line="240" w:lineRule="auto"/>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 xml:space="preserve"> TOTAL </w:t>
            </w:r>
          </w:p>
        </w:tc>
        <w:tc>
          <w:tcPr>
            <w:tcW w:w="720" w:type="dxa"/>
            <w:tcBorders>
              <w:top w:val="nil"/>
              <w:left w:val="nil"/>
              <w:bottom w:val="single" w:sz="8" w:space="0" w:color="A6A6A6"/>
              <w:right w:val="nil"/>
            </w:tcBorders>
            <w:shd w:val="clear" w:color="auto" w:fill="auto"/>
            <w:vAlign w:val="center"/>
            <w:hideMark/>
          </w:tcPr>
          <w:p w14:paraId="5C6E3B09"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36,249</w:t>
            </w:r>
          </w:p>
        </w:tc>
        <w:tc>
          <w:tcPr>
            <w:tcW w:w="580" w:type="dxa"/>
            <w:tcBorders>
              <w:top w:val="nil"/>
              <w:left w:val="nil"/>
              <w:bottom w:val="single" w:sz="8" w:space="0" w:color="A6A6A6"/>
              <w:right w:val="nil"/>
            </w:tcBorders>
            <w:shd w:val="clear" w:color="auto" w:fill="auto"/>
            <w:vAlign w:val="center"/>
            <w:hideMark/>
          </w:tcPr>
          <w:p w14:paraId="0BDBB97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c>
          <w:tcPr>
            <w:tcW w:w="820" w:type="dxa"/>
            <w:tcBorders>
              <w:top w:val="nil"/>
              <w:left w:val="nil"/>
              <w:bottom w:val="single" w:sz="8" w:space="0" w:color="A6A6A6"/>
              <w:right w:val="nil"/>
            </w:tcBorders>
            <w:shd w:val="clear" w:color="auto" w:fill="auto"/>
            <w:vAlign w:val="center"/>
            <w:hideMark/>
          </w:tcPr>
          <w:p w14:paraId="0767B57F"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745,630</w:t>
            </w:r>
          </w:p>
        </w:tc>
        <w:tc>
          <w:tcPr>
            <w:tcW w:w="560" w:type="dxa"/>
            <w:tcBorders>
              <w:top w:val="nil"/>
              <w:left w:val="nil"/>
              <w:bottom w:val="single" w:sz="8" w:space="0" w:color="A6A6A6"/>
              <w:right w:val="nil"/>
            </w:tcBorders>
            <w:shd w:val="clear" w:color="auto" w:fill="auto"/>
            <w:vAlign w:val="center"/>
            <w:hideMark/>
          </w:tcPr>
          <w:p w14:paraId="30AA8EB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c>
          <w:tcPr>
            <w:tcW w:w="780" w:type="dxa"/>
            <w:tcBorders>
              <w:top w:val="nil"/>
              <w:left w:val="nil"/>
              <w:bottom w:val="single" w:sz="8" w:space="0" w:color="A6A6A6"/>
              <w:right w:val="nil"/>
            </w:tcBorders>
            <w:shd w:val="clear" w:color="auto" w:fill="auto"/>
            <w:vAlign w:val="center"/>
            <w:hideMark/>
          </w:tcPr>
          <w:p w14:paraId="1A33056A"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172,624</w:t>
            </w:r>
          </w:p>
        </w:tc>
        <w:tc>
          <w:tcPr>
            <w:tcW w:w="580" w:type="dxa"/>
            <w:tcBorders>
              <w:top w:val="nil"/>
              <w:left w:val="nil"/>
              <w:bottom w:val="single" w:sz="8" w:space="0" w:color="A6A6A6"/>
              <w:right w:val="nil"/>
            </w:tcBorders>
            <w:shd w:val="clear" w:color="auto" w:fill="auto"/>
            <w:vAlign w:val="center"/>
            <w:hideMark/>
          </w:tcPr>
          <w:p w14:paraId="326366AF"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c>
          <w:tcPr>
            <w:tcW w:w="740" w:type="dxa"/>
            <w:tcBorders>
              <w:top w:val="nil"/>
              <w:left w:val="nil"/>
              <w:bottom w:val="single" w:sz="8" w:space="0" w:color="A6A6A6"/>
              <w:right w:val="nil"/>
            </w:tcBorders>
            <w:shd w:val="clear" w:color="auto" w:fill="auto"/>
            <w:vAlign w:val="center"/>
            <w:hideMark/>
          </w:tcPr>
          <w:p w14:paraId="2A6723BD"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17,480</w:t>
            </w:r>
          </w:p>
        </w:tc>
        <w:tc>
          <w:tcPr>
            <w:tcW w:w="580" w:type="dxa"/>
            <w:tcBorders>
              <w:top w:val="nil"/>
              <w:left w:val="nil"/>
              <w:bottom w:val="single" w:sz="8" w:space="0" w:color="A6A6A6"/>
              <w:right w:val="nil"/>
            </w:tcBorders>
            <w:shd w:val="clear" w:color="auto" w:fill="auto"/>
            <w:vAlign w:val="center"/>
            <w:hideMark/>
          </w:tcPr>
          <w:p w14:paraId="51D2CD2B"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c>
          <w:tcPr>
            <w:tcW w:w="680" w:type="dxa"/>
            <w:tcBorders>
              <w:top w:val="nil"/>
              <w:left w:val="nil"/>
              <w:bottom w:val="single" w:sz="8" w:space="0" w:color="A6A6A6"/>
              <w:right w:val="nil"/>
            </w:tcBorders>
            <w:shd w:val="clear" w:color="auto" w:fill="auto"/>
            <w:vAlign w:val="center"/>
            <w:hideMark/>
          </w:tcPr>
          <w:p w14:paraId="1F15DDB7"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603</w:t>
            </w:r>
          </w:p>
        </w:tc>
        <w:tc>
          <w:tcPr>
            <w:tcW w:w="560" w:type="dxa"/>
            <w:tcBorders>
              <w:top w:val="nil"/>
              <w:left w:val="nil"/>
              <w:bottom w:val="single" w:sz="8" w:space="0" w:color="A6A6A6"/>
              <w:right w:val="nil"/>
            </w:tcBorders>
            <w:shd w:val="clear" w:color="auto" w:fill="auto"/>
            <w:vAlign w:val="center"/>
            <w:hideMark/>
          </w:tcPr>
          <w:p w14:paraId="24E768F5"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c>
          <w:tcPr>
            <w:tcW w:w="820" w:type="dxa"/>
            <w:tcBorders>
              <w:top w:val="nil"/>
              <w:left w:val="nil"/>
              <w:bottom w:val="single" w:sz="8" w:space="0" w:color="A6A6A6"/>
              <w:right w:val="nil"/>
            </w:tcBorders>
            <w:shd w:val="clear" w:color="auto" w:fill="auto"/>
            <w:vAlign w:val="center"/>
            <w:hideMark/>
          </w:tcPr>
          <w:p w14:paraId="5CB250AD" w14:textId="77777777" w:rsidR="001C5319" w:rsidRPr="001C5319" w:rsidRDefault="001C5319" w:rsidP="001C5319">
            <w:pPr>
              <w:spacing w:after="0" w:line="240" w:lineRule="auto"/>
              <w:jc w:val="right"/>
              <w:rPr>
                <w:rFonts w:ascii="Arial Narrow" w:eastAsia="Times New Roman" w:hAnsi="Arial Narrow" w:cs="Times New Roman"/>
                <w:b/>
                <w:bCs/>
                <w:sz w:val="15"/>
                <w:szCs w:val="15"/>
                <w:lang w:val="en-US"/>
              </w:rPr>
            </w:pPr>
            <w:r w:rsidRPr="001C5319">
              <w:rPr>
                <w:rFonts w:ascii="Arial Narrow" w:eastAsia="Times New Roman" w:hAnsi="Arial Narrow" w:cs="Times New Roman"/>
                <w:b/>
                <w:bCs/>
                <w:sz w:val="15"/>
                <w:szCs w:val="15"/>
                <w:lang w:val="en-US"/>
              </w:rPr>
              <w:t>972,586</w:t>
            </w:r>
          </w:p>
        </w:tc>
        <w:tc>
          <w:tcPr>
            <w:tcW w:w="580" w:type="dxa"/>
            <w:tcBorders>
              <w:top w:val="nil"/>
              <w:left w:val="nil"/>
              <w:bottom w:val="single" w:sz="8" w:space="0" w:color="A6A6A6"/>
              <w:right w:val="nil"/>
            </w:tcBorders>
            <w:shd w:val="clear" w:color="auto" w:fill="auto"/>
            <w:vAlign w:val="center"/>
            <w:hideMark/>
          </w:tcPr>
          <w:p w14:paraId="3FCDD63D" w14:textId="77777777" w:rsidR="001C5319" w:rsidRPr="001C5319" w:rsidRDefault="001C5319" w:rsidP="001C5319">
            <w:pPr>
              <w:spacing w:after="0" w:line="240" w:lineRule="auto"/>
              <w:jc w:val="right"/>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100%</w:t>
            </w:r>
          </w:p>
        </w:tc>
      </w:tr>
    </w:tbl>
    <w:p w14:paraId="6345B8F3" w14:textId="739B90E8" w:rsidR="008D4A20" w:rsidRDefault="008D4A20" w:rsidP="008D4A20">
      <w:pPr>
        <w:keepNext/>
        <w:keepLines/>
        <w:spacing w:after="0" w:line="240" w:lineRule="auto"/>
        <w:jc w:val="center"/>
        <w:rPr>
          <w:rFonts w:eastAsia="Arial" w:cs="Arial"/>
          <w:i/>
          <w:sz w:val="16"/>
        </w:rPr>
      </w:pPr>
    </w:p>
    <w:p w14:paraId="7961BA95" w14:textId="501A61EE" w:rsidR="008D4A20" w:rsidRPr="00AB028D" w:rsidRDefault="008D4A20" w:rsidP="008D4A20">
      <w:pPr>
        <w:keepNext/>
        <w:keepLines/>
        <w:spacing w:before="60"/>
        <w:rPr>
          <w:rFonts w:eastAsia="Arial" w:cs="Arial"/>
          <w:i/>
        </w:rPr>
      </w:pPr>
    </w:p>
    <w:p w14:paraId="353FE0F0" w14:textId="77777777" w:rsidR="008D4A20" w:rsidRPr="00AB028D" w:rsidRDefault="008D4A20" w:rsidP="008D4A20">
      <w:pPr>
        <w:keepNext/>
        <w:keepLines/>
        <w:spacing w:after="0" w:line="240" w:lineRule="auto"/>
        <w:jc w:val="center"/>
        <w:rPr>
          <w:rFonts w:eastAsia="Calibri" w:cs="Times New Roman"/>
          <w:b/>
          <w:color w:val="44546A"/>
          <w:lang w:val="en-US"/>
        </w:rPr>
      </w:pPr>
      <w:r w:rsidRPr="00AB028D">
        <w:rPr>
          <w:rFonts w:eastAsia="Calibri" w:cs="Times New Roman"/>
          <w:b/>
          <w:color w:val="44546A"/>
          <w:lang w:val="en-US"/>
        </w:rPr>
        <w:t xml:space="preserve">Budget by </w:t>
      </w:r>
      <w:r>
        <w:rPr>
          <w:rFonts w:eastAsia="Calibri" w:cs="Times New Roman"/>
          <w:b/>
          <w:color w:val="44546A"/>
          <w:lang w:val="en-US"/>
        </w:rPr>
        <w:t>Sector</w:t>
      </w:r>
      <w:r w:rsidRPr="00AB028D">
        <w:rPr>
          <w:rFonts w:eastAsia="Calibri" w:cs="Times New Roman"/>
          <w:b/>
          <w:color w:val="44546A"/>
          <w:lang w:val="en-US"/>
        </w:rPr>
        <w:t xml:space="preserve"> and Union</w:t>
      </w:r>
    </w:p>
    <w:p w14:paraId="6EA525EF" w14:textId="6B4E10BA" w:rsidR="008D4A20" w:rsidRDefault="008D4A20" w:rsidP="008D4A20">
      <w:pPr>
        <w:keepNext/>
        <w:keepLines/>
        <w:spacing w:after="0" w:line="240" w:lineRule="auto"/>
        <w:jc w:val="center"/>
        <w:rPr>
          <w:rFonts w:eastAsia="Calibri" w:cs="Times New Roman"/>
          <w:i/>
          <w:sz w:val="16"/>
          <w:lang w:val="en-US"/>
        </w:rPr>
      </w:pPr>
      <w:r w:rsidRPr="00AB028D">
        <w:rPr>
          <w:rFonts w:eastAsia="Calibri" w:cs="Times New Roman"/>
          <w:i/>
          <w:sz w:val="16"/>
          <w:lang w:val="en-US"/>
        </w:rPr>
        <w:t>(in thousands of Swiss francs)</w:t>
      </w:r>
    </w:p>
    <w:p w14:paraId="2CE49134" w14:textId="77777777" w:rsidR="001C5319" w:rsidRDefault="001C5319" w:rsidP="008D4A20">
      <w:pPr>
        <w:keepNext/>
        <w:keepLines/>
        <w:spacing w:after="0" w:line="240" w:lineRule="auto"/>
        <w:jc w:val="center"/>
        <w:rPr>
          <w:rFonts w:eastAsia="Calibri" w:cs="Times New Roman"/>
          <w:i/>
          <w:sz w:val="16"/>
          <w:lang w:val="en-US"/>
        </w:rPr>
      </w:pPr>
    </w:p>
    <w:tbl>
      <w:tblPr>
        <w:tblW w:w="9460" w:type="dxa"/>
        <w:tblLook w:val="04A0" w:firstRow="1" w:lastRow="0" w:firstColumn="1" w:lastColumn="0" w:noHBand="0" w:noVBand="1"/>
      </w:tblPr>
      <w:tblGrid>
        <w:gridCol w:w="2860"/>
        <w:gridCol w:w="1100"/>
        <w:gridCol w:w="1100"/>
        <w:gridCol w:w="1100"/>
        <w:gridCol w:w="1100"/>
        <w:gridCol w:w="1100"/>
        <w:gridCol w:w="1100"/>
      </w:tblGrid>
      <w:tr w:rsidR="001C5319" w:rsidRPr="001C5319" w14:paraId="608158EA" w14:textId="77777777" w:rsidTr="001C5319">
        <w:trPr>
          <w:trHeight w:val="375"/>
        </w:trPr>
        <w:tc>
          <w:tcPr>
            <w:tcW w:w="2860" w:type="dxa"/>
            <w:tcBorders>
              <w:top w:val="nil"/>
              <w:left w:val="nil"/>
              <w:bottom w:val="nil"/>
              <w:right w:val="nil"/>
            </w:tcBorders>
            <w:shd w:val="clear" w:color="000000" w:fill="C7CFD8"/>
            <w:vAlign w:val="center"/>
            <w:hideMark/>
          </w:tcPr>
          <w:p w14:paraId="41365AB5"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w:t>
            </w:r>
          </w:p>
        </w:tc>
        <w:tc>
          <w:tcPr>
            <w:tcW w:w="1100" w:type="dxa"/>
            <w:tcBorders>
              <w:top w:val="nil"/>
              <w:left w:val="nil"/>
              <w:bottom w:val="nil"/>
              <w:right w:val="single" w:sz="4" w:space="0" w:color="BFBFBF"/>
            </w:tcBorders>
            <w:shd w:val="clear" w:color="000000" w:fill="C7CFD8"/>
            <w:noWrap/>
            <w:vAlign w:val="center"/>
            <w:hideMark/>
          </w:tcPr>
          <w:p w14:paraId="5D42B2C9"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CF Unions</w:t>
            </w:r>
          </w:p>
        </w:tc>
        <w:tc>
          <w:tcPr>
            <w:tcW w:w="1100" w:type="dxa"/>
            <w:tcBorders>
              <w:top w:val="nil"/>
              <w:left w:val="nil"/>
              <w:bottom w:val="nil"/>
              <w:right w:val="single" w:sz="4" w:space="0" w:color="BFBFBF"/>
            </w:tcBorders>
            <w:shd w:val="clear" w:color="000000" w:fill="C7CFD8"/>
            <w:noWrap/>
            <w:vAlign w:val="center"/>
            <w:hideMark/>
          </w:tcPr>
          <w:p w14:paraId="62D1AB79"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PCT Union</w:t>
            </w:r>
          </w:p>
        </w:tc>
        <w:tc>
          <w:tcPr>
            <w:tcW w:w="1100" w:type="dxa"/>
            <w:tcBorders>
              <w:top w:val="nil"/>
              <w:left w:val="nil"/>
              <w:bottom w:val="nil"/>
              <w:right w:val="single" w:sz="4" w:space="0" w:color="BFBFBF"/>
            </w:tcBorders>
            <w:shd w:val="clear" w:color="000000" w:fill="C7CFD8"/>
            <w:noWrap/>
            <w:vAlign w:val="center"/>
            <w:hideMark/>
          </w:tcPr>
          <w:p w14:paraId="20AC34B9"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Madrid Union</w:t>
            </w:r>
          </w:p>
        </w:tc>
        <w:tc>
          <w:tcPr>
            <w:tcW w:w="1100" w:type="dxa"/>
            <w:tcBorders>
              <w:top w:val="nil"/>
              <w:left w:val="nil"/>
              <w:bottom w:val="nil"/>
              <w:right w:val="single" w:sz="4" w:space="0" w:color="BFBFBF"/>
            </w:tcBorders>
            <w:shd w:val="clear" w:color="000000" w:fill="C7CFD8"/>
            <w:noWrap/>
            <w:vAlign w:val="center"/>
            <w:hideMark/>
          </w:tcPr>
          <w:p w14:paraId="096F690A"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Hague Union</w:t>
            </w:r>
          </w:p>
        </w:tc>
        <w:tc>
          <w:tcPr>
            <w:tcW w:w="1100" w:type="dxa"/>
            <w:tcBorders>
              <w:top w:val="nil"/>
              <w:left w:val="nil"/>
              <w:bottom w:val="nil"/>
              <w:right w:val="single" w:sz="4" w:space="0" w:color="BFBFBF"/>
            </w:tcBorders>
            <w:shd w:val="clear" w:color="000000" w:fill="C7CFD8"/>
            <w:noWrap/>
            <w:vAlign w:val="center"/>
            <w:hideMark/>
          </w:tcPr>
          <w:p w14:paraId="121D5138"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Lisbon Union</w:t>
            </w:r>
          </w:p>
        </w:tc>
        <w:tc>
          <w:tcPr>
            <w:tcW w:w="1100" w:type="dxa"/>
            <w:tcBorders>
              <w:top w:val="nil"/>
              <w:left w:val="nil"/>
              <w:bottom w:val="nil"/>
              <w:right w:val="nil"/>
            </w:tcBorders>
            <w:shd w:val="clear" w:color="000000" w:fill="C7CFD8"/>
            <w:noWrap/>
            <w:vAlign w:val="center"/>
            <w:hideMark/>
          </w:tcPr>
          <w:p w14:paraId="09C187BF"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Total</w:t>
            </w:r>
          </w:p>
        </w:tc>
      </w:tr>
      <w:tr w:rsidR="001C5319" w:rsidRPr="001C5319" w14:paraId="637DE5A0" w14:textId="77777777" w:rsidTr="001C5319">
        <w:trPr>
          <w:trHeight w:val="120"/>
        </w:trPr>
        <w:tc>
          <w:tcPr>
            <w:tcW w:w="2860" w:type="dxa"/>
            <w:tcBorders>
              <w:top w:val="nil"/>
              <w:left w:val="nil"/>
              <w:bottom w:val="nil"/>
              <w:right w:val="nil"/>
            </w:tcBorders>
            <w:shd w:val="clear" w:color="auto" w:fill="auto"/>
            <w:vAlign w:val="center"/>
            <w:hideMark/>
          </w:tcPr>
          <w:p w14:paraId="5D3D017E"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p>
        </w:tc>
        <w:tc>
          <w:tcPr>
            <w:tcW w:w="1100" w:type="dxa"/>
            <w:tcBorders>
              <w:top w:val="nil"/>
              <w:left w:val="nil"/>
              <w:bottom w:val="nil"/>
              <w:right w:val="single" w:sz="4" w:space="0" w:color="BFBFBF"/>
            </w:tcBorders>
            <w:shd w:val="clear" w:color="auto" w:fill="auto"/>
            <w:noWrap/>
            <w:vAlign w:val="center"/>
            <w:hideMark/>
          </w:tcPr>
          <w:p w14:paraId="086F1B9D" w14:textId="77777777" w:rsidR="001C5319" w:rsidRPr="001C5319" w:rsidRDefault="001C5319" w:rsidP="001C5319">
            <w:pPr>
              <w:spacing w:after="0" w:line="240" w:lineRule="auto"/>
              <w:rPr>
                <w:rFonts w:ascii="Arial Narrow" w:eastAsia="Times New Roman" w:hAnsi="Arial Narrow" w:cs="Times New Roman"/>
                <w:sz w:val="10"/>
                <w:szCs w:val="10"/>
                <w:lang w:val="en-US"/>
              </w:rPr>
            </w:pPr>
            <w:r w:rsidRPr="001C5319">
              <w:rPr>
                <w:rFonts w:ascii="Arial Narrow" w:eastAsia="Times New Roman" w:hAnsi="Arial Narrow" w:cs="Times New Roman"/>
                <w:sz w:val="10"/>
                <w:szCs w:val="10"/>
                <w:lang w:val="en-US"/>
              </w:rPr>
              <w:t> </w:t>
            </w:r>
          </w:p>
        </w:tc>
        <w:tc>
          <w:tcPr>
            <w:tcW w:w="1100" w:type="dxa"/>
            <w:tcBorders>
              <w:top w:val="nil"/>
              <w:left w:val="nil"/>
              <w:bottom w:val="nil"/>
              <w:right w:val="single" w:sz="4" w:space="0" w:color="BFBFBF"/>
            </w:tcBorders>
            <w:shd w:val="clear" w:color="auto" w:fill="auto"/>
            <w:noWrap/>
            <w:vAlign w:val="center"/>
            <w:hideMark/>
          </w:tcPr>
          <w:p w14:paraId="29830B89" w14:textId="77777777" w:rsidR="001C5319" w:rsidRPr="001C5319" w:rsidRDefault="001C5319" w:rsidP="001C5319">
            <w:pPr>
              <w:spacing w:after="0" w:line="240" w:lineRule="auto"/>
              <w:rPr>
                <w:rFonts w:ascii="Arial Narrow" w:eastAsia="Times New Roman" w:hAnsi="Arial Narrow" w:cs="Times New Roman"/>
                <w:sz w:val="10"/>
                <w:szCs w:val="10"/>
                <w:lang w:val="en-US"/>
              </w:rPr>
            </w:pPr>
            <w:r w:rsidRPr="001C5319">
              <w:rPr>
                <w:rFonts w:ascii="Arial Narrow" w:eastAsia="Times New Roman" w:hAnsi="Arial Narrow" w:cs="Times New Roman"/>
                <w:sz w:val="10"/>
                <w:szCs w:val="10"/>
                <w:lang w:val="en-US"/>
              </w:rPr>
              <w:t> </w:t>
            </w:r>
          </w:p>
        </w:tc>
        <w:tc>
          <w:tcPr>
            <w:tcW w:w="1100" w:type="dxa"/>
            <w:tcBorders>
              <w:top w:val="nil"/>
              <w:left w:val="nil"/>
              <w:bottom w:val="nil"/>
              <w:right w:val="single" w:sz="4" w:space="0" w:color="BFBFBF"/>
            </w:tcBorders>
            <w:shd w:val="clear" w:color="auto" w:fill="auto"/>
            <w:noWrap/>
            <w:vAlign w:val="center"/>
            <w:hideMark/>
          </w:tcPr>
          <w:p w14:paraId="235E54C6" w14:textId="77777777" w:rsidR="001C5319" w:rsidRPr="001C5319" w:rsidRDefault="001C5319" w:rsidP="001C5319">
            <w:pPr>
              <w:spacing w:after="0" w:line="240" w:lineRule="auto"/>
              <w:rPr>
                <w:rFonts w:ascii="Arial Narrow" w:eastAsia="Times New Roman" w:hAnsi="Arial Narrow" w:cs="Times New Roman"/>
                <w:sz w:val="10"/>
                <w:szCs w:val="10"/>
                <w:lang w:val="en-US"/>
              </w:rPr>
            </w:pPr>
            <w:r w:rsidRPr="001C5319">
              <w:rPr>
                <w:rFonts w:ascii="Arial Narrow" w:eastAsia="Times New Roman" w:hAnsi="Arial Narrow" w:cs="Times New Roman"/>
                <w:sz w:val="10"/>
                <w:szCs w:val="10"/>
                <w:lang w:val="en-US"/>
              </w:rPr>
              <w:t> </w:t>
            </w:r>
          </w:p>
        </w:tc>
        <w:tc>
          <w:tcPr>
            <w:tcW w:w="1100" w:type="dxa"/>
            <w:tcBorders>
              <w:top w:val="nil"/>
              <w:left w:val="nil"/>
              <w:bottom w:val="nil"/>
              <w:right w:val="single" w:sz="4" w:space="0" w:color="BFBFBF"/>
            </w:tcBorders>
            <w:shd w:val="clear" w:color="auto" w:fill="auto"/>
            <w:noWrap/>
            <w:vAlign w:val="center"/>
            <w:hideMark/>
          </w:tcPr>
          <w:p w14:paraId="74E6E6C6" w14:textId="77777777" w:rsidR="001C5319" w:rsidRPr="001C5319" w:rsidRDefault="001C5319" w:rsidP="001C5319">
            <w:pPr>
              <w:spacing w:after="0" w:line="240" w:lineRule="auto"/>
              <w:rPr>
                <w:rFonts w:ascii="Arial Narrow" w:eastAsia="Times New Roman" w:hAnsi="Arial Narrow" w:cs="Times New Roman"/>
                <w:sz w:val="10"/>
                <w:szCs w:val="10"/>
                <w:lang w:val="en-US"/>
              </w:rPr>
            </w:pPr>
            <w:r w:rsidRPr="001C5319">
              <w:rPr>
                <w:rFonts w:ascii="Arial Narrow" w:eastAsia="Times New Roman" w:hAnsi="Arial Narrow" w:cs="Times New Roman"/>
                <w:sz w:val="10"/>
                <w:szCs w:val="10"/>
                <w:lang w:val="en-US"/>
              </w:rPr>
              <w:t> </w:t>
            </w:r>
          </w:p>
        </w:tc>
        <w:tc>
          <w:tcPr>
            <w:tcW w:w="1100" w:type="dxa"/>
            <w:tcBorders>
              <w:top w:val="nil"/>
              <w:left w:val="nil"/>
              <w:bottom w:val="nil"/>
              <w:right w:val="single" w:sz="4" w:space="0" w:color="BFBFBF"/>
            </w:tcBorders>
            <w:shd w:val="clear" w:color="auto" w:fill="auto"/>
            <w:noWrap/>
            <w:vAlign w:val="center"/>
            <w:hideMark/>
          </w:tcPr>
          <w:p w14:paraId="593038A2" w14:textId="77777777" w:rsidR="001C5319" w:rsidRPr="001C5319" w:rsidRDefault="001C5319" w:rsidP="001C5319">
            <w:pPr>
              <w:spacing w:after="0" w:line="240" w:lineRule="auto"/>
              <w:rPr>
                <w:rFonts w:ascii="Arial Narrow" w:eastAsia="Times New Roman" w:hAnsi="Arial Narrow" w:cs="Times New Roman"/>
                <w:sz w:val="10"/>
                <w:szCs w:val="10"/>
                <w:lang w:val="en-US"/>
              </w:rPr>
            </w:pPr>
            <w:r w:rsidRPr="001C5319">
              <w:rPr>
                <w:rFonts w:ascii="Arial Narrow" w:eastAsia="Times New Roman" w:hAnsi="Arial Narrow" w:cs="Times New Roman"/>
                <w:sz w:val="10"/>
                <w:szCs w:val="10"/>
                <w:lang w:val="en-US"/>
              </w:rPr>
              <w:t> </w:t>
            </w:r>
          </w:p>
        </w:tc>
        <w:tc>
          <w:tcPr>
            <w:tcW w:w="1100" w:type="dxa"/>
            <w:tcBorders>
              <w:top w:val="nil"/>
              <w:left w:val="nil"/>
              <w:bottom w:val="nil"/>
              <w:right w:val="nil"/>
            </w:tcBorders>
            <w:shd w:val="clear" w:color="auto" w:fill="auto"/>
            <w:noWrap/>
            <w:vAlign w:val="center"/>
            <w:hideMark/>
          </w:tcPr>
          <w:p w14:paraId="29F97EB0" w14:textId="77777777" w:rsidR="001C5319" w:rsidRPr="001C5319" w:rsidRDefault="001C5319" w:rsidP="001C5319">
            <w:pPr>
              <w:spacing w:after="0" w:line="240" w:lineRule="auto"/>
              <w:rPr>
                <w:rFonts w:ascii="Arial Narrow" w:eastAsia="Times New Roman" w:hAnsi="Arial Narrow" w:cs="Times New Roman"/>
                <w:sz w:val="10"/>
                <w:szCs w:val="10"/>
                <w:lang w:val="en-US"/>
              </w:rPr>
            </w:pPr>
          </w:p>
        </w:tc>
      </w:tr>
      <w:tr w:rsidR="001C5319" w:rsidRPr="001C5319" w14:paraId="1EA24136" w14:textId="77777777" w:rsidTr="001C5319">
        <w:trPr>
          <w:trHeight w:val="345"/>
        </w:trPr>
        <w:tc>
          <w:tcPr>
            <w:tcW w:w="2860" w:type="dxa"/>
            <w:tcBorders>
              <w:top w:val="nil"/>
              <w:left w:val="nil"/>
              <w:bottom w:val="nil"/>
              <w:right w:val="nil"/>
            </w:tcBorders>
            <w:shd w:val="clear" w:color="auto" w:fill="auto"/>
            <w:hideMark/>
          </w:tcPr>
          <w:p w14:paraId="6FDF1419"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Patents and Technology</w:t>
            </w:r>
          </w:p>
        </w:tc>
        <w:tc>
          <w:tcPr>
            <w:tcW w:w="1100" w:type="dxa"/>
            <w:tcBorders>
              <w:top w:val="nil"/>
              <w:left w:val="nil"/>
              <w:bottom w:val="nil"/>
              <w:right w:val="single" w:sz="4" w:space="0" w:color="BFBFBF"/>
            </w:tcBorders>
            <w:shd w:val="clear" w:color="auto" w:fill="auto"/>
            <w:noWrap/>
            <w:hideMark/>
          </w:tcPr>
          <w:p w14:paraId="5C12EF4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398</w:t>
            </w:r>
          </w:p>
        </w:tc>
        <w:tc>
          <w:tcPr>
            <w:tcW w:w="1100" w:type="dxa"/>
            <w:tcBorders>
              <w:top w:val="nil"/>
              <w:left w:val="nil"/>
              <w:bottom w:val="nil"/>
              <w:right w:val="single" w:sz="4" w:space="0" w:color="BFBFBF"/>
            </w:tcBorders>
            <w:shd w:val="clear" w:color="auto" w:fill="auto"/>
            <w:noWrap/>
            <w:hideMark/>
          </w:tcPr>
          <w:p w14:paraId="5D725BB8"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213,402</w:t>
            </w:r>
          </w:p>
        </w:tc>
        <w:tc>
          <w:tcPr>
            <w:tcW w:w="1100" w:type="dxa"/>
            <w:tcBorders>
              <w:top w:val="nil"/>
              <w:left w:val="nil"/>
              <w:bottom w:val="nil"/>
              <w:right w:val="single" w:sz="4" w:space="0" w:color="BFBFBF"/>
            </w:tcBorders>
            <w:shd w:val="clear" w:color="auto" w:fill="auto"/>
            <w:noWrap/>
            <w:hideMark/>
          </w:tcPr>
          <w:p w14:paraId="07359563"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235</w:t>
            </w:r>
          </w:p>
        </w:tc>
        <w:tc>
          <w:tcPr>
            <w:tcW w:w="1100" w:type="dxa"/>
            <w:tcBorders>
              <w:top w:val="nil"/>
              <w:left w:val="nil"/>
              <w:bottom w:val="nil"/>
              <w:right w:val="single" w:sz="4" w:space="0" w:color="BFBFBF"/>
            </w:tcBorders>
            <w:shd w:val="clear" w:color="auto" w:fill="auto"/>
            <w:noWrap/>
            <w:hideMark/>
          </w:tcPr>
          <w:p w14:paraId="2DB0ADE4"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single" w:sz="4" w:space="0" w:color="BFBFBF"/>
            </w:tcBorders>
            <w:shd w:val="clear" w:color="auto" w:fill="auto"/>
            <w:noWrap/>
            <w:hideMark/>
          </w:tcPr>
          <w:p w14:paraId="6E0BBCC5"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nil"/>
            </w:tcBorders>
            <w:shd w:val="clear" w:color="auto" w:fill="auto"/>
            <w:noWrap/>
            <w:hideMark/>
          </w:tcPr>
          <w:p w14:paraId="5355D39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214,036</w:t>
            </w:r>
          </w:p>
        </w:tc>
      </w:tr>
      <w:tr w:rsidR="001C5319" w:rsidRPr="001C5319" w14:paraId="594E9EDB" w14:textId="77777777" w:rsidTr="001C5319">
        <w:trPr>
          <w:trHeight w:val="345"/>
        </w:trPr>
        <w:tc>
          <w:tcPr>
            <w:tcW w:w="2860" w:type="dxa"/>
            <w:tcBorders>
              <w:top w:val="nil"/>
              <w:left w:val="nil"/>
              <w:bottom w:val="nil"/>
              <w:right w:val="nil"/>
            </w:tcBorders>
            <w:shd w:val="clear" w:color="auto" w:fill="auto"/>
            <w:hideMark/>
          </w:tcPr>
          <w:p w14:paraId="51AC7ECC"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Brands and Designs</w:t>
            </w:r>
          </w:p>
        </w:tc>
        <w:tc>
          <w:tcPr>
            <w:tcW w:w="1100" w:type="dxa"/>
            <w:tcBorders>
              <w:top w:val="nil"/>
              <w:left w:val="nil"/>
              <w:bottom w:val="nil"/>
              <w:right w:val="single" w:sz="4" w:space="0" w:color="BFBFBF"/>
            </w:tcBorders>
            <w:shd w:val="clear" w:color="auto" w:fill="auto"/>
            <w:noWrap/>
            <w:hideMark/>
          </w:tcPr>
          <w:p w14:paraId="61892B34"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1,451</w:t>
            </w:r>
          </w:p>
        </w:tc>
        <w:tc>
          <w:tcPr>
            <w:tcW w:w="1100" w:type="dxa"/>
            <w:tcBorders>
              <w:top w:val="nil"/>
              <w:left w:val="nil"/>
              <w:bottom w:val="nil"/>
              <w:right w:val="single" w:sz="4" w:space="0" w:color="BFBFBF"/>
            </w:tcBorders>
            <w:shd w:val="clear" w:color="auto" w:fill="auto"/>
            <w:noWrap/>
            <w:hideMark/>
          </w:tcPr>
          <w:p w14:paraId="664B5496"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single" w:sz="4" w:space="0" w:color="BFBFBF"/>
            </w:tcBorders>
            <w:shd w:val="clear" w:color="auto" w:fill="auto"/>
            <w:noWrap/>
            <w:hideMark/>
          </w:tcPr>
          <w:p w14:paraId="72F8F18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59,785</w:t>
            </w:r>
          </w:p>
        </w:tc>
        <w:tc>
          <w:tcPr>
            <w:tcW w:w="1100" w:type="dxa"/>
            <w:tcBorders>
              <w:top w:val="nil"/>
              <w:left w:val="nil"/>
              <w:bottom w:val="nil"/>
              <w:right w:val="single" w:sz="4" w:space="0" w:color="BFBFBF"/>
            </w:tcBorders>
            <w:shd w:val="clear" w:color="auto" w:fill="auto"/>
            <w:noWrap/>
            <w:hideMark/>
          </w:tcPr>
          <w:p w14:paraId="5355DB19"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15,827</w:t>
            </w:r>
          </w:p>
        </w:tc>
        <w:tc>
          <w:tcPr>
            <w:tcW w:w="1100" w:type="dxa"/>
            <w:tcBorders>
              <w:top w:val="nil"/>
              <w:left w:val="nil"/>
              <w:bottom w:val="nil"/>
              <w:right w:val="single" w:sz="4" w:space="0" w:color="BFBFBF"/>
            </w:tcBorders>
            <w:shd w:val="clear" w:color="auto" w:fill="auto"/>
            <w:noWrap/>
            <w:hideMark/>
          </w:tcPr>
          <w:p w14:paraId="1FC3240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2,167</w:t>
            </w:r>
          </w:p>
        </w:tc>
        <w:tc>
          <w:tcPr>
            <w:tcW w:w="1100" w:type="dxa"/>
            <w:tcBorders>
              <w:top w:val="nil"/>
              <w:left w:val="nil"/>
              <w:bottom w:val="nil"/>
              <w:right w:val="nil"/>
            </w:tcBorders>
            <w:shd w:val="clear" w:color="auto" w:fill="auto"/>
            <w:noWrap/>
            <w:hideMark/>
          </w:tcPr>
          <w:p w14:paraId="1C49E122"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79,230</w:t>
            </w:r>
          </w:p>
        </w:tc>
      </w:tr>
      <w:tr w:rsidR="001C5319" w:rsidRPr="001C5319" w14:paraId="1791EA85" w14:textId="77777777" w:rsidTr="001C5319">
        <w:trPr>
          <w:trHeight w:val="345"/>
        </w:trPr>
        <w:tc>
          <w:tcPr>
            <w:tcW w:w="2860" w:type="dxa"/>
            <w:tcBorders>
              <w:top w:val="nil"/>
              <w:left w:val="nil"/>
              <w:bottom w:val="nil"/>
              <w:right w:val="nil"/>
            </w:tcBorders>
            <w:shd w:val="clear" w:color="auto" w:fill="auto"/>
            <w:hideMark/>
          </w:tcPr>
          <w:p w14:paraId="383118AB"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 xml:space="preserve">Copyright and Creative Industries </w:t>
            </w:r>
          </w:p>
        </w:tc>
        <w:tc>
          <w:tcPr>
            <w:tcW w:w="1100" w:type="dxa"/>
            <w:tcBorders>
              <w:top w:val="nil"/>
              <w:left w:val="nil"/>
              <w:bottom w:val="nil"/>
              <w:right w:val="single" w:sz="4" w:space="0" w:color="BFBFBF"/>
            </w:tcBorders>
            <w:shd w:val="clear" w:color="auto" w:fill="auto"/>
            <w:noWrap/>
            <w:hideMark/>
          </w:tcPr>
          <w:p w14:paraId="4E8C1B2E"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22,341</w:t>
            </w:r>
          </w:p>
        </w:tc>
        <w:tc>
          <w:tcPr>
            <w:tcW w:w="1100" w:type="dxa"/>
            <w:tcBorders>
              <w:top w:val="nil"/>
              <w:left w:val="nil"/>
              <w:bottom w:val="nil"/>
              <w:right w:val="single" w:sz="4" w:space="0" w:color="BFBFBF"/>
            </w:tcBorders>
            <w:shd w:val="clear" w:color="auto" w:fill="auto"/>
            <w:noWrap/>
            <w:hideMark/>
          </w:tcPr>
          <w:p w14:paraId="6FFBA35A"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14,121</w:t>
            </w:r>
          </w:p>
        </w:tc>
        <w:tc>
          <w:tcPr>
            <w:tcW w:w="1100" w:type="dxa"/>
            <w:tcBorders>
              <w:top w:val="nil"/>
              <w:left w:val="nil"/>
              <w:bottom w:val="nil"/>
              <w:right w:val="single" w:sz="4" w:space="0" w:color="BFBFBF"/>
            </w:tcBorders>
            <w:shd w:val="clear" w:color="auto" w:fill="auto"/>
            <w:noWrap/>
            <w:hideMark/>
          </w:tcPr>
          <w:p w14:paraId="23B6A643"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1,302</w:t>
            </w:r>
          </w:p>
        </w:tc>
        <w:tc>
          <w:tcPr>
            <w:tcW w:w="1100" w:type="dxa"/>
            <w:tcBorders>
              <w:top w:val="nil"/>
              <w:left w:val="nil"/>
              <w:bottom w:val="nil"/>
              <w:right w:val="single" w:sz="4" w:space="0" w:color="BFBFBF"/>
            </w:tcBorders>
            <w:shd w:val="clear" w:color="auto" w:fill="auto"/>
            <w:noWrap/>
            <w:hideMark/>
          </w:tcPr>
          <w:p w14:paraId="311527D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single" w:sz="4" w:space="0" w:color="BFBFBF"/>
            </w:tcBorders>
            <w:shd w:val="clear" w:color="auto" w:fill="auto"/>
            <w:noWrap/>
            <w:hideMark/>
          </w:tcPr>
          <w:p w14:paraId="13A6323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nil"/>
            </w:tcBorders>
            <w:shd w:val="clear" w:color="auto" w:fill="auto"/>
            <w:noWrap/>
            <w:hideMark/>
          </w:tcPr>
          <w:p w14:paraId="69E1D414"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37,764</w:t>
            </w:r>
          </w:p>
        </w:tc>
      </w:tr>
      <w:tr w:rsidR="001C5319" w:rsidRPr="001C5319" w14:paraId="7FAD484A" w14:textId="77777777" w:rsidTr="001C5319">
        <w:trPr>
          <w:trHeight w:val="345"/>
        </w:trPr>
        <w:tc>
          <w:tcPr>
            <w:tcW w:w="2860" w:type="dxa"/>
            <w:tcBorders>
              <w:top w:val="nil"/>
              <w:left w:val="nil"/>
              <w:bottom w:val="nil"/>
              <w:right w:val="nil"/>
            </w:tcBorders>
            <w:shd w:val="clear" w:color="auto" w:fill="auto"/>
            <w:hideMark/>
          </w:tcPr>
          <w:p w14:paraId="53DEAF55"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Regional and National Development</w:t>
            </w:r>
          </w:p>
        </w:tc>
        <w:tc>
          <w:tcPr>
            <w:tcW w:w="1100" w:type="dxa"/>
            <w:tcBorders>
              <w:top w:val="nil"/>
              <w:left w:val="nil"/>
              <w:bottom w:val="nil"/>
              <w:right w:val="single" w:sz="4" w:space="0" w:color="BFBFBF"/>
            </w:tcBorders>
            <w:shd w:val="clear" w:color="auto" w:fill="auto"/>
            <w:noWrap/>
            <w:hideMark/>
          </w:tcPr>
          <w:p w14:paraId="20F9208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126</w:t>
            </w:r>
          </w:p>
        </w:tc>
        <w:tc>
          <w:tcPr>
            <w:tcW w:w="1100" w:type="dxa"/>
            <w:tcBorders>
              <w:top w:val="nil"/>
              <w:left w:val="nil"/>
              <w:bottom w:val="nil"/>
              <w:right w:val="single" w:sz="4" w:space="0" w:color="BFBFBF"/>
            </w:tcBorders>
            <w:shd w:val="clear" w:color="auto" w:fill="auto"/>
            <w:noWrap/>
            <w:hideMark/>
          </w:tcPr>
          <w:p w14:paraId="1060B96D"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71,292</w:t>
            </w:r>
          </w:p>
        </w:tc>
        <w:tc>
          <w:tcPr>
            <w:tcW w:w="1100" w:type="dxa"/>
            <w:tcBorders>
              <w:top w:val="nil"/>
              <w:left w:val="nil"/>
              <w:bottom w:val="nil"/>
              <w:right w:val="single" w:sz="4" w:space="0" w:color="BFBFBF"/>
            </w:tcBorders>
            <w:shd w:val="clear" w:color="auto" w:fill="auto"/>
            <w:noWrap/>
            <w:hideMark/>
          </w:tcPr>
          <w:p w14:paraId="69B645CA"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7,855</w:t>
            </w:r>
          </w:p>
        </w:tc>
        <w:tc>
          <w:tcPr>
            <w:tcW w:w="1100" w:type="dxa"/>
            <w:tcBorders>
              <w:top w:val="nil"/>
              <w:left w:val="nil"/>
              <w:bottom w:val="nil"/>
              <w:right w:val="single" w:sz="4" w:space="0" w:color="BFBFBF"/>
            </w:tcBorders>
            <w:shd w:val="clear" w:color="auto" w:fill="auto"/>
            <w:noWrap/>
            <w:hideMark/>
          </w:tcPr>
          <w:p w14:paraId="10A04342"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1,044</w:t>
            </w:r>
          </w:p>
        </w:tc>
        <w:tc>
          <w:tcPr>
            <w:tcW w:w="1100" w:type="dxa"/>
            <w:tcBorders>
              <w:top w:val="nil"/>
              <w:left w:val="nil"/>
              <w:bottom w:val="nil"/>
              <w:right w:val="single" w:sz="4" w:space="0" w:color="BFBFBF"/>
            </w:tcBorders>
            <w:shd w:val="clear" w:color="auto" w:fill="auto"/>
            <w:noWrap/>
            <w:hideMark/>
          </w:tcPr>
          <w:p w14:paraId="6F40EB8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57</w:t>
            </w:r>
          </w:p>
        </w:tc>
        <w:tc>
          <w:tcPr>
            <w:tcW w:w="1100" w:type="dxa"/>
            <w:tcBorders>
              <w:top w:val="nil"/>
              <w:left w:val="nil"/>
              <w:bottom w:val="nil"/>
              <w:right w:val="nil"/>
            </w:tcBorders>
            <w:shd w:val="clear" w:color="auto" w:fill="auto"/>
            <w:hideMark/>
          </w:tcPr>
          <w:p w14:paraId="28988ED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80,374</w:t>
            </w:r>
          </w:p>
        </w:tc>
      </w:tr>
      <w:tr w:rsidR="001C5319" w:rsidRPr="001C5319" w14:paraId="37310B6F" w14:textId="77777777" w:rsidTr="001C5319">
        <w:trPr>
          <w:trHeight w:val="345"/>
        </w:trPr>
        <w:tc>
          <w:tcPr>
            <w:tcW w:w="2860" w:type="dxa"/>
            <w:tcBorders>
              <w:top w:val="nil"/>
              <w:left w:val="nil"/>
              <w:bottom w:val="nil"/>
              <w:right w:val="nil"/>
            </w:tcBorders>
            <w:shd w:val="clear" w:color="auto" w:fill="auto"/>
            <w:hideMark/>
          </w:tcPr>
          <w:p w14:paraId="35BB2BD4"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Infrastructure and Platforms</w:t>
            </w:r>
          </w:p>
        </w:tc>
        <w:tc>
          <w:tcPr>
            <w:tcW w:w="1100" w:type="dxa"/>
            <w:tcBorders>
              <w:top w:val="nil"/>
              <w:left w:val="nil"/>
              <w:bottom w:val="nil"/>
              <w:right w:val="single" w:sz="4" w:space="0" w:color="BFBFBF"/>
            </w:tcBorders>
            <w:shd w:val="clear" w:color="auto" w:fill="auto"/>
            <w:noWrap/>
            <w:hideMark/>
          </w:tcPr>
          <w:p w14:paraId="688D420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707</w:t>
            </w:r>
          </w:p>
        </w:tc>
        <w:tc>
          <w:tcPr>
            <w:tcW w:w="1100" w:type="dxa"/>
            <w:tcBorders>
              <w:top w:val="nil"/>
              <w:left w:val="nil"/>
              <w:bottom w:val="nil"/>
              <w:right w:val="single" w:sz="4" w:space="0" w:color="BFBFBF"/>
            </w:tcBorders>
            <w:shd w:val="clear" w:color="auto" w:fill="auto"/>
            <w:noWrap/>
            <w:hideMark/>
          </w:tcPr>
          <w:p w14:paraId="0E2BC4FE"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32,980</w:t>
            </w:r>
          </w:p>
        </w:tc>
        <w:tc>
          <w:tcPr>
            <w:tcW w:w="1100" w:type="dxa"/>
            <w:tcBorders>
              <w:top w:val="nil"/>
              <w:left w:val="nil"/>
              <w:bottom w:val="nil"/>
              <w:right w:val="single" w:sz="4" w:space="0" w:color="BFBFBF"/>
            </w:tcBorders>
            <w:shd w:val="clear" w:color="auto" w:fill="auto"/>
            <w:noWrap/>
            <w:hideMark/>
          </w:tcPr>
          <w:p w14:paraId="4030F6B3"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7,039</w:t>
            </w:r>
          </w:p>
        </w:tc>
        <w:tc>
          <w:tcPr>
            <w:tcW w:w="1100" w:type="dxa"/>
            <w:tcBorders>
              <w:top w:val="nil"/>
              <w:left w:val="nil"/>
              <w:bottom w:val="nil"/>
              <w:right w:val="single" w:sz="4" w:space="0" w:color="BFBFBF"/>
            </w:tcBorders>
            <w:shd w:val="clear" w:color="auto" w:fill="auto"/>
            <w:noWrap/>
            <w:hideMark/>
          </w:tcPr>
          <w:p w14:paraId="3175143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1,084</w:t>
            </w:r>
          </w:p>
        </w:tc>
        <w:tc>
          <w:tcPr>
            <w:tcW w:w="1100" w:type="dxa"/>
            <w:tcBorders>
              <w:top w:val="nil"/>
              <w:left w:val="nil"/>
              <w:bottom w:val="nil"/>
              <w:right w:val="single" w:sz="4" w:space="0" w:color="BFBFBF"/>
            </w:tcBorders>
            <w:shd w:val="clear" w:color="auto" w:fill="auto"/>
            <w:noWrap/>
            <w:hideMark/>
          </w:tcPr>
          <w:p w14:paraId="7396082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nil"/>
            </w:tcBorders>
            <w:shd w:val="clear" w:color="auto" w:fill="auto"/>
            <w:noWrap/>
            <w:hideMark/>
          </w:tcPr>
          <w:p w14:paraId="5DC3AF83"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41,810</w:t>
            </w:r>
          </w:p>
        </w:tc>
      </w:tr>
      <w:tr w:rsidR="001C5319" w:rsidRPr="001C5319" w14:paraId="58320299" w14:textId="77777777" w:rsidTr="001C5319">
        <w:trPr>
          <w:trHeight w:val="345"/>
        </w:trPr>
        <w:tc>
          <w:tcPr>
            <w:tcW w:w="2860" w:type="dxa"/>
            <w:tcBorders>
              <w:top w:val="nil"/>
              <w:left w:val="nil"/>
              <w:bottom w:val="nil"/>
              <w:right w:val="nil"/>
            </w:tcBorders>
            <w:shd w:val="clear" w:color="auto" w:fill="auto"/>
            <w:hideMark/>
          </w:tcPr>
          <w:p w14:paraId="6F9068CE"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Global Challenges and Partnerships</w:t>
            </w:r>
          </w:p>
        </w:tc>
        <w:tc>
          <w:tcPr>
            <w:tcW w:w="1100" w:type="dxa"/>
            <w:tcBorders>
              <w:top w:val="nil"/>
              <w:left w:val="nil"/>
              <w:bottom w:val="nil"/>
              <w:right w:val="single" w:sz="4" w:space="0" w:color="BFBFBF"/>
            </w:tcBorders>
            <w:shd w:val="clear" w:color="auto" w:fill="auto"/>
            <w:noWrap/>
            <w:hideMark/>
          </w:tcPr>
          <w:p w14:paraId="12118B9E"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8,762</w:t>
            </w:r>
          </w:p>
        </w:tc>
        <w:tc>
          <w:tcPr>
            <w:tcW w:w="1100" w:type="dxa"/>
            <w:tcBorders>
              <w:top w:val="nil"/>
              <w:left w:val="nil"/>
              <w:bottom w:val="nil"/>
              <w:right w:val="single" w:sz="4" w:space="0" w:color="BFBFBF"/>
            </w:tcBorders>
            <w:shd w:val="clear" w:color="auto" w:fill="auto"/>
            <w:noWrap/>
            <w:hideMark/>
          </w:tcPr>
          <w:p w14:paraId="4625EBB6"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18,787</w:t>
            </w:r>
          </w:p>
        </w:tc>
        <w:tc>
          <w:tcPr>
            <w:tcW w:w="1100" w:type="dxa"/>
            <w:tcBorders>
              <w:top w:val="nil"/>
              <w:left w:val="nil"/>
              <w:bottom w:val="nil"/>
              <w:right w:val="single" w:sz="4" w:space="0" w:color="BFBFBF"/>
            </w:tcBorders>
            <w:shd w:val="clear" w:color="auto" w:fill="auto"/>
            <w:noWrap/>
            <w:hideMark/>
          </w:tcPr>
          <w:p w14:paraId="37D0919D"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1,733</w:t>
            </w:r>
          </w:p>
        </w:tc>
        <w:tc>
          <w:tcPr>
            <w:tcW w:w="1100" w:type="dxa"/>
            <w:tcBorders>
              <w:top w:val="nil"/>
              <w:left w:val="nil"/>
              <w:bottom w:val="nil"/>
              <w:right w:val="single" w:sz="4" w:space="0" w:color="BFBFBF"/>
            </w:tcBorders>
            <w:shd w:val="clear" w:color="auto" w:fill="auto"/>
            <w:noWrap/>
            <w:hideMark/>
          </w:tcPr>
          <w:p w14:paraId="576F0E79"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single" w:sz="4" w:space="0" w:color="BFBFBF"/>
            </w:tcBorders>
            <w:shd w:val="clear" w:color="auto" w:fill="auto"/>
            <w:noWrap/>
            <w:hideMark/>
          </w:tcPr>
          <w:p w14:paraId="5A8B1B03"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nil"/>
            </w:tcBorders>
            <w:shd w:val="clear" w:color="auto" w:fill="auto"/>
            <w:noWrap/>
            <w:hideMark/>
          </w:tcPr>
          <w:p w14:paraId="259820E0"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29,281</w:t>
            </w:r>
          </w:p>
        </w:tc>
      </w:tr>
      <w:tr w:rsidR="001C5319" w:rsidRPr="001C5319" w14:paraId="349190BA" w14:textId="77777777" w:rsidTr="001C5319">
        <w:trPr>
          <w:trHeight w:val="345"/>
        </w:trPr>
        <w:tc>
          <w:tcPr>
            <w:tcW w:w="2860" w:type="dxa"/>
            <w:tcBorders>
              <w:top w:val="nil"/>
              <w:left w:val="nil"/>
              <w:bottom w:val="nil"/>
              <w:right w:val="nil"/>
            </w:tcBorders>
            <w:shd w:val="clear" w:color="auto" w:fill="auto"/>
            <w:hideMark/>
          </w:tcPr>
          <w:p w14:paraId="119A7D87"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IP and Innovation Ecosystems</w:t>
            </w:r>
          </w:p>
        </w:tc>
        <w:tc>
          <w:tcPr>
            <w:tcW w:w="1100" w:type="dxa"/>
            <w:tcBorders>
              <w:top w:val="nil"/>
              <w:left w:val="nil"/>
              <w:bottom w:val="nil"/>
              <w:right w:val="single" w:sz="4" w:space="0" w:color="BFBFBF"/>
            </w:tcBorders>
            <w:shd w:val="clear" w:color="auto" w:fill="auto"/>
            <w:noWrap/>
            <w:hideMark/>
          </w:tcPr>
          <w:p w14:paraId="6ECE64A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2,804</w:t>
            </w:r>
          </w:p>
        </w:tc>
        <w:tc>
          <w:tcPr>
            <w:tcW w:w="1100" w:type="dxa"/>
            <w:tcBorders>
              <w:top w:val="nil"/>
              <w:left w:val="nil"/>
              <w:bottom w:val="nil"/>
              <w:right w:val="single" w:sz="4" w:space="0" w:color="BFBFBF"/>
            </w:tcBorders>
            <w:shd w:val="clear" w:color="auto" w:fill="auto"/>
            <w:noWrap/>
            <w:hideMark/>
          </w:tcPr>
          <w:p w14:paraId="7EF7645A"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34,868</w:t>
            </w:r>
          </w:p>
        </w:tc>
        <w:tc>
          <w:tcPr>
            <w:tcW w:w="1100" w:type="dxa"/>
            <w:tcBorders>
              <w:top w:val="nil"/>
              <w:left w:val="nil"/>
              <w:bottom w:val="nil"/>
              <w:right w:val="single" w:sz="4" w:space="0" w:color="BFBFBF"/>
            </w:tcBorders>
            <w:shd w:val="clear" w:color="auto" w:fill="auto"/>
            <w:noWrap/>
            <w:hideMark/>
          </w:tcPr>
          <w:p w14:paraId="73D1D83D"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10,138</w:t>
            </w:r>
          </w:p>
        </w:tc>
        <w:tc>
          <w:tcPr>
            <w:tcW w:w="1100" w:type="dxa"/>
            <w:tcBorders>
              <w:top w:val="nil"/>
              <w:left w:val="nil"/>
              <w:bottom w:val="nil"/>
              <w:right w:val="single" w:sz="4" w:space="0" w:color="BFBFBF"/>
            </w:tcBorders>
            <w:shd w:val="clear" w:color="auto" w:fill="auto"/>
            <w:noWrap/>
            <w:hideMark/>
          </w:tcPr>
          <w:p w14:paraId="54618CA0"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2,960</w:t>
            </w:r>
          </w:p>
        </w:tc>
        <w:tc>
          <w:tcPr>
            <w:tcW w:w="1100" w:type="dxa"/>
            <w:tcBorders>
              <w:top w:val="nil"/>
              <w:left w:val="nil"/>
              <w:bottom w:val="nil"/>
              <w:right w:val="single" w:sz="4" w:space="0" w:color="BFBFBF"/>
            </w:tcBorders>
            <w:shd w:val="clear" w:color="auto" w:fill="auto"/>
            <w:noWrap/>
            <w:hideMark/>
          </w:tcPr>
          <w:p w14:paraId="3D5CC8B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w:t>
            </w:r>
          </w:p>
        </w:tc>
        <w:tc>
          <w:tcPr>
            <w:tcW w:w="1100" w:type="dxa"/>
            <w:tcBorders>
              <w:top w:val="nil"/>
              <w:left w:val="nil"/>
              <w:bottom w:val="nil"/>
              <w:right w:val="nil"/>
            </w:tcBorders>
            <w:shd w:val="clear" w:color="auto" w:fill="auto"/>
            <w:noWrap/>
            <w:hideMark/>
          </w:tcPr>
          <w:p w14:paraId="2B8BFDBA"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50,771</w:t>
            </w:r>
          </w:p>
        </w:tc>
      </w:tr>
      <w:tr w:rsidR="001C5319" w:rsidRPr="001C5319" w14:paraId="1687A82D" w14:textId="77777777" w:rsidTr="001C5319">
        <w:trPr>
          <w:trHeight w:val="345"/>
        </w:trPr>
        <w:tc>
          <w:tcPr>
            <w:tcW w:w="2860" w:type="dxa"/>
            <w:tcBorders>
              <w:top w:val="nil"/>
              <w:left w:val="nil"/>
              <w:bottom w:val="nil"/>
              <w:right w:val="nil"/>
            </w:tcBorders>
            <w:shd w:val="clear" w:color="auto" w:fill="auto"/>
            <w:hideMark/>
          </w:tcPr>
          <w:p w14:paraId="4F6A0656"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Administration, Finance and Management</w:t>
            </w:r>
          </w:p>
        </w:tc>
        <w:tc>
          <w:tcPr>
            <w:tcW w:w="1100" w:type="dxa"/>
            <w:tcBorders>
              <w:top w:val="nil"/>
              <w:left w:val="nil"/>
              <w:bottom w:val="nil"/>
              <w:right w:val="single" w:sz="4" w:space="0" w:color="BFBFBF"/>
            </w:tcBorders>
            <w:shd w:val="clear" w:color="auto" w:fill="auto"/>
            <w:noWrap/>
            <w:hideMark/>
          </w:tcPr>
          <w:p w14:paraId="3181F81F"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14,435</w:t>
            </w:r>
          </w:p>
        </w:tc>
        <w:tc>
          <w:tcPr>
            <w:tcW w:w="1100" w:type="dxa"/>
            <w:tcBorders>
              <w:top w:val="nil"/>
              <w:left w:val="nil"/>
              <w:bottom w:val="nil"/>
              <w:right w:val="single" w:sz="4" w:space="0" w:color="BFBFBF"/>
            </w:tcBorders>
            <w:shd w:val="clear" w:color="auto" w:fill="auto"/>
            <w:noWrap/>
            <w:hideMark/>
          </w:tcPr>
          <w:p w14:paraId="62187FC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213,749</w:t>
            </w:r>
          </w:p>
        </w:tc>
        <w:tc>
          <w:tcPr>
            <w:tcW w:w="1100" w:type="dxa"/>
            <w:tcBorders>
              <w:top w:val="nil"/>
              <w:left w:val="nil"/>
              <w:bottom w:val="nil"/>
              <w:right w:val="single" w:sz="4" w:space="0" w:color="BFBFBF"/>
            </w:tcBorders>
            <w:shd w:val="clear" w:color="auto" w:fill="auto"/>
            <w:noWrap/>
            <w:hideMark/>
          </w:tcPr>
          <w:p w14:paraId="60EB9A56"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69,792</w:t>
            </w:r>
          </w:p>
        </w:tc>
        <w:tc>
          <w:tcPr>
            <w:tcW w:w="1100" w:type="dxa"/>
            <w:tcBorders>
              <w:top w:val="nil"/>
              <w:left w:val="nil"/>
              <w:bottom w:val="nil"/>
              <w:right w:val="single" w:sz="4" w:space="0" w:color="BFBFBF"/>
            </w:tcBorders>
            <w:shd w:val="clear" w:color="auto" w:fill="auto"/>
            <w:noWrap/>
            <w:hideMark/>
          </w:tcPr>
          <w:p w14:paraId="498CBE4B"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16,841</w:t>
            </w:r>
          </w:p>
        </w:tc>
        <w:tc>
          <w:tcPr>
            <w:tcW w:w="1100" w:type="dxa"/>
            <w:tcBorders>
              <w:top w:val="nil"/>
              <w:left w:val="nil"/>
              <w:bottom w:val="nil"/>
              <w:right w:val="single" w:sz="4" w:space="0" w:color="BFBFBF"/>
            </w:tcBorders>
            <w:shd w:val="clear" w:color="auto" w:fill="auto"/>
            <w:noWrap/>
            <w:hideMark/>
          </w:tcPr>
          <w:p w14:paraId="376D100C"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1,047</w:t>
            </w:r>
          </w:p>
        </w:tc>
        <w:tc>
          <w:tcPr>
            <w:tcW w:w="1100" w:type="dxa"/>
            <w:tcBorders>
              <w:top w:val="nil"/>
              <w:left w:val="nil"/>
              <w:bottom w:val="nil"/>
              <w:right w:val="nil"/>
            </w:tcBorders>
            <w:shd w:val="clear" w:color="auto" w:fill="auto"/>
            <w:hideMark/>
          </w:tcPr>
          <w:p w14:paraId="6E0D7D2A"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315,863</w:t>
            </w:r>
          </w:p>
        </w:tc>
      </w:tr>
      <w:tr w:rsidR="001C5319" w:rsidRPr="001C5319" w14:paraId="6105D9FD" w14:textId="77777777" w:rsidTr="001C5319">
        <w:trPr>
          <w:trHeight w:val="345"/>
        </w:trPr>
        <w:tc>
          <w:tcPr>
            <w:tcW w:w="2860" w:type="dxa"/>
            <w:tcBorders>
              <w:top w:val="nil"/>
              <w:left w:val="nil"/>
              <w:bottom w:val="single" w:sz="4" w:space="0" w:color="BFBFBF"/>
              <w:right w:val="nil"/>
            </w:tcBorders>
            <w:shd w:val="clear" w:color="auto" w:fill="auto"/>
            <w:hideMark/>
          </w:tcPr>
          <w:p w14:paraId="6D4B79D2" w14:textId="77777777" w:rsidR="001C5319" w:rsidRPr="001C5319" w:rsidRDefault="001C5319" w:rsidP="001C5319">
            <w:pPr>
              <w:spacing w:after="0" w:line="240" w:lineRule="auto"/>
              <w:rPr>
                <w:rFonts w:ascii="Arial Narrow" w:eastAsia="Times New Roman" w:hAnsi="Arial Narrow" w:cs="Times New Roman"/>
                <w:color w:val="000000"/>
                <w:sz w:val="16"/>
                <w:szCs w:val="16"/>
                <w:lang w:val="en-US"/>
              </w:rPr>
            </w:pPr>
            <w:r w:rsidRPr="001C5319">
              <w:rPr>
                <w:rFonts w:ascii="Arial Narrow" w:eastAsia="Times New Roman" w:hAnsi="Arial Narrow" w:cs="Times New Roman"/>
                <w:color w:val="000000"/>
                <w:sz w:val="16"/>
                <w:szCs w:val="16"/>
                <w:lang w:val="en-US"/>
              </w:rPr>
              <w:t>Unallocated</w:t>
            </w:r>
          </w:p>
        </w:tc>
        <w:tc>
          <w:tcPr>
            <w:tcW w:w="1100" w:type="dxa"/>
            <w:tcBorders>
              <w:top w:val="nil"/>
              <w:left w:val="nil"/>
              <w:bottom w:val="single" w:sz="4" w:space="0" w:color="BFBFBF"/>
              <w:right w:val="single" w:sz="4" w:space="0" w:color="BFBFBF"/>
            </w:tcBorders>
            <w:shd w:val="clear" w:color="auto" w:fill="auto"/>
            <w:noWrap/>
            <w:hideMark/>
          </w:tcPr>
          <w:p w14:paraId="038D6554"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439</w:t>
            </w:r>
          </w:p>
        </w:tc>
        <w:tc>
          <w:tcPr>
            <w:tcW w:w="1100" w:type="dxa"/>
            <w:tcBorders>
              <w:top w:val="nil"/>
              <w:left w:val="nil"/>
              <w:bottom w:val="single" w:sz="4" w:space="0" w:color="BFBFBF"/>
              <w:right w:val="single" w:sz="4" w:space="0" w:color="BFBFBF"/>
            </w:tcBorders>
            <w:shd w:val="clear" w:color="auto" w:fill="auto"/>
            <w:noWrap/>
            <w:hideMark/>
          </w:tcPr>
          <w:p w14:paraId="6274FAB1"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5,502</w:t>
            </w:r>
          </w:p>
        </w:tc>
        <w:tc>
          <w:tcPr>
            <w:tcW w:w="1100" w:type="dxa"/>
            <w:tcBorders>
              <w:top w:val="nil"/>
              <w:left w:val="nil"/>
              <w:bottom w:val="single" w:sz="4" w:space="0" w:color="BFBFBF"/>
              <w:right w:val="single" w:sz="4" w:space="0" w:color="BFBFBF"/>
            </w:tcBorders>
            <w:shd w:val="clear" w:color="auto" w:fill="auto"/>
            <w:noWrap/>
            <w:hideMark/>
          </w:tcPr>
          <w:p w14:paraId="3CC23477"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1,748</w:t>
            </w:r>
          </w:p>
        </w:tc>
        <w:tc>
          <w:tcPr>
            <w:tcW w:w="1100" w:type="dxa"/>
            <w:tcBorders>
              <w:top w:val="nil"/>
              <w:left w:val="nil"/>
              <w:bottom w:val="single" w:sz="4" w:space="0" w:color="BFBFBF"/>
              <w:right w:val="single" w:sz="4" w:space="0" w:color="BFBFBF"/>
            </w:tcBorders>
            <w:shd w:val="clear" w:color="auto" w:fill="auto"/>
            <w:noWrap/>
            <w:hideMark/>
          </w:tcPr>
          <w:p w14:paraId="01637CBF"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450</w:t>
            </w:r>
          </w:p>
        </w:tc>
        <w:tc>
          <w:tcPr>
            <w:tcW w:w="1100" w:type="dxa"/>
            <w:tcBorders>
              <w:top w:val="nil"/>
              <w:left w:val="nil"/>
              <w:bottom w:val="single" w:sz="4" w:space="0" w:color="BFBFBF"/>
              <w:right w:val="single" w:sz="4" w:space="0" w:color="BFBFBF"/>
            </w:tcBorders>
            <w:shd w:val="clear" w:color="auto" w:fill="auto"/>
            <w:noWrap/>
            <w:hideMark/>
          </w:tcPr>
          <w:p w14:paraId="60B551C0"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31</w:t>
            </w:r>
          </w:p>
        </w:tc>
        <w:tc>
          <w:tcPr>
            <w:tcW w:w="1100" w:type="dxa"/>
            <w:tcBorders>
              <w:top w:val="nil"/>
              <w:left w:val="nil"/>
              <w:bottom w:val="single" w:sz="4" w:space="0" w:color="BFBFBF"/>
              <w:right w:val="nil"/>
            </w:tcBorders>
            <w:shd w:val="clear" w:color="auto" w:fill="auto"/>
            <w:noWrap/>
            <w:hideMark/>
          </w:tcPr>
          <w:p w14:paraId="270E0C98" w14:textId="77777777" w:rsidR="001C5319" w:rsidRPr="001C5319" w:rsidRDefault="001C5319" w:rsidP="001C5319">
            <w:pPr>
              <w:spacing w:after="0" w:line="240" w:lineRule="auto"/>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8,171</w:t>
            </w:r>
          </w:p>
        </w:tc>
      </w:tr>
      <w:tr w:rsidR="001C5319" w:rsidRPr="001C5319" w14:paraId="41B67979" w14:textId="77777777" w:rsidTr="001C5319">
        <w:trPr>
          <w:trHeight w:val="345"/>
        </w:trPr>
        <w:tc>
          <w:tcPr>
            <w:tcW w:w="2860" w:type="dxa"/>
            <w:tcBorders>
              <w:top w:val="nil"/>
              <w:left w:val="nil"/>
              <w:bottom w:val="single" w:sz="8" w:space="0" w:color="A6A6A6"/>
              <w:right w:val="nil"/>
            </w:tcBorders>
            <w:shd w:val="clear" w:color="auto" w:fill="auto"/>
            <w:vAlign w:val="center"/>
            <w:hideMark/>
          </w:tcPr>
          <w:p w14:paraId="3888B6A5" w14:textId="77777777" w:rsidR="001C5319" w:rsidRPr="001C5319" w:rsidRDefault="001C5319" w:rsidP="001C5319">
            <w:pPr>
              <w:spacing w:after="0" w:line="240" w:lineRule="auto"/>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TOTAL </w:t>
            </w:r>
          </w:p>
        </w:tc>
        <w:tc>
          <w:tcPr>
            <w:tcW w:w="1100" w:type="dxa"/>
            <w:tcBorders>
              <w:top w:val="nil"/>
              <w:left w:val="nil"/>
              <w:bottom w:val="single" w:sz="8" w:space="0" w:color="A6A6A6"/>
              <w:right w:val="single" w:sz="4" w:space="0" w:color="BFBFBF"/>
            </w:tcBorders>
            <w:shd w:val="clear" w:color="auto" w:fill="auto"/>
            <w:vAlign w:val="center"/>
            <w:hideMark/>
          </w:tcPr>
          <w:p w14:paraId="6FD3BBD1"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51,463 </w:t>
            </w:r>
          </w:p>
        </w:tc>
        <w:tc>
          <w:tcPr>
            <w:tcW w:w="1100" w:type="dxa"/>
            <w:tcBorders>
              <w:top w:val="nil"/>
              <w:left w:val="nil"/>
              <w:bottom w:val="single" w:sz="8" w:space="0" w:color="A6A6A6"/>
              <w:right w:val="single" w:sz="4" w:space="0" w:color="BFBFBF"/>
            </w:tcBorders>
            <w:shd w:val="clear" w:color="auto" w:fill="auto"/>
            <w:vAlign w:val="center"/>
            <w:hideMark/>
          </w:tcPr>
          <w:p w14:paraId="28D94600"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604,702 </w:t>
            </w:r>
          </w:p>
        </w:tc>
        <w:tc>
          <w:tcPr>
            <w:tcW w:w="1100" w:type="dxa"/>
            <w:tcBorders>
              <w:top w:val="nil"/>
              <w:left w:val="nil"/>
              <w:bottom w:val="single" w:sz="8" w:space="0" w:color="A6A6A6"/>
              <w:right w:val="single" w:sz="4" w:space="0" w:color="BFBFBF"/>
            </w:tcBorders>
            <w:shd w:val="clear" w:color="auto" w:fill="auto"/>
            <w:vAlign w:val="center"/>
            <w:hideMark/>
          </w:tcPr>
          <w:p w14:paraId="325F3841"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159,627 </w:t>
            </w:r>
          </w:p>
        </w:tc>
        <w:tc>
          <w:tcPr>
            <w:tcW w:w="1100" w:type="dxa"/>
            <w:tcBorders>
              <w:top w:val="nil"/>
              <w:left w:val="nil"/>
              <w:bottom w:val="single" w:sz="8" w:space="0" w:color="A6A6A6"/>
              <w:right w:val="single" w:sz="4" w:space="0" w:color="BFBFBF"/>
            </w:tcBorders>
            <w:shd w:val="clear" w:color="auto" w:fill="auto"/>
            <w:vAlign w:val="center"/>
            <w:hideMark/>
          </w:tcPr>
          <w:p w14:paraId="09FDEFAE"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38,205 </w:t>
            </w:r>
          </w:p>
        </w:tc>
        <w:tc>
          <w:tcPr>
            <w:tcW w:w="1100" w:type="dxa"/>
            <w:tcBorders>
              <w:top w:val="nil"/>
              <w:left w:val="nil"/>
              <w:bottom w:val="single" w:sz="8" w:space="0" w:color="A6A6A6"/>
              <w:right w:val="single" w:sz="4" w:space="0" w:color="BFBFBF"/>
            </w:tcBorders>
            <w:shd w:val="clear" w:color="auto" w:fill="auto"/>
            <w:vAlign w:val="center"/>
            <w:hideMark/>
          </w:tcPr>
          <w:p w14:paraId="6DE0A66C"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3,302 </w:t>
            </w:r>
          </w:p>
        </w:tc>
        <w:tc>
          <w:tcPr>
            <w:tcW w:w="1100" w:type="dxa"/>
            <w:tcBorders>
              <w:top w:val="nil"/>
              <w:left w:val="nil"/>
              <w:bottom w:val="single" w:sz="8" w:space="0" w:color="A6A6A6"/>
              <w:right w:val="nil"/>
            </w:tcBorders>
            <w:shd w:val="clear" w:color="auto" w:fill="auto"/>
            <w:vAlign w:val="center"/>
            <w:hideMark/>
          </w:tcPr>
          <w:p w14:paraId="5E5D709F" w14:textId="77777777" w:rsidR="001C5319" w:rsidRPr="001C5319" w:rsidRDefault="001C5319" w:rsidP="001C5319">
            <w:pPr>
              <w:spacing w:after="0" w:line="240" w:lineRule="auto"/>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          857,300 </w:t>
            </w:r>
          </w:p>
        </w:tc>
      </w:tr>
    </w:tbl>
    <w:p w14:paraId="38FBF8BE" w14:textId="77777777" w:rsidR="001C5319" w:rsidRDefault="001C5319" w:rsidP="008D4A20">
      <w:pPr>
        <w:keepNext/>
        <w:keepLines/>
        <w:spacing w:after="0" w:line="240" w:lineRule="auto"/>
        <w:jc w:val="center"/>
        <w:rPr>
          <w:rFonts w:eastAsia="Calibri" w:cs="Times New Roman"/>
          <w:i/>
          <w:sz w:val="16"/>
          <w:lang w:val="en-US"/>
        </w:rPr>
      </w:pPr>
    </w:p>
    <w:p w14:paraId="42FEFE43" w14:textId="47FA5605" w:rsidR="008D4A20" w:rsidRDefault="008D4A20" w:rsidP="008D4A20">
      <w:pPr>
        <w:keepNext/>
        <w:keepLines/>
        <w:spacing w:after="0" w:line="240" w:lineRule="auto"/>
        <w:jc w:val="center"/>
        <w:rPr>
          <w:rFonts w:eastAsia="Calibri" w:cs="Times New Roman"/>
          <w:i/>
          <w:sz w:val="16"/>
          <w:lang w:val="en-US"/>
        </w:rPr>
      </w:pPr>
    </w:p>
    <w:p w14:paraId="4B6D1DBE" w14:textId="77777777" w:rsidR="008D4A20" w:rsidRDefault="008D4A20" w:rsidP="008D4A20">
      <w:pPr>
        <w:keepNext/>
        <w:keepLines/>
        <w:spacing w:after="0" w:line="240" w:lineRule="auto"/>
        <w:jc w:val="center"/>
        <w:rPr>
          <w:rFonts w:eastAsia="Calibri" w:cs="Times New Roman"/>
          <w:i/>
          <w:sz w:val="16"/>
          <w:lang w:val="en-US"/>
        </w:rPr>
      </w:pPr>
    </w:p>
    <w:p w14:paraId="30443EF0" w14:textId="52507C7C" w:rsidR="00F073CE" w:rsidRDefault="00F073CE" w:rsidP="00AB028D">
      <w:pPr>
        <w:rPr>
          <w:lang w:val="en-US"/>
        </w:rPr>
      </w:pPr>
    </w:p>
    <w:p w14:paraId="598D48F0" w14:textId="77777777" w:rsidR="00636CE6" w:rsidRDefault="00F073CE">
      <w:pPr>
        <w:spacing w:after="200" w:line="276" w:lineRule="auto"/>
        <w:rPr>
          <w:lang w:val="en-US"/>
        </w:rPr>
        <w:sectPr w:rsidR="00636CE6" w:rsidSect="00333041">
          <w:headerReference w:type="default" r:id="rId74"/>
          <w:footerReference w:type="default" r:id="rId75"/>
          <w:headerReference w:type="first" r:id="rId76"/>
          <w:footerReference w:type="first" r:id="rId77"/>
          <w:pgSz w:w="11906" w:h="16838"/>
          <w:pgMar w:top="1361" w:right="1134" w:bottom="1080" w:left="1134" w:header="567" w:footer="432" w:gutter="0"/>
          <w:cols w:space="708"/>
          <w:titlePg/>
          <w:docGrid w:linePitch="360"/>
        </w:sectPr>
      </w:pPr>
      <w:r>
        <w:rPr>
          <w:lang w:val="en-US"/>
        </w:rPr>
        <w:br w:type="page"/>
      </w:r>
    </w:p>
    <w:p w14:paraId="686B89A2" w14:textId="77508001" w:rsidR="00D44297" w:rsidRPr="003933F4" w:rsidRDefault="00D44297" w:rsidP="008407D7">
      <w:pPr>
        <w:pStyle w:val="AnnexTitle2"/>
        <w:numPr>
          <w:ilvl w:val="0"/>
          <w:numId w:val="18"/>
        </w:numPr>
        <w:rPr>
          <w:vanish/>
          <w:lang w:val="en-US"/>
        </w:rPr>
      </w:pPr>
      <w:bookmarkStart w:id="37" w:name="_Toc131175996"/>
      <w:r w:rsidRPr="003933F4">
        <w:rPr>
          <w:lang w:val="en-US"/>
        </w:rPr>
        <w:t>Evolution and Demand for Services under the PCT, Madrid and the Hague Systems in the Medium Term</w:t>
      </w:r>
      <w:bookmarkEnd w:id="37"/>
    </w:p>
    <w:p w14:paraId="304AFA52" w14:textId="08A1CA2C" w:rsidR="0074193F" w:rsidRDefault="007151FA" w:rsidP="007151FA">
      <w:r>
        <w:t xml:space="preserve"> </w:t>
      </w:r>
    </w:p>
    <w:p w14:paraId="2C1A309F" w14:textId="77777777" w:rsidR="00257BA3" w:rsidRPr="005039DA" w:rsidRDefault="00257BA3" w:rsidP="00257BA3">
      <w:pPr>
        <w:keepNext/>
        <w:spacing w:before="320" w:after="240"/>
        <w:outlineLvl w:val="2"/>
        <w:rPr>
          <w:color w:val="005172" w:themeColor="accent1"/>
          <w:sz w:val="32"/>
          <w:szCs w:val="32"/>
        </w:rPr>
      </w:pPr>
      <w:r w:rsidRPr="003F17AB">
        <w:rPr>
          <w:rFonts w:eastAsia="Arial"/>
          <w:color w:val="005172"/>
          <w:sz w:val="32"/>
        </w:rPr>
        <w:t>PCT</w:t>
      </w:r>
    </w:p>
    <w:p w14:paraId="03C81789" w14:textId="77777777" w:rsidR="00257BA3" w:rsidRPr="00D350B5" w:rsidRDefault="00257BA3" w:rsidP="008407D7">
      <w:pPr>
        <w:pStyle w:val="NormalNumb"/>
        <w:numPr>
          <w:ilvl w:val="4"/>
          <w:numId w:val="23"/>
        </w:numPr>
      </w:pPr>
      <w:r w:rsidRPr="00D350B5">
        <w:t xml:space="preserve">The level of PCT income is influenced by a variety of factors, including demand for PCT services and applicants’ filing behavior.  Demand for PCT services is in turn influenced by a number of factors that may be internal or external to the patent system.  External factors include:  performance of the economy globally, and in countries of the highest and fastest growing demand; research and development (R&amp;D) investment levels; technological confidence levels; and exchange rate fluctuations.  Internal factors include:  the level of PCT fees </w:t>
      </w:r>
      <w:r>
        <w:t xml:space="preserve">and </w:t>
      </w:r>
      <w:r w:rsidRPr="00D350B5">
        <w:t xml:space="preserve">the attractiveness and value of PCT services as compared to other filing routes; the overall credibility of </w:t>
      </w:r>
      <w:r>
        <w:t xml:space="preserve">the </w:t>
      </w:r>
      <w:r w:rsidRPr="00D350B5">
        <w:t>performance of the patent system; and individual corporate patent strategies.</w:t>
      </w:r>
    </w:p>
    <w:p w14:paraId="2E3B9918" w14:textId="77777777" w:rsidR="00257BA3" w:rsidRPr="00D350B5" w:rsidRDefault="00257BA3" w:rsidP="008407D7">
      <w:pPr>
        <w:pStyle w:val="NormalNumb"/>
        <w:numPr>
          <w:ilvl w:val="4"/>
          <w:numId w:val="23"/>
        </w:numPr>
      </w:pPr>
      <w:r w:rsidRPr="00D350B5">
        <w:t>Applicants’ behavior influences PCT income as follows:</w:t>
      </w:r>
    </w:p>
    <w:p w14:paraId="3F6CFBA5" w14:textId="77777777" w:rsidR="00257BA3" w:rsidRPr="00D350B5" w:rsidRDefault="00257BA3" w:rsidP="00257BA3">
      <w:pPr>
        <w:numPr>
          <w:ilvl w:val="3"/>
          <w:numId w:val="9"/>
        </w:numPr>
        <w:rPr>
          <w:rFonts w:eastAsia="Arial"/>
        </w:rPr>
      </w:pPr>
      <w:r w:rsidRPr="00D350B5">
        <w:rPr>
          <w:rFonts w:eastAsia="Arial"/>
          <w:b/>
        </w:rPr>
        <w:t>Page Fee</w:t>
      </w:r>
      <w:r w:rsidRPr="00D350B5">
        <w:rPr>
          <w:rFonts w:eastAsia="Arial"/>
        </w:rPr>
        <w:t>:  The International Bureau receives 15 Swiss francs for every page over 30 pages in a given application.</w:t>
      </w:r>
    </w:p>
    <w:p w14:paraId="52FEBF2F" w14:textId="77777777" w:rsidR="00257BA3" w:rsidRPr="00D350B5" w:rsidRDefault="00257BA3" w:rsidP="00257BA3">
      <w:pPr>
        <w:numPr>
          <w:ilvl w:val="3"/>
          <w:numId w:val="9"/>
        </w:numPr>
        <w:rPr>
          <w:rFonts w:eastAsia="Arial"/>
        </w:rPr>
      </w:pPr>
      <w:r w:rsidRPr="00D350B5">
        <w:rPr>
          <w:rFonts w:eastAsia="Arial"/>
          <w:b/>
        </w:rPr>
        <w:t>International Preliminary Examination</w:t>
      </w:r>
      <w:r w:rsidRPr="00D350B5">
        <w:rPr>
          <w:rFonts w:eastAsia="Arial"/>
        </w:rPr>
        <w:t>:  Applicants making use of international preliminary examination under Chapter II of the PCT must pay an additional fee (a “handling fee”).</w:t>
      </w:r>
    </w:p>
    <w:p w14:paraId="11F94A8A" w14:textId="77777777" w:rsidR="00257BA3" w:rsidRPr="00D350B5" w:rsidRDefault="00257BA3" w:rsidP="00257BA3">
      <w:pPr>
        <w:numPr>
          <w:ilvl w:val="3"/>
          <w:numId w:val="9"/>
        </w:numPr>
        <w:rPr>
          <w:rFonts w:eastAsia="Arial"/>
        </w:rPr>
      </w:pPr>
      <w:r w:rsidRPr="00D350B5">
        <w:rPr>
          <w:rFonts w:eastAsia="Arial"/>
          <w:b/>
        </w:rPr>
        <w:t>Electronic Filing</w:t>
      </w:r>
      <w:r w:rsidRPr="00D350B5">
        <w:rPr>
          <w:rFonts w:eastAsia="Arial"/>
        </w:rPr>
        <w:t>:  When applicants use electronic (instead of paper) filing they benefit from discounts.</w:t>
      </w:r>
    </w:p>
    <w:p w14:paraId="23AD4928" w14:textId="77777777" w:rsidR="00257BA3" w:rsidRPr="00D350B5" w:rsidRDefault="00257BA3" w:rsidP="00257BA3">
      <w:pPr>
        <w:numPr>
          <w:ilvl w:val="3"/>
          <w:numId w:val="9"/>
        </w:numPr>
        <w:rPr>
          <w:rFonts w:eastAsia="Arial"/>
        </w:rPr>
      </w:pPr>
      <w:r w:rsidRPr="00D350B5">
        <w:rPr>
          <w:rFonts w:eastAsia="Arial"/>
          <w:b/>
        </w:rPr>
        <w:t xml:space="preserve">International Bureau </w:t>
      </w:r>
      <w:r>
        <w:rPr>
          <w:rFonts w:eastAsia="Arial"/>
          <w:b/>
        </w:rPr>
        <w:t xml:space="preserve">(IB) </w:t>
      </w:r>
      <w:r w:rsidRPr="00D350B5">
        <w:rPr>
          <w:rFonts w:eastAsia="Arial"/>
          <w:b/>
        </w:rPr>
        <w:t>as receiving Office</w:t>
      </w:r>
      <w:r w:rsidRPr="00D350B5">
        <w:rPr>
          <w:rFonts w:eastAsia="Arial"/>
        </w:rPr>
        <w:t xml:space="preserve">:  Applicants who choose to file their application with the </w:t>
      </w:r>
      <w:r>
        <w:rPr>
          <w:rFonts w:eastAsia="Arial"/>
        </w:rPr>
        <w:t>IB</w:t>
      </w:r>
      <w:r w:rsidRPr="00D350B5">
        <w:rPr>
          <w:rFonts w:eastAsia="Arial"/>
        </w:rPr>
        <w:t xml:space="preserve"> acting as receiving Office (IB/RO) must pay a special fee (the “transmittal fee”).</w:t>
      </w:r>
    </w:p>
    <w:p w14:paraId="49DC3FC6" w14:textId="4139297A" w:rsidR="00257BA3" w:rsidRPr="00D350B5" w:rsidRDefault="00257BA3" w:rsidP="008407D7">
      <w:pPr>
        <w:pStyle w:val="NormalNumb"/>
        <w:numPr>
          <w:ilvl w:val="4"/>
          <w:numId w:val="23"/>
        </w:numPr>
      </w:pPr>
      <w:r w:rsidRPr="00D350B5">
        <w:t>The following paragraphs elaborate on current forecasts as regards the level of demand</w:t>
      </w:r>
      <w:r>
        <w:t>,</w:t>
      </w:r>
      <w:r w:rsidRPr="00D350B5">
        <w:t xml:space="preserve"> the expected level of Chapter II demands</w:t>
      </w:r>
      <w:r>
        <w:t>,</w:t>
      </w:r>
      <w:r w:rsidRPr="00D350B5">
        <w:t xml:space="preserve"> the expected level of electronic filings</w:t>
      </w:r>
      <w:r>
        <w:t>,</w:t>
      </w:r>
      <w:r w:rsidRPr="00D350B5">
        <w:t xml:space="preserve"> and the expected use of </w:t>
      </w:r>
      <w:r>
        <w:t xml:space="preserve">the </w:t>
      </w:r>
      <w:r w:rsidRPr="00D350B5">
        <w:t>IB/RO</w:t>
      </w:r>
      <w:r w:rsidR="00C85F36" w:rsidRPr="00D350B5">
        <w:rPr>
          <w:vertAlign w:val="superscript"/>
        </w:rPr>
        <w:footnoteReference w:id="19"/>
      </w:r>
      <w:r w:rsidRPr="00D350B5">
        <w:t>.</w:t>
      </w:r>
    </w:p>
    <w:p w14:paraId="21876A45" w14:textId="77777777" w:rsidR="00257BA3" w:rsidRPr="005039DA" w:rsidRDefault="00257BA3" w:rsidP="00257BA3">
      <w:pPr>
        <w:rPr>
          <w:rFonts w:ascii="Arial Bold" w:hAnsi="Arial Bold"/>
          <w:b/>
          <w:color w:val="005172" w:themeColor="accent1"/>
        </w:rPr>
      </w:pPr>
      <w:r w:rsidRPr="005039DA">
        <w:rPr>
          <w:rFonts w:ascii="Arial Bold" w:hAnsi="Arial Bold"/>
          <w:b/>
          <w:color w:val="005172" w:themeColor="accent1"/>
        </w:rPr>
        <w:t>PCT Filing Forecast (Demand)</w:t>
      </w:r>
    </w:p>
    <w:p w14:paraId="63049CA6" w14:textId="1D8663BD" w:rsidR="00257BA3" w:rsidRPr="00D350B5" w:rsidRDefault="00257BA3" w:rsidP="008407D7">
      <w:pPr>
        <w:pStyle w:val="NormalNumb"/>
        <w:numPr>
          <w:ilvl w:val="4"/>
          <w:numId w:val="23"/>
        </w:numPr>
      </w:pPr>
      <w:r w:rsidRPr="00D350B5">
        <w:t>PCT filings grew strongly in recent years.  Chart 1 shows the forecasted number of PCT applications for the years 20</w:t>
      </w:r>
      <w:r>
        <w:t>23</w:t>
      </w:r>
      <w:r w:rsidRPr="00D350B5">
        <w:t xml:space="preserve"> to 202</w:t>
      </w:r>
      <w:r>
        <w:t>5</w:t>
      </w:r>
      <w:r w:rsidRPr="00D350B5">
        <w:t xml:space="preserve"> (based on data at the end </w:t>
      </w:r>
      <w:r w:rsidRPr="003409CC">
        <w:t xml:space="preserve">of </w:t>
      </w:r>
      <w:r w:rsidR="00511ECB">
        <w:t>April</w:t>
      </w:r>
      <w:r>
        <w:t xml:space="preserve"> 2023</w:t>
      </w:r>
      <w:r w:rsidRPr="003409CC">
        <w:t xml:space="preserve">). </w:t>
      </w:r>
    </w:p>
    <w:p w14:paraId="42FA865D" w14:textId="77777777" w:rsidR="00257BA3" w:rsidRDefault="00257BA3" w:rsidP="00257BA3">
      <w:pPr>
        <w:pStyle w:val="ListParagraph"/>
        <w:keepNext/>
        <w:keepLines/>
        <w:spacing w:before="240" w:after="120"/>
        <w:ind w:left="680"/>
        <w:jc w:val="center"/>
        <w:rPr>
          <w:rFonts w:ascii="Arial" w:eastAsia="Arial" w:hAnsi="Arial"/>
          <w:b/>
          <w:color w:val="005172"/>
          <w:sz w:val="18"/>
        </w:rPr>
      </w:pPr>
      <w:r w:rsidRPr="003D7B01">
        <w:rPr>
          <w:rFonts w:ascii="Arial" w:eastAsia="Arial" w:hAnsi="Arial"/>
          <w:b/>
          <w:color w:val="005172"/>
          <w:sz w:val="18"/>
        </w:rPr>
        <w:t>Chart 1.  PCT Applications 20</w:t>
      </w:r>
      <w:r>
        <w:rPr>
          <w:rFonts w:ascii="Arial" w:eastAsia="Arial" w:hAnsi="Arial"/>
          <w:b/>
          <w:color w:val="005172"/>
          <w:sz w:val="18"/>
        </w:rPr>
        <w:t>20</w:t>
      </w:r>
      <w:r w:rsidRPr="003D7B01">
        <w:rPr>
          <w:rFonts w:ascii="Arial" w:eastAsia="Arial" w:hAnsi="Arial"/>
          <w:b/>
          <w:color w:val="005172"/>
          <w:sz w:val="18"/>
          <w:szCs w:val="20"/>
        </w:rPr>
        <w:t xml:space="preserve"> to </w:t>
      </w:r>
      <w:r w:rsidRPr="003D7B01">
        <w:rPr>
          <w:rFonts w:ascii="Arial" w:eastAsia="Arial" w:hAnsi="Arial"/>
          <w:b/>
          <w:color w:val="005172"/>
          <w:sz w:val="18"/>
        </w:rPr>
        <w:t>202</w:t>
      </w:r>
      <w:r>
        <w:rPr>
          <w:rFonts w:ascii="Arial" w:eastAsia="Arial" w:hAnsi="Arial"/>
          <w:b/>
          <w:color w:val="005172"/>
          <w:sz w:val="18"/>
        </w:rPr>
        <w:t>5</w:t>
      </w:r>
    </w:p>
    <w:p w14:paraId="20017381" w14:textId="1087B760" w:rsidR="00257BA3" w:rsidRDefault="00257BA3" w:rsidP="00257BA3">
      <w:pPr>
        <w:pStyle w:val="ListParagraph"/>
        <w:keepNext/>
        <w:keepLines/>
        <w:spacing w:before="240" w:after="120"/>
        <w:ind w:left="680"/>
        <w:jc w:val="center"/>
        <w:rPr>
          <w:rFonts w:ascii="Arial" w:eastAsia="Arial" w:hAnsi="Arial"/>
          <w:b/>
          <w:color w:val="005172"/>
          <w:sz w:val="18"/>
        </w:rPr>
      </w:pPr>
    </w:p>
    <w:p w14:paraId="41929027" w14:textId="463722E1" w:rsidR="00E35D9E" w:rsidRDefault="00E35D9E" w:rsidP="00E35D9E">
      <w:pPr>
        <w:pStyle w:val="ListParagraph"/>
        <w:keepNext/>
        <w:keepLines/>
        <w:spacing w:before="240" w:after="120"/>
        <w:ind w:left="0"/>
        <w:jc w:val="center"/>
        <w:rPr>
          <w:rFonts w:ascii="Arial" w:eastAsia="Arial" w:hAnsi="Arial"/>
          <w:b/>
          <w:color w:val="005172"/>
          <w:sz w:val="18"/>
        </w:rPr>
      </w:pPr>
      <w:r>
        <w:rPr>
          <w:noProof/>
          <w:lang w:eastAsia="en-US"/>
        </w:rPr>
        <w:drawing>
          <wp:inline distT="0" distB="0" distL="0" distR="0" wp14:anchorId="4C41EAFA" wp14:editId="6E7EEF4C">
            <wp:extent cx="4323542" cy="2532317"/>
            <wp:effectExtent l="0" t="0" r="1270" b="1905"/>
            <wp:docPr id="916" name="Chart 9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7CEF3932" w14:textId="77777777" w:rsidR="00E35D9E" w:rsidRPr="003D7B01" w:rsidRDefault="00E35D9E" w:rsidP="00257BA3">
      <w:pPr>
        <w:pStyle w:val="ListParagraph"/>
        <w:keepNext/>
        <w:keepLines/>
        <w:spacing w:before="240" w:after="120"/>
        <w:ind w:left="680"/>
        <w:jc w:val="center"/>
        <w:rPr>
          <w:rFonts w:ascii="Arial" w:eastAsia="Arial" w:hAnsi="Arial"/>
          <w:b/>
          <w:color w:val="005172"/>
          <w:sz w:val="18"/>
        </w:rPr>
      </w:pPr>
    </w:p>
    <w:p w14:paraId="1B1981B4" w14:textId="77777777" w:rsidR="00257BA3" w:rsidRDefault="00257BA3">
      <w:pPr>
        <w:spacing w:after="200" w:line="276" w:lineRule="auto"/>
        <w:rPr>
          <w:rFonts w:eastAsia="Arial"/>
        </w:rPr>
      </w:pPr>
      <w:r>
        <w:rPr>
          <w:rFonts w:eastAsia="Arial"/>
        </w:rPr>
        <w:br w:type="page"/>
      </w:r>
    </w:p>
    <w:tbl>
      <w:tblPr>
        <w:tblW w:w="5847" w:type="dxa"/>
        <w:jc w:val="center"/>
        <w:tblLook w:val="04A0" w:firstRow="1" w:lastRow="0" w:firstColumn="1" w:lastColumn="0" w:noHBand="0" w:noVBand="1"/>
      </w:tblPr>
      <w:tblGrid>
        <w:gridCol w:w="1230"/>
        <w:gridCol w:w="703"/>
        <w:gridCol w:w="703"/>
        <w:gridCol w:w="703"/>
        <w:gridCol w:w="836"/>
        <w:gridCol w:w="836"/>
        <w:gridCol w:w="836"/>
      </w:tblGrid>
      <w:tr w:rsidR="00257BA3" w:rsidRPr="00D350B5" w14:paraId="78EEFEB2" w14:textId="77777777" w:rsidTr="00A91805">
        <w:trPr>
          <w:trHeight w:hRule="exact" w:val="454"/>
          <w:jc w:val="center"/>
        </w:trPr>
        <w:tc>
          <w:tcPr>
            <w:tcW w:w="1230" w:type="dxa"/>
            <w:shd w:val="clear" w:color="auto" w:fill="C6CFD7" w:themeFill="accent3" w:themeFillTint="66"/>
            <w:noWrap/>
            <w:hideMark/>
          </w:tcPr>
          <w:p w14:paraId="3B8BD983" w14:textId="77777777" w:rsidR="00257BA3" w:rsidRPr="00D350B5" w:rsidRDefault="00257BA3" w:rsidP="00A91805">
            <w:pPr>
              <w:rPr>
                <w:rFonts w:ascii="Arial Narrow" w:hAnsi="Arial Narrow"/>
                <w:color w:val="000000"/>
                <w:sz w:val="16"/>
                <w:szCs w:val="16"/>
              </w:rPr>
            </w:pPr>
            <w:r w:rsidRPr="00D350B5">
              <w:rPr>
                <w:rFonts w:ascii="Arial Narrow" w:hAnsi="Arial Narrow"/>
                <w:color w:val="000000"/>
                <w:sz w:val="16"/>
                <w:szCs w:val="16"/>
              </w:rPr>
              <w:t> </w:t>
            </w:r>
          </w:p>
        </w:tc>
        <w:tc>
          <w:tcPr>
            <w:tcW w:w="703" w:type="dxa"/>
            <w:tcBorders>
              <w:top w:val="nil"/>
              <w:left w:val="nil"/>
              <w:right w:val="nil"/>
            </w:tcBorders>
            <w:shd w:val="clear" w:color="000000" w:fill="C7CFD8"/>
            <w:noWrap/>
            <w:vAlign w:val="bottom"/>
            <w:hideMark/>
          </w:tcPr>
          <w:p w14:paraId="7F2456B8" w14:textId="77777777" w:rsidR="00257BA3" w:rsidRPr="003128CE" w:rsidRDefault="00257BA3" w:rsidP="00A91805">
            <w:pPr>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703" w:type="dxa"/>
            <w:tcBorders>
              <w:top w:val="nil"/>
              <w:left w:val="nil"/>
              <w:right w:val="nil"/>
            </w:tcBorders>
            <w:shd w:val="clear" w:color="000000" w:fill="C7CFD8"/>
            <w:noWrap/>
            <w:vAlign w:val="bottom"/>
            <w:hideMark/>
          </w:tcPr>
          <w:p w14:paraId="301FD2C5" w14:textId="77777777" w:rsidR="00257BA3" w:rsidRPr="003128CE" w:rsidRDefault="00257BA3" w:rsidP="00A91805">
            <w:pPr>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703" w:type="dxa"/>
            <w:tcBorders>
              <w:top w:val="nil"/>
              <w:left w:val="nil"/>
              <w:right w:val="nil"/>
            </w:tcBorders>
            <w:shd w:val="clear" w:color="000000" w:fill="C7CFD8"/>
            <w:noWrap/>
            <w:vAlign w:val="bottom"/>
            <w:hideMark/>
          </w:tcPr>
          <w:p w14:paraId="4FE5A835" w14:textId="77777777" w:rsidR="00257BA3" w:rsidRPr="003128CE" w:rsidRDefault="00257BA3" w:rsidP="00A91805">
            <w:pPr>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836" w:type="dxa"/>
            <w:tcBorders>
              <w:top w:val="nil"/>
              <w:left w:val="nil"/>
              <w:right w:val="nil"/>
            </w:tcBorders>
            <w:shd w:val="clear" w:color="000000" w:fill="C7CFD8"/>
            <w:noWrap/>
            <w:vAlign w:val="bottom"/>
            <w:hideMark/>
          </w:tcPr>
          <w:p w14:paraId="3872CE86" w14:textId="77777777" w:rsidR="00257BA3" w:rsidRPr="003128CE" w:rsidRDefault="00257BA3" w:rsidP="00A91805">
            <w:pPr>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Estimates</w:t>
            </w:r>
          </w:p>
        </w:tc>
        <w:tc>
          <w:tcPr>
            <w:tcW w:w="836" w:type="dxa"/>
            <w:tcBorders>
              <w:top w:val="nil"/>
              <w:left w:val="nil"/>
              <w:right w:val="nil"/>
            </w:tcBorders>
            <w:shd w:val="clear" w:color="000000" w:fill="C7CFD8"/>
            <w:noWrap/>
            <w:vAlign w:val="bottom"/>
            <w:hideMark/>
          </w:tcPr>
          <w:p w14:paraId="2769B948" w14:textId="77777777" w:rsidR="00257BA3" w:rsidRPr="003128CE" w:rsidRDefault="00257BA3" w:rsidP="00A91805">
            <w:pPr>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r w:rsidRPr="003128CE">
              <w:rPr>
                <w:rFonts w:ascii="Arial Narrow" w:hAnsi="Arial Narrow" w:cs="Arial"/>
                <w:b/>
                <w:color w:val="000000"/>
                <w:sz w:val="16"/>
                <w:szCs w:val="16"/>
              </w:rPr>
              <w:t xml:space="preserve"> Estimates</w:t>
            </w:r>
          </w:p>
        </w:tc>
        <w:tc>
          <w:tcPr>
            <w:tcW w:w="836" w:type="dxa"/>
            <w:tcBorders>
              <w:top w:val="nil"/>
              <w:left w:val="nil"/>
              <w:right w:val="nil"/>
            </w:tcBorders>
            <w:shd w:val="clear" w:color="000000" w:fill="C7CFD8"/>
            <w:noWrap/>
            <w:vAlign w:val="bottom"/>
            <w:hideMark/>
          </w:tcPr>
          <w:p w14:paraId="1DF5C764" w14:textId="77777777" w:rsidR="00257BA3" w:rsidRPr="003128CE" w:rsidRDefault="00257BA3" w:rsidP="00A91805">
            <w:pPr>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Estimates</w:t>
            </w:r>
          </w:p>
        </w:tc>
      </w:tr>
      <w:tr w:rsidR="00E35D9E" w:rsidRPr="00D350B5" w14:paraId="2FE6CDFB" w14:textId="77777777" w:rsidTr="002356E0">
        <w:trPr>
          <w:trHeight w:val="94"/>
          <w:jc w:val="center"/>
        </w:trPr>
        <w:tc>
          <w:tcPr>
            <w:tcW w:w="1230" w:type="dxa"/>
            <w:tcBorders>
              <w:top w:val="single" w:sz="4" w:space="0" w:color="BFBFBF"/>
              <w:left w:val="nil"/>
              <w:bottom w:val="nil"/>
              <w:right w:val="nil"/>
            </w:tcBorders>
            <w:shd w:val="clear" w:color="000000" w:fill="FFFFFF"/>
            <w:noWrap/>
            <w:vAlign w:val="bottom"/>
            <w:hideMark/>
          </w:tcPr>
          <w:p w14:paraId="03ADFBC9" w14:textId="77777777" w:rsidR="00E35D9E" w:rsidRPr="006B090D" w:rsidRDefault="00E35D9E" w:rsidP="00E35D9E">
            <w:pPr>
              <w:spacing w:after="60"/>
              <w:rPr>
                <w:rFonts w:ascii="Arial Narrow" w:hAnsi="Arial Narrow"/>
                <w:color w:val="000000"/>
                <w:sz w:val="16"/>
                <w:szCs w:val="16"/>
              </w:rPr>
            </w:pPr>
            <w:r w:rsidRPr="006B090D">
              <w:rPr>
                <w:rFonts w:ascii="Arial Narrow" w:hAnsi="Arial Narrow" w:cs="Arial"/>
                <w:color w:val="000000"/>
                <w:sz w:val="16"/>
                <w:szCs w:val="18"/>
              </w:rPr>
              <w:t>Applications</w:t>
            </w:r>
          </w:p>
        </w:tc>
        <w:tc>
          <w:tcPr>
            <w:tcW w:w="703" w:type="dxa"/>
            <w:tcBorders>
              <w:top w:val="single" w:sz="4" w:space="0" w:color="BFBFBF"/>
              <w:left w:val="nil"/>
              <w:bottom w:val="nil"/>
              <w:right w:val="nil"/>
            </w:tcBorders>
            <w:shd w:val="clear" w:color="000000" w:fill="FFFFFF"/>
            <w:noWrap/>
            <w:vAlign w:val="bottom"/>
            <w:hideMark/>
          </w:tcPr>
          <w:p w14:paraId="44A11115" w14:textId="77777777" w:rsidR="00E35D9E" w:rsidRPr="006B090D" w:rsidRDefault="00E35D9E" w:rsidP="00E35D9E">
            <w:pPr>
              <w:spacing w:after="60"/>
              <w:jc w:val="right"/>
              <w:rPr>
                <w:rFonts w:ascii="Arial Narrow" w:hAnsi="Arial Narrow"/>
                <w:color w:val="000000"/>
                <w:sz w:val="16"/>
                <w:szCs w:val="16"/>
              </w:rPr>
            </w:pPr>
            <w:r w:rsidRPr="006B090D">
              <w:rPr>
                <w:rFonts w:ascii="Arial Narrow" w:hAnsi="Arial Narrow" w:cs="Arial"/>
                <w:color w:val="000000"/>
                <w:sz w:val="16"/>
                <w:szCs w:val="18"/>
              </w:rPr>
              <w:t>274,889</w:t>
            </w:r>
          </w:p>
        </w:tc>
        <w:tc>
          <w:tcPr>
            <w:tcW w:w="703" w:type="dxa"/>
            <w:tcBorders>
              <w:top w:val="single" w:sz="4" w:space="0" w:color="BFBFBF"/>
              <w:left w:val="nil"/>
              <w:bottom w:val="nil"/>
              <w:right w:val="nil"/>
            </w:tcBorders>
            <w:shd w:val="clear" w:color="000000" w:fill="FFFFFF"/>
            <w:noWrap/>
            <w:vAlign w:val="bottom"/>
          </w:tcPr>
          <w:p w14:paraId="72191BE8" w14:textId="3A0DA7D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277,185</w:t>
            </w:r>
          </w:p>
        </w:tc>
        <w:tc>
          <w:tcPr>
            <w:tcW w:w="703" w:type="dxa"/>
            <w:tcBorders>
              <w:top w:val="single" w:sz="4" w:space="0" w:color="BFBFBF"/>
              <w:left w:val="nil"/>
              <w:bottom w:val="nil"/>
              <w:right w:val="nil"/>
            </w:tcBorders>
            <w:shd w:val="clear" w:color="000000" w:fill="FFFFFF"/>
            <w:noWrap/>
            <w:vAlign w:val="bottom"/>
          </w:tcPr>
          <w:p w14:paraId="485085D9" w14:textId="38ED48B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277,700</w:t>
            </w:r>
          </w:p>
        </w:tc>
        <w:tc>
          <w:tcPr>
            <w:tcW w:w="836" w:type="dxa"/>
            <w:tcBorders>
              <w:top w:val="single" w:sz="4" w:space="0" w:color="BFBFBF"/>
              <w:left w:val="nil"/>
              <w:bottom w:val="nil"/>
              <w:right w:val="nil"/>
            </w:tcBorders>
            <w:shd w:val="clear" w:color="000000" w:fill="FFFFFF"/>
            <w:noWrap/>
            <w:vAlign w:val="bottom"/>
          </w:tcPr>
          <w:p w14:paraId="542BA554" w14:textId="020A506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284,100</w:t>
            </w:r>
          </w:p>
        </w:tc>
        <w:tc>
          <w:tcPr>
            <w:tcW w:w="836" w:type="dxa"/>
            <w:tcBorders>
              <w:top w:val="single" w:sz="4" w:space="0" w:color="BFBFBF"/>
              <w:left w:val="nil"/>
              <w:bottom w:val="nil"/>
              <w:right w:val="nil"/>
            </w:tcBorders>
            <w:shd w:val="clear" w:color="000000" w:fill="FFFFFF"/>
            <w:noWrap/>
            <w:vAlign w:val="bottom"/>
          </w:tcPr>
          <w:p w14:paraId="29727D01" w14:textId="60BAFEF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291,700</w:t>
            </w:r>
          </w:p>
        </w:tc>
        <w:tc>
          <w:tcPr>
            <w:tcW w:w="836" w:type="dxa"/>
            <w:tcBorders>
              <w:top w:val="single" w:sz="4" w:space="0" w:color="BFBFBF"/>
              <w:left w:val="nil"/>
              <w:bottom w:val="nil"/>
              <w:right w:val="nil"/>
            </w:tcBorders>
            <w:shd w:val="clear" w:color="000000" w:fill="FFFFFF"/>
            <w:noWrap/>
            <w:vAlign w:val="bottom"/>
          </w:tcPr>
          <w:p w14:paraId="28326203" w14:textId="00D4467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298,700</w:t>
            </w:r>
          </w:p>
        </w:tc>
      </w:tr>
      <w:tr w:rsidR="00E35D9E" w:rsidRPr="00D350B5" w14:paraId="4B01E580" w14:textId="77777777" w:rsidTr="002356E0">
        <w:trPr>
          <w:trHeight w:val="94"/>
          <w:jc w:val="center"/>
        </w:trPr>
        <w:tc>
          <w:tcPr>
            <w:tcW w:w="1230" w:type="dxa"/>
            <w:tcBorders>
              <w:top w:val="nil"/>
              <w:left w:val="nil"/>
              <w:bottom w:val="nil"/>
              <w:right w:val="nil"/>
            </w:tcBorders>
            <w:shd w:val="clear" w:color="000000" w:fill="FFFFFF"/>
            <w:noWrap/>
            <w:vAlign w:val="bottom"/>
            <w:hideMark/>
          </w:tcPr>
          <w:p w14:paraId="4478D533" w14:textId="77777777" w:rsidR="00E35D9E" w:rsidRPr="006B090D" w:rsidRDefault="00E35D9E" w:rsidP="00E35D9E">
            <w:pPr>
              <w:spacing w:after="60"/>
              <w:rPr>
                <w:rFonts w:ascii="Arial Narrow" w:hAnsi="Arial Narrow"/>
                <w:color w:val="000000"/>
                <w:sz w:val="16"/>
                <w:szCs w:val="16"/>
              </w:rPr>
            </w:pPr>
            <w:r w:rsidRPr="006B090D">
              <w:rPr>
                <w:rFonts w:ascii="Arial Narrow" w:hAnsi="Arial Narrow" w:cs="Arial"/>
                <w:color w:val="000000"/>
                <w:sz w:val="16"/>
                <w:szCs w:val="18"/>
              </w:rPr>
              <w:t>Growth</w:t>
            </w:r>
          </w:p>
        </w:tc>
        <w:tc>
          <w:tcPr>
            <w:tcW w:w="703" w:type="dxa"/>
            <w:tcBorders>
              <w:top w:val="nil"/>
              <w:left w:val="nil"/>
              <w:bottom w:val="nil"/>
              <w:right w:val="nil"/>
            </w:tcBorders>
            <w:shd w:val="clear" w:color="000000" w:fill="FFFFFF"/>
            <w:noWrap/>
            <w:vAlign w:val="bottom"/>
            <w:hideMark/>
          </w:tcPr>
          <w:p w14:paraId="6A97D626" w14:textId="77777777" w:rsidR="00E35D9E" w:rsidRPr="006B090D" w:rsidRDefault="00E35D9E" w:rsidP="00E35D9E">
            <w:pPr>
              <w:spacing w:after="60"/>
              <w:jc w:val="right"/>
              <w:rPr>
                <w:rFonts w:ascii="Arial Narrow" w:hAnsi="Arial Narrow"/>
                <w:color w:val="000000"/>
                <w:sz w:val="16"/>
                <w:szCs w:val="16"/>
              </w:rPr>
            </w:pPr>
            <w:r w:rsidRPr="006B090D">
              <w:rPr>
                <w:rFonts w:ascii="Arial Narrow" w:hAnsi="Arial Narrow" w:cs="Arial"/>
                <w:color w:val="000000"/>
                <w:sz w:val="16"/>
                <w:szCs w:val="18"/>
              </w:rPr>
              <w:t>3.6%</w:t>
            </w:r>
          </w:p>
        </w:tc>
        <w:tc>
          <w:tcPr>
            <w:tcW w:w="703" w:type="dxa"/>
            <w:tcBorders>
              <w:top w:val="nil"/>
              <w:left w:val="nil"/>
              <w:bottom w:val="nil"/>
              <w:right w:val="nil"/>
            </w:tcBorders>
            <w:shd w:val="clear" w:color="000000" w:fill="FFFFFF"/>
            <w:noWrap/>
            <w:vAlign w:val="bottom"/>
          </w:tcPr>
          <w:p w14:paraId="5DFF5ABA" w14:textId="6AA1047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0.8%</w:t>
            </w:r>
          </w:p>
        </w:tc>
        <w:tc>
          <w:tcPr>
            <w:tcW w:w="703" w:type="dxa"/>
            <w:tcBorders>
              <w:top w:val="nil"/>
              <w:left w:val="nil"/>
              <w:bottom w:val="nil"/>
              <w:right w:val="nil"/>
            </w:tcBorders>
            <w:shd w:val="clear" w:color="000000" w:fill="FFFFFF"/>
            <w:noWrap/>
            <w:vAlign w:val="bottom"/>
          </w:tcPr>
          <w:p w14:paraId="28487321" w14:textId="3E347DD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0.2%</w:t>
            </w:r>
          </w:p>
        </w:tc>
        <w:tc>
          <w:tcPr>
            <w:tcW w:w="836" w:type="dxa"/>
            <w:tcBorders>
              <w:top w:val="nil"/>
              <w:left w:val="nil"/>
              <w:bottom w:val="nil"/>
              <w:right w:val="nil"/>
            </w:tcBorders>
            <w:shd w:val="clear" w:color="000000" w:fill="FFFFFF"/>
            <w:noWrap/>
            <w:vAlign w:val="bottom"/>
          </w:tcPr>
          <w:p w14:paraId="7E757F7E" w14:textId="7ECD03D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2.3%</w:t>
            </w:r>
          </w:p>
        </w:tc>
        <w:tc>
          <w:tcPr>
            <w:tcW w:w="836" w:type="dxa"/>
            <w:tcBorders>
              <w:top w:val="nil"/>
              <w:left w:val="nil"/>
              <w:bottom w:val="nil"/>
              <w:right w:val="nil"/>
            </w:tcBorders>
            <w:shd w:val="clear" w:color="000000" w:fill="FFFFFF"/>
            <w:noWrap/>
            <w:vAlign w:val="bottom"/>
          </w:tcPr>
          <w:p w14:paraId="7CA9020D" w14:textId="1A191B4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w:t>
            </w:r>
          </w:p>
        </w:tc>
        <w:tc>
          <w:tcPr>
            <w:tcW w:w="836" w:type="dxa"/>
            <w:tcBorders>
              <w:top w:val="nil"/>
              <w:left w:val="nil"/>
              <w:bottom w:val="nil"/>
              <w:right w:val="nil"/>
            </w:tcBorders>
            <w:shd w:val="clear" w:color="000000" w:fill="FFFFFF"/>
            <w:noWrap/>
            <w:vAlign w:val="bottom"/>
          </w:tcPr>
          <w:p w14:paraId="7AC0A188" w14:textId="5039753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2.4%</w:t>
            </w:r>
          </w:p>
        </w:tc>
      </w:tr>
      <w:tr w:rsidR="00E35D9E" w:rsidRPr="00D350B5" w14:paraId="02B9A6F0" w14:textId="77777777" w:rsidTr="002356E0">
        <w:trPr>
          <w:trHeight w:val="94"/>
          <w:jc w:val="center"/>
        </w:trPr>
        <w:tc>
          <w:tcPr>
            <w:tcW w:w="1230" w:type="dxa"/>
            <w:tcBorders>
              <w:top w:val="nil"/>
              <w:left w:val="nil"/>
              <w:bottom w:val="nil"/>
              <w:right w:val="nil"/>
            </w:tcBorders>
            <w:shd w:val="clear" w:color="000000" w:fill="FFFFFF"/>
            <w:noWrap/>
            <w:vAlign w:val="bottom"/>
            <w:hideMark/>
          </w:tcPr>
          <w:p w14:paraId="22CE4C86" w14:textId="77777777" w:rsidR="00E35D9E" w:rsidRPr="006B090D" w:rsidRDefault="00E35D9E" w:rsidP="00E35D9E">
            <w:pPr>
              <w:spacing w:after="60"/>
              <w:rPr>
                <w:rFonts w:ascii="Arial Narrow" w:hAnsi="Arial Narrow"/>
                <w:color w:val="000000"/>
                <w:sz w:val="16"/>
                <w:szCs w:val="16"/>
              </w:rPr>
            </w:pPr>
            <w:r w:rsidRPr="006B090D">
              <w:rPr>
                <w:rFonts w:ascii="Arial Narrow" w:hAnsi="Arial Narrow" w:cs="Arial"/>
                <w:color w:val="000000"/>
                <w:sz w:val="16"/>
                <w:szCs w:val="18"/>
              </w:rPr>
              <w:t>Low bound</w:t>
            </w:r>
          </w:p>
        </w:tc>
        <w:tc>
          <w:tcPr>
            <w:tcW w:w="703" w:type="dxa"/>
            <w:tcBorders>
              <w:top w:val="nil"/>
              <w:left w:val="nil"/>
              <w:bottom w:val="nil"/>
              <w:right w:val="nil"/>
            </w:tcBorders>
            <w:shd w:val="clear" w:color="000000" w:fill="FFFFFF"/>
            <w:noWrap/>
            <w:vAlign w:val="bottom"/>
            <w:hideMark/>
          </w:tcPr>
          <w:p w14:paraId="5F5A6F2B" w14:textId="77777777" w:rsidR="00E35D9E" w:rsidRPr="006B090D" w:rsidRDefault="00E35D9E" w:rsidP="00E35D9E">
            <w:pPr>
              <w:spacing w:after="60"/>
              <w:jc w:val="right"/>
              <w:rPr>
                <w:rFonts w:ascii="Arial Narrow" w:hAnsi="Arial Narrow"/>
                <w:color w:val="000000"/>
                <w:sz w:val="16"/>
                <w:szCs w:val="16"/>
              </w:rPr>
            </w:pPr>
            <w:r w:rsidRPr="006B090D">
              <w:rPr>
                <w:rFonts w:ascii="Arial Narrow" w:hAnsi="Arial Narrow" w:cs="Arial"/>
                <w:color w:val="000000"/>
                <w:sz w:val="16"/>
                <w:szCs w:val="18"/>
              </w:rPr>
              <w:t> </w:t>
            </w:r>
          </w:p>
        </w:tc>
        <w:tc>
          <w:tcPr>
            <w:tcW w:w="703" w:type="dxa"/>
            <w:tcBorders>
              <w:top w:val="nil"/>
              <w:left w:val="nil"/>
              <w:bottom w:val="nil"/>
              <w:right w:val="nil"/>
            </w:tcBorders>
            <w:shd w:val="clear" w:color="000000" w:fill="FFFFFF"/>
            <w:noWrap/>
            <w:vAlign w:val="bottom"/>
          </w:tcPr>
          <w:p w14:paraId="2B67B132" w14:textId="4751F4A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 </w:t>
            </w:r>
          </w:p>
        </w:tc>
        <w:tc>
          <w:tcPr>
            <w:tcW w:w="703" w:type="dxa"/>
            <w:tcBorders>
              <w:top w:val="nil"/>
              <w:left w:val="nil"/>
              <w:bottom w:val="nil"/>
              <w:right w:val="nil"/>
            </w:tcBorders>
            <w:shd w:val="clear" w:color="000000" w:fill="FFFFFF"/>
            <w:noWrap/>
            <w:vAlign w:val="bottom"/>
          </w:tcPr>
          <w:p w14:paraId="44058635" w14:textId="2E237D5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-700</w:t>
            </w:r>
          </w:p>
        </w:tc>
        <w:tc>
          <w:tcPr>
            <w:tcW w:w="836" w:type="dxa"/>
            <w:tcBorders>
              <w:top w:val="nil"/>
              <w:left w:val="nil"/>
              <w:bottom w:val="nil"/>
              <w:right w:val="nil"/>
            </w:tcBorders>
            <w:shd w:val="clear" w:color="000000" w:fill="FFFFFF"/>
            <w:noWrap/>
            <w:vAlign w:val="bottom"/>
          </w:tcPr>
          <w:p w14:paraId="22FA7E31" w14:textId="228B4D5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-8,800</w:t>
            </w:r>
          </w:p>
        </w:tc>
        <w:tc>
          <w:tcPr>
            <w:tcW w:w="836" w:type="dxa"/>
            <w:tcBorders>
              <w:top w:val="nil"/>
              <w:left w:val="nil"/>
              <w:bottom w:val="nil"/>
              <w:right w:val="nil"/>
            </w:tcBorders>
            <w:shd w:val="clear" w:color="000000" w:fill="FFFFFF"/>
            <w:noWrap/>
            <w:vAlign w:val="bottom"/>
          </w:tcPr>
          <w:p w14:paraId="7EC7D698" w14:textId="5521DB7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-12,500</w:t>
            </w:r>
          </w:p>
        </w:tc>
        <w:tc>
          <w:tcPr>
            <w:tcW w:w="836" w:type="dxa"/>
            <w:tcBorders>
              <w:top w:val="nil"/>
              <w:left w:val="nil"/>
              <w:bottom w:val="nil"/>
              <w:right w:val="nil"/>
            </w:tcBorders>
            <w:shd w:val="clear" w:color="000000" w:fill="FFFFFF"/>
            <w:noWrap/>
            <w:vAlign w:val="bottom"/>
          </w:tcPr>
          <w:p w14:paraId="53807948" w14:textId="0EEC4EA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-15,200</w:t>
            </w:r>
          </w:p>
        </w:tc>
      </w:tr>
      <w:tr w:rsidR="00E35D9E" w:rsidRPr="00D350B5" w14:paraId="55A35778" w14:textId="77777777" w:rsidTr="002356E0">
        <w:trPr>
          <w:trHeight w:val="94"/>
          <w:jc w:val="center"/>
        </w:trPr>
        <w:tc>
          <w:tcPr>
            <w:tcW w:w="1230" w:type="dxa"/>
            <w:tcBorders>
              <w:top w:val="nil"/>
              <w:left w:val="nil"/>
              <w:bottom w:val="single" w:sz="4" w:space="0" w:color="BFBFBF"/>
              <w:right w:val="nil"/>
            </w:tcBorders>
            <w:shd w:val="clear" w:color="000000" w:fill="FFFFFF"/>
            <w:noWrap/>
            <w:vAlign w:val="bottom"/>
            <w:hideMark/>
          </w:tcPr>
          <w:p w14:paraId="2745E841" w14:textId="77777777" w:rsidR="00E35D9E" w:rsidRPr="006B090D" w:rsidRDefault="00E35D9E" w:rsidP="00E35D9E">
            <w:pPr>
              <w:spacing w:after="60"/>
              <w:rPr>
                <w:rFonts w:ascii="Arial Narrow" w:hAnsi="Arial Narrow"/>
                <w:color w:val="000000"/>
                <w:sz w:val="16"/>
                <w:szCs w:val="16"/>
              </w:rPr>
            </w:pPr>
            <w:r w:rsidRPr="006B090D">
              <w:rPr>
                <w:rFonts w:ascii="Arial Narrow" w:hAnsi="Arial Narrow" w:cs="Arial"/>
                <w:color w:val="000000"/>
                <w:sz w:val="16"/>
                <w:szCs w:val="18"/>
              </w:rPr>
              <w:t>High bound</w:t>
            </w:r>
          </w:p>
        </w:tc>
        <w:tc>
          <w:tcPr>
            <w:tcW w:w="703" w:type="dxa"/>
            <w:tcBorders>
              <w:top w:val="nil"/>
              <w:left w:val="nil"/>
              <w:bottom w:val="single" w:sz="4" w:space="0" w:color="BFBFBF"/>
              <w:right w:val="nil"/>
            </w:tcBorders>
            <w:shd w:val="clear" w:color="000000" w:fill="FFFFFF"/>
            <w:noWrap/>
            <w:vAlign w:val="bottom"/>
            <w:hideMark/>
          </w:tcPr>
          <w:p w14:paraId="3FEBDFC1" w14:textId="77777777" w:rsidR="00E35D9E" w:rsidRPr="006B090D" w:rsidRDefault="00E35D9E" w:rsidP="00E35D9E">
            <w:pPr>
              <w:spacing w:after="60"/>
              <w:jc w:val="right"/>
              <w:rPr>
                <w:rFonts w:ascii="Arial Narrow" w:hAnsi="Arial Narrow"/>
                <w:color w:val="000000"/>
                <w:sz w:val="16"/>
                <w:szCs w:val="16"/>
              </w:rPr>
            </w:pPr>
            <w:r w:rsidRPr="006B090D">
              <w:rPr>
                <w:rFonts w:ascii="Arial Narrow" w:hAnsi="Arial Narrow" w:cs="Arial"/>
                <w:color w:val="000000"/>
                <w:sz w:val="16"/>
                <w:szCs w:val="18"/>
              </w:rPr>
              <w:t> </w:t>
            </w:r>
          </w:p>
        </w:tc>
        <w:tc>
          <w:tcPr>
            <w:tcW w:w="703" w:type="dxa"/>
            <w:tcBorders>
              <w:top w:val="nil"/>
              <w:left w:val="nil"/>
              <w:bottom w:val="single" w:sz="4" w:space="0" w:color="BFBFBF"/>
              <w:right w:val="nil"/>
            </w:tcBorders>
            <w:shd w:val="clear" w:color="000000" w:fill="FFFFFF"/>
            <w:noWrap/>
            <w:vAlign w:val="bottom"/>
          </w:tcPr>
          <w:p w14:paraId="56F3CD4C" w14:textId="1A93076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 </w:t>
            </w:r>
          </w:p>
        </w:tc>
        <w:tc>
          <w:tcPr>
            <w:tcW w:w="703" w:type="dxa"/>
            <w:tcBorders>
              <w:top w:val="nil"/>
              <w:left w:val="nil"/>
              <w:bottom w:val="single" w:sz="4" w:space="0" w:color="BFBFBF"/>
              <w:right w:val="nil"/>
            </w:tcBorders>
            <w:shd w:val="clear" w:color="000000" w:fill="FFFFFF"/>
            <w:noWrap/>
            <w:vAlign w:val="bottom"/>
          </w:tcPr>
          <w:p w14:paraId="6217C2CF" w14:textId="1590025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+700</w:t>
            </w:r>
          </w:p>
        </w:tc>
        <w:tc>
          <w:tcPr>
            <w:tcW w:w="836" w:type="dxa"/>
            <w:tcBorders>
              <w:top w:val="nil"/>
              <w:left w:val="nil"/>
              <w:bottom w:val="single" w:sz="4" w:space="0" w:color="BFBFBF"/>
              <w:right w:val="nil"/>
            </w:tcBorders>
            <w:shd w:val="clear" w:color="000000" w:fill="FFFFFF"/>
            <w:noWrap/>
            <w:vAlign w:val="bottom"/>
          </w:tcPr>
          <w:p w14:paraId="4499761C" w14:textId="50B68A1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+8,800</w:t>
            </w:r>
          </w:p>
        </w:tc>
        <w:tc>
          <w:tcPr>
            <w:tcW w:w="836" w:type="dxa"/>
            <w:tcBorders>
              <w:top w:val="nil"/>
              <w:left w:val="nil"/>
              <w:bottom w:val="single" w:sz="4" w:space="0" w:color="BFBFBF"/>
              <w:right w:val="nil"/>
            </w:tcBorders>
            <w:shd w:val="clear" w:color="000000" w:fill="FFFFFF"/>
            <w:noWrap/>
            <w:vAlign w:val="bottom"/>
          </w:tcPr>
          <w:p w14:paraId="4E54F420" w14:textId="05DD517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+12,400</w:t>
            </w:r>
          </w:p>
        </w:tc>
        <w:tc>
          <w:tcPr>
            <w:tcW w:w="836" w:type="dxa"/>
            <w:tcBorders>
              <w:top w:val="nil"/>
              <w:left w:val="nil"/>
              <w:bottom w:val="single" w:sz="4" w:space="0" w:color="BFBFBF"/>
              <w:right w:val="nil"/>
            </w:tcBorders>
            <w:shd w:val="clear" w:color="000000" w:fill="FFFFFF"/>
            <w:noWrap/>
            <w:vAlign w:val="bottom"/>
          </w:tcPr>
          <w:p w14:paraId="2C26554E" w14:textId="168A9D9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+15,300</w:t>
            </w:r>
          </w:p>
        </w:tc>
      </w:tr>
    </w:tbl>
    <w:p w14:paraId="765F7107" w14:textId="307801AF" w:rsidR="00257BA3" w:rsidRDefault="00257BA3" w:rsidP="00257BA3">
      <w:pPr>
        <w:ind w:left="1440"/>
        <w:rPr>
          <w:rFonts w:eastAsia="Arial"/>
          <w:i/>
          <w:sz w:val="10"/>
        </w:rPr>
      </w:pPr>
      <w:r>
        <w:rPr>
          <w:rFonts w:eastAsia="Arial"/>
          <w:i/>
          <w:sz w:val="10"/>
        </w:rPr>
        <w:t xml:space="preserve">                </w:t>
      </w:r>
    </w:p>
    <w:p w14:paraId="468022F6" w14:textId="77777777" w:rsidR="00257BA3" w:rsidRPr="00D350B5" w:rsidRDefault="00257BA3" w:rsidP="008407D7">
      <w:pPr>
        <w:pStyle w:val="NormalNumb"/>
        <w:numPr>
          <w:ilvl w:val="4"/>
          <w:numId w:val="23"/>
        </w:numPr>
        <w:tabs>
          <w:tab w:val="left" w:pos="8505"/>
        </w:tabs>
      </w:pPr>
      <w:r w:rsidRPr="00D350B5">
        <w:t>The table below shows the forecasted numbers of fil</w:t>
      </w:r>
      <w:r>
        <w:t>ings</w:t>
      </w:r>
      <w:r w:rsidRPr="00D350B5">
        <w:t xml:space="preserve"> by the country of origin. </w:t>
      </w:r>
    </w:p>
    <w:p w14:paraId="3CCA164D" w14:textId="77777777" w:rsidR="00257BA3" w:rsidRDefault="00257BA3" w:rsidP="00257BA3">
      <w:pPr>
        <w:pStyle w:val="ListParagraph"/>
        <w:keepNext/>
        <w:keepLines/>
        <w:spacing w:before="240" w:after="60"/>
        <w:ind w:left="680"/>
        <w:jc w:val="center"/>
        <w:rPr>
          <w:rFonts w:asciiTheme="minorHAnsi" w:eastAsia="Arial" w:hAnsiTheme="minorHAnsi" w:cstheme="minorHAnsi"/>
          <w:b/>
          <w:color w:val="005172"/>
          <w:sz w:val="18"/>
          <w:szCs w:val="18"/>
        </w:rPr>
      </w:pPr>
      <w:r w:rsidRPr="003D7B01">
        <w:rPr>
          <w:rFonts w:asciiTheme="minorHAnsi" w:eastAsia="Arial" w:hAnsiTheme="minorHAnsi" w:cstheme="minorHAnsi"/>
          <w:b/>
          <w:color w:val="005172"/>
          <w:sz w:val="18"/>
          <w:szCs w:val="18"/>
        </w:rPr>
        <w:t>PCT Fillings for Selected Countries 20</w:t>
      </w:r>
      <w:r>
        <w:rPr>
          <w:rFonts w:asciiTheme="minorHAnsi" w:eastAsia="Arial" w:hAnsiTheme="minorHAnsi" w:cstheme="minorHAnsi"/>
          <w:b/>
          <w:color w:val="005172"/>
          <w:sz w:val="18"/>
          <w:szCs w:val="18"/>
        </w:rPr>
        <w:t>20</w:t>
      </w:r>
      <w:r w:rsidRPr="003D7B01">
        <w:rPr>
          <w:rFonts w:asciiTheme="minorHAnsi" w:eastAsia="Arial" w:hAnsiTheme="minorHAnsi" w:cstheme="minorHAnsi"/>
          <w:b/>
          <w:color w:val="005172"/>
          <w:sz w:val="18"/>
          <w:szCs w:val="18"/>
        </w:rPr>
        <w:t xml:space="preserve"> to 202</w:t>
      </w:r>
      <w:r>
        <w:rPr>
          <w:rFonts w:asciiTheme="minorHAnsi" w:eastAsia="Arial" w:hAnsiTheme="minorHAnsi" w:cstheme="minorHAnsi"/>
          <w:b/>
          <w:color w:val="005172"/>
          <w:sz w:val="18"/>
          <w:szCs w:val="18"/>
        </w:rPr>
        <w:t>5</w:t>
      </w:r>
    </w:p>
    <w:p w14:paraId="2FC66722" w14:textId="77777777" w:rsidR="00257BA3" w:rsidRPr="003D7B01" w:rsidRDefault="00257BA3" w:rsidP="00257BA3">
      <w:pPr>
        <w:pStyle w:val="ListParagraph"/>
        <w:keepNext/>
        <w:keepLines/>
        <w:spacing w:before="240" w:after="60"/>
        <w:ind w:left="680"/>
        <w:jc w:val="center"/>
        <w:rPr>
          <w:rFonts w:asciiTheme="minorHAnsi" w:eastAsia="Arial" w:hAnsiTheme="minorHAnsi" w:cstheme="minorHAnsi"/>
          <w:b/>
          <w:color w:val="005172"/>
          <w:sz w:val="16"/>
          <w:szCs w:val="18"/>
        </w:rPr>
      </w:pPr>
    </w:p>
    <w:tbl>
      <w:tblPr>
        <w:tblW w:w="6454" w:type="dxa"/>
        <w:jc w:val="center"/>
        <w:tblLook w:val="04A0" w:firstRow="1" w:lastRow="0" w:firstColumn="1" w:lastColumn="0" w:noHBand="0" w:noVBand="1"/>
      </w:tblPr>
      <w:tblGrid>
        <w:gridCol w:w="554"/>
        <w:gridCol w:w="829"/>
        <w:gridCol w:w="829"/>
        <w:gridCol w:w="829"/>
        <w:gridCol w:w="1121"/>
        <w:gridCol w:w="1171"/>
        <w:gridCol w:w="1121"/>
      </w:tblGrid>
      <w:tr w:rsidR="00257BA3" w:rsidRPr="00D350B5" w14:paraId="3A3BE6C0" w14:textId="77777777" w:rsidTr="00A91805">
        <w:trPr>
          <w:cantSplit/>
          <w:trHeight w:hRule="exact" w:val="457"/>
          <w:jc w:val="center"/>
        </w:trPr>
        <w:tc>
          <w:tcPr>
            <w:tcW w:w="0" w:type="auto"/>
            <w:shd w:val="clear" w:color="auto" w:fill="C6CFD7" w:themeFill="accent3" w:themeFillTint="66"/>
            <w:noWrap/>
            <w:hideMark/>
          </w:tcPr>
          <w:p w14:paraId="696F510D" w14:textId="77777777" w:rsidR="00257BA3" w:rsidRPr="00D350B5" w:rsidRDefault="00257BA3" w:rsidP="00A91805">
            <w:pPr>
              <w:spacing w:after="60"/>
              <w:jc w:val="center"/>
              <w:rPr>
                <w:rFonts w:ascii="Arial Narrow" w:hAnsi="Arial Narrow"/>
                <w:color w:val="000000"/>
                <w:sz w:val="16"/>
                <w:szCs w:val="16"/>
              </w:rPr>
            </w:pPr>
            <w:r w:rsidRPr="00D350B5">
              <w:rPr>
                <w:rFonts w:ascii="Arial Narrow" w:hAnsi="Arial Narrow"/>
                <w:color w:val="000000"/>
                <w:sz w:val="16"/>
                <w:szCs w:val="16"/>
              </w:rPr>
              <w:t> </w:t>
            </w:r>
          </w:p>
        </w:tc>
        <w:tc>
          <w:tcPr>
            <w:tcW w:w="0" w:type="auto"/>
            <w:tcBorders>
              <w:top w:val="nil"/>
              <w:left w:val="nil"/>
              <w:right w:val="nil"/>
            </w:tcBorders>
            <w:shd w:val="clear" w:color="000000" w:fill="C7CFD8"/>
            <w:noWrap/>
            <w:vAlign w:val="bottom"/>
            <w:hideMark/>
          </w:tcPr>
          <w:p w14:paraId="6E85476C"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0" w:type="auto"/>
            <w:tcBorders>
              <w:top w:val="nil"/>
              <w:left w:val="nil"/>
              <w:right w:val="nil"/>
            </w:tcBorders>
            <w:shd w:val="clear" w:color="000000" w:fill="C7CFD8"/>
            <w:noWrap/>
            <w:vAlign w:val="bottom"/>
            <w:hideMark/>
          </w:tcPr>
          <w:p w14:paraId="0A11E310"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0" w:type="auto"/>
            <w:tcBorders>
              <w:top w:val="nil"/>
              <w:left w:val="nil"/>
              <w:right w:val="nil"/>
            </w:tcBorders>
            <w:shd w:val="clear" w:color="000000" w:fill="C7CFD8"/>
            <w:noWrap/>
            <w:vAlign w:val="bottom"/>
            <w:hideMark/>
          </w:tcPr>
          <w:p w14:paraId="6B4094C8"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0" w:type="auto"/>
            <w:tcBorders>
              <w:top w:val="nil"/>
              <w:left w:val="nil"/>
              <w:right w:val="nil"/>
            </w:tcBorders>
            <w:shd w:val="clear" w:color="000000" w:fill="C7CFD8"/>
            <w:noWrap/>
            <w:vAlign w:val="bottom"/>
            <w:hideMark/>
          </w:tcPr>
          <w:p w14:paraId="2798B0CC"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27C34A91" w14:textId="77777777" w:rsidR="00257BA3" w:rsidRPr="007C3442"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Estimates</w:t>
            </w:r>
          </w:p>
        </w:tc>
        <w:tc>
          <w:tcPr>
            <w:tcW w:w="0" w:type="auto"/>
            <w:tcBorders>
              <w:top w:val="nil"/>
              <w:left w:val="nil"/>
              <w:right w:val="nil"/>
            </w:tcBorders>
            <w:shd w:val="clear" w:color="000000" w:fill="C7CFD8"/>
            <w:noWrap/>
            <w:vAlign w:val="bottom"/>
            <w:hideMark/>
          </w:tcPr>
          <w:p w14:paraId="0A1068F5"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32972F09"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0" w:type="auto"/>
            <w:tcBorders>
              <w:top w:val="nil"/>
              <w:left w:val="nil"/>
              <w:right w:val="nil"/>
            </w:tcBorders>
            <w:shd w:val="clear" w:color="000000" w:fill="C7CFD8"/>
            <w:noWrap/>
            <w:vAlign w:val="bottom"/>
            <w:hideMark/>
          </w:tcPr>
          <w:p w14:paraId="6CF4304D"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6EEDF77A"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E35D9E" w:rsidRPr="00D350B5" w14:paraId="640F0641" w14:textId="77777777" w:rsidTr="00A91805">
        <w:trPr>
          <w:cantSplit/>
          <w:trHeight w:hRule="exact" w:val="239"/>
          <w:jc w:val="center"/>
        </w:trPr>
        <w:tc>
          <w:tcPr>
            <w:tcW w:w="0" w:type="auto"/>
            <w:tcBorders>
              <w:top w:val="single" w:sz="4" w:space="0" w:color="BFBFBF"/>
              <w:left w:val="nil"/>
              <w:bottom w:val="nil"/>
              <w:right w:val="nil"/>
            </w:tcBorders>
            <w:shd w:val="clear" w:color="000000" w:fill="FFFFFF"/>
            <w:noWrap/>
            <w:vAlign w:val="bottom"/>
            <w:hideMark/>
          </w:tcPr>
          <w:p w14:paraId="27102F17"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AT</w:t>
            </w:r>
          </w:p>
        </w:tc>
        <w:tc>
          <w:tcPr>
            <w:tcW w:w="0" w:type="auto"/>
            <w:tcBorders>
              <w:top w:val="single" w:sz="4" w:space="0" w:color="BFBFBF"/>
              <w:left w:val="nil"/>
              <w:bottom w:val="nil"/>
              <w:right w:val="nil"/>
            </w:tcBorders>
            <w:shd w:val="clear" w:color="000000" w:fill="FFFFFF"/>
            <w:noWrap/>
            <w:vAlign w:val="bottom"/>
            <w:hideMark/>
          </w:tcPr>
          <w:p w14:paraId="32EB48F1" w14:textId="06E5608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1,523</w:t>
            </w:r>
          </w:p>
        </w:tc>
        <w:tc>
          <w:tcPr>
            <w:tcW w:w="0" w:type="auto"/>
            <w:tcBorders>
              <w:top w:val="single" w:sz="4" w:space="0" w:color="BFBFBF"/>
              <w:left w:val="nil"/>
              <w:bottom w:val="nil"/>
              <w:right w:val="nil"/>
            </w:tcBorders>
            <w:shd w:val="clear" w:color="000000" w:fill="FFFFFF"/>
            <w:noWrap/>
            <w:vAlign w:val="bottom"/>
            <w:hideMark/>
          </w:tcPr>
          <w:p w14:paraId="075A1940" w14:textId="28B4FF9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1,574</w:t>
            </w:r>
          </w:p>
        </w:tc>
        <w:tc>
          <w:tcPr>
            <w:tcW w:w="0" w:type="auto"/>
            <w:tcBorders>
              <w:top w:val="single" w:sz="4" w:space="0" w:color="BFBFBF"/>
              <w:left w:val="nil"/>
              <w:bottom w:val="nil"/>
              <w:right w:val="nil"/>
            </w:tcBorders>
            <w:shd w:val="clear" w:color="000000" w:fill="FFFFFF"/>
            <w:noWrap/>
            <w:vAlign w:val="bottom"/>
            <w:hideMark/>
          </w:tcPr>
          <w:p w14:paraId="26875B9B" w14:textId="42BE614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1,422</w:t>
            </w:r>
          </w:p>
        </w:tc>
        <w:tc>
          <w:tcPr>
            <w:tcW w:w="0" w:type="auto"/>
            <w:tcBorders>
              <w:top w:val="single" w:sz="4" w:space="0" w:color="BFBFBF"/>
              <w:left w:val="nil"/>
              <w:bottom w:val="nil"/>
              <w:right w:val="nil"/>
            </w:tcBorders>
            <w:shd w:val="clear" w:color="000000" w:fill="FFFFFF"/>
            <w:noWrap/>
            <w:vAlign w:val="bottom"/>
            <w:hideMark/>
          </w:tcPr>
          <w:p w14:paraId="31D21B5B" w14:textId="1CA6D2B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1,428</w:t>
            </w:r>
          </w:p>
        </w:tc>
        <w:tc>
          <w:tcPr>
            <w:tcW w:w="0" w:type="auto"/>
            <w:tcBorders>
              <w:top w:val="single" w:sz="4" w:space="0" w:color="BFBFBF"/>
              <w:left w:val="nil"/>
              <w:bottom w:val="nil"/>
              <w:right w:val="nil"/>
            </w:tcBorders>
            <w:shd w:val="clear" w:color="000000" w:fill="FFFFFF"/>
            <w:noWrap/>
            <w:vAlign w:val="bottom"/>
            <w:hideMark/>
          </w:tcPr>
          <w:p w14:paraId="647047ED" w14:textId="46ED610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1,460</w:t>
            </w:r>
          </w:p>
        </w:tc>
        <w:tc>
          <w:tcPr>
            <w:tcW w:w="0" w:type="auto"/>
            <w:tcBorders>
              <w:top w:val="single" w:sz="4" w:space="0" w:color="BFBFBF"/>
              <w:left w:val="nil"/>
              <w:bottom w:val="nil"/>
              <w:right w:val="nil"/>
            </w:tcBorders>
            <w:shd w:val="clear" w:color="000000" w:fill="FFFFFF"/>
            <w:noWrap/>
            <w:vAlign w:val="bottom"/>
            <w:hideMark/>
          </w:tcPr>
          <w:p w14:paraId="42842F15" w14:textId="1BAF76F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1,468</w:t>
            </w:r>
          </w:p>
        </w:tc>
      </w:tr>
      <w:tr w:rsidR="00E35D9E" w:rsidRPr="00D350B5" w14:paraId="0A50082A"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2F6FCC59"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AU</w:t>
            </w:r>
          </w:p>
        </w:tc>
        <w:tc>
          <w:tcPr>
            <w:tcW w:w="0" w:type="auto"/>
            <w:tcBorders>
              <w:top w:val="nil"/>
              <w:left w:val="nil"/>
              <w:bottom w:val="nil"/>
              <w:right w:val="nil"/>
            </w:tcBorders>
            <w:shd w:val="clear" w:color="000000" w:fill="FFFFFF"/>
            <w:noWrap/>
            <w:vAlign w:val="bottom"/>
            <w:hideMark/>
          </w:tcPr>
          <w:p w14:paraId="6EFF38E9" w14:textId="357401D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1,722</w:t>
            </w:r>
          </w:p>
        </w:tc>
        <w:tc>
          <w:tcPr>
            <w:tcW w:w="0" w:type="auto"/>
            <w:tcBorders>
              <w:top w:val="nil"/>
              <w:left w:val="nil"/>
              <w:bottom w:val="nil"/>
              <w:right w:val="nil"/>
            </w:tcBorders>
            <w:shd w:val="clear" w:color="000000" w:fill="FFFFFF"/>
            <w:noWrap/>
            <w:vAlign w:val="bottom"/>
            <w:hideMark/>
          </w:tcPr>
          <w:p w14:paraId="503746E4" w14:textId="3E77E86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1,764</w:t>
            </w:r>
          </w:p>
        </w:tc>
        <w:tc>
          <w:tcPr>
            <w:tcW w:w="0" w:type="auto"/>
            <w:tcBorders>
              <w:top w:val="nil"/>
              <w:left w:val="nil"/>
              <w:bottom w:val="nil"/>
              <w:right w:val="nil"/>
            </w:tcBorders>
            <w:shd w:val="clear" w:color="000000" w:fill="FFFFFF"/>
            <w:noWrap/>
            <w:vAlign w:val="bottom"/>
            <w:hideMark/>
          </w:tcPr>
          <w:p w14:paraId="73A78998" w14:textId="191B99F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1,740</w:t>
            </w:r>
          </w:p>
        </w:tc>
        <w:tc>
          <w:tcPr>
            <w:tcW w:w="0" w:type="auto"/>
            <w:tcBorders>
              <w:top w:val="nil"/>
              <w:left w:val="nil"/>
              <w:bottom w:val="nil"/>
              <w:right w:val="nil"/>
            </w:tcBorders>
            <w:shd w:val="clear" w:color="000000" w:fill="FFFFFF"/>
            <w:noWrap/>
            <w:vAlign w:val="bottom"/>
            <w:hideMark/>
          </w:tcPr>
          <w:p w14:paraId="7D567437" w14:textId="52EDD3A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1,670</w:t>
            </w:r>
          </w:p>
        </w:tc>
        <w:tc>
          <w:tcPr>
            <w:tcW w:w="0" w:type="auto"/>
            <w:tcBorders>
              <w:top w:val="nil"/>
              <w:left w:val="nil"/>
              <w:bottom w:val="nil"/>
              <w:right w:val="nil"/>
            </w:tcBorders>
            <w:shd w:val="clear" w:color="000000" w:fill="FFFFFF"/>
            <w:noWrap/>
            <w:vAlign w:val="bottom"/>
            <w:hideMark/>
          </w:tcPr>
          <w:p w14:paraId="78B566AD" w14:textId="08DD4F0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1,664</w:t>
            </w:r>
          </w:p>
        </w:tc>
        <w:tc>
          <w:tcPr>
            <w:tcW w:w="0" w:type="auto"/>
            <w:tcBorders>
              <w:top w:val="nil"/>
              <w:left w:val="nil"/>
              <w:bottom w:val="nil"/>
              <w:right w:val="nil"/>
            </w:tcBorders>
            <w:shd w:val="clear" w:color="000000" w:fill="FFFFFF"/>
            <w:noWrap/>
            <w:vAlign w:val="bottom"/>
            <w:hideMark/>
          </w:tcPr>
          <w:p w14:paraId="6230EF0F" w14:textId="2D2CF96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1,651</w:t>
            </w:r>
          </w:p>
        </w:tc>
      </w:tr>
      <w:tr w:rsidR="00E35D9E" w:rsidRPr="00D350B5" w14:paraId="4DF775D9"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3B55F472"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BE</w:t>
            </w:r>
          </w:p>
        </w:tc>
        <w:tc>
          <w:tcPr>
            <w:tcW w:w="0" w:type="auto"/>
            <w:tcBorders>
              <w:top w:val="nil"/>
              <w:left w:val="nil"/>
              <w:bottom w:val="nil"/>
              <w:right w:val="nil"/>
            </w:tcBorders>
            <w:shd w:val="clear" w:color="000000" w:fill="FFFFFF"/>
            <w:noWrap/>
            <w:vAlign w:val="bottom"/>
            <w:hideMark/>
          </w:tcPr>
          <w:p w14:paraId="6B8F944D" w14:textId="31690A6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1,314</w:t>
            </w:r>
          </w:p>
        </w:tc>
        <w:tc>
          <w:tcPr>
            <w:tcW w:w="0" w:type="auto"/>
            <w:tcBorders>
              <w:top w:val="nil"/>
              <w:left w:val="nil"/>
              <w:bottom w:val="nil"/>
              <w:right w:val="nil"/>
            </w:tcBorders>
            <w:shd w:val="clear" w:color="000000" w:fill="FFFFFF"/>
            <w:noWrap/>
            <w:vAlign w:val="bottom"/>
            <w:hideMark/>
          </w:tcPr>
          <w:p w14:paraId="7E393479" w14:textId="25C0384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1,388</w:t>
            </w:r>
          </w:p>
        </w:tc>
        <w:tc>
          <w:tcPr>
            <w:tcW w:w="0" w:type="auto"/>
            <w:tcBorders>
              <w:top w:val="nil"/>
              <w:left w:val="nil"/>
              <w:bottom w:val="nil"/>
              <w:right w:val="nil"/>
            </w:tcBorders>
            <w:shd w:val="clear" w:color="000000" w:fill="FFFFFF"/>
            <w:noWrap/>
            <w:vAlign w:val="bottom"/>
            <w:hideMark/>
          </w:tcPr>
          <w:p w14:paraId="739EF260" w14:textId="2120D0E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1,304</w:t>
            </w:r>
          </w:p>
        </w:tc>
        <w:tc>
          <w:tcPr>
            <w:tcW w:w="0" w:type="auto"/>
            <w:tcBorders>
              <w:top w:val="nil"/>
              <w:left w:val="nil"/>
              <w:bottom w:val="nil"/>
              <w:right w:val="nil"/>
            </w:tcBorders>
            <w:shd w:val="clear" w:color="000000" w:fill="FFFFFF"/>
            <w:noWrap/>
            <w:vAlign w:val="bottom"/>
            <w:hideMark/>
          </w:tcPr>
          <w:p w14:paraId="33C546C9" w14:textId="02FAEF7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1,366</w:t>
            </w:r>
          </w:p>
        </w:tc>
        <w:tc>
          <w:tcPr>
            <w:tcW w:w="0" w:type="auto"/>
            <w:tcBorders>
              <w:top w:val="nil"/>
              <w:left w:val="nil"/>
              <w:bottom w:val="nil"/>
              <w:right w:val="nil"/>
            </w:tcBorders>
            <w:shd w:val="clear" w:color="000000" w:fill="FFFFFF"/>
            <w:noWrap/>
            <w:vAlign w:val="bottom"/>
            <w:hideMark/>
          </w:tcPr>
          <w:p w14:paraId="323954E0" w14:textId="6FC2190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1,369</w:t>
            </w:r>
          </w:p>
        </w:tc>
        <w:tc>
          <w:tcPr>
            <w:tcW w:w="0" w:type="auto"/>
            <w:tcBorders>
              <w:top w:val="nil"/>
              <w:left w:val="nil"/>
              <w:bottom w:val="nil"/>
              <w:right w:val="nil"/>
            </w:tcBorders>
            <w:shd w:val="clear" w:color="000000" w:fill="FFFFFF"/>
            <w:noWrap/>
            <w:vAlign w:val="bottom"/>
            <w:hideMark/>
          </w:tcPr>
          <w:p w14:paraId="5C79F6A1" w14:textId="0447D9A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1,384</w:t>
            </w:r>
          </w:p>
        </w:tc>
      </w:tr>
      <w:tr w:rsidR="00E35D9E" w:rsidRPr="00D350B5" w14:paraId="16926C35"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2970ED3C"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BR</w:t>
            </w:r>
          </w:p>
        </w:tc>
        <w:tc>
          <w:tcPr>
            <w:tcW w:w="0" w:type="auto"/>
            <w:tcBorders>
              <w:top w:val="nil"/>
              <w:left w:val="nil"/>
              <w:bottom w:val="nil"/>
              <w:right w:val="nil"/>
            </w:tcBorders>
            <w:shd w:val="clear" w:color="000000" w:fill="FFFFFF"/>
            <w:noWrap/>
            <w:vAlign w:val="bottom"/>
            <w:hideMark/>
          </w:tcPr>
          <w:p w14:paraId="6C49E3BF" w14:textId="537487B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690</w:t>
            </w:r>
          </w:p>
        </w:tc>
        <w:tc>
          <w:tcPr>
            <w:tcW w:w="0" w:type="auto"/>
            <w:tcBorders>
              <w:top w:val="nil"/>
              <w:left w:val="nil"/>
              <w:bottom w:val="nil"/>
              <w:right w:val="nil"/>
            </w:tcBorders>
            <w:shd w:val="clear" w:color="000000" w:fill="FFFFFF"/>
            <w:noWrap/>
            <w:vAlign w:val="bottom"/>
            <w:hideMark/>
          </w:tcPr>
          <w:p w14:paraId="69B30521" w14:textId="388696D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616</w:t>
            </w:r>
          </w:p>
        </w:tc>
        <w:tc>
          <w:tcPr>
            <w:tcW w:w="0" w:type="auto"/>
            <w:tcBorders>
              <w:top w:val="nil"/>
              <w:left w:val="nil"/>
              <w:bottom w:val="nil"/>
              <w:right w:val="nil"/>
            </w:tcBorders>
            <w:shd w:val="clear" w:color="000000" w:fill="FFFFFF"/>
            <w:noWrap/>
            <w:vAlign w:val="bottom"/>
            <w:hideMark/>
          </w:tcPr>
          <w:p w14:paraId="13D8AED0" w14:textId="1E54EA5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548</w:t>
            </w:r>
          </w:p>
        </w:tc>
        <w:tc>
          <w:tcPr>
            <w:tcW w:w="0" w:type="auto"/>
            <w:tcBorders>
              <w:top w:val="nil"/>
              <w:left w:val="nil"/>
              <w:bottom w:val="nil"/>
              <w:right w:val="nil"/>
            </w:tcBorders>
            <w:shd w:val="clear" w:color="000000" w:fill="FFFFFF"/>
            <w:noWrap/>
            <w:vAlign w:val="bottom"/>
            <w:hideMark/>
          </w:tcPr>
          <w:p w14:paraId="7AB723A5" w14:textId="3AAF666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579</w:t>
            </w:r>
          </w:p>
        </w:tc>
        <w:tc>
          <w:tcPr>
            <w:tcW w:w="0" w:type="auto"/>
            <w:tcBorders>
              <w:top w:val="nil"/>
              <w:left w:val="nil"/>
              <w:bottom w:val="nil"/>
              <w:right w:val="nil"/>
            </w:tcBorders>
            <w:shd w:val="clear" w:color="000000" w:fill="FFFFFF"/>
            <w:noWrap/>
            <w:vAlign w:val="bottom"/>
            <w:hideMark/>
          </w:tcPr>
          <w:p w14:paraId="5EDF7916" w14:textId="75F8198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594</w:t>
            </w:r>
          </w:p>
        </w:tc>
        <w:tc>
          <w:tcPr>
            <w:tcW w:w="0" w:type="auto"/>
            <w:tcBorders>
              <w:top w:val="nil"/>
              <w:left w:val="nil"/>
              <w:bottom w:val="nil"/>
              <w:right w:val="nil"/>
            </w:tcBorders>
            <w:shd w:val="clear" w:color="000000" w:fill="FFFFFF"/>
            <w:noWrap/>
            <w:vAlign w:val="bottom"/>
            <w:hideMark/>
          </w:tcPr>
          <w:p w14:paraId="3E351C7B" w14:textId="49F7BB3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599</w:t>
            </w:r>
          </w:p>
        </w:tc>
      </w:tr>
      <w:tr w:rsidR="00E35D9E" w:rsidRPr="00D350B5" w14:paraId="65665081"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0A4DF8B6"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CA</w:t>
            </w:r>
          </w:p>
        </w:tc>
        <w:tc>
          <w:tcPr>
            <w:tcW w:w="0" w:type="auto"/>
            <w:tcBorders>
              <w:top w:val="nil"/>
              <w:left w:val="nil"/>
              <w:bottom w:val="nil"/>
              <w:right w:val="nil"/>
            </w:tcBorders>
            <w:shd w:val="clear" w:color="000000" w:fill="FFFFFF"/>
            <w:noWrap/>
            <w:vAlign w:val="bottom"/>
            <w:hideMark/>
          </w:tcPr>
          <w:p w14:paraId="6C4B0E38" w14:textId="3FD5F3F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2,606</w:t>
            </w:r>
          </w:p>
        </w:tc>
        <w:tc>
          <w:tcPr>
            <w:tcW w:w="0" w:type="auto"/>
            <w:tcBorders>
              <w:top w:val="nil"/>
              <w:left w:val="nil"/>
              <w:bottom w:val="nil"/>
              <w:right w:val="nil"/>
            </w:tcBorders>
            <w:shd w:val="clear" w:color="000000" w:fill="FFFFFF"/>
            <w:noWrap/>
            <w:vAlign w:val="bottom"/>
            <w:hideMark/>
          </w:tcPr>
          <w:p w14:paraId="166D6BB7" w14:textId="0DFC188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2,594</w:t>
            </w:r>
          </w:p>
        </w:tc>
        <w:tc>
          <w:tcPr>
            <w:tcW w:w="0" w:type="auto"/>
            <w:tcBorders>
              <w:top w:val="nil"/>
              <w:left w:val="nil"/>
              <w:bottom w:val="nil"/>
              <w:right w:val="nil"/>
            </w:tcBorders>
            <w:shd w:val="clear" w:color="000000" w:fill="FFFFFF"/>
            <w:noWrap/>
            <w:vAlign w:val="bottom"/>
            <w:hideMark/>
          </w:tcPr>
          <w:p w14:paraId="7EC9F836" w14:textId="1B46B55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2,578</w:t>
            </w:r>
          </w:p>
        </w:tc>
        <w:tc>
          <w:tcPr>
            <w:tcW w:w="0" w:type="auto"/>
            <w:tcBorders>
              <w:top w:val="nil"/>
              <w:left w:val="nil"/>
              <w:bottom w:val="nil"/>
              <w:right w:val="nil"/>
            </w:tcBorders>
            <w:shd w:val="clear" w:color="000000" w:fill="FFFFFF"/>
            <w:noWrap/>
            <w:vAlign w:val="bottom"/>
            <w:hideMark/>
          </w:tcPr>
          <w:p w14:paraId="25441A51" w14:textId="02A67A9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2,485</w:t>
            </w:r>
          </w:p>
        </w:tc>
        <w:tc>
          <w:tcPr>
            <w:tcW w:w="0" w:type="auto"/>
            <w:tcBorders>
              <w:top w:val="nil"/>
              <w:left w:val="nil"/>
              <w:bottom w:val="nil"/>
              <w:right w:val="nil"/>
            </w:tcBorders>
            <w:shd w:val="clear" w:color="000000" w:fill="FFFFFF"/>
            <w:noWrap/>
            <w:vAlign w:val="bottom"/>
            <w:hideMark/>
          </w:tcPr>
          <w:p w14:paraId="40B26214" w14:textId="47BA5D2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2,505</w:t>
            </w:r>
          </w:p>
        </w:tc>
        <w:tc>
          <w:tcPr>
            <w:tcW w:w="0" w:type="auto"/>
            <w:tcBorders>
              <w:top w:val="nil"/>
              <w:left w:val="nil"/>
              <w:bottom w:val="nil"/>
              <w:right w:val="nil"/>
            </w:tcBorders>
            <w:shd w:val="clear" w:color="000000" w:fill="FFFFFF"/>
            <w:noWrap/>
            <w:vAlign w:val="bottom"/>
            <w:hideMark/>
          </w:tcPr>
          <w:p w14:paraId="16696C24" w14:textId="5394A0F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2,517</w:t>
            </w:r>
          </w:p>
        </w:tc>
      </w:tr>
      <w:tr w:rsidR="00E35D9E" w:rsidRPr="00D350B5" w14:paraId="7E8348A5"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212B643E"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CH</w:t>
            </w:r>
          </w:p>
        </w:tc>
        <w:tc>
          <w:tcPr>
            <w:tcW w:w="0" w:type="auto"/>
            <w:tcBorders>
              <w:top w:val="nil"/>
              <w:left w:val="nil"/>
              <w:bottom w:val="nil"/>
              <w:right w:val="nil"/>
            </w:tcBorders>
            <w:shd w:val="clear" w:color="000000" w:fill="FFFFFF"/>
            <w:noWrap/>
            <w:vAlign w:val="bottom"/>
            <w:hideMark/>
          </w:tcPr>
          <w:p w14:paraId="18B17046" w14:textId="07F142D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5,135</w:t>
            </w:r>
          </w:p>
        </w:tc>
        <w:tc>
          <w:tcPr>
            <w:tcW w:w="0" w:type="auto"/>
            <w:tcBorders>
              <w:top w:val="nil"/>
              <w:left w:val="nil"/>
              <w:bottom w:val="nil"/>
              <w:right w:val="nil"/>
            </w:tcBorders>
            <w:shd w:val="clear" w:color="000000" w:fill="FFFFFF"/>
            <w:noWrap/>
            <w:vAlign w:val="bottom"/>
            <w:hideMark/>
          </w:tcPr>
          <w:p w14:paraId="6A2CE76C" w14:textId="4D9DCA4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5,464</w:t>
            </w:r>
          </w:p>
        </w:tc>
        <w:tc>
          <w:tcPr>
            <w:tcW w:w="0" w:type="auto"/>
            <w:tcBorders>
              <w:top w:val="nil"/>
              <w:left w:val="nil"/>
              <w:bottom w:val="nil"/>
              <w:right w:val="nil"/>
            </w:tcBorders>
            <w:shd w:val="clear" w:color="000000" w:fill="FFFFFF"/>
            <w:noWrap/>
            <w:vAlign w:val="bottom"/>
            <w:hideMark/>
          </w:tcPr>
          <w:p w14:paraId="57B70AB3" w14:textId="396705E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5,378</w:t>
            </w:r>
          </w:p>
        </w:tc>
        <w:tc>
          <w:tcPr>
            <w:tcW w:w="0" w:type="auto"/>
            <w:tcBorders>
              <w:top w:val="nil"/>
              <w:left w:val="nil"/>
              <w:bottom w:val="nil"/>
              <w:right w:val="nil"/>
            </w:tcBorders>
            <w:shd w:val="clear" w:color="000000" w:fill="FFFFFF"/>
            <w:noWrap/>
            <w:vAlign w:val="bottom"/>
            <w:hideMark/>
          </w:tcPr>
          <w:p w14:paraId="24226785" w14:textId="40593FA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5,433</w:t>
            </w:r>
          </w:p>
        </w:tc>
        <w:tc>
          <w:tcPr>
            <w:tcW w:w="0" w:type="auto"/>
            <w:tcBorders>
              <w:top w:val="nil"/>
              <w:left w:val="nil"/>
              <w:bottom w:val="nil"/>
              <w:right w:val="nil"/>
            </w:tcBorders>
            <w:shd w:val="clear" w:color="000000" w:fill="FFFFFF"/>
            <w:noWrap/>
            <w:vAlign w:val="bottom"/>
            <w:hideMark/>
          </w:tcPr>
          <w:p w14:paraId="56EA21C5" w14:textId="3AEC15B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5,682</w:t>
            </w:r>
          </w:p>
        </w:tc>
        <w:tc>
          <w:tcPr>
            <w:tcW w:w="0" w:type="auto"/>
            <w:tcBorders>
              <w:top w:val="nil"/>
              <w:left w:val="nil"/>
              <w:bottom w:val="nil"/>
              <w:right w:val="nil"/>
            </w:tcBorders>
            <w:shd w:val="clear" w:color="000000" w:fill="FFFFFF"/>
            <w:noWrap/>
            <w:vAlign w:val="bottom"/>
            <w:hideMark/>
          </w:tcPr>
          <w:p w14:paraId="6F1E7534" w14:textId="0E09760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5,843</w:t>
            </w:r>
          </w:p>
        </w:tc>
      </w:tr>
      <w:tr w:rsidR="00E35D9E" w:rsidRPr="00D350B5" w14:paraId="089D01E6"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0D86CC6B"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CN</w:t>
            </w:r>
          </w:p>
        </w:tc>
        <w:tc>
          <w:tcPr>
            <w:tcW w:w="0" w:type="auto"/>
            <w:tcBorders>
              <w:top w:val="nil"/>
              <w:left w:val="nil"/>
              <w:bottom w:val="nil"/>
              <w:right w:val="nil"/>
            </w:tcBorders>
            <w:shd w:val="clear" w:color="000000" w:fill="FFFFFF"/>
            <w:noWrap/>
            <w:vAlign w:val="bottom"/>
            <w:hideMark/>
          </w:tcPr>
          <w:p w14:paraId="075CDCB2" w14:textId="1C01CA0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68,934</w:t>
            </w:r>
          </w:p>
        </w:tc>
        <w:tc>
          <w:tcPr>
            <w:tcW w:w="0" w:type="auto"/>
            <w:tcBorders>
              <w:top w:val="nil"/>
              <w:left w:val="nil"/>
              <w:bottom w:val="nil"/>
              <w:right w:val="nil"/>
            </w:tcBorders>
            <w:shd w:val="clear" w:color="000000" w:fill="FFFFFF"/>
            <w:noWrap/>
            <w:vAlign w:val="bottom"/>
            <w:hideMark/>
          </w:tcPr>
          <w:p w14:paraId="108B5882" w14:textId="0BAF4B9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69,582</w:t>
            </w:r>
          </w:p>
        </w:tc>
        <w:tc>
          <w:tcPr>
            <w:tcW w:w="0" w:type="auto"/>
            <w:tcBorders>
              <w:top w:val="nil"/>
              <w:left w:val="nil"/>
              <w:bottom w:val="nil"/>
              <w:right w:val="nil"/>
            </w:tcBorders>
            <w:shd w:val="clear" w:color="000000" w:fill="FFFFFF"/>
            <w:noWrap/>
            <w:vAlign w:val="bottom"/>
            <w:hideMark/>
          </w:tcPr>
          <w:p w14:paraId="4CCF1D69" w14:textId="5EF31D9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70,038</w:t>
            </w:r>
          </w:p>
        </w:tc>
        <w:tc>
          <w:tcPr>
            <w:tcW w:w="0" w:type="auto"/>
            <w:tcBorders>
              <w:top w:val="nil"/>
              <w:left w:val="nil"/>
              <w:bottom w:val="nil"/>
              <w:right w:val="nil"/>
            </w:tcBorders>
            <w:shd w:val="clear" w:color="000000" w:fill="FFFFFF"/>
            <w:noWrap/>
            <w:vAlign w:val="bottom"/>
            <w:hideMark/>
          </w:tcPr>
          <w:p w14:paraId="40A82919" w14:textId="2FC420B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76,793</w:t>
            </w:r>
          </w:p>
        </w:tc>
        <w:tc>
          <w:tcPr>
            <w:tcW w:w="0" w:type="auto"/>
            <w:tcBorders>
              <w:top w:val="nil"/>
              <w:left w:val="nil"/>
              <w:bottom w:val="nil"/>
              <w:right w:val="nil"/>
            </w:tcBorders>
            <w:shd w:val="clear" w:color="000000" w:fill="FFFFFF"/>
            <w:noWrap/>
            <w:vAlign w:val="bottom"/>
            <w:hideMark/>
          </w:tcPr>
          <w:p w14:paraId="0E3D89C3" w14:textId="1228296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83,322</w:t>
            </w:r>
          </w:p>
        </w:tc>
        <w:tc>
          <w:tcPr>
            <w:tcW w:w="0" w:type="auto"/>
            <w:tcBorders>
              <w:top w:val="nil"/>
              <w:left w:val="nil"/>
              <w:bottom w:val="nil"/>
              <w:right w:val="nil"/>
            </w:tcBorders>
            <w:shd w:val="clear" w:color="000000" w:fill="FFFFFF"/>
            <w:noWrap/>
            <w:vAlign w:val="bottom"/>
            <w:hideMark/>
          </w:tcPr>
          <w:p w14:paraId="69DAC3F8" w14:textId="29C855B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89,123</w:t>
            </w:r>
          </w:p>
        </w:tc>
      </w:tr>
      <w:tr w:rsidR="00E35D9E" w:rsidRPr="00D350B5" w14:paraId="18C0B763"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0A5E9140"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DE</w:t>
            </w:r>
          </w:p>
        </w:tc>
        <w:tc>
          <w:tcPr>
            <w:tcW w:w="0" w:type="auto"/>
            <w:tcBorders>
              <w:top w:val="nil"/>
              <w:left w:val="nil"/>
              <w:bottom w:val="nil"/>
              <w:right w:val="nil"/>
            </w:tcBorders>
            <w:shd w:val="clear" w:color="000000" w:fill="FFFFFF"/>
            <w:noWrap/>
            <w:vAlign w:val="bottom"/>
            <w:hideMark/>
          </w:tcPr>
          <w:p w14:paraId="68F6FCAB" w14:textId="058D216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18,491</w:t>
            </w:r>
          </w:p>
        </w:tc>
        <w:tc>
          <w:tcPr>
            <w:tcW w:w="0" w:type="auto"/>
            <w:tcBorders>
              <w:top w:val="nil"/>
              <w:left w:val="nil"/>
              <w:bottom w:val="nil"/>
              <w:right w:val="nil"/>
            </w:tcBorders>
            <w:shd w:val="clear" w:color="000000" w:fill="FFFFFF"/>
            <w:noWrap/>
            <w:vAlign w:val="bottom"/>
            <w:hideMark/>
          </w:tcPr>
          <w:p w14:paraId="664823B4" w14:textId="124730A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17,268</w:t>
            </w:r>
          </w:p>
        </w:tc>
        <w:tc>
          <w:tcPr>
            <w:tcW w:w="0" w:type="auto"/>
            <w:tcBorders>
              <w:top w:val="nil"/>
              <w:left w:val="nil"/>
              <w:bottom w:val="nil"/>
              <w:right w:val="nil"/>
            </w:tcBorders>
            <w:shd w:val="clear" w:color="000000" w:fill="FFFFFF"/>
            <w:noWrap/>
            <w:vAlign w:val="bottom"/>
            <w:hideMark/>
          </w:tcPr>
          <w:p w14:paraId="788EACB2" w14:textId="502348E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17,539</w:t>
            </w:r>
          </w:p>
        </w:tc>
        <w:tc>
          <w:tcPr>
            <w:tcW w:w="0" w:type="auto"/>
            <w:tcBorders>
              <w:top w:val="nil"/>
              <w:left w:val="nil"/>
              <w:bottom w:val="nil"/>
              <w:right w:val="nil"/>
            </w:tcBorders>
            <w:shd w:val="clear" w:color="000000" w:fill="FFFFFF"/>
            <w:noWrap/>
            <w:vAlign w:val="bottom"/>
            <w:hideMark/>
          </w:tcPr>
          <w:p w14:paraId="14840F9E" w14:textId="74B0502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17,263</w:t>
            </w:r>
          </w:p>
        </w:tc>
        <w:tc>
          <w:tcPr>
            <w:tcW w:w="0" w:type="auto"/>
            <w:tcBorders>
              <w:top w:val="nil"/>
              <w:left w:val="nil"/>
              <w:bottom w:val="nil"/>
              <w:right w:val="nil"/>
            </w:tcBorders>
            <w:shd w:val="clear" w:color="000000" w:fill="FFFFFF"/>
            <w:noWrap/>
            <w:vAlign w:val="bottom"/>
            <w:hideMark/>
          </w:tcPr>
          <w:p w14:paraId="2957EA0E" w14:textId="2B00F07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16,694</w:t>
            </w:r>
          </w:p>
        </w:tc>
        <w:tc>
          <w:tcPr>
            <w:tcW w:w="0" w:type="auto"/>
            <w:tcBorders>
              <w:top w:val="nil"/>
              <w:left w:val="nil"/>
              <w:bottom w:val="nil"/>
              <w:right w:val="nil"/>
            </w:tcBorders>
            <w:shd w:val="clear" w:color="000000" w:fill="FFFFFF"/>
            <w:noWrap/>
            <w:vAlign w:val="bottom"/>
            <w:hideMark/>
          </w:tcPr>
          <w:p w14:paraId="2CBAE3C5" w14:textId="5E16EE4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16,310</w:t>
            </w:r>
          </w:p>
        </w:tc>
      </w:tr>
      <w:tr w:rsidR="00E35D9E" w:rsidRPr="00D350B5" w14:paraId="70289B79"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34481AFF"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DK</w:t>
            </w:r>
          </w:p>
        </w:tc>
        <w:tc>
          <w:tcPr>
            <w:tcW w:w="0" w:type="auto"/>
            <w:tcBorders>
              <w:top w:val="nil"/>
              <w:left w:val="nil"/>
              <w:bottom w:val="nil"/>
              <w:right w:val="nil"/>
            </w:tcBorders>
            <w:shd w:val="clear" w:color="000000" w:fill="FFFFFF"/>
            <w:noWrap/>
            <w:vAlign w:val="bottom"/>
            <w:hideMark/>
          </w:tcPr>
          <w:p w14:paraId="4D406DCC" w14:textId="30C1330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1,577</w:t>
            </w:r>
          </w:p>
        </w:tc>
        <w:tc>
          <w:tcPr>
            <w:tcW w:w="0" w:type="auto"/>
            <w:tcBorders>
              <w:top w:val="nil"/>
              <w:left w:val="nil"/>
              <w:bottom w:val="nil"/>
              <w:right w:val="nil"/>
            </w:tcBorders>
            <w:shd w:val="clear" w:color="000000" w:fill="FFFFFF"/>
            <w:noWrap/>
            <w:vAlign w:val="bottom"/>
            <w:hideMark/>
          </w:tcPr>
          <w:p w14:paraId="3BC0F7B0" w14:textId="7ED0583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1,553</w:t>
            </w:r>
          </w:p>
        </w:tc>
        <w:tc>
          <w:tcPr>
            <w:tcW w:w="0" w:type="auto"/>
            <w:tcBorders>
              <w:top w:val="nil"/>
              <w:left w:val="nil"/>
              <w:bottom w:val="nil"/>
              <w:right w:val="nil"/>
            </w:tcBorders>
            <w:shd w:val="clear" w:color="000000" w:fill="FFFFFF"/>
            <w:noWrap/>
            <w:vAlign w:val="bottom"/>
            <w:hideMark/>
          </w:tcPr>
          <w:p w14:paraId="74EAE6D6" w14:textId="19D4C4F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1,497</w:t>
            </w:r>
          </w:p>
        </w:tc>
        <w:tc>
          <w:tcPr>
            <w:tcW w:w="0" w:type="auto"/>
            <w:tcBorders>
              <w:top w:val="nil"/>
              <w:left w:val="nil"/>
              <w:bottom w:val="nil"/>
              <w:right w:val="nil"/>
            </w:tcBorders>
            <w:shd w:val="clear" w:color="000000" w:fill="FFFFFF"/>
            <w:noWrap/>
            <w:vAlign w:val="bottom"/>
            <w:hideMark/>
          </w:tcPr>
          <w:p w14:paraId="72A6A004" w14:textId="12951E2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1,585</w:t>
            </w:r>
          </w:p>
        </w:tc>
        <w:tc>
          <w:tcPr>
            <w:tcW w:w="0" w:type="auto"/>
            <w:tcBorders>
              <w:top w:val="nil"/>
              <w:left w:val="nil"/>
              <w:bottom w:val="nil"/>
              <w:right w:val="nil"/>
            </w:tcBorders>
            <w:shd w:val="clear" w:color="000000" w:fill="FFFFFF"/>
            <w:noWrap/>
            <w:vAlign w:val="bottom"/>
            <w:hideMark/>
          </w:tcPr>
          <w:p w14:paraId="7D55B874" w14:textId="7DB2C9F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1,562</w:t>
            </w:r>
          </w:p>
        </w:tc>
        <w:tc>
          <w:tcPr>
            <w:tcW w:w="0" w:type="auto"/>
            <w:tcBorders>
              <w:top w:val="nil"/>
              <w:left w:val="nil"/>
              <w:bottom w:val="nil"/>
              <w:right w:val="nil"/>
            </w:tcBorders>
            <w:shd w:val="clear" w:color="000000" w:fill="FFFFFF"/>
            <w:noWrap/>
            <w:vAlign w:val="bottom"/>
            <w:hideMark/>
          </w:tcPr>
          <w:p w14:paraId="5C9235D9" w14:textId="4EFBA02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1,580</w:t>
            </w:r>
          </w:p>
        </w:tc>
      </w:tr>
      <w:tr w:rsidR="00E35D9E" w:rsidRPr="00D350B5" w14:paraId="36F66B19"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60E16266"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ES</w:t>
            </w:r>
          </w:p>
        </w:tc>
        <w:tc>
          <w:tcPr>
            <w:tcW w:w="0" w:type="auto"/>
            <w:tcBorders>
              <w:top w:val="nil"/>
              <w:left w:val="nil"/>
              <w:bottom w:val="nil"/>
              <w:right w:val="nil"/>
            </w:tcBorders>
            <w:shd w:val="clear" w:color="000000" w:fill="FFFFFF"/>
            <w:noWrap/>
            <w:vAlign w:val="bottom"/>
            <w:hideMark/>
          </w:tcPr>
          <w:p w14:paraId="4188BD32" w14:textId="263B459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1,460</w:t>
            </w:r>
          </w:p>
        </w:tc>
        <w:tc>
          <w:tcPr>
            <w:tcW w:w="0" w:type="auto"/>
            <w:tcBorders>
              <w:top w:val="nil"/>
              <w:left w:val="nil"/>
              <w:bottom w:val="nil"/>
              <w:right w:val="nil"/>
            </w:tcBorders>
            <w:shd w:val="clear" w:color="000000" w:fill="FFFFFF"/>
            <w:noWrap/>
            <w:vAlign w:val="bottom"/>
            <w:hideMark/>
          </w:tcPr>
          <w:p w14:paraId="35CEEE59" w14:textId="4AE99AC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1,561</w:t>
            </w:r>
          </w:p>
        </w:tc>
        <w:tc>
          <w:tcPr>
            <w:tcW w:w="0" w:type="auto"/>
            <w:tcBorders>
              <w:top w:val="nil"/>
              <w:left w:val="nil"/>
              <w:bottom w:val="nil"/>
              <w:right w:val="nil"/>
            </w:tcBorders>
            <w:shd w:val="clear" w:color="000000" w:fill="FFFFFF"/>
            <w:noWrap/>
            <w:vAlign w:val="bottom"/>
            <w:hideMark/>
          </w:tcPr>
          <w:p w14:paraId="5E9A953C" w14:textId="7EE2C35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1,457</w:t>
            </w:r>
          </w:p>
        </w:tc>
        <w:tc>
          <w:tcPr>
            <w:tcW w:w="0" w:type="auto"/>
            <w:tcBorders>
              <w:top w:val="nil"/>
              <w:left w:val="nil"/>
              <w:bottom w:val="nil"/>
              <w:right w:val="nil"/>
            </w:tcBorders>
            <w:shd w:val="clear" w:color="000000" w:fill="FFFFFF"/>
            <w:noWrap/>
            <w:vAlign w:val="bottom"/>
            <w:hideMark/>
          </w:tcPr>
          <w:p w14:paraId="6B5C14E2" w14:textId="5C6CC9A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1,530</w:t>
            </w:r>
          </w:p>
        </w:tc>
        <w:tc>
          <w:tcPr>
            <w:tcW w:w="0" w:type="auto"/>
            <w:tcBorders>
              <w:top w:val="nil"/>
              <w:left w:val="nil"/>
              <w:bottom w:val="nil"/>
              <w:right w:val="nil"/>
            </w:tcBorders>
            <w:shd w:val="clear" w:color="000000" w:fill="FFFFFF"/>
            <w:noWrap/>
            <w:vAlign w:val="bottom"/>
            <w:hideMark/>
          </w:tcPr>
          <w:p w14:paraId="469A0621" w14:textId="73C2D1E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1,535</w:t>
            </w:r>
          </w:p>
        </w:tc>
        <w:tc>
          <w:tcPr>
            <w:tcW w:w="0" w:type="auto"/>
            <w:tcBorders>
              <w:top w:val="nil"/>
              <w:left w:val="nil"/>
              <w:bottom w:val="nil"/>
              <w:right w:val="nil"/>
            </w:tcBorders>
            <w:shd w:val="clear" w:color="000000" w:fill="FFFFFF"/>
            <w:noWrap/>
            <w:vAlign w:val="bottom"/>
            <w:hideMark/>
          </w:tcPr>
          <w:p w14:paraId="1DEA0CB6" w14:textId="13FC5CC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1,558</w:t>
            </w:r>
          </w:p>
        </w:tc>
      </w:tr>
      <w:tr w:rsidR="00E35D9E" w:rsidRPr="00D350B5" w14:paraId="512C78FF"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267774C7"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FI</w:t>
            </w:r>
          </w:p>
        </w:tc>
        <w:tc>
          <w:tcPr>
            <w:tcW w:w="0" w:type="auto"/>
            <w:tcBorders>
              <w:top w:val="nil"/>
              <w:left w:val="nil"/>
              <w:bottom w:val="nil"/>
              <w:right w:val="nil"/>
            </w:tcBorders>
            <w:shd w:val="clear" w:color="000000" w:fill="FFFFFF"/>
            <w:noWrap/>
            <w:vAlign w:val="bottom"/>
            <w:hideMark/>
          </w:tcPr>
          <w:p w14:paraId="4FC7AFD6" w14:textId="537FCC2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1,679</w:t>
            </w:r>
          </w:p>
        </w:tc>
        <w:tc>
          <w:tcPr>
            <w:tcW w:w="0" w:type="auto"/>
            <w:tcBorders>
              <w:top w:val="nil"/>
              <w:left w:val="nil"/>
              <w:bottom w:val="nil"/>
              <w:right w:val="nil"/>
            </w:tcBorders>
            <w:shd w:val="clear" w:color="000000" w:fill="FFFFFF"/>
            <w:noWrap/>
            <w:vAlign w:val="bottom"/>
            <w:hideMark/>
          </w:tcPr>
          <w:p w14:paraId="3AB191C3" w14:textId="68C7E52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1,898</w:t>
            </w:r>
          </w:p>
        </w:tc>
        <w:tc>
          <w:tcPr>
            <w:tcW w:w="0" w:type="auto"/>
            <w:tcBorders>
              <w:top w:val="nil"/>
              <w:left w:val="nil"/>
              <w:bottom w:val="nil"/>
              <w:right w:val="nil"/>
            </w:tcBorders>
            <w:shd w:val="clear" w:color="000000" w:fill="FFFFFF"/>
            <w:noWrap/>
            <w:vAlign w:val="bottom"/>
            <w:hideMark/>
          </w:tcPr>
          <w:p w14:paraId="4931CAB1" w14:textId="57AF2C7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1,770</w:t>
            </w:r>
          </w:p>
        </w:tc>
        <w:tc>
          <w:tcPr>
            <w:tcW w:w="0" w:type="auto"/>
            <w:tcBorders>
              <w:top w:val="nil"/>
              <w:left w:val="nil"/>
              <w:bottom w:val="nil"/>
              <w:right w:val="nil"/>
            </w:tcBorders>
            <w:shd w:val="clear" w:color="000000" w:fill="FFFFFF"/>
            <w:noWrap/>
            <w:vAlign w:val="bottom"/>
            <w:hideMark/>
          </w:tcPr>
          <w:p w14:paraId="1639D4E0" w14:textId="764896A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1,683</w:t>
            </w:r>
          </w:p>
        </w:tc>
        <w:tc>
          <w:tcPr>
            <w:tcW w:w="0" w:type="auto"/>
            <w:tcBorders>
              <w:top w:val="nil"/>
              <w:left w:val="nil"/>
              <w:bottom w:val="nil"/>
              <w:right w:val="nil"/>
            </w:tcBorders>
            <w:shd w:val="clear" w:color="000000" w:fill="FFFFFF"/>
            <w:noWrap/>
            <w:vAlign w:val="bottom"/>
            <w:hideMark/>
          </w:tcPr>
          <w:p w14:paraId="43A8506B" w14:textId="59C8A04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1,741</w:t>
            </w:r>
          </w:p>
        </w:tc>
        <w:tc>
          <w:tcPr>
            <w:tcW w:w="0" w:type="auto"/>
            <w:tcBorders>
              <w:top w:val="nil"/>
              <w:left w:val="nil"/>
              <w:bottom w:val="nil"/>
              <w:right w:val="nil"/>
            </w:tcBorders>
            <w:shd w:val="clear" w:color="000000" w:fill="FFFFFF"/>
            <w:noWrap/>
            <w:vAlign w:val="bottom"/>
            <w:hideMark/>
          </w:tcPr>
          <w:p w14:paraId="2B21F7CF" w14:textId="00BA416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1,752</w:t>
            </w:r>
          </w:p>
        </w:tc>
      </w:tr>
      <w:tr w:rsidR="00E35D9E" w:rsidRPr="00D350B5" w14:paraId="688237DE"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322A9C57"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FR</w:t>
            </w:r>
          </w:p>
        </w:tc>
        <w:tc>
          <w:tcPr>
            <w:tcW w:w="0" w:type="auto"/>
            <w:tcBorders>
              <w:top w:val="nil"/>
              <w:left w:val="nil"/>
              <w:bottom w:val="nil"/>
              <w:right w:val="nil"/>
            </w:tcBorders>
            <w:shd w:val="clear" w:color="000000" w:fill="FFFFFF"/>
            <w:noWrap/>
            <w:vAlign w:val="bottom"/>
            <w:hideMark/>
          </w:tcPr>
          <w:p w14:paraId="27BC76F2" w14:textId="046CC6D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7,789</w:t>
            </w:r>
          </w:p>
        </w:tc>
        <w:tc>
          <w:tcPr>
            <w:tcW w:w="0" w:type="auto"/>
            <w:tcBorders>
              <w:top w:val="nil"/>
              <w:left w:val="nil"/>
              <w:bottom w:val="nil"/>
              <w:right w:val="nil"/>
            </w:tcBorders>
            <w:shd w:val="clear" w:color="000000" w:fill="FFFFFF"/>
            <w:noWrap/>
            <w:vAlign w:val="bottom"/>
            <w:hideMark/>
          </w:tcPr>
          <w:p w14:paraId="042BE461" w14:textId="5C14200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7,332</w:t>
            </w:r>
          </w:p>
        </w:tc>
        <w:tc>
          <w:tcPr>
            <w:tcW w:w="0" w:type="auto"/>
            <w:tcBorders>
              <w:top w:val="nil"/>
              <w:left w:val="nil"/>
              <w:bottom w:val="nil"/>
              <w:right w:val="nil"/>
            </w:tcBorders>
            <w:shd w:val="clear" w:color="000000" w:fill="FFFFFF"/>
            <w:noWrap/>
            <w:vAlign w:val="bottom"/>
            <w:hideMark/>
          </w:tcPr>
          <w:p w14:paraId="22E51523" w14:textId="0B1EC68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7,752</w:t>
            </w:r>
          </w:p>
        </w:tc>
        <w:tc>
          <w:tcPr>
            <w:tcW w:w="0" w:type="auto"/>
            <w:tcBorders>
              <w:top w:val="nil"/>
              <w:left w:val="nil"/>
              <w:bottom w:val="nil"/>
              <w:right w:val="nil"/>
            </w:tcBorders>
            <w:shd w:val="clear" w:color="000000" w:fill="FFFFFF"/>
            <w:noWrap/>
            <w:vAlign w:val="bottom"/>
            <w:hideMark/>
          </w:tcPr>
          <w:p w14:paraId="4968A686" w14:textId="36B248C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7,657</w:t>
            </w:r>
          </w:p>
        </w:tc>
        <w:tc>
          <w:tcPr>
            <w:tcW w:w="0" w:type="auto"/>
            <w:tcBorders>
              <w:top w:val="nil"/>
              <w:left w:val="nil"/>
              <w:bottom w:val="nil"/>
              <w:right w:val="nil"/>
            </w:tcBorders>
            <w:shd w:val="clear" w:color="000000" w:fill="FFFFFF"/>
            <w:noWrap/>
            <w:vAlign w:val="bottom"/>
            <w:hideMark/>
          </w:tcPr>
          <w:p w14:paraId="4EC92F1B" w14:textId="709E2B0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7,523</w:t>
            </w:r>
          </w:p>
        </w:tc>
        <w:tc>
          <w:tcPr>
            <w:tcW w:w="0" w:type="auto"/>
            <w:tcBorders>
              <w:top w:val="nil"/>
              <w:left w:val="nil"/>
              <w:bottom w:val="nil"/>
              <w:right w:val="nil"/>
            </w:tcBorders>
            <w:shd w:val="clear" w:color="000000" w:fill="FFFFFF"/>
            <w:noWrap/>
            <w:vAlign w:val="bottom"/>
            <w:hideMark/>
          </w:tcPr>
          <w:p w14:paraId="17210324" w14:textId="7EE531E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7,453</w:t>
            </w:r>
          </w:p>
        </w:tc>
      </w:tr>
      <w:tr w:rsidR="00E35D9E" w:rsidRPr="00D350B5" w14:paraId="4AB0204A"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66A63DE7"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G1</w:t>
            </w:r>
          </w:p>
        </w:tc>
        <w:tc>
          <w:tcPr>
            <w:tcW w:w="0" w:type="auto"/>
            <w:tcBorders>
              <w:top w:val="nil"/>
              <w:left w:val="nil"/>
              <w:bottom w:val="nil"/>
              <w:right w:val="nil"/>
            </w:tcBorders>
            <w:shd w:val="clear" w:color="000000" w:fill="FFFFFF"/>
            <w:noWrap/>
            <w:vAlign w:val="bottom"/>
            <w:hideMark/>
          </w:tcPr>
          <w:p w14:paraId="12A1A33C" w14:textId="39B8A26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2,922</w:t>
            </w:r>
          </w:p>
        </w:tc>
        <w:tc>
          <w:tcPr>
            <w:tcW w:w="0" w:type="auto"/>
            <w:tcBorders>
              <w:top w:val="nil"/>
              <w:left w:val="nil"/>
              <w:bottom w:val="nil"/>
              <w:right w:val="nil"/>
            </w:tcBorders>
            <w:shd w:val="clear" w:color="000000" w:fill="FFFFFF"/>
            <w:noWrap/>
            <w:vAlign w:val="bottom"/>
            <w:hideMark/>
          </w:tcPr>
          <w:p w14:paraId="5DFFDFE1" w14:textId="7B3BB69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3,209</w:t>
            </w:r>
          </w:p>
        </w:tc>
        <w:tc>
          <w:tcPr>
            <w:tcW w:w="0" w:type="auto"/>
            <w:tcBorders>
              <w:top w:val="nil"/>
              <w:left w:val="nil"/>
              <w:bottom w:val="nil"/>
              <w:right w:val="nil"/>
            </w:tcBorders>
            <w:shd w:val="clear" w:color="000000" w:fill="FFFFFF"/>
            <w:noWrap/>
            <w:vAlign w:val="bottom"/>
            <w:hideMark/>
          </w:tcPr>
          <w:p w14:paraId="3C3CA596" w14:textId="3CD7AE6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2,934</w:t>
            </w:r>
          </w:p>
        </w:tc>
        <w:tc>
          <w:tcPr>
            <w:tcW w:w="0" w:type="auto"/>
            <w:tcBorders>
              <w:top w:val="nil"/>
              <w:left w:val="nil"/>
              <w:bottom w:val="nil"/>
              <w:right w:val="nil"/>
            </w:tcBorders>
            <w:shd w:val="clear" w:color="000000" w:fill="FFFFFF"/>
            <w:noWrap/>
            <w:vAlign w:val="bottom"/>
            <w:hideMark/>
          </w:tcPr>
          <w:p w14:paraId="7DA94614" w14:textId="394A2AB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2,998</w:t>
            </w:r>
          </w:p>
        </w:tc>
        <w:tc>
          <w:tcPr>
            <w:tcW w:w="0" w:type="auto"/>
            <w:tcBorders>
              <w:top w:val="nil"/>
              <w:left w:val="nil"/>
              <w:bottom w:val="nil"/>
              <w:right w:val="nil"/>
            </w:tcBorders>
            <w:shd w:val="clear" w:color="000000" w:fill="FFFFFF"/>
            <w:noWrap/>
            <w:vAlign w:val="bottom"/>
            <w:hideMark/>
          </w:tcPr>
          <w:p w14:paraId="61F25E41" w14:textId="6D566A8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3,038</w:t>
            </w:r>
          </w:p>
        </w:tc>
        <w:tc>
          <w:tcPr>
            <w:tcW w:w="0" w:type="auto"/>
            <w:tcBorders>
              <w:top w:val="nil"/>
              <w:left w:val="nil"/>
              <w:bottom w:val="nil"/>
              <w:right w:val="nil"/>
            </w:tcBorders>
            <w:shd w:val="clear" w:color="000000" w:fill="FFFFFF"/>
            <w:noWrap/>
            <w:vAlign w:val="bottom"/>
            <w:hideMark/>
          </w:tcPr>
          <w:p w14:paraId="2A16E085" w14:textId="27419D0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3,060</w:t>
            </w:r>
          </w:p>
        </w:tc>
      </w:tr>
      <w:tr w:rsidR="00E35D9E" w:rsidRPr="00D350B5" w14:paraId="588384CF"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61D385C8"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G2</w:t>
            </w:r>
          </w:p>
        </w:tc>
        <w:tc>
          <w:tcPr>
            <w:tcW w:w="0" w:type="auto"/>
            <w:tcBorders>
              <w:top w:val="nil"/>
              <w:left w:val="nil"/>
              <w:bottom w:val="nil"/>
              <w:right w:val="nil"/>
            </w:tcBorders>
            <w:shd w:val="clear" w:color="000000" w:fill="FFFFFF"/>
            <w:noWrap/>
            <w:vAlign w:val="bottom"/>
            <w:hideMark/>
          </w:tcPr>
          <w:p w14:paraId="0AC02DC4" w14:textId="1B31E33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2,855</w:t>
            </w:r>
          </w:p>
        </w:tc>
        <w:tc>
          <w:tcPr>
            <w:tcW w:w="0" w:type="auto"/>
            <w:tcBorders>
              <w:top w:val="nil"/>
              <w:left w:val="nil"/>
              <w:bottom w:val="nil"/>
              <w:right w:val="nil"/>
            </w:tcBorders>
            <w:shd w:val="clear" w:color="000000" w:fill="FFFFFF"/>
            <w:noWrap/>
            <w:vAlign w:val="bottom"/>
            <w:hideMark/>
          </w:tcPr>
          <w:p w14:paraId="09A85F18" w14:textId="63E7A93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2,865</w:t>
            </w:r>
          </w:p>
        </w:tc>
        <w:tc>
          <w:tcPr>
            <w:tcW w:w="0" w:type="auto"/>
            <w:tcBorders>
              <w:top w:val="nil"/>
              <w:left w:val="nil"/>
              <w:bottom w:val="nil"/>
              <w:right w:val="nil"/>
            </w:tcBorders>
            <w:shd w:val="clear" w:color="000000" w:fill="FFFFFF"/>
            <w:noWrap/>
            <w:vAlign w:val="bottom"/>
            <w:hideMark/>
          </w:tcPr>
          <w:p w14:paraId="1B54D99D" w14:textId="30A6B7A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2,683</w:t>
            </w:r>
          </w:p>
        </w:tc>
        <w:tc>
          <w:tcPr>
            <w:tcW w:w="0" w:type="auto"/>
            <w:tcBorders>
              <w:top w:val="nil"/>
              <w:left w:val="nil"/>
              <w:bottom w:val="nil"/>
              <w:right w:val="nil"/>
            </w:tcBorders>
            <w:shd w:val="clear" w:color="000000" w:fill="FFFFFF"/>
            <w:noWrap/>
            <w:vAlign w:val="bottom"/>
            <w:hideMark/>
          </w:tcPr>
          <w:p w14:paraId="212D10DD" w14:textId="06E0E1E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3,062</w:t>
            </w:r>
          </w:p>
        </w:tc>
        <w:tc>
          <w:tcPr>
            <w:tcW w:w="0" w:type="auto"/>
            <w:tcBorders>
              <w:top w:val="nil"/>
              <w:left w:val="nil"/>
              <w:bottom w:val="nil"/>
              <w:right w:val="nil"/>
            </w:tcBorders>
            <w:shd w:val="clear" w:color="000000" w:fill="FFFFFF"/>
            <w:noWrap/>
            <w:vAlign w:val="bottom"/>
            <w:hideMark/>
          </w:tcPr>
          <w:p w14:paraId="58ECA3EF" w14:textId="7C4833E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2,782</w:t>
            </w:r>
          </w:p>
        </w:tc>
        <w:tc>
          <w:tcPr>
            <w:tcW w:w="0" w:type="auto"/>
            <w:tcBorders>
              <w:top w:val="nil"/>
              <w:left w:val="nil"/>
              <w:bottom w:val="nil"/>
              <w:right w:val="nil"/>
            </w:tcBorders>
            <w:shd w:val="clear" w:color="000000" w:fill="FFFFFF"/>
            <w:noWrap/>
            <w:vAlign w:val="bottom"/>
            <w:hideMark/>
          </w:tcPr>
          <w:p w14:paraId="0959E3C4" w14:textId="78FB6FC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2,789</w:t>
            </w:r>
          </w:p>
        </w:tc>
      </w:tr>
      <w:tr w:rsidR="00E35D9E" w:rsidRPr="00D350B5" w14:paraId="431D3BE3"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488AD24A"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GB</w:t>
            </w:r>
          </w:p>
        </w:tc>
        <w:tc>
          <w:tcPr>
            <w:tcW w:w="0" w:type="auto"/>
            <w:tcBorders>
              <w:top w:val="nil"/>
              <w:left w:val="nil"/>
              <w:bottom w:val="nil"/>
              <w:right w:val="nil"/>
            </w:tcBorders>
            <w:shd w:val="clear" w:color="000000" w:fill="FFFFFF"/>
            <w:noWrap/>
            <w:vAlign w:val="bottom"/>
            <w:hideMark/>
          </w:tcPr>
          <w:p w14:paraId="10B2399A" w14:textId="60FCA0F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5,892</w:t>
            </w:r>
          </w:p>
        </w:tc>
        <w:tc>
          <w:tcPr>
            <w:tcW w:w="0" w:type="auto"/>
            <w:tcBorders>
              <w:top w:val="nil"/>
              <w:left w:val="nil"/>
              <w:bottom w:val="nil"/>
              <w:right w:val="nil"/>
            </w:tcBorders>
            <w:shd w:val="clear" w:color="000000" w:fill="FFFFFF"/>
            <w:noWrap/>
            <w:vAlign w:val="bottom"/>
            <w:hideMark/>
          </w:tcPr>
          <w:p w14:paraId="20587ED2" w14:textId="56B875C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5,852</w:t>
            </w:r>
          </w:p>
        </w:tc>
        <w:tc>
          <w:tcPr>
            <w:tcW w:w="0" w:type="auto"/>
            <w:tcBorders>
              <w:top w:val="nil"/>
              <w:left w:val="nil"/>
              <w:bottom w:val="nil"/>
              <w:right w:val="nil"/>
            </w:tcBorders>
            <w:shd w:val="clear" w:color="000000" w:fill="FFFFFF"/>
            <w:noWrap/>
            <w:vAlign w:val="bottom"/>
            <w:hideMark/>
          </w:tcPr>
          <w:p w14:paraId="7E0608C4" w14:textId="7D8A4C4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5,754</w:t>
            </w:r>
          </w:p>
        </w:tc>
        <w:tc>
          <w:tcPr>
            <w:tcW w:w="0" w:type="auto"/>
            <w:tcBorders>
              <w:top w:val="nil"/>
              <w:left w:val="nil"/>
              <w:bottom w:val="nil"/>
              <w:right w:val="nil"/>
            </w:tcBorders>
            <w:shd w:val="clear" w:color="000000" w:fill="FFFFFF"/>
            <w:noWrap/>
            <w:vAlign w:val="bottom"/>
            <w:hideMark/>
          </w:tcPr>
          <w:p w14:paraId="488B362C" w14:textId="3D9CE72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5,754</w:t>
            </w:r>
          </w:p>
        </w:tc>
        <w:tc>
          <w:tcPr>
            <w:tcW w:w="0" w:type="auto"/>
            <w:tcBorders>
              <w:top w:val="nil"/>
              <w:left w:val="nil"/>
              <w:bottom w:val="nil"/>
              <w:right w:val="nil"/>
            </w:tcBorders>
            <w:shd w:val="clear" w:color="000000" w:fill="FFFFFF"/>
            <w:noWrap/>
            <w:vAlign w:val="bottom"/>
            <w:hideMark/>
          </w:tcPr>
          <w:p w14:paraId="1FAA1046" w14:textId="475BC4C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5,785</w:t>
            </w:r>
          </w:p>
        </w:tc>
        <w:tc>
          <w:tcPr>
            <w:tcW w:w="0" w:type="auto"/>
            <w:tcBorders>
              <w:top w:val="nil"/>
              <w:left w:val="nil"/>
              <w:bottom w:val="nil"/>
              <w:right w:val="nil"/>
            </w:tcBorders>
            <w:shd w:val="clear" w:color="000000" w:fill="FFFFFF"/>
            <w:noWrap/>
            <w:vAlign w:val="bottom"/>
            <w:hideMark/>
          </w:tcPr>
          <w:p w14:paraId="5A3F228C" w14:textId="26985CA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5,825</w:t>
            </w:r>
          </w:p>
        </w:tc>
      </w:tr>
      <w:tr w:rsidR="00E35D9E" w:rsidRPr="00D350B5" w14:paraId="6BE5276A"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538F43F0"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IL</w:t>
            </w:r>
          </w:p>
        </w:tc>
        <w:tc>
          <w:tcPr>
            <w:tcW w:w="0" w:type="auto"/>
            <w:tcBorders>
              <w:top w:val="nil"/>
              <w:left w:val="nil"/>
              <w:bottom w:val="nil"/>
              <w:right w:val="nil"/>
            </w:tcBorders>
            <w:shd w:val="clear" w:color="000000" w:fill="FFFFFF"/>
            <w:noWrap/>
            <w:vAlign w:val="bottom"/>
            <w:hideMark/>
          </w:tcPr>
          <w:p w14:paraId="3A2E2B2D" w14:textId="3E268CF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1,930</w:t>
            </w:r>
          </w:p>
        </w:tc>
        <w:tc>
          <w:tcPr>
            <w:tcW w:w="0" w:type="auto"/>
            <w:tcBorders>
              <w:top w:val="nil"/>
              <w:left w:val="nil"/>
              <w:bottom w:val="nil"/>
              <w:right w:val="nil"/>
            </w:tcBorders>
            <w:shd w:val="clear" w:color="000000" w:fill="FFFFFF"/>
            <w:noWrap/>
            <w:vAlign w:val="bottom"/>
            <w:hideMark/>
          </w:tcPr>
          <w:p w14:paraId="183B20C9" w14:textId="67FBB37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2,120</w:t>
            </w:r>
          </w:p>
        </w:tc>
        <w:tc>
          <w:tcPr>
            <w:tcW w:w="0" w:type="auto"/>
            <w:tcBorders>
              <w:top w:val="nil"/>
              <w:left w:val="nil"/>
              <w:bottom w:val="nil"/>
              <w:right w:val="nil"/>
            </w:tcBorders>
            <w:shd w:val="clear" w:color="000000" w:fill="FFFFFF"/>
            <w:noWrap/>
            <w:vAlign w:val="bottom"/>
            <w:hideMark/>
          </w:tcPr>
          <w:p w14:paraId="2F6584C7" w14:textId="3E20586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1,972</w:t>
            </w:r>
          </w:p>
        </w:tc>
        <w:tc>
          <w:tcPr>
            <w:tcW w:w="0" w:type="auto"/>
            <w:tcBorders>
              <w:top w:val="nil"/>
              <w:left w:val="nil"/>
              <w:bottom w:val="nil"/>
              <w:right w:val="nil"/>
            </w:tcBorders>
            <w:shd w:val="clear" w:color="000000" w:fill="FFFFFF"/>
            <w:noWrap/>
            <w:vAlign w:val="bottom"/>
            <w:hideMark/>
          </w:tcPr>
          <w:p w14:paraId="64A3A440" w14:textId="79EC83D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1,975</w:t>
            </w:r>
          </w:p>
        </w:tc>
        <w:tc>
          <w:tcPr>
            <w:tcW w:w="0" w:type="auto"/>
            <w:tcBorders>
              <w:top w:val="nil"/>
              <w:left w:val="nil"/>
              <w:bottom w:val="nil"/>
              <w:right w:val="nil"/>
            </w:tcBorders>
            <w:shd w:val="clear" w:color="000000" w:fill="FFFFFF"/>
            <w:noWrap/>
            <w:vAlign w:val="bottom"/>
            <w:hideMark/>
          </w:tcPr>
          <w:p w14:paraId="74E122E8" w14:textId="018BBFA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2,019</w:t>
            </w:r>
          </w:p>
        </w:tc>
        <w:tc>
          <w:tcPr>
            <w:tcW w:w="0" w:type="auto"/>
            <w:tcBorders>
              <w:top w:val="nil"/>
              <w:left w:val="nil"/>
              <w:bottom w:val="nil"/>
              <w:right w:val="nil"/>
            </w:tcBorders>
            <w:shd w:val="clear" w:color="000000" w:fill="FFFFFF"/>
            <w:noWrap/>
            <w:vAlign w:val="bottom"/>
            <w:hideMark/>
          </w:tcPr>
          <w:p w14:paraId="7C05218D" w14:textId="69453C9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2,054</w:t>
            </w:r>
          </w:p>
        </w:tc>
      </w:tr>
      <w:tr w:rsidR="00E35D9E" w:rsidRPr="00D350B5" w14:paraId="136403CC"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5125FDD3"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IN</w:t>
            </w:r>
          </w:p>
        </w:tc>
        <w:tc>
          <w:tcPr>
            <w:tcW w:w="0" w:type="auto"/>
            <w:tcBorders>
              <w:top w:val="nil"/>
              <w:left w:val="nil"/>
              <w:bottom w:val="nil"/>
              <w:right w:val="nil"/>
            </w:tcBorders>
            <w:shd w:val="clear" w:color="000000" w:fill="FFFFFF"/>
            <w:noWrap/>
            <w:vAlign w:val="bottom"/>
            <w:hideMark/>
          </w:tcPr>
          <w:p w14:paraId="39876C48" w14:textId="2031760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1,907</w:t>
            </w:r>
          </w:p>
        </w:tc>
        <w:tc>
          <w:tcPr>
            <w:tcW w:w="0" w:type="auto"/>
            <w:tcBorders>
              <w:top w:val="nil"/>
              <w:left w:val="nil"/>
              <w:bottom w:val="nil"/>
              <w:right w:val="nil"/>
            </w:tcBorders>
            <w:shd w:val="clear" w:color="000000" w:fill="FFFFFF"/>
            <w:noWrap/>
            <w:vAlign w:val="bottom"/>
            <w:hideMark/>
          </w:tcPr>
          <w:p w14:paraId="1B51DDD3" w14:textId="24897FF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2,086</w:t>
            </w:r>
          </w:p>
        </w:tc>
        <w:tc>
          <w:tcPr>
            <w:tcW w:w="0" w:type="auto"/>
            <w:tcBorders>
              <w:top w:val="nil"/>
              <w:left w:val="nil"/>
              <w:bottom w:val="nil"/>
              <w:right w:val="nil"/>
            </w:tcBorders>
            <w:shd w:val="clear" w:color="000000" w:fill="FFFFFF"/>
            <w:noWrap/>
            <w:vAlign w:val="bottom"/>
            <w:hideMark/>
          </w:tcPr>
          <w:p w14:paraId="2EB7AF0F" w14:textId="49FF4B5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2,619</w:t>
            </w:r>
          </w:p>
        </w:tc>
        <w:tc>
          <w:tcPr>
            <w:tcW w:w="0" w:type="auto"/>
            <w:tcBorders>
              <w:top w:val="nil"/>
              <w:left w:val="nil"/>
              <w:bottom w:val="nil"/>
              <w:right w:val="nil"/>
            </w:tcBorders>
            <w:shd w:val="clear" w:color="000000" w:fill="FFFFFF"/>
            <w:noWrap/>
            <w:vAlign w:val="bottom"/>
            <w:hideMark/>
          </w:tcPr>
          <w:p w14:paraId="57C3B042" w14:textId="61FA71A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3,892</w:t>
            </w:r>
          </w:p>
        </w:tc>
        <w:tc>
          <w:tcPr>
            <w:tcW w:w="0" w:type="auto"/>
            <w:tcBorders>
              <w:top w:val="nil"/>
              <w:left w:val="nil"/>
              <w:bottom w:val="nil"/>
              <w:right w:val="nil"/>
            </w:tcBorders>
            <w:shd w:val="clear" w:color="000000" w:fill="FFFFFF"/>
            <w:noWrap/>
            <w:vAlign w:val="bottom"/>
            <w:hideMark/>
          </w:tcPr>
          <w:p w14:paraId="094DBDB4" w14:textId="5FE6986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3,801</w:t>
            </w:r>
          </w:p>
        </w:tc>
        <w:tc>
          <w:tcPr>
            <w:tcW w:w="0" w:type="auto"/>
            <w:tcBorders>
              <w:top w:val="nil"/>
              <w:left w:val="nil"/>
              <w:bottom w:val="nil"/>
              <w:right w:val="nil"/>
            </w:tcBorders>
            <w:shd w:val="clear" w:color="000000" w:fill="FFFFFF"/>
            <w:noWrap/>
            <w:vAlign w:val="bottom"/>
            <w:hideMark/>
          </w:tcPr>
          <w:p w14:paraId="0673612F" w14:textId="2C70F8D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4,098</w:t>
            </w:r>
          </w:p>
        </w:tc>
      </w:tr>
      <w:tr w:rsidR="00E35D9E" w:rsidRPr="00D350B5" w14:paraId="31C75AA9"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7EF253AA"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IT</w:t>
            </w:r>
          </w:p>
        </w:tc>
        <w:tc>
          <w:tcPr>
            <w:tcW w:w="0" w:type="auto"/>
            <w:tcBorders>
              <w:top w:val="nil"/>
              <w:left w:val="nil"/>
              <w:bottom w:val="nil"/>
              <w:right w:val="nil"/>
            </w:tcBorders>
            <w:shd w:val="clear" w:color="000000" w:fill="FFFFFF"/>
            <w:noWrap/>
            <w:vAlign w:val="bottom"/>
            <w:hideMark/>
          </w:tcPr>
          <w:p w14:paraId="3180A78E" w14:textId="05061E2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3,399</w:t>
            </w:r>
          </w:p>
        </w:tc>
        <w:tc>
          <w:tcPr>
            <w:tcW w:w="0" w:type="auto"/>
            <w:tcBorders>
              <w:top w:val="nil"/>
              <w:left w:val="nil"/>
              <w:bottom w:val="nil"/>
              <w:right w:val="nil"/>
            </w:tcBorders>
            <w:shd w:val="clear" w:color="000000" w:fill="FFFFFF"/>
            <w:noWrap/>
            <w:vAlign w:val="bottom"/>
            <w:hideMark/>
          </w:tcPr>
          <w:p w14:paraId="2FA8C3BC" w14:textId="56BF88C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3,566</w:t>
            </w:r>
          </w:p>
        </w:tc>
        <w:tc>
          <w:tcPr>
            <w:tcW w:w="0" w:type="auto"/>
            <w:tcBorders>
              <w:top w:val="nil"/>
              <w:left w:val="nil"/>
              <w:bottom w:val="nil"/>
              <w:right w:val="nil"/>
            </w:tcBorders>
            <w:shd w:val="clear" w:color="000000" w:fill="FFFFFF"/>
            <w:noWrap/>
            <w:vAlign w:val="bottom"/>
            <w:hideMark/>
          </w:tcPr>
          <w:p w14:paraId="7869D245" w14:textId="0CEFD0A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3,334</w:t>
            </w:r>
          </w:p>
        </w:tc>
        <w:tc>
          <w:tcPr>
            <w:tcW w:w="0" w:type="auto"/>
            <w:tcBorders>
              <w:top w:val="nil"/>
              <w:left w:val="nil"/>
              <w:bottom w:val="nil"/>
              <w:right w:val="nil"/>
            </w:tcBorders>
            <w:shd w:val="clear" w:color="000000" w:fill="FFFFFF"/>
            <w:noWrap/>
            <w:vAlign w:val="bottom"/>
            <w:hideMark/>
          </w:tcPr>
          <w:p w14:paraId="0EB48C24" w14:textId="672468A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3,325</w:t>
            </w:r>
          </w:p>
        </w:tc>
        <w:tc>
          <w:tcPr>
            <w:tcW w:w="0" w:type="auto"/>
            <w:tcBorders>
              <w:top w:val="nil"/>
              <w:left w:val="nil"/>
              <w:bottom w:val="nil"/>
              <w:right w:val="nil"/>
            </w:tcBorders>
            <w:shd w:val="clear" w:color="000000" w:fill="FFFFFF"/>
            <w:noWrap/>
            <w:vAlign w:val="bottom"/>
            <w:hideMark/>
          </w:tcPr>
          <w:p w14:paraId="3F710A49" w14:textId="7ACF2A7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3,367</w:t>
            </w:r>
          </w:p>
        </w:tc>
        <w:tc>
          <w:tcPr>
            <w:tcW w:w="0" w:type="auto"/>
            <w:tcBorders>
              <w:top w:val="nil"/>
              <w:left w:val="nil"/>
              <w:bottom w:val="nil"/>
              <w:right w:val="nil"/>
            </w:tcBorders>
            <w:shd w:val="clear" w:color="000000" w:fill="FFFFFF"/>
            <w:noWrap/>
            <w:vAlign w:val="bottom"/>
            <w:hideMark/>
          </w:tcPr>
          <w:p w14:paraId="6EA457C0" w14:textId="789D6E6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3,383</w:t>
            </w:r>
          </w:p>
        </w:tc>
      </w:tr>
      <w:tr w:rsidR="00E35D9E" w:rsidRPr="00D350B5" w14:paraId="03AAA387"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47EDCD40"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JP</w:t>
            </w:r>
          </w:p>
        </w:tc>
        <w:tc>
          <w:tcPr>
            <w:tcW w:w="0" w:type="auto"/>
            <w:tcBorders>
              <w:top w:val="nil"/>
              <w:left w:val="nil"/>
              <w:bottom w:val="nil"/>
              <w:right w:val="nil"/>
            </w:tcBorders>
            <w:shd w:val="clear" w:color="000000" w:fill="FFFFFF"/>
            <w:noWrap/>
            <w:vAlign w:val="bottom"/>
            <w:hideMark/>
          </w:tcPr>
          <w:p w14:paraId="08E7F183" w14:textId="4AA218D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50,582</w:t>
            </w:r>
          </w:p>
        </w:tc>
        <w:tc>
          <w:tcPr>
            <w:tcW w:w="0" w:type="auto"/>
            <w:tcBorders>
              <w:top w:val="nil"/>
              <w:left w:val="nil"/>
              <w:bottom w:val="nil"/>
              <w:right w:val="nil"/>
            </w:tcBorders>
            <w:shd w:val="clear" w:color="000000" w:fill="FFFFFF"/>
            <w:noWrap/>
            <w:vAlign w:val="bottom"/>
            <w:hideMark/>
          </w:tcPr>
          <w:p w14:paraId="4528D939" w14:textId="47A02129"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50,276</w:t>
            </w:r>
          </w:p>
        </w:tc>
        <w:tc>
          <w:tcPr>
            <w:tcW w:w="0" w:type="auto"/>
            <w:tcBorders>
              <w:top w:val="nil"/>
              <w:left w:val="nil"/>
              <w:bottom w:val="nil"/>
              <w:right w:val="nil"/>
            </w:tcBorders>
            <w:shd w:val="clear" w:color="000000" w:fill="FFFFFF"/>
            <w:noWrap/>
            <w:vAlign w:val="bottom"/>
            <w:hideMark/>
          </w:tcPr>
          <w:p w14:paraId="4B22471C" w14:textId="6525040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50,371</w:t>
            </w:r>
          </w:p>
        </w:tc>
        <w:tc>
          <w:tcPr>
            <w:tcW w:w="0" w:type="auto"/>
            <w:tcBorders>
              <w:top w:val="nil"/>
              <w:left w:val="nil"/>
              <w:bottom w:val="nil"/>
              <w:right w:val="nil"/>
            </w:tcBorders>
            <w:shd w:val="clear" w:color="000000" w:fill="FFFFFF"/>
            <w:noWrap/>
            <w:vAlign w:val="bottom"/>
            <w:hideMark/>
          </w:tcPr>
          <w:p w14:paraId="7D0ECA1F" w14:textId="58193E9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51,003</w:t>
            </w:r>
          </w:p>
        </w:tc>
        <w:tc>
          <w:tcPr>
            <w:tcW w:w="0" w:type="auto"/>
            <w:tcBorders>
              <w:top w:val="nil"/>
              <w:left w:val="nil"/>
              <w:bottom w:val="nil"/>
              <w:right w:val="nil"/>
            </w:tcBorders>
            <w:shd w:val="clear" w:color="000000" w:fill="FFFFFF"/>
            <w:noWrap/>
            <w:vAlign w:val="bottom"/>
            <w:hideMark/>
          </w:tcPr>
          <w:p w14:paraId="3B6CF602" w14:textId="5B83E95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51,496</w:t>
            </w:r>
          </w:p>
        </w:tc>
        <w:tc>
          <w:tcPr>
            <w:tcW w:w="0" w:type="auto"/>
            <w:tcBorders>
              <w:top w:val="nil"/>
              <w:left w:val="nil"/>
              <w:bottom w:val="nil"/>
              <w:right w:val="nil"/>
            </w:tcBorders>
            <w:shd w:val="clear" w:color="000000" w:fill="FFFFFF"/>
            <w:noWrap/>
            <w:vAlign w:val="bottom"/>
            <w:hideMark/>
          </w:tcPr>
          <w:p w14:paraId="5E26702F" w14:textId="6E9BCCC7"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52,067</w:t>
            </w:r>
          </w:p>
        </w:tc>
      </w:tr>
      <w:tr w:rsidR="00E35D9E" w:rsidRPr="00D350B5" w14:paraId="5414E62A"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44502D76"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KR</w:t>
            </w:r>
          </w:p>
        </w:tc>
        <w:tc>
          <w:tcPr>
            <w:tcW w:w="0" w:type="auto"/>
            <w:tcBorders>
              <w:top w:val="nil"/>
              <w:left w:val="nil"/>
              <w:bottom w:val="nil"/>
              <w:right w:val="nil"/>
            </w:tcBorders>
            <w:shd w:val="clear" w:color="000000" w:fill="FFFFFF"/>
            <w:noWrap/>
            <w:vAlign w:val="bottom"/>
            <w:hideMark/>
          </w:tcPr>
          <w:p w14:paraId="52ECE347" w14:textId="6A0BD92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20,050</w:t>
            </w:r>
          </w:p>
        </w:tc>
        <w:tc>
          <w:tcPr>
            <w:tcW w:w="0" w:type="auto"/>
            <w:tcBorders>
              <w:top w:val="nil"/>
              <w:left w:val="nil"/>
              <w:bottom w:val="nil"/>
              <w:right w:val="nil"/>
            </w:tcBorders>
            <w:shd w:val="clear" w:color="000000" w:fill="FFFFFF"/>
            <w:noWrap/>
            <w:vAlign w:val="bottom"/>
            <w:hideMark/>
          </w:tcPr>
          <w:p w14:paraId="64D80BB5" w14:textId="639614D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20,731</w:t>
            </w:r>
          </w:p>
        </w:tc>
        <w:tc>
          <w:tcPr>
            <w:tcW w:w="0" w:type="auto"/>
            <w:tcBorders>
              <w:top w:val="nil"/>
              <w:left w:val="nil"/>
              <w:bottom w:val="nil"/>
              <w:right w:val="nil"/>
            </w:tcBorders>
            <w:shd w:val="clear" w:color="000000" w:fill="FFFFFF"/>
            <w:noWrap/>
            <w:vAlign w:val="bottom"/>
            <w:hideMark/>
          </w:tcPr>
          <w:p w14:paraId="4F4614B1" w14:textId="0FA96E7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22,035</w:t>
            </w:r>
          </w:p>
        </w:tc>
        <w:tc>
          <w:tcPr>
            <w:tcW w:w="0" w:type="auto"/>
            <w:tcBorders>
              <w:top w:val="nil"/>
              <w:left w:val="nil"/>
              <w:bottom w:val="nil"/>
              <w:right w:val="nil"/>
            </w:tcBorders>
            <w:shd w:val="clear" w:color="000000" w:fill="FFFFFF"/>
            <w:noWrap/>
            <w:vAlign w:val="bottom"/>
            <w:hideMark/>
          </w:tcPr>
          <w:p w14:paraId="4E94A065" w14:textId="7200A61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22,365</w:t>
            </w:r>
          </w:p>
        </w:tc>
        <w:tc>
          <w:tcPr>
            <w:tcW w:w="0" w:type="auto"/>
            <w:tcBorders>
              <w:top w:val="nil"/>
              <w:left w:val="nil"/>
              <w:bottom w:val="nil"/>
              <w:right w:val="nil"/>
            </w:tcBorders>
            <w:shd w:val="clear" w:color="000000" w:fill="FFFFFF"/>
            <w:noWrap/>
            <w:vAlign w:val="bottom"/>
            <w:hideMark/>
          </w:tcPr>
          <w:p w14:paraId="36DA1138" w14:textId="1DEFF9A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23,864</w:t>
            </w:r>
          </w:p>
        </w:tc>
        <w:tc>
          <w:tcPr>
            <w:tcW w:w="0" w:type="auto"/>
            <w:tcBorders>
              <w:top w:val="nil"/>
              <w:left w:val="nil"/>
              <w:bottom w:val="nil"/>
              <w:right w:val="nil"/>
            </w:tcBorders>
            <w:shd w:val="clear" w:color="000000" w:fill="FFFFFF"/>
            <w:noWrap/>
            <w:vAlign w:val="bottom"/>
            <w:hideMark/>
          </w:tcPr>
          <w:p w14:paraId="66D3529B" w14:textId="1A4836F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24,965</w:t>
            </w:r>
          </w:p>
        </w:tc>
      </w:tr>
      <w:tr w:rsidR="00E35D9E" w:rsidRPr="00D350B5" w14:paraId="6EA496C3"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40CEBBA4"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NL</w:t>
            </w:r>
          </w:p>
        </w:tc>
        <w:tc>
          <w:tcPr>
            <w:tcW w:w="0" w:type="auto"/>
            <w:tcBorders>
              <w:top w:val="nil"/>
              <w:left w:val="nil"/>
              <w:bottom w:val="nil"/>
              <w:right w:val="nil"/>
            </w:tcBorders>
            <w:shd w:val="clear" w:color="000000" w:fill="FFFFFF"/>
            <w:noWrap/>
            <w:vAlign w:val="bottom"/>
            <w:hideMark/>
          </w:tcPr>
          <w:p w14:paraId="56014902" w14:textId="5F721C7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4,005</w:t>
            </w:r>
          </w:p>
        </w:tc>
        <w:tc>
          <w:tcPr>
            <w:tcW w:w="0" w:type="auto"/>
            <w:tcBorders>
              <w:top w:val="nil"/>
              <w:left w:val="nil"/>
              <w:bottom w:val="nil"/>
              <w:right w:val="nil"/>
            </w:tcBorders>
            <w:shd w:val="clear" w:color="000000" w:fill="FFFFFF"/>
            <w:noWrap/>
            <w:vAlign w:val="bottom"/>
            <w:hideMark/>
          </w:tcPr>
          <w:p w14:paraId="0A5AC80B" w14:textId="37B9EC0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4,114</w:t>
            </w:r>
          </w:p>
        </w:tc>
        <w:tc>
          <w:tcPr>
            <w:tcW w:w="0" w:type="auto"/>
            <w:tcBorders>
              <w:top w:val="nil"/>
              <w:left w:val="nil"/>
              <w:bottom w:val="nil"/>
              <w:right w:val="nil"/>
            </w:tcBorders>
            <w:shd w:val="clear" w:color="000000" w:fill="FFFFFF"/>
            <w:noWrap/>
            <w:vAlign w:val="bottom"/>
            <w:hideMark/>
          </w:tcPr>
          <w:p w14:paraId="57B8FA34" w14:textId="72A16FC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4,080</w:t>
            </w:r>
          </w:p>
        </w:tc>
        <w:tc>
          <w:tcPr>
            <w:tcW w:w="0" w:type="auto"/>
            <w:tcBorders>
              <w:top w:val="nil"/>
              <w:left w:val="nil"/>
              <w:bottom w:val="nil"/>
              <w:right w:val="nil"/>
            </w:tcBorders>
            <w:shd w:val="clear" w:color="000000" w:fill="FFFFFF"/>
            <w:noWrap/>
            <w:vAlign w:val="bottom"/>
            <w:hideMark/>
          </w:tcPr>
          <w:p w14:paraId="6E637D2C" w14:textId="364958C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4,084</w:t>
            </w:r>
          </w:p>
        </w:tc>
        <w:tc>
          <w:tcPr>
            <w:tcW w:w="0" w:type="auto"/>
            <w:tcBorders>
              <w:top w:val="nil"/>
              <w:left w:val="nil"/>
              <w:bottom w:val="nil"/>
              <w:right w:val="nil"/>
            </w:tcBorders>
            <w:shd w:val="clear" w:color="000000" w:fill="FFFFFF"/>
            <w:noWrap/>
            <w:vAlign w:val="bottom"/>
            <w:hideMark/>
          </w:tcPr>
          <w:p w14:paraId="79C5EA7B" w14:textId="36E02C3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3,945</w:t>
            </w:r>
          </w:p>
        </w:tc>
        <w:tc>
          <w:tcPr>
            <w:tcW w:w="0" w:type="auto"/>
            <w:tcBorders>
              <w:top w:val="nil"/>
              <w:left w:val="nil"/>
              <w:bottom w:val="nil"/>
              <w:right w:val="nil"/>
            </w:tcBorders>
            <w:shd w:val="clear" w:color="000000" w:fill="FFFFFF"/>
            <w:noWrap/>
            <w:vAlign w:val="bottom"/>
            <w:hideMark/>
          </w:tcPr>
          <w:p w14:paraId="38C1674C" w14:textId="510C932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3,896</w:t>
            </w:r>
          </w:p>
        </w:tc>
      </w:tr>
      <w:tr w:rsidR="00E35D9E" w:rsidRPr="00D350B5" w14:paraId="6F3A64C5"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3B38B3F9"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NO</w:t>
            </w:r>
          </w:p>
        </w:tc>
        <w:tc>
          <w:tcPr>
            <w:tcW w:w="0" w:type="auto"/>
            <w:tcBorders>
              <w:top w:val="nil"/>
              <w:left w:val="nil"/>
              <w:bottom w:val="nil"/>
              <w:right w:val="nil"/>
            </w:tcBorders>
            <w:shd w:val="clear" w:color="000000" w:fill="FFFFFF"/>
            <w:noWrap/>
            <w:vAlign w:val="bottom"/>
            <w:hideMark/>
          </w:tcPr>
          <w:p w14:paraId="095D1820" w14:textId="6A76AF0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697</w:t>
            </w:r>
          </w:p>
        </w:tc>
        <w:tc>
          <w:tcPr>
            <w:tcW w:w="0" w:type="auto"/>
            <w:tcBorders>
              <w:top w:val="nil"/>
              <w:left w:val="nil"/>
              <w:bottom w:val="nil"/>
              <w:right w:val="nil"/>
            </w:tcBorders>
            <w:shd w:val="clear" w:color="000000" w:fill="FFFFFF"/>
            <w:noWrap/>
            <w:vAlign w:val="bottom"/>
            <w:hideMark/>
          </w:tcPr>
          <w:p w14:paraId="53732DBC" w14:textId="6624F07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721</w:t>
            </w:r>
          </w:p>
        </w:tc>
        <w:tc>
          <w:tcPr>
            <w:tcW w:w="0" w:type="auto"/>
            <w:tcBorders>
              <w:top w:val="nil"/>
              <w:left w:val="nil"/>
              <w:bottom w:val="nil"/>
              <w:right w:val="nil"/>
            </w:tcBorders>
            <w:shd w:val="clear" w:color="000000" w:fill="FFFFFF"/>
            <w:noWrap/>
            <w:vAlign w:val="bottom"/>
            <w:hideMark/>
          </w:tcPr>
          <w:p w14:paraId="04AE6249" w14:textId="322AC28E"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797</w:t>
            </w:r>
          </w:p>
        </w:tc>
        <w:tc>
          <w:tcPr>
            <w:tcW w:w="0" w:type="auto"/>
            <w:tcBorders>
              <w:top w:val="nil"/>
              <w:left w:val="nil"/>
              <w:bottom w:val="nil"/>
              <w:right w:val="nil"/>
            </w:tcBorders>
            <w:shd w:val="clear" w:color="000000" w:fill="FFFFFF"/>
            <w:noWrap/>
            <w:vAlign w:val="bottom"/>
            <w:hideMark/>
          </w:tcPr>
          <w:p w14:paraId="30FD4DF5" w14:textId="2D767E94"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765</w:t>
            </w:r>
          </w:p>
        </w:tc>
        <w:tc>
          <w:tcPr>
            <w:tcW w:w="0" w:type="auto"/>
            <w:tcBorders>
              <w:top w:val="nil"/>
              <w:left w:val="nil"/>
              <w:bottom w:val="nil"/>
              <w:right w:val="nil"/>
            </w:tcBorders>
            <w:shd w:val="clear" w:color="000000" w:fill="FFFFFF"/>
            <w:noWrap/>
            <w:vAlign w:val="bottom"/>
            <w:hideMark/>
          </w:tcPr>
          <w:p w14:paraId="00A475C4" w14:textId="35E2C81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790</w:t>
            </w:r>
          </w:p>
        </w:tc>
        <w:tc>
          <w:tcPr>
            <w:tcW w:w="0" w:type="auto"/>
            <w:tcBorders>
              <w:top w:val="nil"/>
              <w:left w:val="nil"/>
              <w:bottom w:val="nil"/>
              <w:right w:val="nil"/>
            </w:tcBorders>
            <w:shd w:val="clear" w:color="000000" w:fill="FFFFFF"/>
            <w:noWrap/>
            <w:vAlign w:val="bottom"/>
            <w:hideMark/>
          </w:tcPr>
          <w:p w14:paraId="404697CD" w14:textId="5821CE8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796</w:t>
            </w:r>
          </w:p>
        </w:tc>
      </w:tr>
      <w:tr w:rsidR="00E35D9E" w:rsidRPr="00D350B5" w14:paraId="60361860"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tcPr>
          <w:p w14:paraId="2E38C1F1" w14:textId="77777777" w:rsidR="00E35D9E" w:rsidRPr="006B090D" w:rsidRDefault="00E35D9E" w:rsidP="00E35D9E">
            <w:pPr>
              <w:spacing w:after="60"/>
              <w:jc w:val="center"/>
              <w:rPr>
                <w:rFonts w:ascii="Arial Narrow" w:hAnsi="Arial Narrow" w:cs="Arial"/>
                <w:color w:val="000000"/>
                <w:sz w:val="16"/>
                <w:szCs w:val="16"/>
              </w:rPr>
            </w:pPr>
            <w:r w:rsidRPr="006B090D">
              <w:rPr>
                <w:rFonts w:ascii="Arial Narrow" w:hAnsi="Arial Narrow" w:cs="Arial"/>
                <w:color w:val="000000"/>
                <w:sz w:val="16"/>
                <w:szCs w:val="16"/>
              </w:rPr>
              <w:t>RU</w:t>
            </w:r>
          </w:p>
        </w:tc>
        <w:tc>
          <w:tcPr>
            <w:tcW w:w="0" w:type="auto"/>
            <w:tcBorders>
              <w:top w:val="nil"/>
              <w:left w:val="nil"/>
              <w:bottom w:val="nil"/>
              <w:right w:val="nil"/>
            </w:tcBorders>
            <w:shd w:val="clear" w:color="000000" w:fill="FFFFFF"/>
            <w:noWrap/>
            <w:vAlign w:val="bottom"/>
          </w:tcPr>
          <w:p w14:paraId="52751570" w14:textId="23FDCEAA"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1,060</w:t>
            </w:r>
          </w:p>
        </w:tc>
        <w:tc>
          <w:tcPr>
            <w:tcW w:w="0" w:type="auto"/>
            <w:tcBorders>
              <w:top w:val="nil"/>
              <w:left w:val="nil"/>
              <w:bottom w:val="nil"/>
              <w:right w:val="nil"/>
            </w:tcBorders>
            <w:shd w:val="clear" w:color="000000" w:fill="FFFFFF"/>
            <w:noWrap/>
            <w:vAlign w:val="bottom"/>
          </w:tcPr>
          <w:p w14:paraId="70C45030" w14:textId="5AEE289F"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981</w:t>
            </w:r>
          </w:p>
        </w:tc>
        <w:tc>
          <w:tcPr>
            <w:tcW w:w="0" w:type="auto"/>
            <w:tcBorders>
              <w:top w:val="nil"/>
              <w:left w:val="nil"/>
              <w:bottom w:val="nil"/>
              <w:right w:val="nil"/>
            </w:tcBorders>
            <w:shd w:val="clear" w:color="000000" w:fill="FFFFFF"/>
            <w:noWrap/>
            <w:vAlign w:val="bottom"/>
          </w:tcPr>
          <w:p w14:paraId="36452DDC" w14:textId="7D9945EF"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848</w:t>
            </w:r>
          </w:p>
        </w:tc>
        <w:tc>
          <w:tcPr>
            <w:tcW w:w="0" w:type="auto"/>
            <w:tcBorders>
              <w:top w:val="nil"/>
              <w:left w:val="nil"/>
              <w:bottom w:val="nil"/>
              <w:right w:val="nil"/>
            </w:tcBorders>
            <w:shd w:val="clear" w:color="000000" w:fill="FFFFFF"/>
            <w:noWrap/>
            <w:vAlign w:val="bottom"/>
          </w:tcPr>
          <w:p w14:paraId="16FD2478" w14:textId="7C1CCA6C"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835</w:t>
            </w:r>
          </w:p>
        </w:tc>
        <w:tc>
          <w:tcPr>
            <w:tcW w:w="0" w:type="auto"/>
            <w:tcBorders>
              <w:top w:val="nil"/>
              <w:left w:val="nil"/>
              <w:bottom w:val="nil"/>
              <w:right w:val="nil"/>
            </w:tcBorders>
            <w:shd w:val="clear" w:color="000000" w:fill="FFFFFF"/>
            <w:noWrap/>
            <w:vAlign w:val="bottom"/>
          </w:tcPr>
          <w:p w14:paraId="086CD761" w14:textId="778E80F3"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786</w:t>
            </w:r>
          </w:p>
        </w:tc>
        <w:tc>
          <w:tcPr>
            <w:tcW w:w="0" w:type="auto"/>
            <w:tcBorders>
              <w:top w:val="nil"/>
              <w:left w:val="nil"/>
              <w:bottom w:val="nil"/>
              <w:right w:val="nil"/>
            </w:tcBorders>
            <w:shd w:val="clear" w:color="000000" w:fill="FFFFFF"/>
            <w:noWrap/>
            <w:vAlign w:val="bottom"/>
          </w:tcPr>
          <w:p w14:paraId="528F582A" w14:textId="30F5E3E3"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736</w:t>
            </w:r>
          </w:p>
        </w:tc>
      </w:tr>
      <w:tr w:rsidR="00E35D9E" w:rsidRPr="00D350B5" w14:paraId="3E7A5BA0"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165201E7"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SA</w:t>
            </w:r>
          </w:p>
        </w:tc>
        <w:tc>
          <w:tcPr>
            <w:tcW w:w="0" w:type="auto"/>
            <w:tcBorders>
              <w:top w:val="nil"/>
              <w:left w:val="nil"/>
              <w:bottom w:val="nil"/>
              <w:right w:val="nil"/>
            </w:tcBorders>
            <w:shd w:val="clear" w:color="000000" w:fill="FFFFFF"/>
            <w:noWrap/>
            <w:vAlign w:val="bottom"/>
            <w:hideMark/>
          </w:tcPr>
          <w:p w14:paraId="631FCB64" w14:textId="64344DCF"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952</w:t>
            </w:r>
          </w:p>
        </w:tc>
        <w:tc>
          <w:tcPr>
            <w:tcW w:w="0" w:type="auto"/>
            <w:tcBorders>
              <w:top w:val="nil"/>
              <w:left w:val="nil"/>
              <w:bottom w:val="nil"/>
              <w:right w:val="nil"/>
            </w:tcBorders>
            <w:shd w:val="clear" w:color="000000" w:fill="FFFFFF"/>
            <w:noWrap/>
            <w:vAlign w:val="bottom"/>
            <w:hideMark/>
          </w:tcPr>
          <w:p w14:paraId="55CA9850" w14:textId="4599EFF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822</w:t>
            </w:r>
          </w:p>
        </w:tc>
        <w:tc>
          <w:tcPr>
            <w:tcW w:w="0" w:type="auto"/>
            <w:tcBorders>
              <w:top w:val="nil"/>
              <w:left w:val="nil"/>
              <w:bottom w:val="nil"/>
              <w:right w:val="nil"/>
            </w:tcBorders>
            <w:shd w:val="clear" w:color="000000" w:fill="FFFFFF"/>
            <w:noWrap/>
            <w:vAlign w:val="bottom"/>
            <w:hideMark/>
          </w:tcPr>
          <w:p w14:paraId="58421EDC" w14:textId="3D96C00D"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470</w:t>
            </w:r>
          </w:p>
        </w:tc>
        <w:tc>
          <w:tcPr>
            <w:tcW w:w="0" w:type="auto"/>
            <w:tcBorders>
              <w:top w:val="nil"/>
              <w:left w:val="nil"/>
              <w:bottom w:val="nil"/>
              <w:right w:val="nil"/>
            </w:tcBorders>
            <w:shd w:val="clear" w:color="000000" w:fill="FFFFFF"/>
            <w:noWrap/>
            <w:vAlign w:val="bottom"/>
            <w:hideMark/>
          </w:tcPr>
          <w:p w14:paraId="7BA6CA0A" w14:textId="5B5281D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389</w:t>
            </w:r>
          </w:p>
        </w:tc>
        <w:tc>
          <w:tcPr>
            <w:tcW w:w="0" w:type="auto"/>
            <w:tcBorders>
              <w:top w:val="nil"/>
              <w:left w:val="nil"/>
              <w:bottom w:val="nil"/>
              <w:right w:val="nil"/>
            </w:tcBorders>
            <w:shd w:val="clear" w:color="000000" w:fill="FFFFFF"/>
            <w:noWrap/>
            <w:vAlign w:val="bottom"/>
            <w:hideMark/>
          </w:tcPr>
          <w:p w14:paraId="48A1E5F5" w14:textId="074C347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529</w:t>
            </w:r>
          </w:p>
        </w:tc>
        <w:tc>
          <w:tcPr>
            <w:tcW w:w="0" w:type="auto"/>
            <w:tcBorders>
              <w:top w:val="nil"/>
              <w:left w:val="nil"/>
              <w:bottom w:val="nil"/>
              <w:right w:val="nil"/>
            </w:tcBorders>
            <w:shd w:val="clear" w:color="000000" w:fill="FFFFFF"/>
            <w:noWrap/>
            <w:vAlign w:val="bottom"/>
            <w:hideMark/>
          </w:tcPr>
          <w:p w14:paraId="05FFB974" w14:textId="11861393"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537</w:t>
            </w:r>
          </w:p>
        </w:tc>
      </w:tr>
      <w:tr w:rsidR="00E35D9E" w:rsidRPr="00D350B5" w14:paraId="1BCF6662"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tcPr>
          <w:p w14:paraId="7719E3B6" w14:textId="77777777" w:rsidR="00E35D9E" w:rsidRPr="006B090D" w:rsidRDefault="00E35D9E" w:rsidP="00E35D9E">
            <w:pPr>
              <w:spacing w:after="60"/>
              <w:jc w:val="center"/>
              <w:rPr>
                <w:rFonts w:ascii="Arial Narrow" w:hAnsi="Arial Narrow" w:cs="Arial"/>
                <w:color w:val="000000"/>
                <w:sz w:val="16"/>
                <w:szCs w:val="16"/>
              </w:rPr>
            </w:pPr>
            <w:r w:rsidRPr="006B090D">
              <w:rPr>
                <w:rFonts w:ascii="Arial Narrow" w:hAnsi="Arial Narrow" w:cs="Arial"/>
                <w:color w:val="000000"/>
                <w:sz w:val="16"/>
                <w:szCs w:val="16"/>
              </w:rPr>
              <w:t>SE</w:t>
            </w:r>
          </w:p>
        </w:tc>
        <w:tc>
          <w:tcPr>
            <w:tcW w:w="0" w:type="auto"/>
            <w:tcBorders>
              <w:top w:val="nil"/>
              <w:left w:val="nil"/>
              <w:bottom w:val="nil"/>
              <w:right w:val="nil"/>
            </w:tcBorders>
            <w:shd w:val="clear" w:color="000000" w:fill="FFFFFF"/>
            <w:noWrap/>
            <w:vAlign w:val="bottom"/>
          </w:tcPr>
          <w:p w14:paraId="3741AE1C" w14:textId="5FA9AD6A"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4,355</w:t>
            </w:r>
          </w:p>
        </w:tc>
        <w:tc>
          <w:tcPr>
            <w:tcW w:w="0" w:type="auto"/>
            <w:tcBorders>
              <w:top w:val="nil"/>
              <w:left w:val="nil"/>
              <w:bottom w:val="nil"/>
              <w:right w:val="nil"/>
            </w:tcBorders>
            <w:shd w:val="clear" w:color="000000" w:fill="FFFFFF"/>
            <w:noWrap/>
            <w:vAlign w:val="bottom"/>
          </w:tcPr>
          <w:p w14:paraId="6DC13EB6" w14:textId="0B6EB27F"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4,442</w:t>
            </w:r>
          </w:p>
        </w:tc>
        <w:tc>
          <w:tcPr>
            <w:tcW w:w="0" w:type="auto"/>
            <w:tcBorders>
              <w:top w:val="nil"/>
              <w:left w:val="nil"/>
              <w:bottom w:val="nil"/>
              <w:right w:val="nil"/>
            </w:tcBorders>
            <w:shd w:val="clear" w:color="000000" w:fill="FFFFFF"/>
            <w:noWrap/>
            <w:vAlign w:val="bottom"/>
          </w:tcPr>
          <w:p w14:paraId="298FC474" w14:textId="30C276B3"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4,478</w:t>
            </w:r>
          </w:p>
        </w:tc>
        <w:tc>
          <w:tcPr>
            <w:tcW w:w="0" w:type="auto"/>
            <w:tcBorders>
              <w:top w:val="nil"/>
              <w:left w:val="nil"/>
              <w:bottom w:val="nil"/>
              <w:right w:val="nil"/>
            </w:tcBorders>
            <w:shd w:val="clear" w:color="000000" w:fill="FFFFFF"/>
            <w:noWrap/>
            <w:vAlign w:val="bottom"/>
          </w:tcPr>
          <w:p w14:paraId="0B706532" w14:textId="2F506C39"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4,482</w:t>
            </w:r>
          </w:p>
        </w:tc>
        <w:tc>
          <w:tcPr>
            <w:tcW w:w="0" w:type="auto"/>
            <w:tcBorders>
              <w:top w:val="nil"/>
              <w:left w:val="nil"/>
              <w:bottom w:val="nil"/>
              <w:right w:val="nil"/>
            </w:tcBorders>
            <w:shd w:val="clear" w:color="000000" w:fill="FFFFFF"/>
            <w:noWrap/>
            <w:vAlign w:val="bottom"/>
          </w:tcPr>
          <w:p w14:paraId="71E6D47A" w14:textId="3B548D37"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4,532</w:t>
            </w:r>
          </w:p>
        </w:tc>
        <w:tc>
          <w:tcPr>
            <w:tcW w:w="0" w:type="auto"/>
            <w:tcBorders>
              <w:top w:val="nil"/>
              <w:left w:val="nil"/>
              <w:bottom w:val="nil"/>
              <w:right w:val="nil"/>
            </w:tcBorders>
            <w:shd w:val="clear" w:color="000000" w:fill="FFFFFF"/>
            <w:noWrap/>
            <w:vAlign w:val="bottom"/>
          </w:tcPr>
          <w:p w14:paraId="3F7237B1" w14:textId="474B3F01" w:rsidR="00E35D9E" w:rsidRPr="006B090D" w:rsidRDefault="00E35D9E" w:rsidP="00E35D9E">
            <w:pPr>
              <w:spacing w:after="60"/>
              <w:jc w:val="right"/>
              <w:rPr>
                <w:rFonts w:ascii="Arial Narrow" w:hAnsi="Arial Narrow" w:cs="Arial"/>
                <w:color w:val="000000"/>
                <w:sz w:val="16"/>
                <w:szCs w:val="16"/>
              </w:rPr>
            </w:pPr>
            <w:r>
              <w:rPr>
                <w:rFonts w:ascii="Arial Narrow" w:hAnsi="Arial Narrow" w:cs="Arial"/>
                <w:color w:val="000000"/>
                <w:sz w:val="16"/>
                <w:szCs w:val="16"/>
              </w:rPr>
              <w:t>4,597</w:t>
            </w:r>
          </w:p>
        </w:tc>
      </w:tr>
      <w:tr w:rsidR="00E35D9E" w:rsidRPr="00D350B5" w14:paraId="68F8C889"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7E977259"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SG</w:t>
            </w:r>
          </w:p>
        </w:tc>
        <w:tc>
          <w:tcPr>
            <w:tcW w:w="0" w:type="auto"/>
            <w:tcBorders>
              <w:top w:val="nil"/>
              <w:left w:val="nil"/>
              <w:bottom w:val="nil"/>
              <w:right w:val="nil"/>
            </w:tcBorders>
            <w:shd w:val="clear" w:color="000000" w:fill="FFFFFF"/>
            <w:noWrap/>
            <w:vAlign w:val="bottom"/>
            <w:hideMark/>
          </w:tcPr>
          <w:p w14:paraId="130ABBBE" w14:textId="2CBCEA06"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1,316</w:t>
            </w:r>
          </w:p>
        </w:tc>
        <w:tc>
          <w:tcPr>
            <w:tcW w:w="0" w:type="auto"/>
            <w:tcBorders>
              <w:top w:val="nil"/>
              <w:left w:val="nil"/>
              <w:bottom w:val="nil"/>
              <w:right w:val="nil"/>
            </w:tcBorders>
            <w:shd w:val="clear" w:color="000000" w:fill="FFFFFF"/>
            <w:noWrap/>
            <w:vAlign w:val="bottom"/>
            <w:hideMark/>
          </w:tcPr>
          <w:p w14:paraId="1DD121CC" w14:textId="666AA7C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1,661</w:t>
            </w:r>
          </w:p>
        </w:tc>
        <w:tc>
          <w:tcPr>
            <w:tcW w:w="0" w:type="auto"/>
            <w:tcBorders>
              <w:top w:val="nil"/>
              <w:left w:val="nil"/>
              <w:bottom w:val="nil"/>
              <w:right w:val="nil"/>
            </w:tcBorders>
            <w:shd w:val="clear" w:color="000000" w:fill="FFFFFF"/>
            <w:noWrap/>
            <w:vAlign w:val="bottom"/>
            <w:hideMark/>
          </w:tcPr>
          <w:p w14:paraId="7B0A444E" w14:textId="24B3F8C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1,753</w:t>
            </w:r>
          </w:p>
        </w:tc>
        <w:tc>
          <w:tcPr>
            <w:tcW w:w="0" w:type="auto"/>
            <w:tcBorders>
              <w:top w:val="nil"/>
              <w:left w:val="nil"/>
              <w:bottom w:val="nil"/>
              <w:right w:val="nil"/>
            </w:tcBorders>
            <w:shd w:val="clear" w:color="000000" w:fill="FFFFFF"/>
            <w:noWrap/>
            <w:vAlign w:val="bottom"/>
            <w:hideMark/>
          </w:tcPr>
          <w:p w14:paraId="53EB6330" w14:textId="275ACE12"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1,891</w:t>
            </w:r>
          </w:p>
        </w:tc>
        <w:tc>
          <w:tcPr>
            <w:tcW w:w="0" w:type="auto"/>
            <w:tcBorders>
              <w:top w:val="nil"/>
              <w:left w:val="nil"/>
              <w:bottom w:val="nil"/>
              <w:right w:val="nil"/>
            </w:tcBorders>
            <w:shd w:val="clear" w:color="000000" w:fill="FFFFFF"/>
            <w:noWrap/>
            <w:vAlign w:val="bottom"/>
            <w:hideMark/>
          </w:tcPr>
          <w:p w14:paraId="08491636" w14:textId="61A046B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2,094</w:t>
            </w:r>
          </w:p>
        </w:tc>
        <w:tc>
          <w:tcPr>
            <w:tcW w:w="0" w:type="auto"/>
            <w:tcBorders>
              <w:top w:val="nil"/>
              <w:left w:val="nil"/>
              <w:bottom w:val="nil"/>
              <w:right w:val="nil"/>
            </w:tcBorders>
            <w:shd w:val="clear" w:color="000000" w:fill="FFFFFF"/>
            <w:noWrap/>
            <w:vAlign w:val="bottom"/>
            <w:hideMark/>
          </w:tcPr>
          <w:p w14:paraId="76E5CD10" w14:textId="5CC644A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2,287</w:t>
            </w:r>
          </w:p>
        </w:tc>
      </w:tr>
      <w:tr w:rsidR="00E35D9E" w:rsidRPr="00D350B5" w14:paraId="1F973168" w14:textId="77777777" w:rsidTr="00A91805">
        <w:trPr>
          <w:cantSplit/>
          <w:trHeight w:hRule="exact" w:val="239"/>
          <w:jc w:val="center"/>
        </w:trPr>
        <w:tc>
          <w:tcPr>
            <w:tcW w:w="0" w:type="auto"/>
            <w:tcBorders>
              <w:top w:val="nil"/>
              <w:left w:val="nil"/>
              <w:bottom w:val="nil"/>
              <w:right w:val="nil"/>
            </w:tcBorders>
            <w:shd w:val="clear" w:color="000000" w:fill="FFFFFF"/>
            <w:noWrap/>
            <w:vAlign w:val="bottom"/>
            <w:hideMark/>
          </w:tcPr>
          <w:p w14:paraId="2B321500"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TR</w:t>
            </w:r>
          </w:p>
        </w:tc>
        <w:tc>
          <w:tcPr>
            <w:tcW w:w="0" w:type="auto"/>
            <w:tcBorders>
              <w:top w:val="nil"/>
              <w:left w:val="nil"/>
              <w:bottom w:val="nil"/>
              <w:right w:val="nil"/>
            </w:tcBorders>
            <w:shd w:val="clear" w:color="000000" w:fill="FFFFFF"/>
            <w:noWrap/>
            <w:vAlign w:val="bottom"/>
            <w:hideMark/>
          </w:tcPr>
          <w:p w14:paraId="3B5C63B0" w14:textId="3D43C661"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1,616</w:t>
            </w:r>
          </w:p>
        </w:tc>
        <w:tc>
          <w:tcPr>
            <w:tcW w:w="0" w:type="auto"/>
            <w:tcBorders>
              <w:top w:val="nil"/>
              <w:left w:val="nil"/>
              <w:bottom w:val="nil"/>
              <w:right w:val="nil"/>
            </w:tcBorders>
            <w:shd w:val="clear" w:color="000000" w:fill="FFFFFF"/>
            <w:noWrap/>
            <w:vAlign w:val="bottom"/>
            <w:hideMark/>
          </w:tcPr>
          <w:p w14:paraId="626923BD" w14:textId="6C1E54A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1,740</w:t>
            </w:r>
          </w:p>
        </w:tc>
        <w:tc>
          <w:tcPr>
            <w:tcW w:w="0" w:type="auto"/>
            <w:tcBorders>
              <w:top w:val="nil"/>
              <w:left w:val="nil"/>
              <w:bottom w:val="nil"/>
              <w:right w:val="nil"/>
            </w:tcBorders>
            <w:shd w:val="clear" w:color="000000" w:fill="FFFFFF"/>
            <w:noWrap/>
            <w:vAlign w:val="bottom"/>
            <w:hideMark/>
          </w:tcPr>
          <w:p w14:paraId="768CEA77" w14:textId="62A337B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1,780</w:t>
            </w:r>
          </w:p>
        </w:tc>
        <w:tc>
          <w:tcPr>
            <w:tcW w:w="0" w:type="auto"/>
            <w:tcBorders>
              <w:top w:val="nil"/>
              <w:left w:val="nil"/>
              <w:bottom w:val="nil"/>
              <w:right w:val="nil"/>
            </w:tcBorders>
            <w:shd w:val="clear" w:color="000000" w:fill="FFFFFF"/>
            <w:noWrap/>
            <w:vAlign w:val="bottom"/>
            <w:hideMark/>
          </w:tcPr>
          <w:p w14:paraId="170BCB26" w14:textId="2A9DD47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1,971</w:t>
            </w:r>
          </w:p>
        </w:tc>
        <w:tc>
          <w:tcPr>
            <w:tcW w:w="0" w:type="auto"/>
            <w:tcBorders>
              <w:top w:val="nil"/>
              <w:left w:val="nil"/>
              <w:bottom w:val="nil"/>
              <w:right w:val="nil"/>
            </w:tcBorders>
            <w:shd w:val="clear" w:color="000000" w:fill="FFFFFF"/>
            <w:noWrap/>
            <w:vAlign w:val="bottom"/>
            <w:hideMark/>
          </w:tcPr>
          <w:p w14:paraId="3A7D2448" w14:textId="03ED3A78"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2,100</w:t>
            </w:r>
          </w:p>
        </w:tc>
        <w:tc>
          <w:tcPr>
            <w:tcW w:w="0" w:type="auto"/>
            <w:tcBorders>
              <w:top w:val="nil"/>
              <w:left w:val="nil"/>
              <w:bottom w:val="nil"/>
              <w:right w:val="nil"/>
            </w:tcBorders>
            <w:shd w:val="clear" w:color="000000" w:fill="FFFFFF"/>
            <w:noWrap/>
            <w:vAlign w:val="bottom"/>
            <w:hideMark/>
          </w:tcPr>
          <w:p w14:paraId="6DE5AFD3" w14:textId="3EE8C185"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2,231</w:t>
            </w:r>
          </w:p>
        </w:tc>
      </w:tr>
      <w:tr w:rsidR="00E35D9E" w:rsidRPr="00D350B5" w14:paraId="7137315D" w14:textId="77777777" w:rsidTr="00A91805">
        <w:trPr>
          <w:cantSplit/>
          <w:trHeight w:hRule="exact" w:val="239"/>
          <w:jc w:val="center"/>
        </w:trPr>
        <w:tc>
          <w:tcPr>
            <w:tcW w:w="0" w:type="auto"/>
            <w:tcBorders>
              <w:top w:val="nil"/>
              <w:left w:val="nil"/>
              <w:bottom w:val="single" w:sz="4" w:space="0" w:color="BFBFBF"/>
              <w:right w:val="nil"/>
            </w:tcBorders>
            <w:shd w:val="clear" w:color="000000" w:fill="FFFFFF"/>
            <w:noWrap/>
            <w:vAlign w:val="bottom"/>
            <w:hideMark/>
          </w:tcPr>
          <w:p w14:paraId="064F3116" w14:textId="77777777" w:rsidR="00E35D9E" w:rsidRPr="006B090D" w:rsidRDefault="00E35D9E" w:rsidP="00E35D9E">
            <w:pPr>
              <w:spacing w:after="60"/>
              <w:jc w:val="center"/>
              <w:rPr>
                <w:rFonts w:ascii="Arial Narrow" w:hAnsi="Arial Narrow"/>
                <w:color w:val="000000"/>
                <w:sz w:val="16"/>
                <w:szCs w:val="16"/>
              </w:rPr>
            </w:pPr>
            <w:r w:rsidRPr="006B090D">
              <w:rPr>
                <w:rFonts w:ascii="Arial Narrow" w:hAnsi="Arial Narrow" w:cs="Arial"/>
                <w:color w:val="000000"/>
                <w:sz w:val="16"/>
                <w:szCs w:val="16"/>
              </w:rPr>
              <w:t>US</w:t>
            </w:r>
          </w:p>
        </w:tc>
        <w:tc>
          <w:tcPr>
            <w:tcW w:w="0" w:type="auto"/>
            <w:tcBorders>
              <w:top w:val="nil"/>
              <w:left w:val="nil"/>
              <w:bottom w:val="single" w:sz="4" w:space="0" w:color="BFBFBF"/>
              <w:right w:val="nil"/>
            </w:tcBorders>
            <w:shd w:val="clear" w:color="000000" w:fill="FFFFFF"/>
            <w:noWrap/>
            <w:vAlign w:val="bottom"/>
            <w:hideMark/>
          </w:tcPr>
          <w:p w14:paraId="271AC55A" w14:textId="0254E070"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58,431</w:t>
            </w:r>
          </w:p>
        </w:tc>
        <w:tc>
          <w:tcPr>
            <w:tcW w:w="0" w:type="auto"/>
            <w:tcBorders>
              <w:top w:val="nil"/>
              <w:left w:val="nil"/>
              <w:bottom w:val="single" w:sz="4" w:space="0" w:color="BFBFBF"/>
              <w:right w:val="nil"/>
            </w:tcBorders>
            <w:shd w:val="clear" w:color="000000" w:fill="FFFFFF"/>
            <w:noWrap/>
            <w:vAlign w:val="bottom"/>
            <w:hideMark/>
          </w:tcPr>
          <w:p w14:paraId="4911D58D" w14:textId="0D32E95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59,405</w:t>
            </w:r>
          </w:p>
        </w:tc>
        <w:tc>
          <w:tcPr>
            <w:tcW w:w="0" w:type="auto"/>
            <w:tcBorders>
              <w:top w:val="nil"/>
              <w:left w:val="nil"/>
              <w:bottom w:val="single" w:sz="4" w:space="0" w:color="BFBFBF"/>
              <w:right w:val="nil"/>
            </w:tcBorders>
            <w:shd w:val="clear" w:color="000000" w:fill="FFFFFF"/>
            <w:noWrap/>
            <w:vAlign w:val="bottom"/>
            <w:hideMark/>
          </w:tcPr>
          <w:p w14:paraId="4C3A637B" w14:textId="752EF22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58,762</w:t>
            </w:r>
          </w:p>
        </w:tc>
        <w:tc>
          <w:tcPr>
            <w:tcW w:w="0" w:type="auto"/>
            <w:tcBorders>
              <w:top w:val="nil"/>
              <w:left w:val="nil"/>
              <w:bottom w:val="single" w:sz="4" w:space="0" w:color="BFBFBF"/>
              <w:right w:val="nil"/>
            </w:tcBorders>
            <w:shd w:val="clear" w:color="000000" w:fill="FFFFFF"/>
            <w:noWrap/>
            <w:vAlign w:val="bottom"/>
            <w:hideMark/>
          </w:tcPr>
          <w:p w14:paraId="770736AE" w14:textId="250D4F9A"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58,328</w:t>
            </w:r>
          </w:p>
        </w:tc>
        <w:tc>
          <w:tcPr>
            <w:tcW w:w="0" w:type="auto"/>
            <w:tcBorders>
              <w:top w:val="nil"/>
              <w:left w:val="nil"/>
              <w:bottom w:val="single" w:sz="4" w:space="0" w:color="BFBFBF"/>
              <w:right w:val="nil"/>
            </w:tcBorders>
            <w:shd w:val="clear" w:color="000000" w:fill="FFFFFF"/>
            <w:noWrap/>
            <w:vAlign w:val="bottom"/>
            <w:hideMark/>
          </w:tcPr>
          <w:p w14:paraId="6AC9989C" w14:textId="0AB3988C"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59,055</w:t>
            </w:r>
          </w:p>
        </w:tc>
        <w:tc>
          <w:tcPr>
            <w:tcW w:w="0" w:type="auto"/>
            <w:tcBorders>
              <w:top w:val="nil"/>
              <w:left w:val="nil"/>
              <w:bottom w:val="single" w:sz="4" w:space="0" w:color="BFBFBF"/>
              <w:right w:val="nil"/>
            </w:tcBorders>
            <w:shd w:val="clear" w:color="000000" w:fill="FFFFFF"/>
            <w:noWrap/>
            <w:vAlign w:val="bottom"/>
            <w:hideMark/>
          </w:tcPr>
          <w:p w14:paraId="52F08BFC" w14:textId="26EFDEEB" w:rsidR="00E35D9E" w:rsidRPr="006B090D"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59,433</w:t>
            </w:r>
          </w:p>
        </w:tc>
      </w:tr>
    </w:tbl>
    <w:p w14:paraId="6D6DAF6C" w14:textId="77777777" w:rsidR="00257BA3" w:rsidRDefault="00257BA3" w:rsidP="00257BA3">
      <w:pPr>
        <w:spacing w:after="0" w:line="240" w:lineRule="auto"/>
        <w:ind w:left="720" w:firstLine="720"/>
        <w:rPr>
          <w:rFonts w:eastAsia="Arial"/>
          <w:i/>
          <w:sz w:val="10"/>
        </w:rPr>
      </w:pPr>
      <w:r>
        <w:rPr>
          <w:rFonts w:eastAsia="Arial"/>
          <w:i/>
          <w:sz w:val="10"/>
        </w:rPr>
        <w:t xml:space="preserve">     </w:t>
      </w:r>
    </w:p>
    <w:p w14:paraId="23EFBF24" w14:textId="7B837AE2" w:rsidR="00257BA3" w:rsidRDefault="00257BA3" w:rsidP="00257BA3">
      <w:pPr>
        <w:spacing w:after="0" w:line="276" w:lineRule="auto"/>
        <w:ind w:left="720" w:firstLine="720"/>
        <w:rPr>
          <w:rFonts w:eastAsia="Arial"/>
          <w:i/>
          <w:sz w:val="10"/>
        </w:rPr>
      </w:pPr>
      <w:r>
        <w:rPr>
          <w:rFonts w:eastAsia="Arial"/>
          <w:i/>
          <w:sz w:val="10"/>
        </w:rPr>
        <w:t xml:space="preserve">     </w:t>
      </w:r>
    </w:p>
    <w:p w14:paraId="3F849A20" w14:textId="77777777" w:rsidR="00257BA3" w:rsidRPr="00D350B5" w:rsidRDefault="00257BA3" w:rsidP="00257BA3">
      <w:pPr>
        <w:spacing w:after="0" w:line="276" w:lineRule="auto"/>
        <w:rPr>
          <w:rFonts w:eastAsia="Arial"/>
        </w:rPr>
      </w:pPr>
    </w:p>
    <w:p w14:paraId="5D19937E" w14:textId="77777777" w:rsidR="00257BA3" w:rsidRPr="00C75948" w:rsidRDefault="00257BA3" w:rsidP="00257BA3">
      <w:pPr>
        <w:rPr>
          <w:rFonts w:ascii="Arial Bold" w:hAnsi="Arial Bold"/>
          <w:color w:val="005172" w:themeColor="accent1"/>
        </w:rPr>
      </w:pPr>
      <w:r w:rsidRPr="00C75948">
        <w:rPr>
          <w:rFonts w:ascii="Arial Bold" w:hAnsi="Arial Bold"/>
          <w:color w:val="005172" w:themeColor="accent1"/>
        </w:rPr>
        <w:t>Use of Electronic Filing Methods</w:t>
      </w:r>
    </w:p>
    <w:p w14:paraId="393C28C2" w14:textId="77777777" w:rsidR="00257BA3" w:rsidRDefault="00257BA3" w:rsidP="008407D7">
      <w:pPr>
        <w:pStyle w:val="NormalNumb"/>
        <w:numPr>
          <w:ilvl w:val="4"/>
          <w:numId w:val="23"/>
        </w:numPr>
        <w:tabs>
          <w:tab w:val="left" w:pos="8505"/>
        </w:tabs>
      </w:pPr>
      <w:r w:rsidRPr="00D350B5">
        <w:t xml:space="preserve">The estimated use of electronic filing methods (PDF or XML), as a percentage of total filings, is illustrated in Chart 2 below.  </w:t>
      </w:r>
      <w:r>
        <w:t>U</w:t>
      </w:r>
      <w:r w:rsidRPr="00D350B5">
        <w:t xml:space="preserve">tilization of electronic filing </w:t>
      </w:r>
      <w:r>
        <w:t xml:space="preserve">remains stable at </w:t>
      </w:r>
      <w:r w:rsidRPr="00D350B5">
        <w:t>9</w:t>
      </w:r>
      <w:r>
        <w:t>7.5</w:t>
      </w:r>
      <w:r w:rsidRPr="00D350B5">
        <w:t xml:space="preserve"> per cent of total filings </w:t>
      </w:r>
      <w:r>
        <w:t>i</w:t>
      </w:r>
      <w:r w:rsidRPr="00D350B5">
        <w:t>n 20</w:t>
      </w:r>
      <w:r>
        <w:t>22</w:t>
      </w:r>
      <w:r w:rsidRPr="00D350B5">
        <w:t xml:space="preserve">. </w:t>
      </w:r>
    </w:p>
    <w:p w14:paraId="53F4681A" w14:textId="77777777" w:rsidR="00257BA3" w:rsidRDefault="00257BA3" w:rsidP="00257BA3">
      <w:pPr>
        <w:spacing w:after="200" w:line="276" w:lineRule="auto"/>
      </w:pPr>
      <w:r>
        <w:br w:type="page"/>
      </w:r>
    </w:p>
    <w:p w14:paraId="624A8E2D" w14:textId="31394C0F" w:rsidR="00257BA3" w:rsidRDefault="00257BA3" w:rsidP="00257BA3">
      <w:pPr>
        <w:keepNext/>
        <w:keepLines/>
        <w:spacing w:before="240" w:after="60"/>
        <w:jc w:val="center"/>
        <w:rPr>
          <w:rFonts w:eastAsia="Arial"/>
          <w:b/>
          <w:color w:val="005172"/>
          <w:szCs w:val="20"/>
        </w:rPr>
      </w:pPr>
      <w:r w:rsidRPr="00D350B5">
        <w:rPr>
          <w:rFonts w:eastAsia="Arial"/>
          <w:b/>
          <w:color w:val="005172"/>
        </w:rPr>
        <w:t xml:space="preserve">Chart 2. </w:t>
      </w:r>
      <w:r w:rsidRPr="00D350B5">
        <w:rPr>
          <w:rFonts w:eastAsia="Arial"/>
          <w:b/>
          <w:color w:val="005172"/>
          <w:szCs w:val="20"/>
        </w:rPr>
        <w:t>Use of Electronic Filing Methods (EASY, PDF or XML)</w:t>
      </w:r>
      <w:r w:rsidRPr="00D350B5">
        <w:rPr>
          <w:rFonts w:eastAsia="Arial"/>
          <w:b/>
          <w:color w:val="005172"/>
          <w:szCs w:val="20"/>
        </w:rPr>
        <w:br/>
        <w:t xml:space="preserve">as a Percentage of Total Filings </w:t>
      </w:r>
      <w:r w:rsidRPr="00D350B5">
        <w:rPr>
          <w:rFonts w:eastAsia="Arial"/>
          <w:b/>
          <w:color w:val="005172"/>
        </w:rPr>
        <w:t>20</w:t>
      </w:r>
      <w:r>
        <w:rPr>
          <w:rFonts w:eastAsia="Arial"/>
          <w:b/>
          <w:color w:val="005172"/>
        </w:rPr>
        <w:t>20</w:t>
      </w:r>
      <w:r w:rsidRPr="00D350B5">
        <w:rPr>
          <w:rFonts w:eastAsia="Arial"/>
          <w:b/>
          <w:color w:val="005172"/>
          <w:szCs w:val="20"/>
        </w:rPr>
        <w:t xml:space="preserve"> to 202</w:t>
      </w:r>
      <w:r>
        <w:rPr>
          <w:rFonts w:eastAsia="Arial"/>
          <w:b/>
          <w:color w:val="005172"/>
          <w:szCs w:val="20"/>
        </w:rPr>
        <w:t>5</w:t>
      </w:r>
    </w:p>
    <w:p w14:paraId="613D414B" w14:textId="11BD0126" w:rsidR="00257BA3" w:rsidRPr="00821BE7" w:rsidRDefault="00E35D9E" w:rsidP="00821BE7">
      <w:pPr>
        <w:keepNext/>
        <w:keepLines/>
        <w:spacing w:before="240" w:after="60"/>
        <w:jc w:val="center"/>
        <w:rPr>
          <w:rFonts w:eastAsia="Arial"/>
          <w:b/>
          <w:color w:val="005172"/>
          <w:szCs w:val="20"/>
        </w:rPr>
      </w:pPr>
      <w:r>
        <w:rPr>
          <w:noProof/>
          <w:lang w:val="en-US"/>
        </w:rPr>
        <w:drawing>
          <wp:inline distT="0" distB="0" distL="0" distR="0" wp14:anchorId="3B019ED5" wp14:editId="34DF458F">
            <wp:extent cx="4229100" cy="2483427"/>
            <wp:effectExtent l="0" t="0" r="0" b="0"/>
            <wp:docPr id="917" name="Chart 9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bl>
      <w:tblPr>
        <w:tblW w:w="6989" w:type="dxa"/>
        <w:jc w:val="center"/>
        <w:tblLook w:val="04A0" w:firstRow="1" w:lastRow="0" w:firstColumn="1" w:lastColumn="0" w:noHBand="0" w:noVBand="1"/>
      </w:tblPr>
      <w:tblGrid>
        <w:gridCol w:w="1577"/>
        <w:gridCol w:w="902"/>
        <w:gridCol w:w="902"/>
        <w:gridCol w:w="902"/>
        <w:gridCol w:w="902"/>
        <w:gridCol w:w="902"/>
        <w:gridCol w:w="902"/>
      </w:tblGrid>
      <w:tr w:rsidR="00257BA3" w:rsidRPr="007C3442" w14:paraId="02F0D032" w14:textId="77777777" w:rsidTr="00A91805">
        <w:trPr>
          <w:trHeight w:val="259"/>
          <w:jc w:val="center"/>
        </w:trPr>
        <w:tc>
          <w:tcPr>
            <w:tcW w:w="1577" w:type="dxa"/>
            <w:shd w:val="clear" w:color="auto" w:fill="C6CFD7" w:themeFill="accent3" w:themeFillTint="66"/>
            <w:noWrap/>
            <w:hideMark/>
          </w:tcPr>
          <w:p w14:paraId="05FEB823" w14:textId="77777777" w:rsidR="00257BA3" w:rsidRPr="00D350B5" w:rsidRDefault="00257BA3" w:rsidP="00A91805">
            <w:pPr>
              <w:spacing w:after="60"/>
              <w:jc w:val="center"/>
              <w:rPr>
                <w:rFonts w:ascii="Arial Narrow" w:hAnsi="Arial Narrow"/>
                <w:color w:val="000000"/>
                <w:sz w:val="16"/>
                <w:szCs w:val="16"/>
              </w:rPr>
            </w:pPr>
            <w:r w:rsidRPr="00D350B5">
              <w:rPr>
                <w:rFonts w:ascii="Arial Narrow" w:hAnsi="Arial Narrow"/>
                <w:color w:val="000000"/>
                <w:sz w:val="16"/>
                <w:szCs w:val="16"/>
              </w:rPr>
              <w:t> </w:t>
            </w:r>
          </w:p>
        </w:tc>
        <w:tc>
          <w:tcPr>
            <w:tcW w:w="902" w:type="dxa"/>
            <w:tcBorders>
              <w:top w:val="nil"/>
              <w:left w:val="nil"/>
              <w:right w:val="nil"/>
            </w:tcBorders>
            <w:shd w:val="clear" w:color="000000" w:fill="C7CFD8"/>
            <w:noWrap/>
            <w:vAlign w:val="bottom"/>
            <w:hideMark/>
          </w:tcPr>
          <w:p w14:paraId="17EABAAF"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902" w:type="dxa"/>
            <w:tcBorders>
              <w:top w:val="nil"/>
              <w:left w:val="nil"/>
              <w:right w:val="nil"/>
            </w:tcBorders>
            <w:shd w:val="clear" w:color="000000" w:fill="C7CFD8"/>
            <w:noWrap/>
            <w:vAlign w:val="bottom"/>
            <w:hideMark/>
          </w:tcPr>
          <w:p w14:paraId="2308863F"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902" w:type="dxa"/>
            <w:tcBorders>
              <w:top w:val="nil"/>
              <w:left w:val="nil"/>
              <w:right w:val="nil"/>
            </w:tcBorders>
            <w:shd w:val="clear" w:color="000000" w:fill="C7CFD8"/>
            <w:noWrap/>
            <w:vAlign w:val="bottom"/>
            <w:hideMark/>
          </w:tcPr>
          <w:p w14:paraId="1912DAFB"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902" w:type="dxa"/>
            <w:tcBorders>
              <w:top w:val="nil"/>
              <w:left w:val="nil"/>
              <w:right w:val="nil"/>
            </w:tcBorders>
            <w:shd w:val="clear" w:color="000000" w:fill="C7CFD8"/>
            <w:noWrap/>
            <w:vAlign w:val="bottom"/>
            <w:hideMark/>
          </w:tcPr>
          <w:p w14:paraId="03679C97"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38EEF252"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c>
          <w:tcPr>
            <w:tcW w:w="902" w:type="dxa"/>
            <w:tcBorders>
              <w:top w:val="nil"/>
              <w:left w:val="nil"/>
              <w:right w:val="nil"/>
            </w:tcBorders>
            <w:shd w:val="clear" w:color="000000" w:fill="C7CFD8"/>
            <w:noWrap/>
            <w:vAlign w:val="bottom"/>
            <w:hideMark/>
          </w:tcPr>
          <w:p w14:paraId="41D306BC"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57B6370F"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902" w:type="dxa"/>
            <w:tcBorders>
              <w:top w:val="nil"/>
              <w:left w:val="nil"/>
              <w:right w:val="nil"/>
            </w:tcBorders>
            <w:shd w:val="clear" w:color="000000" w:fill="C7CFD8"/>
            <w:noWrap/>
            <w:vAlign w:val="bottom"/>
            <w:hideMark/>
          </w:tcPr>
          <w:p w14:paraId="046B0F59"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1A387518" w14:textId="77777777" w:rsidR="00257BA3" w:rsidRPr="007C344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E35D9E" w:rsidRPr="00D350B5" w14:paraId="623B6E54" w14:textId="77777777" w:rsidTr="002356E0">
        <w:trPr>
          <w:trHeight w:val="259"/>
          <w:jc w:val="center"/>
        </w:trPr>
        <w:tc>
          <w:tcPr>
            <w:tcW w:w="1577" w:type="dxa"/>
            <w:tcBorders>
              <w:top w:val="single" w:sz="4" w:space="0" w:color="BFBFBF"/>
              <w:left w:val="nil"/>
              <w:bottom w:val="nil"/>
              <w:right w:val="nil"/>
            </w:tcBorders>
            <w:shd w:val="clear" w:color="000000" w:fill="FFFFFF"/>
            <w:noWrap/>
            <w:vAlign w:val="bottom"/>
            <w:hideMark/>
          </w:tcPr>
          <w:p w14:paraId="6B6FC3A9" w14:textId="77777777" w:rsidR="00E35D9E" w:rsidRPr="00E855C9" w:rsidRDefault="00E35D9E" w:rsidP="00E35D9E">
            <w:pPr>
              <w:spacing w:after="60"/>
              <w:rPr>
                <w:rFonts w:ascii="Arial Narrow" w:hAnsi="Arial Narrow"/>
                <w:color w:val="000000"/>
                <w:sz w:val="16"/>
                <w:szCs w:val="16"/>
              </w:rPr>
            </w:pPr>
            <w:r w:rsidRPr="00E855C9">
              <w:rPr>
                <w:rFonts w:ascii="Arial Narrow" w:hAnsi="Arial Narrow" w:cs="Arial"/>
                <w:color w:val="000000"/>
                <w:sz w:val="16"/>
                <w:szCs w:val="18"/>
              </w:rPr>
              <w:t>Paper</w:t>
            </w:r>
          </w:p>
        </w:tc>
        <w:tc>
          <w:tcPr>
            <w:tcW w:w="902" w:type="dxa"/>
            <w:tcBorders>
              <w:top w:val="single" w:sz="4" w:space="0" w:color="BFBFBF"/>
              <w:left w:val="nil"/>
              <w:bottom w:val="nil"/>
              <w:right w:val="nil"/>
            </w:tcBorders>
            <w:shd w:val="clear" w:color="000000" w:fill="FFFFFF"/>
            <w:noWrap/>
            <w:vAlign w:val="bottom"/>
          </w:tcPr>
          <w:p w14:paraId="39B21EC3" w14:textId="45022D6F"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w:t>
            </w:r>
          </w:p>
        </w:tc>
        <w:tc>
          <w:tcPr>
            <w:tcW w:w="902" w:type="dxa"/>
            <w:tcBorders>
              <w:top w:val="single" w:sz="4" w:space="0" w:color="BFBFBF"/>
              <w:left w:val="nil"/>
              <w:bottom w:val="nil"/>
              <w:right w:val="nil"/>
            </w:tcBorders>
            <w:shd w:val="clear" w:color="000000" w:fill="FFFFFF"/>
            <w:noWrap/>
            <w:vAlign w:val="bottom"/>
          </w:tcPr>
          <w:p w14:paraId="0152ECB2" w14:textId="7F95E3D8"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w:t>
            </w:r>
          </w:p>
        </w:tc>
        <w:tc>
          <w:tcPr>
            <w:tcW w:w="902" w:type="dxa"/>
            <w:tcBorders>
              <w:top w:val="single" w:sz="4" w:space="0" w:color="BFBFBF"/>
              <w:left w:val="nil"/>
              <w:bottom w:val="nil"/>
              <w:right w:val="nil"/>
            </w:tcBorders>
            <w:shd w:val="clear" w:color="000000" w:fill="FFFFFF"/>
            <w:noWrap/>
            <w:vAlign w:val="bottom"/>
          </w:tcPr>
          <w:p w14:paraId="654F1193" w14:textId="3452E495"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w:t>
            </w:r>
          </w:p>
        </w:tc>
        <w:tc>
          <w:tcPr>
            <w:tcW w:w="902" w:type="dxa"/>
            <w:tcBorders>
              <w:top w:val="single" w:sz="4" w:space="0" w:color="BFBFBF"/>
              <w:left w:val="nil"/>
              <w:bottom w:val="nil"/>
              <w:right w:val="nil"/>
            </w:tcBorders>
            <w:shd w:val="clear" w:color="000000" w:fill="FFFFFF"/>
            <w:noWrap/>
            <w:vAlign w:val="bottom"/>
          </w:tcPr>
          <w:p w14:paraId="256214FD" w14:textId="6B17FF91"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w:t>
            </w:r>
          </w:p>
        </w:tc>
        <w:tc>
          <w:tcPr>
            <w:tcW w:w="902" w:type="dxa"/>
            <w:tcBorders>
              <w:top w:val="single" w:sz="4" w:space="0" w:color="BFBFBF"/>
              <w:left w:val="nil"/>
              <w:bottom w:val="nil"/>
              <w:right w:val="nil"/>
            </w:tcBorders>
            <w:shd w:val="clear" w:color="000000" w:fill="FFFFFF"/>
            <w:noWrap/>
            <w:vAlign w:val="bottom"/>
          </w:tcPr>
          <w:p w14:paraId="3ECBF205" w14:textId="12B45CE8"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2.5%</w:t>
            </w:r>
          </w:p>
        </w:tc>
        <w:tc>
          <w:tcPr>
            <w:tcW w:w="902" w:type="dxa"/>
            <w:tcBorders>
              <w:top w:val="single" w:sz="4" w:space="0" w:color="BFBFBF"/>
              <w:left w:val="nil"/>
              <w:bottom w:val="nil"/>
              <w:right w:val="nil"/>
            </w:tcBorders>
            <w:shd w:val="clear" w:color="000000" w:fill="FFFFFF"/>
            <w:noWrap/>
            <w:vAlign w:val="bottom"/>
          </w:tcPr>
          <w:p w14:paraId="311087ED" w14:textId="2C5CF43E"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2.4%</w:t>
            </w:r>
          </w:p>
        </w:tc>
      </w:tr>
      <w:tr w:rsidR="00E35D9E" w:rsidRPr="00D350B5" w14:paraId="3B82E4CE" w14:textId="77777777" w:rsidTr="002356E0">
        <w:trPr>
          <w:trHeight w:val="259"/>
          <w:jc w:val="center"/>
        </w:trPr>
        <w:tc>
          <w:tcPr>
            <w:tcW w:w="1577" w:type="dxa"/>
            <w:tcBorders>
              <w:top w:val="nil"/>
              <w:left w:val="nil"/>
              <w:right w:val="nil"/>
            </w:tcBorders>
            <w:shd w:val="clear" w:color="000000" w:fill="FFFFFF"/>
            <w:noWrap/>
            <w:vAlign w:val="bottom"/>
            <w:hideMark/>
          </w:tcPr>
          <w:p w14:paraId="1D04878D" w14:textId="77777777" w:rsidR="00E35D9E" w:rsidRPr="00E855C9" w:rsidRDefault="00E35D9E" w:rsidP="00E35D9E">
            <w:pPr>
              <w:spacing w:after="60"/>
              <w:rPr>
                <w:rFonts w:ascii="Arial Narrow" w:hAnsi="Arial Narrow"/>
                <w:color w:val="000000"/>
                <w:sz w:val="16"/>
                <w:szCs w:val="16"/>
              </w:rPr>
            </w:pPr>
            <w:r w:rsidRPr="00E855C9">
              <w:rPr>
                <w:rFonts w:ascii="Arial Narrow" w:hAnsi="Arial Narrow" w:cs="Arial"/>
                <w:color w:val="000000"/>
                <w:sz w:val="16"/>
                <w:szCs w:val="18"/>
              </w:rPr>
              <w:t>PDF</w:t>
            </w:r>
          </w:p>
        </w:tc>
        <w:tc>
          <w:tcPr>
            <w:tcW w:w="902" w:type="dxa"/>
            <w:tcBorders>
              <w:top w:val="nil"/>
              <w:left w:val="nil"/>
              <w:right w:val="nil"/>
            </w:tcBorders>
            <w:shd w:val="clear" w:color="000000" w:fill="FFFFFF"/>
            <w:noWrap/>
            <w:vAlign w:val="bottom"/>
          </w:tcPr>
          <w:p w14:paraId="51D0E970" w14:textId="0512BEB3"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69.8%</w:t>
            </w:r>
          </w:p>
        </w:tc>
        <w:tc>
          <w:tcPr>
            <w:tcW w:w="902" w:type="dxa"/>
            <w:tcBorders>
              <w:top w:val="nil"/>
              <w:left w:val="nil"/>
              <w:right w:val="nil"/>
            </w:tcBorders>
            <w:shd w:val="clear" w:color="000000" w:fill="FFFFFF"/>
            <w:noWrap/>
            <w:vAlign w:val="bottom"/>
          </w:tcPr>
          <w:p w14:paraId="569856E3" w14:textId="3B2A9A24"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70.6%</w:t>
            </w:r>
          </w:p>
        </w:tc>
        <w:tc>
          <w:tcPr>
            <w:tcW w:w="902" w:type="dxa"/>
            <w:tcBorders>
              <w:top w:val="nil"/>
              <w:left w:val="nil"/>
              <w:right w:val="nil"/>
            </w:tcBorders>
            <w:shd w:val="clear" w:color="000000" w:fill="FFFFFF"/>
            <w:noWrap/>
            <w:vAlign w:val="bottom"/>
          </w:tcPr>
          <w:p w14:paraId="2D4A1D34" w14:textId="6C682AFF"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70.6%</w:t>
            </w:r>
          </w:p>
        </w:tc>
        <w:tc>
          <w:tcPr>
            <w:tcW w:w="902" w:type="dxa"/>
            <w:tcBorders>
              <w:top w:val="nil"/>
              <w:left w:val="nil"/>
              <w:right w:val="nil"/>
            </w:tcBorders>
            <w:shd w:val="clear" w:color="000000" w:fill="FFFFFF"/>
            <w:noWrap/>
            <w:vAlign w:val="bottom"/>
          </w:tcPr>
          <w:p w14:paraId="0F4F2C76" w14:textId="73466342"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69.7%</w:t>
            </w:r>
          </w:p>
        </w:tc>
        <w:tc>
          <w:tcPr>
            <w:tcW w:w="902" w:type="dxa"/>
            <w:tcBorders>
              <w:top w:val="nil"/>
              <w:left w:val="nil"/>
              <w:right w:val="nil"/>
            </w:tcBorders>
            <w:shd w:val="clear" w:color="000000" w:fill="FFFFFF"/>
            <w:noWrap/>
            <w:vAlign w:val="bottom"/>
          </w:tcPr>
          <w:p w14:paraId="6B6952CD" w14:textId="6E5AC718"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70.1%</w:t>
            </w:r>
          </w:p>
        </w:tc>
        <w:tc>
          <w:tcPr>
            <w:tcW w:w="902" w:type="dxa"/>
            <w:tcBorders>
              <w:top w:val="nil"/>
              <w:left w:val="nil"/>
              <w:right w:val="nil"/>
            </w:tcBorders>
            <w:shd w:val="clear" w:color="000000" w:fill="FFFFFF"/>
            <w:noWrap/>
            <w:vAlign w:val="bottom"/>
          </w:tcPr>
          <w:p w14:paraId="429A7B8F" w14:textId="2B94E81E"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70.2%</w:t>
            </w:r>
          </w:p>
        </w:tc>
      </w:tr>
      <w:tr w:rsidR="00E35D9E" w:rsidRPr="00D350B5" w14:paraId="46C4F9FC" w14:textId="77777777" w:rsidTr="002356E0">
        <w:trPr>
          <w:trHeight w:val="259"/>
          <w:jc w:val="center"/>
        </w:trPr>
        <w:tc>
          <w:tcPr>
            <w:tcW w:w="1577" w:type="dxa"/>
            <w:tcBorders>
              <w:top w:val="nil"/>
              <w:left w:val="nil"/>
              <w:bottom w:val="single" w:sz="4" w:space="0" w:color="BFBFBF" w:themeColor="background1" w:themeShade="BF"/>
              <w:right w:val="nil"/>
            </w:tcBorders>
            <w:shd w:val="clear" w:color="000000" w:fill="FFFFFF"/>
            <w:noWrap/>
            <w:vAlign w:val="bottom"/>
            <w:hideMark/>
          </w:tcPr>
          <w:p w14:paraId="27909418" w14:textId="77777777" w:rsidR="00E35D9E" w:rsidRPr="00E855C9" w:rsidRDefault="00E35D9E" w:rsidP="00E35D9E">
            <w:pPr>
              <w:spacing w:after="60"/>
              <w:rPr>
                <w:rFonts w:ascii="Arial Narrow" w:hAnsi="Arial Narrow"/>
                <w:color w:val="000000"/>
                <w:sz w:val="16"/>
                <w:szCs w:val="16"/>
              </w:rPr>
            </w:pPr>
            <w:r w:rsidRPr="00E855C9">
              <w:rPr>
                <w:rFonts w:ascii="Arial Narrow" w:hAnsi="Arial Narrow" w:cs="Arial"/>
                <w:color w:val="000000"/>
                <w:sz w:val="16"/>
                <w:szCs w:val="18"/>
              </w:rPr>
              <w:t>XML</w:t>
            </w:r>
          </w:p>
        </w:tc>
        <w:tc>
          <w:tcPr>
            <w:tcW w:w="902" w:type="dxa"/>
            <w:tcBorders>
              <w:top w:val="nil"/>
              <w:left w:val="nil"/>
              <w:bottom w:val="single" w:sz="4" w:space="0" w:color="BFBFBF" w:themeColor="background1" w:themeShade="BF"/>
              <w:right w:val="nil"/>
            </w:tcBorders>
            <w:shd w:val="clear" w:color="000000" w:fill="FFFFFF"/>
            <w:noWrap/>
            <w:vAlign w:val="bottom"/>
          </w:tcPr>
          <w:p w14:paraId="708E2DB7" w14:textId="0A999F3E"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27.6%</w:t>
            </w:r>
          </w:p>
        </w:tc>
        <w:tc>
          <w:tcPr>
            <w:tcW w:w="902" w:type="dxa"/>
            <w:tcBorders>
              <w:top w:val="nil"/>
              <w:left w:val="nil"/>
              <w:bottom w:val="single" w:sz="4" w:space="0" w:color="BFBFBF" w:themeColor="background1" w:themeShade="BF"/>
              <w:right w:val="nil"/>
            </w:tcBorders>
            <w:shd w:val="clear" w:color="000000" w:fill="FFFFFF"/>
            <w:noWrap/>
            <w:vAlign w:val="bottom"/>
          </w:tcPr>
          <w:p w14:paraId="197CACE2" w14:textId="427EC6EB"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26.9%</w:t>
            </w:r>
          </w:p>
        </w:tc>
        <w:tc>
          <w:tcPr>
            <w:tcW w:w="902" w:type="dxa"/>
            <w:tcBorders>
              <w:top w:val="nil"/>
              <w:left w:val="nil"/>
              <w:bottom w:val="single" w:sz="4" w:space="0" w:color="BFBFBF" w:themeColor="background1" w:themeShade="BF"/>
              <w:right w:val="nil"/>
            </w:tcBorders>
            <w:shd w:val="clear" w:color="000000" w:fill="FFFFFF"/>
            <w:noWrap/>
            <w:vAlign w:val="bottom"/>
          </w:tcPr>
          <w:p w14:paraId="5F01270D" w14:textId="14A20475"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26.9%</w:t>
            </w:r>
          </w:p>
        </w:tc>
        <w:tc>
          <w:tcPr>
            <w:tcW w:w="902" w:type="dxa"/>
            <w:tcBorders>
              <w:top w:val="nil"/>
              <w:left w:val="nil"/>
              <w:bottom w:val="single" w:sz="4" w:space="0" w:color="BFBFBF" w:themeColor="background1" w:themeShade="BF"/>
              <w:right w:val="nil"/>
            </w:tcBorders>
            <w:shd w:val="clear" w:color="000000" w:fill="FFFFFF"/>
            <w:noWrap/>
            <w:vAlign w:val="bottom"/>
          </w:tcPr>
          <w:p w14:paraId="4A440C77" w14:textId="2691C33D"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27.8%</w:t>
            </w:r>
          </w:p>
        </w:tc>
        <w:tc>
          <w:tcPr>
            <w:tcW w:w="902" w:type="dxa"/>
            <w:tcBorders>
              <w:top w:val="nil"/>
              <w:left w:val="nil"/>
              <w:bottom w:val="single" w:sz="4" w:space="0" w:color="BFBFBF" w:themeColor="background1" w:themeShade="BF"/>
              <w:right w:val="nil"/>
            </w:tcBorders>
            <w:shd w:val="clear" w:color="000000" w:fill="FFFFFF"/>
            <w:noWrap/>
            <w:vAlign w:val="bottom"/>
          </w:tcPr>
          <w:p w14:paraId="2F9F1CE7" w14:textId="40FBC09E"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27.5%</w:t>
            </w:r>
          </w:p>
        </w:tc>
        <w:tc>
          <w:tcPr>
            <w:tcW w:w="902" w:type="dxa"/>
            <w:tcBorders>
              <w:top w:val="nil"/>
              <w:left w:val="nil"/>
              <w:bottom w:val="single" w:sz="4" w:space="0" w:color="BFBFBF" w:themeColor="background1" w:themeShade="BF"/>
              <w:right w:val="nil"/>
            </w:tcBorders>
            <w:shd w:val="clear" w:color="000000" w:fill="FFFFFF"/>
            <w:noWrap/>
            <w:vAlign w:val="bottom"/>
          </w:tcPr>
          <w:p w14:paraId="0624A46F" w14:textId="151955DA" w:rsidR="00E35D9E" w:rsidRPr="00E855C9" w:rsidRDefault="00E35D9E" w:rsidP="00E35D9E">
            <w:pPr>
              <w:spacing w:after="60"/>
              <w:jc w:val="right"/>
              <w:rPr>
                <w:rFonts w:ascii="Arial Narrow" w:hAnsi="Arial Narrow"/>
                <w:color w:val="000000"/>
                <w:sz w:val="16"/>
                <w:szCs w:val="16"/>
              </w:rPr>
            </w:pPr>
            <w:r>
              <w:rPr>
                <w:rFonts w:ascii="Arial Narrow" w:hAnsi="Arial Narrow" w:cs="Arial"/>
                <w:color w:val="000000"/>
                <w:sz w:val="16"/>
                <w:szCs w:val="16"/>
              </w:rPr>
              <w:t>27.4%</w:t>
            </w:r>
          </w:p>
        </w:tc>
      </w:tr>
      <w:tr w:rsidR="00257BA3" w:rsidRPr="00D350B5" w14:paraId="10FE61C4" w14:textId="77777777" w:rsidTr="00A91805">
        <w:trPr>
          <w:trHeight w:val="259"/>
          <w:jc w:val="center"/>
        </w:trPr>
        <w:tc>
          <w:tcPr>
            <w:tcW w:w="5185" w:type="dxa"/>
            <w:gridSpan w:val="5"/>
            <w:tcBorders>
              <w:top w:val="single" w:sz="4" w:space="0" w:color="BFBFBF" w:themeColor="background1" w:themeShade="BF"/>
              <w:left w:val="nil"/>
              <w:right w:val="nil"/>
            </w:tcBorders>
            <w:shd w:val="clear" w:color="000000" w:fill="FFFFFF"/>
            <w:noWrap/>
            <w:vAlign w:val="bottom"/>
          </w:tcPr>
          <w:p w14:paraId="0DB71337" w14:textId="15BB5F55" w:rsidR="00257BA3" w:rsidRPr="00E855C9" w:rsidRDefault="00257BA3" w:rsidP="00A91805">
            <w:pPr>
              <w:spacing w:after="60"/>
              <w:rPr>
                <w:rFonts w:ascii="Arial Narrow" w:hAnsi="Arial Narrow" w:cs="Arial"/>
                <w:color w:val="000000"/>
                <w:sz w:val="16"/>
                <w:szCs w:val="18"/>
              </w:rPr>
            </w:pPr>
          </w:p>
        </w:tc>
        <w:tc>
          <w:tcPr>
            <w:tcW w:w="902" w:type="dxa"/>
            <w:tcBorders>
              <w:top w:val="single" w:sz="4" w:space="0" w:color="BFBFBF" w:themeColor="background1" w:themeShade="BF"/>
              <w:left w:val="nil"/>
              <w:right w:val="nil"/>
            </w:tcBorders>
            <w:shd w:val="clear" w:color="000000" w:fill="FFFFFF"/>
            <w:noWrap/>
            <w:vAlign w:val="bottom"/>
          </w:tcPr>
          <w:p w14:paraId="4368D037" w14:textId="77777777" w:rsidR="00257BA3" w:rsidRPr="00E855C9" w:rsidRDefault="00257BA3" w:rsidP="00A91805">
            <w:pPr>
              <w:spacing w:after="60"/>
              <w:jc w:val="right"/>
              <w:rPr>
                <w:rFonts w:ascii="Arial Narrow" w:hAnsi="Arial Narrow" w:cs="Arial"/>
                <w:color w:val="000000"/>
                <w:sz w:val="16"/>
                <w:szCs w:val="18"/>
              </w:rPr>
            </w:pPr>
          </w:p>
        </w:tc>
        <w:tc>
          <w:tcPr>
            <w:tcW w:w="902" w:type="dxa"/>
            <w:tcBorders>
              <w:top w:val="single" w:sz="4" w:space="0" w:color="BFBFBF" w:themeColor="background1" w:themeShade="BF"/>
              <w:left w:val="nil"/>
              <w:right w:val="nil"/>
            </w:tcBorders>
            <w:shd w:val="clear" w:color="000000" w:fill="FFFFFF"/>
            <w:noWrap/>
            <w:vAlign w:val="bottom"/>
          </w:tcPr>
          <w:p w14:paraId="2708A067" w14:textId="77777777" w:rsidR="00257BA3" w:rsidRPr="00E855C9" w:rsidRDefault="00257BA3" w:rsidP="00A91805">
            <w:pPr>
              <w:spacing w:after="60"/>
              <w:jc w:val="right"/>
              <w:rPr>
                <w:rFonts w:ascii="Arial Narrow" w:hAnsi="Arial Narrow" w:cs="Arial"/>
                <w:color w:val="000000"/>
                <w:sz w:val="16"/>
                <w:szCs w:val="18"/>
              </w:rPr>
            </w:pPr>
          </w:p>
        </w:tc>
      </w:tr>
    </w:tbl>
    <w:p w14:paraId="09F96796" w14:textId="3E700591" w:rsidR="00257BA3" w:rsidRPr="00D350B5" w:rsidRDefault="00257BA3" w:rsidP="00257BA3">
      <w:pPr>
        <w:spacing w:before="240"/>
        <w:rPr>
          <w:rFonts w:ascii="Arial Bold" w:eastAsia="Arial" w:hAnsi="Arial Bold"/>
          <w:b/>
          <w:color w:val="005172"/>
        </w:rPr>
      </w:pPr>
      <w:r w:rsidRPr="00C75948">
        <w:rPr>
          <w:rFonts w:ascii="Arial Bold" w:hAnsi="Arial Bold"/>
          <w:color w:val="005172" w:themeColor="accent1"/>
        </w:rPr>
        <w:t>Expected</w:t>
      </w:r>
      <w:r w:rsidRPr="00D350B5">
        <w:rPr>
          <w:rFonts w:ascii="Arial Bold" w:eastAsia="Arial" w:hAnsi="Arial Bold"/>
          <w:b/>
          <w:color w:val="005172"/>
        </w:rPr>
        <w:t xml:space="preserve"> Level of PCT Income</w:t>
      </w:r>
    </w:p>
    <w:p w14:paraId="40078EA1" w14:textId="77777777" w:rsidR="00257BA3" w:rsidRDefault="00257BA3" w:rsidP="008407D7">
      <w:pPr>
        <w:pStyle w:val="NormalNumb"/>
        <w:numPr>
          <w:ilvl w:val="4"/>
          <w:numId w:val="23"/>
        </w:numPr>
        <w:tabs>
          <w:tab w:val="left" w:pos="8505"/>
        </w:tabs>
      </w:pPr>
      <w:r w:rsidRPr="00C75948">
        <w:rPr>
          <w:rFonts w:asciiTheme="majorHAnsi" w:hAnsiTheme="majorHAnsi" w:cstheme="majorHAnsi"/>
        </w:rPr>
        <w:t>PCT</w:t>
      </w:r>
      <w:r w:rsidRPr="00C75948">
        <w:t xml:space="preserve"> </w:t>
      </w:r>
      <w:r w:rsidRPr="00D350B5">
        <w:t xml:space="preserve">fee income is based on the expected level of applications (Chart 1), an estimate of the expected level of page fees, the expected level of Chapter II demands and the expected level of RO/IB filings.  WIPO recognizes its income </w:t>
      </w:r>
      <w:r>
        <w:t>from</w:t>
      </w:r>
      <w:r w:rsidRPr="00D350B5">
        <w:t xml:space="preserve"> the PCT System on the publication dates of PCT applications according to the IPSAS standards.  The IPSAS-adjusted PCT income forecasts until 202</w:t>
      </w:r>
      <w:r>
        <w:t>5</w:t>
      </w:r>
      <w:r w:rsidRPr="00D350B5">
        <w:t xml:space="preserve"> is presented below in Chart </w:t>
      </w:r>
      <w:r>
        <w:t>3</w:t>
      </w:r>
      <w:r w:rsidRPr="00D350B5">
        <w:t>.</w:t>
      </w:r>
    </w:p>
    <w:p w14:paraId="7CF7859C" w14:textId="76408DF4" w:rsidR="00257BA3" w:rsidRDefault="00257BA3" w:rsidP="00257BA3">
      <w:pPr>
        <w:jc w:val="center"/>
        <w:rPr>
          <w:rFonts w:eastAsia="Arial"/>
          <w:b/>
          <w:color w:val="005172"/>
        </w:rPr>
      </w:pPr>
      <w:r w:rsidRPr="00D350B5">
        <w:rPr>
          <w:rFonts w:eastAsia="Arial"/>
          <w:b/>
          <w:color w:val="005172"/>
        </w:rPr>
        <w:t xml:space="preserve">Chart </w:t>
      </w:r>
      <w:r>
        <w:rPr>
          <w:rFonts w:eastAsia="Arial"/>
          <w:b/>
          <w:color w:val="005172"/>
        </w:rPr>
        <w:t>3</w:t>
      </w:r>
      <w:r w:rsidRPr="00D350B5">
        <w:rPr>
          <w:rFonts w:eastAsia="Arial"/>
          <w:b/>
          <w:color w:val="005172"/>
        </w:rPr>
        <w:t>. IPSAS-adjusted PCT Income Forecast until 202</w:t>
      </w:r>
      <w:r>
        <w:rPr>
          <w:rFonts w:eastAsia="Arial"/>
          <w:b/>
          <w:color w:val="005172"/>
        </w:rPr>
        <w:t>5</w:t>
      </w:r>
    </w:p>
    <w:p w14:paraId="3ECDAAAE" w14:textId="6459362C" w:rsidR="00257BA3" w:rsidRPr="00821BE7" w:rsidRDefault="00E35D9E" w:rsidP="00821BE7">
      <w:pPr>
        <w:jc w:val="center"/>
        <w:rPr>
          <w:rFonts w:eastAsia="Arial"/>
          <w:b/>
          <w:color w:val="005172"/>
        </w:rPr>
      </w:pPr>
      <w:r>
        <w:rPr>
          <w:noProof/>
          <w:lang w:val="en-US"/>
        </w:rPr>
        <w:drawing>
          <wp:inline distT="0" distB="0" distL="0" distR="0" wp14:anchorId="1DF96E0C" wp14:editId="049CE349">
            <wp:extent cx="4166755" cy="2410691"/>
            <wp:effectExtent l="0" t="0" r="5715" b="8890"/>
            <wp:docPr id="918" name="Chart 9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bl>
      <w:tblPr>
        <w:tblW w:w="8073" w:type="dxa"/>
        <w:jc w:val="center"/>
        <w:tblLook w:val="04A0" w:firstRow="1" w:lastRow="0" w:firstColumn="1" w:lastColumn="0" w:noHBand="0" w:noVBand="1"/>
      </w:tblPr>
      <w:tblGrid>
        <w:gridCol w:w="1821"/>
        <w:gridCol w:w="1042"/>
        <w:gridCol w:w="1042"/>
        <w:gridCol w:w="1042"/>
        <w:gridCol w:w="1042"/>
        <w:gridCol w:w="1042"/>
        <w:gridCol w:w="1042"/>
      </w:tblGrid>
      <w:tr w:rsidR="00257BA3" w:rsidRPr="00D350B5" w14:paraId="722E1F12" w14:textId="77777777" w:rsidTr="00A91805">
        <w:trPr>
          <w:trHeight w:val="291"/>
          <w:jc w:val="center"/>
        </w:trPr>
        <w:tc>
          <w:tcPr>
            <w:tcW w:w="1821" w:type="dxa"/>
            <w:shd w:val="clear" w:color="auto" w:fill="C6CFD7" w:themeFill="accent3" w:themeFillTint="66"/>
            <w:noWrap/>
            <w:hideMark/>
          </w:tcPr>
          <w:p w14:paraId="7319BC89" w14:textId="77777777" w:rsidR="00257BA3" w:rsidRPr="00D350B5" w:rsidRDefault="00257BA3" w:rsidP="00A91805">
            <w:pPr>
              <w:spacing w:after="0"/>
              <w:rPr>
                <w:rFonts w:ascii="Arial Narrow" w:hAnsi="Arial Narrow"/>
                <w:color w:val="000000"/>
                <w:sz w:val="16"/>
                <w:szCs w:val="16"/>
              </w:rPr>
            </w:pPr>
            <w:r w:rsidRPr="00D350B5">
              <w:rPr>
                <w:rFonts w:ascii="Arial Narrow" w:hAnsi="Arial Narrow"/>
                <w:color w:val="000000"/>
                <w:sz w:val="16"/>
                <w:szCs w:val="16"/>
              </w:rPr>
              <w:t> </w:t>
            </w:r>
          </w:p>
        </w:tc>
        <w:tc>
          <w:tcPr>
            <w:tcW w:w="1042" w:type="dxa"/>
            <w:tcBorders>
              <w:top w:val="nil"/>
              <w:left w:val="nil"/>
              <w:right w:val="nil"/>
            </w:tcBorders>
            <w:shd w:val="clear" w:color="000000" w:fill="C7CFD8"/>
            <w:noWrap/>
            <w:vAlign w:val="bottom"/>
            <w:hideMark/>
          </w:tcPr>
          <w:p w14:paraId="3D62C01E"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1042" w:type="dxa"/>
            <w:tcBorders>
              <w:top w:val="nil"/>
              <w:left w:val="nil"/>
              <w:right w:val="nil"/>
            </w:tcBorders>
            <w:shd w:val="clear" w:color="000000" w:fill="C7CFD8"/>
            <w:noWrap/>
            <w:vAlign w:val="bottom"/>
            <w:hideMark/>
          </w:tcPr>
          <w:p w14:paraId="10710B8E"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1042" w:type="dxa"/>
            <w:tcBorders>
              <w:top w:val="nil"/>
              <w:left w:val="nil"/>
              <w:right w:val="nil"/>
            </w:tcBorders>
            <w:shd w:val="clear" w:color="000000" w:fill="C7CFD8"/>
            <w:noWrap/>
            <w:vAlign w:val="bottom"/>
            <w:hideMark/>
          </w:tcPr>
          <w:p w14:paraId="5BD4F318"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1042" w:type="dxa"/>
            <w:tcBorders>
              <w:top w:val="nil"/>
              <w:left w:val="nil"/>
              <w:right w:val="nil"/>
            </w:tcBorders>
            <w:shd w:val="clear" w:color="000000" w:fill="C7CFD8"/>
            <w:noWrap/>
            <w:vAlign w:val="bottom"/>
            <w:hideMark/>
          </w:tcPr>
          <w:p w14:paraId="137EB584"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7F063B9A"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Estimates</w:t>
            </w:r>
          </w:p>
        </w:tc>
        <w:tc>
          <w:tcPr>
            <w:tcW w:w="1042" w:type="dxa"/>
            <w:tcBorders>
              <w:top w:val="nil"/>
              <w:left w:val="nil"/>
              <w:right w:val="nil"/>
            </w:tcBorders>
            <w:shd w:val="clear" w:color="000000" w:fill="C7CFD8"/>
            <w:noWrap/>
            <w:vAlign w:val="bottom"/>
            <w:hideMark/>
          </w:tcPr>
          <w:p w14:paraId="2D297B0F"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2B62A885"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1042" w:type="dxa"/>
            <w:tcBorders>
              <w:top w:val="nil"/>
              <w:left w:val="nil"/>
              <w:right w:val="nil"/>
            </w:tcBorders>
            <w:shd w:val="clear" w:color="000000" w:fill="C7CFD8"/>
            <w:noWrap/>
            <w:vAlign w:val="bottom"/>
            <w:hideMark/>
          </w:tcPr>
          <w:p w14:paraId="02E7C765"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10D90F56" w14:textId="77777777" w:rsidR="00257BA3" w:rsidRPr="007C3442" w:rsidRDefault="00257BA3" w:rsidP="00A91805">
            <w:pPr>
              <w:spacing w:after="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E35D9E" w:rsidRPr="00D350B5" w14:paraId="1FF21822" w14:textId="77777777" w:rsidTr="002356E0">
        <w:trPr>
          <w:trHeight w:val="291"/>
          <w:jc w:val="center"/>
        </w:trPr>
        <w:tc>
          <w:tcPr>
            <w:tcW w:w="1821" w:type="dxa"/>
            <w:tcBorders>
              <w:top w:val="single" w:sz="4" w:space="0" w:color="BFBFBF"/>
              <w:left w:val="nil"/>
              <w:bottom w:val="nil"/>
              <w:right w:val="nil"/>
            </w:tcBorders>
            <w:shd w:val="clear" w:color="000000" w:fill="FFFFFF"/>
            <w:noWrap/>
            <w:vAlign w:val="bottom"/>
            <w:hideMark/>
          </w:tcPr>
          <w:p w14:paraId="6E6AFBA9"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Income (million CHF)</w:t>
            </w:r>
          </w:p>
        </w:tc>
        <w:tc>
          <w:tcPr>
            <w:tcW w:w="1042" w:type="dxa"/>
            <w:tcBorders>
              <w:top w:val="single" w:sz="4" w:space="0" w:color="BFBFBF"/>
              <w:left w:val="nil"/>
              <w:bottom w:val="nil"/>
              <w:right w:val="nil"/>
            </w:tcBorders>
            <w:shd w:val="clear" w:color="000000" w:fill="FFFFFF"/>
            <w:noWrap/>
            <w:vAlign w:val="bottom"/>
            <w:hideMark/>
          </w:tcPr>
          <w:p w14:paraId="194561A2" w14:textId="77777777" w:rsidR="00E35D9E" w:rsidRPr="00E855C9" w:rsidRDefault="00E35D9E" w:rsidP="00E35D9E">
            <w:pPr>
              <w:spacing w:after="0"/>
              <w:jc w:val="right"/>
              <w:rPr>
                <w:rFonts w:ascii="Arial Narrow" w:hAnsi="Arial Narrow"/>
                <w:color w:val="000000"/>
                <w:sz w:val="16"/>
                <w:szCs w:val="16"/>
              </w:rPr>
            </w:pPr>
            <w:r w:rsidRPr="00E855C9">
              <w:rPr>
                <w:rFonts w:ascii="Arial Narrow" w:hAnsi="Arial Narrow" w:cs="Arial"/>
                <w:color w:val="000000"/>
                <w:sz w:val="16"/>
                <w:szCs w:val="18"/>
              </w:rPr>
              <w:t>355.5</w:t>
            </w:r>
          </w:p>
        </w:tc>
        <w:tc>
          <w:tcPr>
            <w:tcW w:w="1042" w:type="dxa"/>
            <w:tcBorders>
              <w:top w:val="single" w:sz="4" w:space="0" w:color="BFBFBF"/>
              <w:left w:val="nil"/>
              <w:bottom w:val="nil"/>
              <w:right w:val="nil"/>
            </w:tcBorders>
            <w:shd w:val="clear" w:color="000000" w:fill="FFFFFF"/>
            <w:noWrap/>
            <w:vAlign w:val="bottom"/>
            <w:hideMark/>
          </w:tcPr>
          <w:p w14:paraId="15BF323C" w14:textId="77777777" w:rsidR="00E35D9E" w:rsidRPr="00E855C9" w:rsidRDefault="00E35D9E" w:rsidP="00E35D9E">
            <w:pPr>
              <w:spacing w:after="0"/>
              <w:jc w:val="right"/>
              <w:rPr>
                <w:rFonts w:ascii="Arial Narrow" w:hAnsi="Arial Narrow"/>
                <w:color w:val="000000"/>
                <w:sz w:val="16"/>
                <w:szCs w:val="16"/>
              </w:rPr>
            </w:pPr>
            <w:r w:rsidRPr="00E855C9">
              <w:rPr>
                <w:rFonts w:ascii="Arial Narrow" w:hAnsi="Arial Narrow" w:cs="Arial"/>
                <w:color w:val="000000"/>
                <w:sz w:val="16"/>
                <w:szCs w:val="18"/>
              </w:rPr>
              <w:t>363.4</w:t>
            </w:r>
          </w:p>
        </w:tc>
        <w:tc>
          <w:tcPr>
            <w:tcW w:w="1042" w:type="dxa"/>
            <w:tcBorders>
              <w:top w:val="single" w:sz="4" w:space="0" w:color="BFBFBF"/>
              <w:left w:val="nil"/>
              <w:bottom w:val="nil"/>
              <w:right w:val="nil"/>
            </w:tcBorders>
            <w:shd w:val="clear" w:color="000000" w:fill="FFFFFF"/>
            <w:noWrap/>
            <w:vAlign w:val="bottom"/>
          </w:tcPr>
          <w:p w14:paraId="62F6EBFB" w14:textId="77A318A8"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376.6</w:t>
            </w:r>
          </w:p>
        </w:tc>
        <w:tc>
          <w:tcPr>
            <w:tcW w:w="1042" w:type="dxa"/>
            <w:tcBorders>
              <w:top w:val="single" w:sz="4" w:space="0" w:color="BFBFBF"/>
              <w:left w:val="nil"/>
              <w:bottom w:val="nil"/>
              <w:right w:val="nil"/>
            </w:tcBorders>
            <w:shd w:val="clear" w:color="000000" w:fill="FFFFFF"/>
            <w:noWrap/>
            <w:vAlign w:val="bottom"/>
          </w:tcPr>
          <w:p w14:paraId="35C7E143" w14:textId="46F5CFBB"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377.7</w:t>
            </w:r>
          </w:p>
        </w:tc>
        <w:tc>
          <w:tcPr>
            <w:tcW w:w="1042" w:type="dxa"/>
            <w:tcBorders>
              <w:top w:val="single" w:sz="4" w:space="0" w:color="BFBFBF"/>
              <w:left w:val="nil"/>
              <w:bottom w:val="nil"/>
              <w:right w:val="nil"/>
            </w:tcBorders>
            <w:shd w:val="clear" w:color="000000" w:fill="FFFFFF"/>
            <w:noWrap/>
            <w:vAlign w:val="bottom"/>
          </w:tcPr>
          <w:p w14:paraId="5019A274" w14:textId="5F2F0595"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390.0</w:t>
            </w:r>
          </w:p>
        </w:tc>
        <w:tc>
          <w:tcPr>
            <w:tcW w:w="1042" w:type="dxa"/>
            <w:tcBorders>
              <w:top w:val="single" w:sz="4" w:space="0" w:color="BFBFBF"/>
              <w:left w:val="nil"/>
              <w:bottom w:val="nil"/>
              <w:right w:val="nil"/>
            </w:tcBorders>
            <w:shd w:val="clear" w:color="000000" w:fill="FFFFFF"/>
            <w:noWrap/>
            <w:vAlign w:val="bottom"/>
          </w:tcPr>
          <w:p w14:paraId="027A1130" w14:textId="29F61E5D"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401.2</w:t>
            </w:r>
          </w:p>
        </w:tc>
      </w:tr>
      <w:tr w:rsidR="00E35D9E" w:rsidRPr="00D350B5" w14:paraId="54C0693A" w14:textId="77777777" w:rsidTr="002356E0">
        <w:trPr>
          <w:trHeight w:val="291"/>
          <w:jc w:val="center"/>
        </w:trPr>
        <w:tc>
          <w:tcPr>
            <w:tcW w:w="1821" w:type="dxa"/>
            <w:tcBorders>
              <w:top w:val="nil"/>
              <w:left w:val="nil"/>
              <w:bottom w:val="nil"/>
              <w:right w:val="nil"/>
            </w:tcBorders>
            <w:shd w:val="clear" w:color="000000" w:fill="FFFFFF"/>
            <w:noWrap/>
            <w:vAlign w:val="bottom"/>
            <w:hideMark/>
          </w:tcPr>
          <w:p w14:paraId="2594A4F3"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Growth</w:t>
            </w:r>
          </w:p>
        </w:tc>
        <w:tc>
          <w:tcPr>
            <w:tcW w:w="1042" w:type="dxa"/>
            <w:tcBorders>
              <w:top w:val="nil"/>
              <w:left w:val="nil"/>
              <w:bottom w:val="nil"/>
              <w:right w:val="nil"/>
            </w:tcBorders>
            <w:shd w:val="clear" w:color="000000" w:fill="FFFFFF"/>
            <w:noWrap/>
            <w:vAlign w:val="bottom"/>
            <w:hideMark/>
          </w:tcPr>
          <w:p w14:paraId="5288CB87" w14:textId="77777777" w:rsidR="00E35D9E" w:rsidRPr="00E855C9" w:rsidRDefault="00E35D9E" w:rsidP="00E35D9E">
            <w:pPr>
              <w:spacing w:after="0"/>
              <w:jc w:val="right"/>
              <w:rPr>
                <w:rFonts w:ascii="Arial Narrow" w:hAnsi="Arial Narrow"/>
                <w:color w:val="000000"/>
                <w:sz w:val="16"/>
                <w:szCs w:val="16"/>
              </w:rPr>
            </w:pPr>
            <w:r w:rsidRPr="00E855C9">
              <w:rPr>
                <w:rFonts w:ascii="Arial Narrow" w:hAnsi="Arial Narrow" w:cs="Arial"/>
                <w:color w:val="000000"/>
                <w:sz w:val="16"/>
                <w:szCs w:val="18"/>
              </w:rPr>
              <w:t>6.0%</w:t>
            </w:r>
          </w:p>
        </w:tc>
        <w:tc>
          <w:tcPr>
            <w:tcW w:w="1042" w:type="dxa"/>
            <w:tcBorders>
              <w:top w:val="nil"/>
              <w:left w:val="nil"/>
              <w:bottom w:val="nil"/>
              <w:right w:val="nil"/>
            </w:tcBorders>
            <w:shd w:val="clear" w:color="000000" w:fill="FFFFFF"/>
            <w:noWrap/>
            <w:vAlign w:val="bottom"/>
            <w:hideMark/>
          </w:tcPr>
          <w:p w14:paraId="64F4DE4C" w14:textId="77777777" w:rsidR="00E35D9E" w:rsidRPr="00E855C9" w:rsidRDefault="00E35D9E" w:rsidP="00E35D9E">
            <w:pPr>
              <w:spacing w:after="0"/>
              <w:jc w:val="right"/>
              <w:rPr>
                <w:rFonts w:ascii="Arial Narrow" w:hAnsi="Arial Narrow"/>
                <w:color w:val="000000"/>
                <w:sz w:val="16"/>
                <w:szCs w:val="16"/>
              </w:rPr>
            </w:pPr>
            <w:r w:rsidRPr="00E855C9">
              <w:rPr>
                <w:rFonts w:ascii="Arial Narrow" w:hAnsi="Arial Narrow" w:cs="Arial"/>
                <w:color w:val="000000"/>
                <w:sz w:val="16"/>
                <w:szCs w:val="18"/>
              </w:rPr>
              <w:t>2.2%</w:t>
            </w:r>
          </w:p>
        </w:tc>
        <w:tc>
          <w:tcPr>
            <w:tcW w:w="1042" w:type="dxa"/>
            <w:tcBorders>
              <w:top w:val="nil"/>
              <w:left w:val="nil"/>
              <w:bottom w:val="nil"/>
              <w:right w:val="nil"/>
            </w:tcBorders>
            <w:shd w:val="clear" w:color="000000" w:fill="FFFFFF"/>
            <w:noWrap/>
            <w:vAlign w:val="bottom"/>
          </w:tcPr>
          <w:p w14:paraId="2100E4CD" w14:textId="61F7AB94"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3.7%</w:t>
            </w:r>
          </w:p>
        </w:tc>
        <w:tc>
          <w:tcPr>
            <w:tcW w:w="1042" w:type="dxa"/>
            <w:tcBorders>
              <w:top w:val="nil"/>
              <w:left w:val="nil"/>
              <w:bottom w:val="nil"/>
              <w:right w:val="nil"/>
            </w:tcBorders>
            <w:shd w:val="clear" w:color="000000" w:fill="FFFFFF"/>
            <w:noWrap/>
            <w:vAlign w:val="bottom"/>
          </w:tcPr>
          <w:p w14:paraId="3A56421F" w14:textId="757E25C7"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0.3%</w:t>
            </w:r>
          </w:p>
        </w:tc>
        <w:tc>
          <w:tcPr>
            <w:tcW w:w="1042" w:type="dxa"/>
            <w:tcBorders>
              <w:top w:val="nil"/>
              <w:left w:val="nil"/>
              <w:bottom w:val="nil"/>
              <w:right w:val="nil"/>
            </w:tcBorders>
            <w:shd w:val="clear" w:color="000000" w:fill="FFFFFF"/>
            <w:noWrap/>
            <w:vAlign w:val="bottom"/>
          </w:tcPr>
          <w:p w14:paraId="1A337B34" w14:textId="037C3B68"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3.2%</w:t>
            </w:r>
          </w:p>
        </w:tc>
        <w:tc>
          <w:tcPr>
            <w:tcW w:w="1042" w:type="dxa"/>
            <w:tcBorders>
              <w:top w:val="nil"/>
              <w:left w:val="nil"/>
              <w:bottom w:val="nil"/>
              <w:right w:val="nil"/>
            </w:tcBorders>
            <w:shd w:val="clear" w:color="000000" w:fill="FFFFFF"/>
            <w:noWrap/>
            <w:vAlign w:val="bottom"/>
          </w:tcPr>
          <w:p w14:paraId="440A287F" w14:textId="4FFFBEDA"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2.9%</w:t>
            </w:r>
          </w:p>
        </w:tc>
      </w:tr>
      <w:tr w:rsidR="00E35D9E" w:rsidRPr="00D350B5" w14:paraId="0727A395" w14:textId="77777777" w:rsidTr="002356E0">
        <w:trPr>
          <w:trHeight w:val="291"/>
          <w:jc w:val="center"/>
        </w:trPr>
        <w:tc>
          <w:tcPr>
            <w:tcW w:w="1821" w:type="dxa"/>
            <w:tcBorders>
              <w:top w:val="nil"/>
              <w:left w:val="nil"/>
              <w:bottom w:val="nil"/>
              <w:right w:val="nil"/>
            </w:tcBorders>
            <w:shd w:val="clear" w:color="000000" w:fill="FFFFFF"/>
            <w:noWrap/>
            <w:vAlign w:val="bottom"/>
            <w:hideMark/>
          </w:tcPr>
          <w:p w14:paraId="7491AEC8"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Low bound</w:t>
            </w:r>
          </w:p>
        </w:tc>
        <w:tc>
          <w:tcPr>
            <w:tcW w:w="1042" w:type="dxa"/>
            <w:tcBorders>
              <w:top w:val="nil"/>
              <w:left w:val="nil"/>
              <w:bottom w:val="nil"/>
              <w:right w:val="nil"/>
            </w:tcBorders>
            <w:shd w:val="clear" w:color="000000" w:fill="FFFFFF"/>
            <w:noWrap/>
            <w:vAlign w:val="bottom"/>
            <w:hideMark/>
          </w:tcPr>
          <w:p w14:paraId="13EB3142"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 </w:t>
            </w:r>
          </w:p>
        </w:tc>
        <w:tc>
          <w:tcPr>
            <w:tcW w:w="1042" w:type="dxa"/>
            <w:tcBorders>
              <w:top w:val="nil"/>
              <w:left w:val="nil"/>
              <w:bottom w:val="nil"/>
              <w:right w:val="nil"/>
            </w:tcBorders>
            <w:shd w:val="clear" w:color="000000" w:fill="FFFFFF"/>
            <w:noWrap/>
            <w:vAlign w:val="bottom"/>
            <w:hideMark/>
          </w:tcPr>
          <w:p w14:paraId="40CD7B88"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 </w:t>
            </w:r>
          </w:p>
        </w:tc>
        <w:tc>
          <w:tcPr>
            <w:tcW w:w="1042" w:type="dxa"/>
            <w:tcBorders>
              <w:top w:val="nil"/>
              <w:left w:val="nil"/>
              <w:bottom w:val="nil"/>
              <w:right w:val="nil"/>
            </w:tcBorders>
            <w:shd w:val="clear" w:color="000000" w:fill="FFFFFF"/>
            <w:noWrap/>
            <w:vAlign w:val="bottom"/>
          </w:tcPr>
          <w:p w14:paraId="2608DFFB" w14:textId="21498245"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-4.8</w:t>
            </w:r>
          </w:p>
        </w:tc>
        <w:tc>
          <w:tcPr>
            <w:tcW w:w="1042" w:type="dxa"/>
            <w:tcBorders>
              <w:top w:val="nil"/>
              <w:left w:val="nil"/>
              <w:bottom w:val="nil"/>
              <w:right w:val="nil"/>
            </w:tcBorders>
            <w:shd w:val="clear" w:color="000000" w:fill="FFFFFF"/>
            <w:noWrap/>
            <w:vAlign w:val="bottom"/>
          </w:tcPr>
          <w:p w14:paraId="3D857647" w14:textId="1C175913"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-15.4</w:t>
            </w:r>
          </w:p>
        </w:tc>
        <w:tc>
          <w:tcPr>
            <w:tcW w:w="1042" w:type="dxa"/>
            <w:tcBorders>
              <w:top w:val="nil"/>
              <w:left w:val="nil"/>
              <w:bottom w:val="nil"/>
              <w:right w:val="nil"/>
            </w:tcBorders>
            <w:shd w:val="clear" w:color="000000" w:fill="FFFFFF"/>
            <w:noWrap/>
            <w:vAlign w:val="bottom"/>
          </w:tcPr>
          <w:p w14:paraId="44175051" w14:textId="46C0F6BC"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-20.3</w:t>
            </w:r>
          </w:p>
        </w:tc>
        <w:tc>
          <w:tcPr>
            <w:tcW w:w="1042" w:type="dxa"/>
            <w:tcBorders>
              <w:top w:val="nil"/>
              <w:left w:val="nil"/>
              <w:bottom w:val="nil"/>
              <w:right w:val="nil"/>
            </w:tcBorders>
            <w:shd w:val="clear" w:color="000000" w:fill="FFFFFF"/>
            <w:noWrap/>
            <w:vAlign w:val="bottom"/>
          </w:tcPr>
          <w:p w14:paraId="4D711B0D" w14:textId="73C6530D"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-24.2</w:t>
            </w:r>
          </w:p>
        </w:tc>
      </w:tr>
      <w:tr w:rsidR="00E35D9E" w:rsidRPr="00D350B5" w14:paraId="0D19265C" w14:textId="77777777" w:rsidTr="002356E0">
        <w:trPr>
          <w:trHeight w:val="291"/>
          <w:jc w:val="center"/>
        </w:trPr>
        <w:tc>
          <w:tcPr>
            <w:tcW w:w="1821" w:type="dxa"/>
            <w:tcBorders>
              <w:top w:val="nil"/>
              <w:left w:val="nil"/>
              <w:bottom w:val="single" w:sz="4" w:space="0" w:color="BFBFBF"/>
              <w:right w:val="nil"/>
            </w:tcBorders>
            <w:shd w:val="clear" w:color="000000" w:fill="FFFFFF"/>
            <w:noWrap/>
            <w:vAlign w:val="bottom"/>
            <w:hideMark/>
          </w:tcPr>
          <w:p w14:paraId="16BB4726"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High bound</w:t>
            </w:r>
          </w:p>
        </w:tc>
        <w:tc>
          <w:tcPr>
            <w:tcW w:w="1042" w:type="dxa"/>
            <w:tcBorders>
              <w:top w:val="nil"/>
              <w:left w:val="nil"/>
              <w:bottom w:val="single" w:sz="4" w:space="0" w:color="BFBFBF"/>
              <w:right w:val="nil"/>
            </w:tcBorders>
            <w:shd w:val="clear" w:color="000000" w:fill="FFFFFF"/>
            <w:noWrap/>
            <w:vAlign w:val="bottom"/>
            <w:hideMark/>
          </w:tcPr>
          <w:p w14:paraId="29A5433D"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 </w:t>
            </w:r>
          </w:p>
        </w:tc>
        <w:tc>
          <w:tcPr>
            <w:tcW w:w="1042" w:type="dxa"/>
            <w:tcBorders>
              <w:top w:val="nil"/>
              <w:left w:val="nil"/>
              <w:bottom w:val="single" w:sz="4" w:space="0" w:color="BFBFBF"/>
              <w:right w:val="nil"/>
            </w:tcBorders>
            <w:shd w:val="clear" w:color="000000" w:fill="FFFFFF"/>
            <w:noWrap/>
            <w:vAlign w:val="bottom"/>
            <w:hideMark/>
          </w:tcPr>
          <w:p w14:paraId="44114B1C" w14:textId="77777777" w:rsidR="00E35D9E" w:rsidRPr="00E855C9" w:rsidRDefault="00E35D9E" w:rsidP="00E35D9E">
            <w:pPr>
              <w:spacing w:after="0"/>
              <w:rPr>
                <w:rFonts w:ascii="Arial Narrow" w:hAnsi="Arial Narrow"/>
                <w:color w:val="000000"/>
                <w:sz w:val="16"/>
                <w:szCs w:val="16"/>
              </w:rPr>
            </w:pPr>
            <w:r w:rsidRPr="00E855C9">
              <w:rPr>
                <w:rFonts w:ascii="Arial Narrow" w:hAnsi="Arial Narrow" w:cs="Arial"/>
                <w:color w:val="000000"/>
                <w:sz w:val="16"/>
                <w:szCs w:val="18"/>
              </w:rPr>
              <w:t> </w:t>
            </w:r>
          </w:p>
        </w:tc>
        <w:tc>
          <w:tcPr>
            <w:tcW w:w="1042" w:type="dxa"/>
            <w:tcBorders>
              <w:top w:val="nil"/>
              <w:left w:val="nil"/>
              <w:bottom w:val="single" w:sz="4" w:space="0" w:color="BFBFBF"/>
              <w:right w:val="nil"/>
            </w:tcBorders>
            <w:shd w:val="clear" w:color="000000" w:fill="FFFFFF"/>
            <w:noWrap/>
            <w:vAlign w:val="bottom"/>
          </w:tcPr>
          <w:p w14:paraId="667B43BE" w14:textId="1A6D01E0"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+4.8</w:t>
            </w:r>
          </w:p>
        </w:tc>
        <w:tc>
          <w:tcPr>
            <w:tcW w:w="1042" w:type="dxa"/>
            <w:tcBorders>
              <w:top w:val="nil"/>
              <w:left w:val="nil"/>
              <w:bottom w:val="single" w:sz="4" w:space="0" w:color="BFBFBF"/>
              <w:right w:val="nil"/>
            </w:tcBorders>
            <w:shd w:val="clear" w:color="000000" w:fill="FFFFFF"/>
            <w:noWrap/>
            <w:vAlign w:val="bottom"/>
          </w:tcPr>
          <w:p w14:paraId="21E2B04F" w14:textId="62EDB46E"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+15.7</w:t>
            </w:r>
          </w:p>
        </w:tc>
        <w:tc>
          <w:tcPr>
            <w:tcW w:w="1042" w:type="dxa"/>
            <w:tcBorders>
              <w:top w:val="nil"/>
              <w:left w:val="nil"/>
              <w:bottom w:val="single" w:sz="4" w:space="0" w:color="BFBFBF"/>
              <w:right w:val="nil"/>
            </w:tcBorders>
            <w:shd w:val="clear" w:color="000000" w:fill="FFFFFF"/>
            <w:noWrap/>
            <w:vAlign w:val="bottom"/>
          </w:tcPr>
          <w:p w14:paraId="109289D7" w14:textId="542FD9CB"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+20.7</w:t>
            </w:r>
          </w:p>
        </w:tc>
        <w:tc>
          <w:tcPr>
            <w:tcW w:w="1042" w:type="dxa"/>
            <w:tcBorders>
              <w:top w:val="nil"/>
              <w:left w:val="nil"/>
              <w:bottom w:val="single" w:sz="4" w:space="0" w:color="BFBFBF"/>
              <w:right w:val="nil"/>
            </w:tcBorders>
            <w:shd w:val="clear" w:color="000000" w:fill="FFFFFF"/>
            <w:noWrap/>
            <w:vAlign w:val="bottom"/>
          </w:tcPr>
          <w:p w14:paraId="60BEA6FD" w14:textId="4AC327EC" w:rsidR="00E35D9E" w:rsidRPr="00E855C9" w:rsidRDefault="00E35D9E" w:rsidP="00E35D9E">
            <w:pPr>
              <w:spacing w:after="0"/>
              <w:jc w:val="right"/>
              <w:rPr>
                <w:rFonts w:ascii="Arial Narrow" w:hAnsi="Arial Narrow"/>
                <w:color w:val="000000"/>
                <w:sz w:val="16"/>
                <w:szCs w:val="16"/>
              </w:rPr>
            </w:pPr>
            <w:r>
              <w:rPr>
                <w:rFonts w:ascii="Arial Narrow" w:hAnsi="Arial Narrow" w:cs="Arial"/>
                <w:color w:val="000000"/>
                <w:sz w:val="16"/>
                <w:szCs w:val="16"/>
              </w:rPr>
              <w:t>+24.7</w:t>
            </w:r>
          </w:p>
        </w:tc>
      </w:tr>
    </w:tbl>
    <w:p w14:paraId="18E140DC" w14:textId="7573B49F" w:rsidR="00257BA3" w:rsidRPr="00A57412" w:rsidRDefault="00257BA3" w:rsidP="00257BA3">
      <w:pPr>
        <w:spacing w:before="60" w:after="100" w:afterAutospacing="1" w:line="240" w:lineRule="auto"/>
        <w:rPr>
          <w:rFonts w:ascii="Arial Bold" w:eastAsia="Arial" w:hAnsi="Arial Bold"/>
          <w:b/>
          <w:color w:val="005172"/>
          <w:sz w:val="20"/>
        </w:rPr>
      </w:pPr>
      <w:r>
        <w:rPr>
          <w:rFonts w:eastAsia="Arial"/>
          <w:i/>
          <w:sz w:val="10"/>
        </w:rPr>
        <w:t xml:space="preserve">                            </w:t>
      </w:r>
    </w:p>
    <w:p w14:paraId="1481FC8F" w14:textId="77777777" w:rsidR="00257BA3" w:rsidRPr="00D350B5" w:rsidRDefault="00257BA3" w:rsidP="00821BE7">
      <w:pPr>
        <w:spacing w:before="480"/>
        <w:rPr>
          <w:rFonts w:ascii="Arial Bold" w:eastAsia="Arial" w:hAnsi="Arial Bold"/>
          <w:b/>
          <w:color w:val="005172"/>
        </w:rPr>
      </w:pPr>
      <w:r w:rsidRPr="00D350B5">
        <w:rPr>
          <w:rFonts w:ascii="Arial Bold" w:eastAsia="Arial" w:hAnsi="Arial Bold"/>
          <w:b/>
          <w:color w:val="005172"/>
        </w:rPr>
        <w:t>Adjustment by Currency Exchange Rates</w:t>
      </w:r>
    </w:p>
    <w:p w14:paraId="59C2BC1C" w14:textId="77777777" w:rsidR="00257BA3" w:rsidRPr="00D350B5" w:rsidRDefault="00257BA3" w:rsidP="008407D7">
      <w:pPr>
        <w:pStyle w:val="NormalNumb"/>
        <w:numPr>
          <w:ilvl w:val="4"/>
          <w:numId w:val="23"/>
        </w:numPr>
        <w:tabs>
          <w:tab w:val="left" w:pos="8505"/>
        </w:tabs>
      </w:pPr>
      <w:r w:rsidRPr="00D350B5">
        <w:t>PCT fees are paid in various currencies.  For those paid in “freely convertible” currencies, the amount equals the “equivalent amount” set by the IB</w:t>
      </w:r>
      <w:r>
        <w:t>,</w:t>
      </w:r>
      <w:r w:rsidRPr="00D350B5">
        <w:t xml:space="preserve"> whereas for “not freely convertible” ones, the receiving Offices convert them into </w:t>
      </w:r>
      <w:r>
        <w:t xml:space="preserve">an </w:t>
      </w:r>
      <w:r w:rsidRPr="00D350B5">
        <w:t>equivalent amount in Swiss franc</w:t>
      </w:r>
      <w:r>
        <w:t>s</w:t>
      </w:r>
      <w:r w:rsidRPr="00D350B5">
        <w:t>, E</w:t>
      </w:r>
      <w:r>
        <w:t>URO</w:t>
      </w:r>
      <w:r w:rsidRPr="00D350B5">
        <w:t xml:space="preserve"> or USD (PCT Rule 15).  WIPO sets up the equivalent amounts according to the rules prescribed in the Directives of the PCT Assembly.</w:t>
      </w:r>
    </w:p>
    <w:p w14:paraId="1EB766ED" w14:textId="77777777" w:rsidR="00257BA3" w:rsidRPr="00D350B5" w:rsidRDefault="00257BA3" w:rsidP="008407D7">
      <w:pPr>
        <w:pStyle w:val="NormalNumb"/>
        <w:numPr>
          <w:ilvl w:val="4"/>
          <w:numId w:val="23"/>
        </w:numPr>
        <w:tabs>
          <w:tab w:val="left" w:pos="8505"/>
        </w:tabs>
      </w:pPr>
      <w:r w:rsidRPr="00D350B5">
        <w:t xml:space="preserve">Applicants pay an international filing fee according to the equivalent amount on the filing date. However, due to delayed implementation of the equivalent amount, the market exchange rates are likely different from the WIPO rates at the time of payment, resulting in a gain or loss of PCT income.  </w:t>
      </w:r>
    </w:p>
    <w:p w14:paraId="7CF44306" w14:textId="77777777" w:rsidR="00257BA3" w:rsidRPr="00D350B5" w:rsidRDefault="00257BA3" w:rsidP="008407D7">
      <w:pPr>
        <w:pStyle w:val="NormalNumb"/>
        <w:numPr>
          <w:ilvl w:val="4"/>
          <w:numId w:val="23"/>
        </w:numPr>
        <w:tabs>
          <w:tab w:val="left" w:pos="8505"/>
        </w:tabs>
      </w:pPr>
      <w:r w:rsidRPr="00D350B5">
        <w:t>The difference between the equivalent amount on the filing date and the amount converted to Swiss franc</w:t>
      </w:r>
      <w:r>
        <w:t>s</w:t>
      </w:r>
      <w:r w:rsidRPr="00D350B5">
        <w:t xml:space="preserve"> on the date of payment under UN exchange rates constitutes gain or loss of the PCT revenue.  The following graph shows the monthly gain/loss of the PCT income.</w:t>
      </w:r>
      <w:r>
        <w:t xml:space="preserve"> </w:t>
      </w:r>
      <w:r w:rsidRPr="005A21C4">
        <w:t xml:space="preserve"> </w:t>
      </w:r>
      <w:r w:rsidRPr="00D350B5">
        <w:t xml:space="preserve">In recent years, WIPO recorded both gains and losses due to fluctuations of exchange rates between Swiss francs and other currencies.  </w:t>
      </w:r>
    </w:p>
    <w:p w14:paraId="41BC2E79" w14:textId="114A3ACB" w:rsidR="00257BA3" w:rsidRDefault="00257BA3" w:rsidP="00257BA3">
      <w:pPr>
        <w:keepNext/>
        <w:keepLines/>
        <w:spacing w:before="240"/>
        <w:jc w:val="center"/>
        <w:rPr>
          <w:rFonts w:eastAsia="Arial"/>
          <w:b/>
          <w:color w:val="005172"/>
        </w:rPr>
      </w:pPr>
      <w:r w:rsidRPr="00D350B5">
        <w:rPr>
          <w:rFonts w:eastAsia="Arial"/>
          <w:b/>
          <w:color w:val="005172"/>
        </w:rPr>
        <w:t>PCT Income Gain/Loss by Exchange Rates</w:t>
      </w:r>
    </w:p>
    <w:p w14:paraId="67BE35B7" w14:textId="1EE33DAC" w:rsidR="00E35D9E" w:rsidRDefault="00E35D9E" w:rsidP="00257BA3">
      <w:pPr>
        <w:keepNext/>
        <w:keepLines/>
        <w:spacing w:before="240"/>
        <w:jc w:val="center"/>
        <w:rPr>
          <w:rFonts w:eastAsia="Arial"/>
          <w:b/>
          <w:color w:val="005172"/>
        </w:rPr>
      </w:pPr>
      <w:r>
        <w:rPr>
          <w:noProof/>
          <w:lang w:val="en-US"/>
        </w:rPr>
        <w:drawing>
          <wp:inline distT="0" distB="0" distL="0" distR="0" wp14:anchorId="0EC1B6AB" wp14:editId="31D39A33">
            <wp:extent cx="5247409" cy="2478336"/>
            <wp:effectExtent l="0" t="0" r="0" b="0"/>
            <wp:docPr id="919" name="Chart 9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B4FA402" w14:textId="3C850EE7" w:rsidR="00257BA3" w:rsidRDefault="00257BA3" w:rsidP="00257BA3">
      <w:pPr>
        <w:jc w:val="center"/>
        <w:rPr>
          <w:lang w:val="en-US"/>
        </w:rPr>
      </w:pPr>
    </w:p>
    <w:p w14:paraId="6953C893" w14:textId="77777777" w:rsidR="00257BA3" w:rsidRDefault="00257BA3" w:rsidP="008407D7">
      <w:pPr>
        <w:pStyle w:val="NormalNumb"/>
        <w:numPr>
          <w:ilvl w:val="4"/>
          <w:numId w:val="23"/>
        </w:numPr>
        <w:tabs>
          <w:tab w:val="left" w:pos="8505"/>
        </w:tabs>
      </w:pPr>
      <w:r w:rsidRPr="00D350B5">
        <w:t xml:space="preserve">The current PCT schedule of fees is reproduced in the table below. </w:t>
      </w:r>
    </w:p>
    <w:p w14:paraId="6DF32F04" w14:textId="77777777" w:rsidR="00257BA3" w:rsidRDefault="00257BA3" w:rsidP="00257BA3">
      <w:pPr>
        <w:keepNext/>
        <w:keepLines/>
        <w:spacing w:before="100" w:beforeAutospacing="1" w:after="0" w:line="240" w:lineRule="auto"/>
        <w:jc w:val="center"/>
        <w:rPr>
          <w:rFonts w:eastAsia="Arial"/>
          <w:b/>
          <w:color w:val="005172"/>
        </w:rPr>
      </w:pPr>
      <w:r>
        <w:rPr>
          <w:rFonts w:eastAsia="Arial"/>
          <w:b/>
          <w:color w:val="005172"/>
        </w:rPr>
        <w:t xml:space="preserve">Revised PCT Fee Schedule (as of July 1, 2008) </w:t>
      </w:r>
    </w:p>
    <w:p w14:paraId="255F9222" w14:textId="77777777" w:rsidR="00257BA3" w:rsidRDefault="00257BA3" w:rsidP="00257BA3">
      <w:pPr>
        <w:keepNext/>
        <w:keepLines/>
        <w:spacing w:after="0" w:line="240" w:lineRule="auto"/>
        <w:jc w:val="center"/>
        <w:rPr>
          <w:rFonts w:eastAsia="Arial"/>
          <w:i/>
          <w:sz w:val="16"/>
        </w:rPr>
      </w:pPr>
      <w:r w:rsidRPr="003D7B01">
        <w:rPr>
          <w:rFonts w:eastAsia="Arial"/>
          <w:i/>
          <w:sz w:val="16"/>
        </w:rPr>
        <w:t>(in Swiss francs)</w:t>
      </w:r>
    </w:p>
    <w:p w14:paraId="5E75E88F" w14:textId="77777777" w:rsidR="00257BA3" w:rsidRDefault="00257BA3" w:rsidP="00257BA3">
      <w:pPr>
        <w:keepNext/>
        <w:keepLines/>
        <w:spacing w:after="0" w:line="240" w:lineRule="auto"/>
        <w:jc w:val="center"/>
        <w:rPr>
          <w:rFonts w:eastAsia="Arial"/>
          <w:i/>
          <w:sz w:val="16"/>
        </w:rPr>
      </w:pPr>
    </w:p>
    <w:tbl>
      <w:tblPr>
        <w:tblW w:w="4500" w:type="dxa"/>
        <w:jc w:val="center"/>
        <w:tblLook w:val="04A0" w:firstRow="1" w:lastRow="0" w:firstColumn="1" w:lastColumn="0" w:noHBand="0" w:noVBand="1"/>
      </w:tblPr>
      <w:tblGrid>
        <w:gridCol w:w="1710"/>
        <w:gridCol w:w="1201"/>
        <w:gridCol w:w="1589"/>
      </w:tblGrid>
      <w:tr w:rsidR="00257BA3" w:rsidRPr="00D350B5" w14:paraId="25255EE6" w14:textId="77777777" w:rsidTr="00A91805">
        <w:trPr>
          <w:trHeight w:val="182"/>
          <w:jc w:val="center"/>
        </w:trPr>
        <w:tc>
          <w:tcPr>
            <w:tcW w:w="1710" w:type="dxa"/>
            <w:tcBorders>
              <w:top w:val="single" w:sz="4" w:space="0" w:color="BFBFBF"/>
              <w:left w:val="nil"/>
              <w:bottom w:val="nil"/>
              <w:right w:val="nil"/>
            </w:tcBorders>
            <w:shd w:val="clear" w:color="000000" w:fill="FFFFFF"/>
            <w:noWrap/>
            <w:vAlign w:val="bottom"/>
            <w:hideMark/>
          </w:tcPr>
          <w:p w14:paraId="6C67975B"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Basic fee</w:t>
            </w:r>
          </w:p>
        </w:tc>
        <w:tc>
          <w:tcPr>
            <w:tcW w:w="1201" w:type="dxa"/>
            <w:tcBorders>
              <w:top w:val="single" w:sz="4" w:space="0" w:color="BFBFBF"/>
              <w:left w:val="nil"/>
              <w:bottom w:val="nil"/>
              <w:right w:val="nil"/>
            </w:tcBorders>
            <w:shd w:val="clear" w:color="000000" w:fill="FFFFFF"/>
            <w:noWrap/>
            <w:vAlign w:val="bottom"/>
            <w:hideMark/>
          </w:tcPr>
          <w:p w14:paraId="5D265CFE"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 </w:t>
            </w:r>
          </w:p>
        </w:tc>
        <w:tc>
          <w:tcPr>
            <w:tcW w:w="1589" w:type="dxa"/>
            <w:tcBorders>
              <w:top w:val="single" w:sz="4" w:space="0" w:color="BFBFBF"/>
              <w:left w:val="nil"/>
              <w:bottom w:val="nil"/>
              <w:right w:val="nil"/>
            </w:tcBorders>
            <w:shd w:val="clear" w:color="000000" w:fill="FFFFFF"/>
            <w:vAlign w:val="bottom"/>
          </w:tcPr>
          <w:p w14:paraId="23CA5B82"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1,330</w:t>
            </w:r>
          </w:p>
        </w:tc>
      </w:tr>
      <w:tr w:rsidR="00257BA3" w:rsidRPr="00D350B5" w14:paraId="5863CB1D" w14:textId="77777777" w:rsidTr="00A91805">
        <w:trPr>
          <w:trHeight w:val="182"/>
          <w:jc w:val="center"/>
        </w:trPr>
        <w:tc>
          <w:tcPr>
            <w:tcW w:w="1710" w:type="dxa"/>
            <w:tcBorders>
              <w:top w:val="nil"/>
              <w:left w:val="nil"/>
              <w:bottom w:val="nil"/>
              <w:right w:val="nil"/>
            </w:tcBorders>
            <w:shd w:val="clear" w:color="000000" w:fill="FFFFFF"/>
            <w:noWrap/>
            <w:vAlign w:val="bottom"/>
            <w:hideMark/>
          </w:tcPr>
          <w:p w14:paraId="25B65AC6"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Fee for pages over 30</w:t>
            </w:r>
          </w:p>
        </w:tc>
        <w:tc>
          <w:tcPr>
            <w:tcW w:w="1201" w:type="dxa"/>
            <w:tcBorders>
              <w:top w:val="nil"/>
              <w:left w:val="nil"/>
              <w:bottom w:val="nil"/>
              <w:right w:val="nil"/>
            </w:tcBorders>
            <w:shd w:val="clear" w:color="000000" w:fill="FFFFFF"/>
            <w:noWrap/>
            <w:vAlign w:val="bottom"/>
            <w:hideMark/>
          </w:tcPr>
          <w:p w14:paraId="5FC520C4"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 </w:t>
            </w:r>
          </w:p>
        </w:tc>
        <w:tc>
          <w:tcPr>
            <w:tcW w:w="1589" w:type="dxa"/>
            <w:tcBorders>
              <w:top w:val="nil"/>
              <w:left w:val="nil"/>
              <w:bottom w:val="nil"/>
              <w:right w:val="nil"/>
            </w:tcBorders>
            <w:shd w:val="clear" w:color="000000" w:fill="FFFFFF"/>
            <w:vAlign w:val="bottom"/>
          </w:tcPr>
          <w:p w14:paraId="2886D9F1"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15</w:t>
            </w:r>
          </w:p>
        </w:tc>
      </w:tr>
      <w:tr w:rsidR="00257BA3" w:rsidRPr="00D350B5" w14:paraId="1EDC1B11" w14:textId="77777777" w:rsidTr="00A91805">
        <w:trPr>
          <w:trHeight w:val="182"/>
          <w:jc w:val="center"/>
        </w:trPr>
        <w:tc>
          <w:tcPr>
            <w:tcW w:w="1710" w:type="dxa"/>
            <w:tcBorders>
              <w:top w:val="nil"/>
              <w:left w:val="nil"/>
              <w:bottom w:val="nil"/>
              <w:right w:val="nil"/>
            </w:tcBorders>
            <w:shd w:val="clear" w:color="000000" w:fill="FFFFFF"/>
            <w:noWrap/>
            <w:vAlign w:val="bottom"/>
            <w:hideMark/>
          </w:tcPr>
          <w:p w14:paraId="07740C34"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E-filing fee reduction</w:t>
            </w:r>
          </w:p>
        </w:tc>
        <w:tc>
          <w:tcPr>
            <w:tcW w:w="1201" w:type="dxa"/>
            <w:tcBorders>
              <w:top w:val="nil"/>
              <w:left w:val="nil"/>
              <w:bottom w:val="nil"/>
              <w:right w:val="nil"/>
            </w:tcBorders>
            <w:shd w:val="clear" w:color="000000" w:fill="FFFFFF"/>
            <w:noWrap/>
            <w:vAlign w:val="bottom"/>
            <w:hideMark/>
          </w:tcPr>
          <w:p w14:paraId="0A04D340"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Easy</w:t>
            </w:r>
          </w:p>
        </w:tc>
        <w:tc>
          <w:tcPr>
            <w:tcW w:w="1589" w:type="dxa"/>
            <w:tcBorders>
              <w:top w:val="nil"/>
              <w:left w:val="nil"/>
              <w:bottom w:val="nil"/>
              <w:right w:val="nil"/>
            </w:tcBorders>
            <w:shd w:val="clear" w:color="000000" w:fill="FFFFFF"/>
            <w:vAlign w:val="bottom"/>
          </w:tcPr>
          <w:p w14:paraId="7629061A"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-100</w:t>
            </w:r>
          </w:p>
        </w:tc>
      </w:tr>
      <w:tr w:rsidR="00257BA3" w:rsidRPr="00D350B5" w14:paraId="4C79CCE6" w14:textId="77777777" w:rsidTr="00A91805">
        <w:trPr>
          <w:trHeight w:val="182"/>
          <w:jc w:val="center"/>
        </w:trPr>
        <w:tc>
          <w:tcPr>
            <w:tcW w:w="1710" w:type="dxa"/>
            <w:tcBorders>
              <w:top w:val="nil"/>
              <w:left w:val="nil"/>
              <w:bottom w:val="nil"/>
              <w:right w:val="nil"/>
            </w:tcBorders>
            <w:shd w:val="clear" w:color="000000" w:fill="FFFFFF"/>
            <w:noWrap/>
            <w:vAlign w:val="bottom"/>
          </w:tcPr>
          <w:p w14:paraId="7D072C52"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 </w:t>
            </w:r>
          </w:p>
        </w:tc>
        <w:tc>
          <w:tcPr>
            <w:tcW w:w="1201" w:type="dxa"/>
            <w:tcBorders>
              <w:top w:val="nil"/>
              <w:left w:val="nil"/>
              <w:bottom w:val="nil"/>
              <w:right w:val="nil"/>
            </w:tcBorders>
            <w:shd w:val="clear" w:color="000000" w:fill="FFFFFF"/>
            <w:noWrap/>
            <w:vAlign w:val="bottom"/>
          </w:tcPr>
          <w:p w14:paraId="173C3B21"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PDF</w:t>
            </w:r>
          </w:p>
        </w:tc>
        <w:tc>
          <w:tcPr>
            <w:tcW w:w="1589" w:type="dxa"/>
            <w:tcBorders>
              <w:top w:val="nil"/>
              <w:left w:val="nil"/>
              <w:bottom w:val="nil"/>
              <w:right w:val="nil"/>
            </w:tcBorders>
            <w:shd w:val="clear" w:color="000000" w:fill="FFFFFF"/>
            <w:vAlign w:val="bottom"/>
          </w:tcPr>
          <w:p w14:paraId="7CB525D8"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-200</w:t>
            </w:r>
          </w:p>
        </w:tc>
      </w:tr>
      <w:tr w:rsidR="00257BA3" w:rsidRPr="00D350B5" w14:paraId="0F344D9E" w14:textId="77777777" w:rsidTr="00A91805">
        <w:trPr>
          <w:trHeight w:val="182"/>
          <w:jc w:val="center"/>
        </w:trPr>
        <w:tc>
          <w:tcPr>
            <w:tcW w:w="1710" w:type="dxa"/>
            <w:tcBorders>
              <w:top w:val="nil"/>
              <w:left w:val="nil"/>
              <w:bottom w:val="nil"/>
              <w:right w:val="nil"/>
            </w:tcBorders>
            <w:shd w:val="clear" w:color="000000" w:fill="FFFFFF"/>
            <w:noWrap/>
            <w:vAlign w:val="bottom"/>
          </w:tcPr>
          <w:p w14:paraId="77B67017"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 </w:t>
            </w:r>
          </w:p>
        </w:tc>
        <w:tc>
          <w:tcPr>
            <w:tcW w:w="1201" w:type="dxa"/>
            <w:tcBorders>
              <w:top w:val="nil"/>
              <w:left w:val="nil"/>
              <w:bottom w:val="nil"/>
              <w:right w:val="nil"/>
            </w:tcBorders>
            <w:shd w:val="clear" w:color="000000" w:fill="FFFFFF"/>
            <w:noWrap/>
            <w:vAlign w:val="bottom"/>
          </w:tcPr>
          <w:p w14:paraId="2CF708B6"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XML</w:t>
            </w:r>
          </w:p>
        </w:tc>
        <w:tc>
          <w:tcPr>
            <w:tcW w:w="1589" w:type="dxa"/>
            <w:tcBorders>
              <w:top w:val="nil"/>
              <w:left w:val="nil"/>
              <w:bottom w:val="nil"/>
              <w:right w:val="nil"/>
            </w:tcBorders>
            <w:shd w:val="clear" w:color="000000" w:fill="FFFFFF"/>
            <w:vAlign w:val="bottom"/>
          </w:tcPr>
          <w:p w14:paraId="1C15E664"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-300</w:t>
            </w:r>
          </w:p>
        </w:tc>
      </w:tr>
      <w:tr w:rsidR="00257BA3" w:rsidRPr="00D350B5" w14:paraId="762A28BC" w14:textId="77777777" w:rsidTr="00A91805">
        <w:trPr>
          <w:trHeight w:val="182"/>
          <w:jc w:val="center"/>
        </w:trPr>
        <w:tc>
          <w:tcPr>
            <w:tcW w:w="1710" w:type="dxa"/>
            <w:tcBorders>
              <w:top w:val="nil"/>
              <w:left w:val="nil"/>
              <w:bottom w:val="nil"/>
              <w:right w:val="nil"/>
            </w:tcBorders>
            <w:shd w:val="clear" w:color="000000" w:fill="FFFFFF"/>
            <w:noWrap/>
            <w:vAlign w:val="bottom"/>
            <w:hideMark/>
          </w:tcPr>
          <w:p w14:paraId="64925E38"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RO/IB transmittal fee</w:t>
            </w:r>
          </w:p>
        </w:tc>
        <w:tc>
          <w:tcPr>
            <w:tcW w:w="1201" w:type="dxa"/>
            <w:tcBorders>
              <w:top w:val="nil"/>
              <w:left w:val="nil"/>
              <w:bottom w:val="nil"/>
              <w:right w:val="nil"/>
            </w:tcBorders>
            <w:shd w:val="clear" w:color="000000" w:fill="FFFFFF"/>
            <w:noWrap/>
            <w:vAlign w:val="bottom"/>
            <w:hideMark/>
          </w:tcPr>
          <w:p w14:paraId="5E35708B"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 </w:t>
            </w:r>
          </w:p>
        </w:tc>
        <w:tc>
          <w:tcPr>
            <w:tcW w:w="1589" w:type="dxa"/>
            <w:tcBorders>
              <w:top w:val="nil"/>
              <w:left w:val="nil"/>
              <w:bottom w:val="nil"/>
              <w:right w:val="nil"/>
            </w:tcBorders>
            <w:shd w:val="clear" w:color="000000" w:fill="FFFFFF"/>
            <w:vAlign w:val="bottom"/>
          </w:tcPr>
          <w:p w14:paraId="432B7B68"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100</w:t>
            </w:r>
          </w:p>
        </w:tc>
      </w:tr>
      <w:tr w:rsidR="00257BA3" w:rsidRPr="00D350B5" w14:paraId="03814437" w14:textId="77777777" w:rsidTr="00A91805">
        <w:trPr>
          <w:trHeight w:val="182"/>
          <w:jc w:val="center"/>
        </w:trPr>
        <w:tc>
          <w:tcPr>
            <w:tcW w:w="1710" w:type="dxa"/>
            <w:tcBorders>
              <w:top w:val="nil"/>
              <w:left w:val="nil"/>
              <w:bottom w:val="single" w:sz="4" w:space="0" w:color="BFBFBF"/>
              <w:right w:val="nil"/>
            </w:tcBorders>
            <w:shd w:val="clear" w:color="000000" w:fill="FFFFFF"/>
            <w:noWrap/>
            <w:vAlign w:val="bottom"/>
            <w:hideMark/>
          </w:tcPr>
          <w:p w14:paraId="4A6999F9" w14:textId="77777777" w:rsidR="00257BA3" w:rsidRPr="00D350B5" w:rsidRDefault="00257BA3" w:rsidP="00A91805">
            <w:pPr>
              <w:spacing w:after="60"/>
              <w:rPr>
                <w:rFonts w:ascii="Arial Narrow" w:hAnsi="Arial Narrow"/>
                <w:color w:val="000000"/>
                <w:sz w:val="16"/>
                <w:szCs w:val="16"/>
              </w:rPr>
            </w:pPr>
            <w:r>
              <w:rPr>
                <w:rFonts w:ascii="Arial Narrow" w:hAnsi="Arial Narrow" w:cs="Arial"/>
                <w:color w:val="000000"/>
                <w:szCs w:val="18"/>
              </w:rPr>
              <w:t>Handling fee</w:t>
            </w:r>
          </w:p>
        </w:tc>
        <w:tc>
          <w:tcPr>
            <w:tcW w:w="1201" w:type="dxa"/>
            <w:tcBorders>
              <w:top w:val="nil"/>
              <w:left w:val="nil"/>
              <w:bottom w:val="single" w:sz="4" w:space="0" w:color="BFBFBF"/>
              <w:right w:val="nil"/>
            </w:tcBorders>
            <w:shd w:val="clear" w:color="000000" w:fill="FFFFFF"/>
            <w:noWrap/>
            <w:vAlign w:val="bottom"/>
            <w:hideMark/>
          </w:tcPr>
          <w:p w14:paraId="5044D207"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 </w:t>
            </w:r>
          </w:p>
        </w:tc>
        <w:tc>
          <w:tcPr>
            <w:tcW w:w="1589" w:type="dxa"/>
            <w:tcBorders>
              <w:top w:val="nil"/>
              <w:left w:val="nil"/>
              <w:bottom w:val="single" w:sz="4" w:space="0" w:color="BFBFBF"/>
              <w:right w:val="nil"/>
            </w:tcBorders>
            <w:shd w:val="clear" w:color="000000" w:fill="FFFFFF"/>
            <w:vAlign w:val="bottom"/>
          </w:tcPr>
          <w:p w14:paraId="7B3A37F2" w14:textId="77777777" w:rsidR="00257BA3" w:rsidRPr="00D350B5" w:rsidRDefault="00257BA3" w:rsidP="00A91805">
            <w:pPr>
              <w:spacing w:after="60"/>
              <w:jc w:val="right"/>
              <w:rPr>
                <w:rFonts w:ascii="Arial Narrow" w:hAnsi="Arial Narrow"/>
                <w:color w:val="000000"/>
                <w:sz w:val="16"/>
                <w:szCs w:val="16"/>
              </w:rPr>
            </w:pPr>
            <w:r>
              <w:rPr>
                <w:rFonts w:ascii="Arial Narrow" w:hAnsi="Arial Narrow" w:cs="Arial"/>
                <w:color w:val="000000"/>
                <w:szCs w:val="18"/>
              </w:rPr>
              <w:t>200</w:t>
            </w:r>
          </w:p>
        </w:tc>
      </w:tr>
    </w:tbl>
    <w:p w14:paraId="1122AADB" w14:textId="77777777" w:rsidR="00257BA3" w:rsidRPr="00D350B5" w:rsidRDefault="00257BA3" w:rsidP="00737CF5">
      <w:pPr>
        <w:keepNext/>
        <w:spacing w:before="480" w:after="240"/>
        <w:outlineLvl w:val="2"/>
        <w:rPr>
          <w:rFonts w:eastAsia="Arial"/>
          <w:color w:val="005172"/>
          <w:sz w:val="32"/>
        </w:rPr>
      </w:pPr>
      <w:r w:rsidRPr="00D350B5">
        <w:rPr>
          <w:rFonts w:eastAsia="Arial"/>
          <w:color w:val="005172"/>
          <w:sz w:val="32"/>
        </w:rPr>
        <w:t>Madrid</w:t>
      </w:r>
    </w:p>
    <w:p w14:paraId="7A0141DC" w14:textId="77777777" w:rsidR="00257BA3" w:rsidRPr="00D350B5" w:rsidRDefault="00257BA3" w:rsidP="00257BA3">
      <w:pPr>
        <w:rPr>
          <w:rFonts w:ascii="Arial Bold" w:eastAsia="Arial" w:hAnsi="Arial Bold"/>
          <w:b/>
          <w:color w:val="005172"/>
        </w:rPr>
      </w:pPr>
      <w:r w:rsidRPr="00D350B5">
        <w:rPr>
          <w:rFonts w:ascii="Arial Bold" w:eastAsia="Arial" w:hAnsi="Arial Bold"/>
          <w:b/>
          <w:color w:val="005172"/>
        </w:rPr>
        <w:t xml:space="preserve">Madrid - </w:t>
      </w:r>
      <w:r w:rsidRPr="00C75948">
        <w:rPr>
          <w:rFonts w:ascii="Arial Bold" w:hAnsi="Arial Bold"/>
          <w:color w:val="005172" w:themeColor="accent1"/>
        </w:rPr>
        <w:t>Forecast</w:t>
      </w:r>
      <w:r w:rsidRPr="00D350B5">
        <w:rPr>
          <w:rFonts w:ascii="Arial Bold" w:eastAsia="Arial" w:hAnsi="Arial Bold"/>
          <w:b/>
          <w:color w:val="005172"/>
        </w:rPr>
        <w:t xml:space="preserve"> of Demand for International Registrations</w:t>
      </w:r>
    </w:p>
    <w:p w14:paraId="1D489EDE" w14:textId="64CF26F6" w:rsidR="00257BA3" w:rsidRPr="00D350B5" w:rsidRDefault="00257BA3" w:rsidP="008407D7">
      <w:pPr>
        <w:pStyle w:val="NormalNumb"/>
        <w:numPr>
          <w:ilvl w:val="4"/>
          <w:numId w:val="23"/>
        </w:numPr>
        <w:tabs>
          <w:tab w:val="left" w:pos="8505"/>
        </w:tabs>
      </w:pPr>
      <w:r w:rsidRPr="00D350B5">
        <w:t xml:space="preserve">Chart </w:t>
      </w:r>
      <w:r>
        <w:t>4</w:t>
      </w:r>
      <w:r w:rsidRPr="00D350B5">
        <w:t xml:space="preserve"> shows Madrid applications forecast for the years 20</w:t>
      </w:r>
      <w:r>
        <w:t>23</w:t>
      </w:r>
      <w:r w:rsidRPr="00D350B5">
        <w:t xml:space="preserve"> to </w:t>
      </w:r>
      <w:r w:rsidRPr="005677AD">
        <w:t>202</w:t>
      </w:r>
      <w:r>
        <w:t>5</w:t>
      </w:r>
      <w:r w:rsidRPr="005677AD">
        <w:t xml:space="preserve"> (based on data at the end of</w:t>
      </w:r>
      <w:r>
        <w:t xml:space="preserve"> </w:t>
      </w:r>
      <w:r w:rsidR="00511ECB">
        <w:t>April</w:t>
      </w:r>
      <w:r>
        <w:t xml:space="preserve"> 2023</w:t>
      </w:r>
      <w:r w:rsidRPr="005677AD">
        <w:t xml:space="preserve">).  </w:t>
      </w:r>
      <w:r w:rsidRPr="00D350B5">
        <w:t xml:space="preserve">The forecast is based on multiple models, including autoregressive and econometric models.  The </w:t>
      </w:r>
      <w:r>
        <w:t xml:space="preserve">latter </w:t>
      </w:r>
      <w:r w:rsidRPr="00D350B5">
        <w:t xml:space="preserve">are based on actual GDP data and GDP forecasts released by the </w:t>
      </w:r>
      <w:r>
        <w:t>IMF</w:t>
      </w:r>
      <w:r w:rsidRPr="00D350B5">
        <w:t xml:space="preserve">.  The results by different models are further combined to control for the uncertainty arising from the correct model specification. </w:t>
      </w:r>
    </w:p>
    <w:p w14:paraId="06036D90" w14:textId="77777777" w:rsidR="00257BA3" w:rsidRDefault="00257BA3" w:rsidP="00257BA3">
      <w:pPr>
        <w:keepNext/>
        <w:keepLines/>
        <w:spacing w:before="240" w:after="0"/>
        <w:jc w:val="center"/>
        <w:rPr>
          <w:rFonts w:eastAsia="Arial"/>
          <w:b/>
          <w:color w:val="005172"/>
        </w:rPr>
      </w:pPr>
    </w:p>
    <w:p w14:paraId="2180497A" w14:textId="7ABBF30F" w:rsidR="00257BA3" w:rsidRDefault="00257BA3" w:rsidP="00821BE7">
      <w:pPr>
        <w:spacing w:after="200" w:line="276" w:lineRule="auto"/>
        <w:rPr>
          <w:rFonts w:eastAsia="Arial"/>
          <w:b/>
          <w:color w:val="005172"/>
        </w:rPr>
      </w:pPr>
      <w:r>
        <w:rPr>
          <w:rFonts w:eastAsia="Arial"/>
          <w:b/>
          <w:color w:val="005172"/>
        </w:rPr>
        <w:br w:type="page"/>
      </w:r>
      <w:r w:rsidRPr="00D350B5">
        <w:rPr>
          <w:rFonts w:eastAsia="Arial"/>
          <w:b/>
          <w:color w:val="005172"/>
        </w:rPr>
        <w:t xml:space="preserve">Chart </w:t>
      </w:r>
      <w:r>
        <w:rPr>
          <w:rFonts w:eastAsia="Arial"/>
          <w:b/>
          <w:color w:val="005172"/>
        </w:rPr>
        <w:t>4</w:t>
      </w:r>
      <w:r w:rsidRPr="00D350B5">
        <w:rPr>
          <w:rFonts w:eastAsia="Arial"/>
          <w:b/>
          <w:color w:val="005172"/>
        </w:rPr>
        <w:t xml:space="preserve">.  Madrid </w:t>
      </w:r>
      <w:r>
        <w:rPr>
          <w:rFonts w:eastAsia="Arial"/>
          <w:b/>
          <w:color w:val="005172"/>
        </w:rPr>
        <w:t>Applications 2020 to 2025</w:t>
      </w:r>
    </w:p>
    <w:p w14:paraId="05B10DAF" w14:textId="226B6550" w:rsidR="00E35D9E" w:rsidRDefault="005A58B7" w:rsidP="00257BA3">
      <w:pPr>
        <w:keepNext/>
        <w:keepLines/>
        <w:spacing w:before="240" w:after="0"/>
        <w:jc w:val="center"/>
        <w:rPr>
          <w:rFonts w:eastAsia="Arial"/>
          <w:b/>
          <w:color w:val="005172"/>
        </w:rPr>
      </w:pPr>
      <w:r>
        <w:rPr>
          <w:noProof/>
          <w:lang w:val="en-US"/>
        </w:rPr>
        <w:drawing>
          <wp:inline distT="0" distB="0" distL="0" distR="0" wp14:anchorId="0D1A6C08" wp14:editId="3CA016CB">
            <wp:extent cx="3699163" cy="2190716"/>
            <wp:effectExtent l="0" t="0" r="0" b="635"/>
            <wp:docPr id="925" name="Chart 9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0851E7C" w14:textId="77777777" w:rsidR="00E35D9E" w:rsidRDefault="00E35D9E" w:rsidP="00257BA3">
      <w:pPr>
        <w:keepNext/>
        <w:keepLines/>
        <w:spacing w:before="240" w:after="0"/>
        <w:jc w:val="center"/>
        <w:rPr>
          <w:rFonts w:eastAsia="Arial"/>
          <w:b/>
          <w:color w:val="005172"/>
        </w:rPr>
      </w:pPr>
    </w:p>
    <w:p w14:paraId="518F9BFF" w14:textId="5D76B822" w:rsidR="00257BA3" w:rsidRDefault="00257BA3" w:rsidP="00257BA3">
      <w:pPr>
        <w:jc w:val="center"/>
        <w:rPr>
          <w:lang w:val="en-US"/>
        </w:rPr>
      </w:pPr>
    </w:p>
    <w:tbl>
      <w:tblPr>
        <w:tblW w:w="7654" w:type="dxa"/>
        <w:jc w:val="center"/>
        <w:tblLook w:val="04A0" w:firstRow="1" w:lastRow="0" w:firstColumn="1" w:lastColumn="0" w:noHBand="0" w:noVBand="1"/>
      </w:tblPr>
      <w:tblGrid>
        <w:gridCol w:w="1726"/>
        <w:gridCol w:w="988"/>
        <w:gridCol w:w="988"/>
        <w:gridCol w:w="988"/>
        <w:gridCol w:w="988"/>
        <w:gridCol w:w="988"/>
        <w:gridCol w:w="988"/>
      </w:tblGrid>
      <w:tr w:rsidR="00257BA3" w:rsidRPr="00D350B5" w14:paraId="3A4FA638" w14:textId="77777777" w:rsidTr="00A91805">
        <w:trPr>
          <w:trHeight w:val="226"/>
          <w:jc w:val="center"/>
        </w:trPr>
        <w:tc>
          <w:tcPr>
            <w:tcW w:w="1726" w:type="dxa"/>
            <w:shd w:val="clear" w:color="auto" w:fill="C6CFD7" w:themeFill="accent3" w:themeFillTint="66"/>
            <w:noWrap/>
            <w:hideMark/>
          </w:tcPr>
          <w:p w14:paraId="0D6054D7" w14:textId="77777777" w:rsidR="00257BA3" w:rsidRPr="00D350B5" w:rsidRDefault="00257BA3" w:rsidP="00A91805">
            <w:pPr>
              <w:spacing w:after="60"/>
              <w:rPr>
                <w:rFonts w:ascii="Arial Narrow" w:hAnsi="Arial Narrow"/>
                <w:color w:val="000000"/>
                <w:sz w:val="16"/>
                <w:szCs w:val="16"/>
              </w:rPr>
            </w:pPr>
            <w:r w:rsidRPr="00D350B5">
              <w:rPr>
                <w:rFonts w:ascii="Arial Narrow" w:hAnsi="Arial Narrow"/>
                <w:color w:val="000000"/>
                <w:sz w:val="16"/>
                <w:szCs w:val="16"/>
              </w:rPr>
              <w:t> </w:t>
            </w:r>
          </w:p>
        </w:tc>
        <w:tc>
          <w:tcPr>
            <w:tcW w:w="988" w:type="dxa"/>
            <w:tcBorders>
              <w:top w:val="nil"/>
              <w:left w:val="nil"/>
              <w:right w:val="nil"/>
            </w:tcBorders>
            <w:shd w:val="clear" w:color="000000" w:fill="C7CFD8"/>
            <w:noWrap/>
            <w:vAlign w:val="bottom"/>
            <w:hideMark/>
          </w:tcPr>
          <w:p w14:paraId="43A36F5B"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988" w:type="dxa"/>
            <w:tcBorders>
              <w:top w:val="nil"/>
              <w:left w:val="nil"/>
              <w:right w:val="nil"/>
            </w:tcBorders>
            <w:shd w:val="clear" w:color="000000" w:fill="C7CFD8"/>
            <w:noWrap/>
            <w:vAlign w:val="bottom"/>
            <w:hideMark/>
          </w:tcPr>
          <w:p w14:paraId="6FF3D930"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988" w:type="dxa"/>
            <w:tcBorders>
              <w:top w:val="nil"/>
              <w:left w:val="nil"/>
              <w:right w:val="nil"/>
            </w:tcBorders>
            <w:shd w:val="clear" w:color="000000" w:fill="C7CFD8"/>
            <w:noWrap/>
            <w:vAlign w:val="bottom"/>
            <w:hideMark/>
          </w:tcPr>
          <w:p w14:paraId="78DFEC30"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988" w:type="dxa"/>
            <w:tcBorders>
              <w:top w:val="nil"/>
              <w:left w:val="nil"/>
              <w:right w:val="nil"/>
            </w:tcBorders>
            <w:shd w:val="clear" w:color="000000" w:fill="C7CFD8"/>
            <w:noWrap/>
            <w:vAlign w:val="bottom"/>
            <w:hideMark/>
          </w:tcPr>
          <w:p w14:paraId="4174E10D"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3BEA940D"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c>
          <w:tcPr>
            <w:tcW w:w="988" w:type="dxa"/>
            <w:tcBorders>
              <w:top w:val="nil"/>
              <w:left w:val="nil"/>
              <w:right w:val="nil"/>
            </w:tcBorders>
            <w:shd w:val="clear" w:color="000000" w:fill="C7CFD8"/>
            <w:noWrap/>
            <w:vAlign w:val="bottom"/>
            <w:hideMark/>
          </w:tcPr>
          <w:p w14:paraId="313E98E1"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497BC7A1"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988" w:type="dxa"/>
            <w:tcBorders>
              <w:top w:val="nil"/>
              <w:left w:val="nil"/>
              <w:right w:val="nil"/>
            </w:tcBorders>
            <w:shd w:val="clear" w:color="000000" w:fill="C7CFD8"/>
            <w:noWrap/>
            <w:vAlign w:val="bottom"/>
            <w:hideMark/>
          </w:tcPr>
          <w:p w14:paraId="2CA647CD"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021D54EC" w14:textId="77777777" w:rsidR="00257BA3" w:rsidRPr="005375E4"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5A58B7" w:rsidRPr="00D350B5" w14:paraId="5E055EE9" w14:textId="77777777" w:rsidTr="002356E0">
        <w:trPr>
          <w:trHeight w:val="226"/>
          <w:jc w:val="center"/>
        </w:trPr>
        <w:tc>
          <w:tcPr>
            <w:tcW w:w="1726" w:type="dxa"/>
            <w:tcBorders>
              <w:top w:val="single" w:sz="4" w:space="0" w:color="C6CFD7" w:themeColor="accent3" w:themeTint="66"/>
              <w:left w:val="nil"/>
              <w:bottom w:val="nil"/>
              <w:right w:val="nil"/>
            </w:tcBorders>
            <w:shd w:val="clear" w:color="000000" w:fill="FFFFFF"/>
            <w:noWrap/>
            <w:vAlign w:val="bottom"/>
            <w:hideMark/>
          </w:tcPr>
          <w:p w14:paraId="1CA88CF0"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Applications</w:t>
            </w:r>
          </w:p>
        </w:tc>
        <w:tc>
          <w:tcPr>
            <w:tcW w:w="988" w:type="dxa"/>
            <w:tcBorders>
              <w:top w:val="single" w:sz="4" w:space="0" w:color="BFBFBF"/>
              <w:left w:val="nil"/>
              <w:bottom w:val="nil"/>
              <w:right w:val="nil"/>
            </w:tcBorders>
            <w:shd w:val="clear" w:color="000000" w:fill="FFFFFF"/>
            <w:noWrap/>
            <w:vAlign w:val="bottom"/>
            <w:hideMark/>
          </w:tcPr>
          <w:p w14:paraId="09338E76" w14:textId="77777777" w:rsidR="005A58B7" w:rsidRPr="005E2598" w:rsidRDefault="005A58B7" w:rsidP="005A58B7">
            <w:pPr>
              <w:spacing w:after="60"/>
              <w:jc w:val="right"/>
              <w:rPr>
                <w:rFonts w:ascii="Arial Narrow" w:hAnsi="Arial Narrow"/>
                <w:color w:val="000000"/>
                <w:sz w:val="16"/>
                <w:szCs w:val="16"/>
              </w:rPr>
            </w:pPr>
            <w:r w:rsidRPr="005E2598">
              <w:rPr>
                <w:rFonts w:ascii="Arial Narrow" w:hAnsi="Arial Narrow" w:cs="Arial"/>
                <w:color w:val="000000"/>
                <w:sz w:val="16"/>
                <w:szCs w:val="18"/>
              </w:rPr>
              <w:t>63,906</w:t>
            </w:r>
          </w:p>
        </w:tc>
        <w:tc>
          <w:tcPr>
            <w:tcW w:w="988" w:type="dxa"/>
            <w:tcBorders>
              <w:top w:val="single" w:sz="4" w:space="0" w:color="BFBFBF"/>
              <w:left w:val="nil"/>
              <w:bottom w:val="nil"/>
              <w:right w:val="nil"/>
            </w:tcBorders>
            <w:shd w:val="clear" w:color="000000" w:fill="FFFFFF"/>
            <w:noWrap/>
            <w:vAlign w:val="bottom"/>
          </w:tcPr>
          <w:p w14:paraId="19ECEBFB" w14:textId="689E9CE3"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73,507</w:t>
            </w:r>
          </w:p>
        </w:tc>
        <w:tc>
          <w:tcPr>
            <w:tcW w:w="988" w:type="dxa"/>
            <w:tcBorders>
              <w:top w:val="single" w:sz="4" w:space="0" w:color="BFBFBF"/>
              <w:left w:val="nil"/>
              <w:bottom w:val="nil"/>
              <w:right w:val="nil"/>
            </w:tcBorders>
            <w:shd w:val="clear" w:color="000000" w:fill="FFFFFF"/>
            <w:noWrap/>
            <w:vAlign w:val="bottom"/>
          </w:tcPr>
          <w:p w14:paraId="3125CEFB" w14:textId="27F5A821"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69,000</w:t>
            </w:r>
          </w:p>
        </w:tc>
        <w:tc>
          <w:tcPr>
            <w:tcW w:w="988" w:type="dxa"/>
            <w:tcBorders>
              <w:top w:val="single" w:sz="4" w:space="0" w:color="BFBFBF"/>
              <w:left w:val="nil"/>
              <w:bottom w:val="nil"/>
              <w:right w:val="nil"/>
            </w:tcBorders>
            <w:shd w:val="clear" w:color="000000" w:fill="FFFFFF"/>
            <w:noWrap/>
            <w:vAlign w:val="bottom"/>
          </w:tcPr>
          <w:p w14:paraId="12824203" w14:textId="163FB08A"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69,500</w:t>
            </w:r>
          </w:p>
        </w:tc>
        <w:tc>
          <w:tcPr>
            <w:tcW w:w="988" w:type="dxa"/>
            <w:tcBorders>
              <w:top w:val="single" w:sz="4" w:space="0" w:color="BFBFBF"/>
              <w:left w:val="nil"/>
              <w:bottom w:val="nil"/>
              <w:right w:val="nil"/>
            </w:tcBorders>
            <w:shd w:val="clear" w:color="000000" w:fill="FFFFFF"/>
            <w:noWrap/>
            <w:vAlign w:val="bottom"/>
          </w:tcPr>
          <w:p w14:paraId="2A2B23DD" w14:textId="24645A9A"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72,900</w:t>
            </w:r>
          </w:p>
        </w:tc>
        <w:tc>
          <w:tcPr>
            <w:tcW w:w="988" w:type="dxa"/>
            <w:tcBorders>
              <w:top w:val="single" w:sz="4" w:space="0" w:color="BFBFBF"/>
              <w:left w:val="nil"/>
              <w:bottom w:val="nil"/>
              <w:right w:val="nil"/>
            </w:tcBorders>
            <w:shd w:val="clear" w:color="000000" w:fill="FFFFFF"/>
            <w:noWrap/>
            <w:vAlign w:val="bottom"/>
          </w:tcPr>
          <w:p w14:paraId="540BA6A8" w14:textId="38F48FD3"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75,000</w:t>
            </w:r>
          </w:p>
        </w:tc>
      </w:tr>
      <w:tr w:rsidR="005A58B7" w:rsidRPr="00D350B5" w14:paraId="50FCFE69" w14:textId="77777777" w:rsidTr="002356E0">
        <w:trPr>
          <w:trHeight w:val="226"/>
          <w:jc w:val="center"/>
        </w:trPr>
        <w:tc>
          <w:tcPr>
            <w:tcW w:w="1726" w:type="dxa"/>
            <w:tcBorders>
              <w:top w:val="nil"/>
              <w:left w:val="nil"/>
              <w:bottom w:val="nil"/>
              <w:right w:val="nil"/>
            </w:tcBorders>
            <w:shd w:val="clear" w:color="000000" w:fill="FFFFFF"/>
            <w:noWrap/>
            <w:vAlign w:val="bottom"/>
            <w:hideMark/>
          </w:tcPr>
          <w:p w14:paraId="0F16EF5B"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Growth</w:t>
            </w:r>
          </w:p>
        </w:tc>
        <w:tc>
          <w:tcPr>
            <w:tcW w:w="988" w:type="dxa"/>
            <w:tcBorders>
              <w:top w:val="nil"/>
              <w:left w:val="nil"/>
              <w:bottom w:val="nil"/>
              <w:right w:val="nil"/>
            </w:tcBorders>
            <w:shd w:val="clear" w:color="000000" w:fill="FFFFFF"/>
            <w:noWrap/>
            <w:vAlign w:val="bottom"/>
            <w:hideMark/>
          </w:tcPr>
          <w:p w14:paraId="7DE9404F" w14:textId="77777777" w:rsidR="005A58B7" w:rsidRPr="005E2598" w:rsidRDefault="005A58B7" w:rsidP="005A58B7">
            <w:pPr>
              <w:spacing w:after="60"/>
              <w:jc w:val="right"/>
              <w:rPr>
                <w:rFonts w:ascii="Arial Narrow" w:hAnsi="Arial Narrow"/>
                <w:color w:val="000000"/>
                <w:sz w:val="16"/>
                <w:szCs w:val="16"/>
              </w:rPr>
            </w:pPr>
            <w:r w:rsidRPr="005E2598">
              <w:rPr>
                <w:rFonts w:ascii="Arial Narrow" w:hAnsi="Arial Narrow" w:cs="Arial"/>
                <w:color w:val="000000"/>
                <w:sz w:val="16"/>
                <w:szCs w:val="18"/>
              </w:rPr>
              <w:t>-0.4%</w:t>
            </w:r>
          </w:p>
        </w:tc>
        <w:tc>
          <w:tcPr>
            <w:tcW w:w="988" w:type="dxa"/>
            <w:tcBorders>
              <w:top w:val="nil"/>
              <w:left w:val="nil"/>
              <w:bottom w:val="nil"/>
              <w:right w:val="nil"/>
            </w:tcBorders>
            <w:shd w:val="clear" w:color="000000" w:fill="FFFFFF"/>
            <w:noWrap/>
            <w:vAlign w:val="bottom"/>
          </w:tcPr>
          <w:p w14:paraId="78551720" w14:textId="193E6F3E"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15.0%</w:t>
            </w:r>
          </w:p>
        </w:tc>
        <w:tc>
          <w:tcPr>
            <w:tcW w:w="988" w:type="dxa"/>
            <w:tcBorders>
              <w:top w:val="nil"/>
              <w:left w:val="nil"/>
              <w:bottom w:val="nil"/>
              <w:right w:val="nil"/>
            </w:tcBorders>
            <w:shd w:val="clear" w:color="000000" w:fill="FFFFFF"/>
            <w:noWrap/>
            <w:vAlign w:val="bottom"/>
          </w:tcPr>
          <w:p w14:paraId="73650D59" w14:textId="0B3E4BFC"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-6.1%</w:t>
            </w:r>
          </w:p>
        </w:tc>
        <w:tc>
          <w:tcPr>
            <w:tcW w:w="988" w:type="dxa"/>
            <w:tcBorders>
              <w:top w:val="nil"/>
              <w:left w:val="nil"/>
              <w:bottom w:val="nil"/>
              <w:right w:val="nil"/>
            </w:tcBorders>
            <w:shd w:val="clear" w:color="000000" w:fill="FFFFFF"/>
            <w:noWrap/>
            <w:vAlign w:val="bottom"/>
          </w:tcPr>
          <w:p w14:paraId="06BE10BD" w14:textId="6FF5A756"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0.7%</w:t>
            </w:r>
          </w:p>
        </w:tc>
        <w:tc>
          <w:tcPr>
            <w:tcW w:w="988" w:type="dxa"/>
            <w:tcBorders>
              <w:top w:val="nil"/>
              <w:left w:val="nil"/>
              <w:bottom w:val="nil"/>
              <w:right w:val="nil"/>
            </w:tcBorders>
            <w:shd w:val="clear" w:color="000000" w:fill="FFFFFF"/>
            <w:noWrap/>
            <w:vAlign w:val="bottom"/>
          </w:tcPr>
          <w:p w14:paraId="4494CA72" w14:textId="3E216F33"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4.9%</w:t>
            </w:r>
          </w:p>
        </w:tc>
        <w:tc>
          <w:tcPr>
            <w:tcW w:w="988" w:type="dxa"/>
            <w:tcBorders>
              <w:top w:val="nil"/>
              <w:left w:val="nil"/>
              <w:bottom w:val="nil"/>
              <w:right w:val="nil"/>
            </w:tcBorders>
            <w:shd w:val="clear" w:color="000000" w:fill="FFFFFF"/>
            <w:noWrap/>
            <w:vAlign w:val="bottom"/>
          </w:tcPr>
          <w:p w14:paraId="1B276290" w14:textId="23B3D32B"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2.9%</w:t>
            </w:r>
          </w:p>
        </w:tc>
      </w:tr>
      <w:tr w:rsidR="005A58B7" w:rsidRPr="00D350B5" w14:paraId="7D02D553" w14:textId="77777777" w:rsidTr="002356E0">
        <w:trPr>
          <w:trHeight w:val="226"/>
          <w:jc w:val="center"/>
        </w:trPr>
        <w:tc>
          <w:tcPr>
            <w:tcW w:w="1726" w:type="dxa"/>
            <w:tcBorders>
              <w:top w:val="nil"/>
              <w:left w:val="nil"/>
              <w:right w:val="nil"/>
            </w:tcBorders>
            <w:shd w:val="clear" w:color="000000" w:fill="FFFFFF"/>
            <w:noWrap/>
            <w:vAlign w:val="bottom"/>
            <w:hideMark/>
          </w:tcPr>
          <w:p w14:paraId="14B8E2A8"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Low bound</w:t>
            </w:r>
          </w:p>
        </w:tc>
        <w:tc>
          <w:tcPr>
            <w:tcW w:w="988" w:type="dxa"/>
            <w:tcBorders>
              <w:top w:val="nil"/>
              <w:left w:val="nil"/>
              <w:bottom w:val="nil"/>
              <w:right w:val="nil"/>
            </w:tcBorders>
            <w:shd w:val="clear" w:color="000000" w:fill="FFFFFF"/>
            <w:noWrap/>
            <w:vAlign w:val="bottom"/>
            <w:hideMark/>
          </w:tcPr>
          <w:p w14:paraId="13DBF8B6" w14:textId="77777777" w:rsidR="005A58B7" w:rsidRPr="005E2598" w:rsidRDefault="005A58B7" w:rsidP="005A58B7">
            <w:pPr>
              <w:spacing w:after="60"/>
              <w:rPr>
                <w:rFonts w:ascii="Arial Narrow" w:hAnsi="Arial Narrow"/>
                <w:color w:val="000000"/>
                <w:sz w:val="16"/>
                <w:szCs w:val="16"/>
              </w:rPr>
            </w:pPr>
            <w:r w:rsidRPr="005E2598">
              <w:rPr>
                <w:rFonts w:ascii="Arial Narrow" w:hAnsi="Arial Narrow" w:cs="Arial"/>
                <w:color w:val="000000"/>
                <w:sz w:val="16"/>
                <w:szCs w:val="18"/>
              </w:rPr>
              <w:t> </w:t>
            </w:r>
          </w:p>
        </w:tc>
        <w:tc>
          <w:tcPr>
            <w:tcW w:w="988" w:type="dxa"/>
            <w:tcBorders>
              <w:top w:val="nil"/>
              <w:left w:val="nil"/>
              <w:bottom w:val="nil"/>
              <w:right w:val="nil"/>
            </w:tcBorders>
            <w:shd w:val="clear" w:color="000000" w:fill="FFFFFF"/>
            <w:noWrap/>
            <w:vAlign w:val="bottom"/>
          </w:tcPr>
          <w:p w14:paraId="78E12200" w14:textId="44B8D1B7"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 </w:t>
            </w:r>
          </w:p>
        </w:tc>
        <w:tc>
          <w:tcPr>
            <w:tcW w:w="988" w:type="dxa"/>
            <w:tcBorders>
              <w:top w:val="nil"/>
              <w:left w:val="nil"/>
              <w:bottom w:val="nil"/>
              <w:right w:val="nil"/>
            </w:tcBorders>
            <w:shd w:val="clear" w:color="000000" w:fill="FFFFFF"/>
            <w:noWrap/>
            <w:vAlign w:val="bottom"/>
          </w:tcPr>
          <w:p w14:paraId="6FE24991" w14:textId="0152430F"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-300</w:t>
            </w:r>
          </w:p>
        </w:tc>
        <w:tc>
          <w:tcPr>
            <w:tcW w:w="988" w:type="dxa"/>
            <w:tcBorders>
              <w:top w:val="nil"/>
              <w:left w:val="nil"/>
              <w:bottom w:val="nil"/>
              <w:right w:val="nil"/>
            </w:tcBorders>
            <w:shd w:val="clear" w:color="000000" w:fill="FFFFFF"/>
            <w:noWrap/>
            <w:vAlign w:val="bottom"/>
          </w:tcPr>
          <w:p w14:paraId="572D2B59" w14:textId="4BE3474D"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-3,100</w:t>
            </w:r>
          </w:p>
        </w:tc>
        <w:tc>
          <w:tcPr>
            <w:tcW w:w="988" w:type="dxa"/>
            <w:tcBorders>
              <w:top w:val="nil"/>
              <w:left w:val="nil"/>
              <w:bottom w:val="nil"/>
              <w:right w:val="nil"/>
            </w:tcBorders>
            <w:shd w:val="clear" w:color="000000" w:fill="FFFFFF"/>
            <w:noWrap/>
            <w:vAlign w:val="bottom"/>
          </w:tcPr>
          <w:p w14:paraId="7AE4CFEB" w14:textId="69333F4B"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-4,400</w:t>
            </w:r>
          </w:p>
        </w:tc>
        <w:tc>
          <w:tcPr>
            <w:tcW w:w="988" w:type="dxa"/>
            <w:tcBorders>
              <w:top w:val="nil"/>
              <w:left w:val="nil"/>
              <w:bottom w:val="nil"/>
              <w:right w:val="nil"/>
            </w:tcBorders>
            <w:shd w:val="clear" w:color="000000" w:fill="FFFFFF"/>
            <w:noWrap/>
            <w:vAlign w:val="bottom"/>
          </w:tcPr>
          <w:p w14:paraId="37095B5D" w14:textId="6E10223F"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-5,400</w:t>
            </w:r>
          </w:p>
        </w:tc>
      </w:tr>
      <w:tr w:rsidR="005A58B7" w:rsidRPr="00D350B5" w14:paraId="26B34F75" w14:textId="77777777" w:rsidTr="002356E0">
        <w:trPr>
          <w:trHeight w:val="226"/>
          <w:jc w:val="center"/>
        </w:trPr>
        <w:tc>
          <w:tcPr>
            <w:tcW w:w="1726" w:type="dxa"/>
            <w:tcBorders>
              <w:top w:val="nil"/>
              <w:left w:val="nil"/>
              <w:bottom w:val="single" w:sz="4" w:space="0" w:color="BFBFBF" w:themeColor="background1" w:themeShade="BF"/>
              <w:right w:val="nil"/>
            </w:tcBorders>
            <w:shd w:val="clear" w:color="000000" w:fill="FFFFFF"/>
            <w:noWrap/>
            <w:vAlign w:val="bottom"/>
            <w:hideMark/>
          </w:tcPr>
          <w:p w14:paraId="70BEC97C"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High bound</w:t>
            </w:r>
          </w:p>
        </w:tc>
        <w:tc>
          <w:tcPr>
            <w:tcW w:w="988" w:type="dxa"/>
            <w:tcBorders>
              <w:top w:val="nil"/>
              <w:left w:val="nil"/>
              <w:bottom w:val="single" w:sz="4" w:space="0" w:color="BFBFBF"/>
              <w:right w:val="nil"/>
            </w:tcBorders>
            <w:shd w:val="clear" w:color="000000" w:fill="FFFFFF"/>
            <w:noWrap/>
            <w:vAlign w:val="bottom"/>
            <w:hideMark/>
          </w:tcPr>
          <w:p w14:paraId="62448F75" w14:textId="77777777" w:rsidR="005A58B7" w:rsidRPr="005E2598" w:rsidRDefault="005A58B7" w:rsidP="005A58B7">
            <w:pPr>
              <w:spacing w:after="60"/>
              <w:rPr>
                <w:rFonts w:ascii="Arial Narrow" w:hAnsi="Arial Narrow"/>
                <w:color w:val="000000"/>
                <w:sz w:val="16"/>
                <w:szCs w:val="16"/>
              </w:rPr>
            </w:pPr>
            <w:r w:rsidRPr="005E2598">
              <w:rPr>
                <w:rFonts w:ascii="Arial Narrow" w:hAnsi="Arial Narrow" w:cs="Arial"/>
                <w:color w:val="000000"/>
                <w:sz w:val="16"/>
                <w:szCs w:val="18"/>
              </w:rPr>
              <w:t> </w:t>
            </w:r>
          </w:p>
        </w:tc>
        <w:tc>
          <w:tcPr>
            <w:tcW w:w="988" w:type="dxa"/>
            <w:tcBorders>
              <w:top w:val="nil"/>
              <w:left w:val="nil"/>
              <w:bottom w:val="single" w:sz="4" w:space="0" w:color="BFBFBF"/>
              <w:right w:val="nil"/>
            </w:tcBorders>
            <w:shd w:val="clear" w:color="000000" w:fill="FFFFFF"/>
            <w:noWrap/>
            <w:vAlign w:val="bottom"/>
          </w:tcPr>
          <w:p w14:paraId="7B406D9E" w14:textId="7BFEAA58"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 </w:t>
            </w:r>
          </w:p>
        </w:tc>
        <w:tc>
          <w:tcPr>
            <w:tcW w:w="988" w:type="dxa"/>
            <w:tcBorders>
              <w:top w:val="nil"/>
              <w:left w:val="nil"/>
              <w:bottom w:val="single" w:sz="4" w:space="0" w:color="BFBFBF"/>
              <w:right w:val="nil"/>
            </w:tcBorders>
            <w:shd w:val="clear" w:color="000000" w:fill="FFFFFF"/>
            <w:noWrap/>
            <w:vAlign w:val="bottom"/>
          </w:tcPr>
          <w:p w14:paraId="71BA38BC" w14:textId="73D9DBB1"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+300</w:t>
            </w:r>
          </w:p>
        </w:tc>
        <w:tc>
          <w:tcPr>
            <w:tcW w:w="988" w:type="dxa"/>
            <w:tcBorders>
              <w:top w:val="nil"/>
              <w:left w:val="nil"/>
              <w:bottom w:val="single" w:sz="4" w:space="0" w:color="BFBFBF"/>
              <w:right w:val="nil"/>
            </w:tcBorders>
            <w:shd w:val="clear" w:color="000000" w:fill="FFFFFF"/>
            <w:noWrap/>
            <w:vAlign w:val="bottom"/>
          </w:tcPr>
          <w:p w14:paraId="101F8BB2" w14:textId="07CDFA88"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+3,100</w:t>
            </w:r>
          </w:p>
        </w:tc>
        <w:tc>
          <w:tcPr>
            <w:tcW w:w="988" w:type="dxa"/>
            <w:tcBorders>
              <w:top w:val="nil"/>
              <w:left w:val="nil"/>
              <w:bottom w:val="single" w:sz="4" w:space="0" w:color="BFBFBF"/>
              <w:right w:val="nil"/>
            </w:tcBorders>
            <w:shd w:val="clear" w:color="000000" w:fill="FFFFFF"/>
            <w:noWrap/>
            <w:vAlign w:val="bottom"/>
          </w:tcPr>
          <w:p w14:paraId="253EE7D5" w14:textId="0410F62C"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+4,400</w:t>
            </w:r>
          </w:p>
        </w:tc>
        <w:tc>
          <w:tcPr>
            <w:tcW w:w="988" w:type="dxa"/>
            <w:tcBorders>
              <w:top w:val="nil"/>
              <w:left w:val="nil"/>
              <w:bottom w:val="single" w:sz="4" w:space="0" w:color="BFBFBF"/>
              <w:right w:val="nil"/>
            </w:tcBorders>
            <w:shd w:val="clear" w:color="000000" w:fill="FFFFFF"/>
            <w:noWrap/>
            <w:vAlign w:val="bottom"/>
          </w:tcPr>
          <w:p w14:paraId="7950AABF" w14:textId="19C0A365" w:rsidR="005A58B7" w:rsidRPr="005E2598"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+5,400</w:t>
            </w:r>
          </w:p>
        </w:tc>
      </w:tr>
    </w:tbl>
    <w:p w14:paraId="47FC0EE6" w14:textId="0BA8FD26" w:rsidR="00257BA3" w:rsidRPr="00A57412" w:rsidRDefault="00257BA3" w:rsidP="00257BA3">
      <w:pPr>
        <w:ind w:left="720"/>
        <w:rPr>
          <w:rFonts w:ascii="Arial Bold" w:eastAsia="Arial" w:hAnsi="Arial Bold"/>
          <w:b/>
          <w:color w:val="005172"/>
          <w:sz w:val="20"/>
        </w:rPr>
      </w:pPr>
    </w:p>
    <w:p w14:paraId="2BD46DC4" w14:textId="77777777" w:rsidR="00257BA3" w:rsidRPr="00D350B5" w:rsidRDefault="00257BA3" w:rsidP="00257BA3">
      <w:pPr>
        <w:spacing w:before="240"/>
        <w:rPr>
          <w:rFonts w:ascii="Arial Bold" w:eastAsia="Arial" w:hAnsi="Arial Bold"/>
          <w:b/>
          <w:color w:val="005172"/>
        </w:rPr>
      </w:pPr>
      <w:r w:rsidRPr="005E2598">
        <w:rPr>
          <w:rFonts w:ascii="Arial Bold" w:eastAsia="Arial" w:hAnsi="Arial Bold"/>
          <w:b/>
          <w:color w:val="005172"/>
        </w:rPr>
        <w:t xml:space="preserve">Madrid - Forecast </w:t>
      </w:r>
      <w:r w:rsidRPr="005E2598">
        <w:rPr>
          <w:rFonts w:ascii="Arial Bold" w:hAnsi="Arial Bold"/>
          <w:color w:val="005172" w:themeColor="accent1"/>
        </w:rPr>
        <w:t>of</w:t>
      </w:r>
      <w:r w:rsidRPr="005E2598">
        <w:rPr>
          <w:rFonts w:ascii="Arial Bold" w:eastAsia="Arial" w:hAnsi="Arial Bold"/>
          <w:b/>
          <w:color w:val="005172"/>
        </w:rPr>
        <w:t xml:space="preserve"> Demand for Renewals</w:t>
      </w:r>
    </w:p>
    <w:p w14:paraId="0F83B460" w14:textId="77777777" w:rsidR="00257BA3" w:rsidRPr="00D350B5" w:rsidRDefault="00257BA3" w:rsidP="008407D7">
      <w:pPr>
        <w:pStyle w:val="NormalNumb"/>
        <w:numPr>
          <w:ilvl w:val="4"/>
          <w:numId w:val="23"/>
        </w:numPr>
        <w:tabs>
          <w:tab w:val="left" w:pos="8505"/>
        </w:tabs>
      </w:pPr>
      <w:r w:rsidRPr="00D350B5">
        <w:t xml:space="preserve">Chart </w:t>
      </w:r>
      <w:r>
        <w:t>5</w:t>
      </w:r>
      <w:r w:rsidRPr="00D350B5">
        <w:t xml:space="preserve"> shows Madrid renewals </w:t>
      </w:r>
      <w:r>
        <w:t xml:space="preserve">forecast </w:t>
      </w:r>
      <w:r w:rsidRPr="00D350B5">
        <w:t>for the years 20</w:t>
      </w:r>
      <w:r>
        <w:t>23</w:t>
      </w:r>
      <w:r w:rsidRPr="00D350B5">
        <w:t xml:space="preserve"> to 202</w:t>
      </w:r>
      <w:r>
        <w:t>5</w:t>
      </w:r>
      <w:r w:rsidRPr="00D350B5">
        <w:t>.  Renewals are forecasted based on the transfer model</w:t>
      </w:r>
      <w:r>
        <w:t>,</w:t>
      </w:r>
      <w:r w:rsidRPr="008770E6">
        <w:rPr>
          <w:rFonts w:cs="Arial"/>
          <w:sz w:val="22"/>
        </w:rPr>
        <w:t xml:space="preserve"> </w:t>
      </w:r>
      <w:r w:rsidRPr="00241DCF">
        <w:t>which involves analyzing the historical renewal rate over the past five years and applying it to registrations that are due for renewal in the next five years</w:t>
      </w:r>
      <w:r w:rsidRPr="00D350B5">
        <w:t xml:space="preserve">.  </w:t>
      </w:r>
    </w:p>
    <w:p w14:paraId="4AAB74E1" w14:textId="3443DD01" w:rsidR="00257BA3" w:rsidRDefault="00257BA3" w:rsidP="00257BA3">
      <w:pPr>
        <w:keepNext/>
        <w:keepLines/>
        <w:spacing w:before="240" w:after="60"/>
        <w:jc w:val="center"/>
        <w:rPr>
          <w:rFonts w:eastAsia="Arial"/>
          <w:b/>
          <w:color w:val="005172"/>
        </w:rPr>
      </w:pPr>
      <w:r w:rsidRPr="00D350B5">
        <w:rPr>
          <w:rFonts w:eastAsia="Arial"/>
          <w:b/>
          <w:color w:val="005172"/>
        </w:rPr>
        <w:t xml:space="preserve">Chart </w:t>
      </w:r>
      <w:r>
        <w:rPr>
          <w:rFonts w:eastAsia="Arial"/>
          <w:b/>
          <w:color w:val="005172"/>
        </w:rPr>
        <w:t>5</w:t>
      </w:r>
      <w:r w:rsidRPr="00D350B5">
        <w:rPr>
          <w:rFonts w:eastAsia="Arial"/>
          <w:b/>
          <w:color w:val="005172"/>
        </w:rPr>
        <w:t>.  Madrid Renewals 20</w:t>
      </w:r>
      <w:r>
        <w:rPr>
          <w:rFonts w:eastAsia="Arial"/>
          <w:b/>
          <w:color w:val="005172"/>
        </w:rPr>
        <w:t>20</w:t>
      </w:r>
      <w:r w:rsidRPr="00D350B5">
        <w:rPr>
          <w:rFonts w:eastAsia="Arial"/>
          <w:b/>
          <w:color w:val="005172"/>
        </w:rPr>
        <w:t xml:space="preserve"> to 202</w:t>
      </w:r>
      <w:r>
        <w:rPr>
          <w:rFonts w:eastAsia="Arial"/>
          <w:b/>
          <w:color w:val="005172"/>
        </w:rPr>
        <w:t>5</w:t>
      </w:r>
    </w:p>
    <w:p w14:paraId="4E1FA7C5" w14:textId="2D82E3C1" w:rsidR="00226134" w:rsidRDefault="005A58B7" w:rsidP="00226134">
      <w:pPr>
        <w:keepNext/>
        <w:keepLines/>
        <w:spacing w:before="240" w:after="60"/>
        <w:jc w:val="center"/>
        <w:rPr>
          <w:rFonts w:eastAsia="Arial"/>
          <w:b/>
          <w:color w:val="005172"/>
        </w:rPr>
      </w:pPr>
      <w:r>
        <w:rPr>
          <w:noProof/>
          <w:lang w:val="en-US"/>
        </w:rPr>
        <w:drawing>
          <wp:inline distT="0" distB="0" distL="0" distR="0" wp14:anchorId="2D7C4D77" wp14:editId="45B3D570">
            <wp:extent cx="3626427" cy="2130136"/>
            <wp:effectExtent l="0" t="0" r="0" b="3810"/>
            <wp:docPr id="926" name="Chart 9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1682B7F" w14:textId="77777777" w:rsidR="00226134" w:rsidRPr="00226134" w:rsidRDefault="00226134" w:rsidP="00226134">
      <w:pPr>
        <w:keepNext/>
        <w:keepLines/>
        <w:spacing w:after="60"/>
        <w:rPr>
          <w:rFonts w:eastAsia="Arial"/>
          <w:b/>
          <w:color w:val="005172"/>
        </w:rPr>
      </w:pPr>
    </w:p>
    <w:tbl>
      <w:tblPr>
        <w:tblW w:w="7546" w:type="dxa"/>
        <w:jc w:val="center"/>
        <w:tblLook w:val="04A0" w:firstRow="1" w:lastRow="0" w:firstColumn="1" w:lastColumn="0" w:noHBand="0" w:noVBand="1"/>
      </w:tblPr>
      <w:tblGrid>
        <w:gridCol w:w="1702"/>
        <w:gridCol w:w="974"/>
        <w:gridCol w:w="974"/>
        <w:gridCol w:w="974"/>
        <w:gridCol w:w="974"/>
        <w:gridCol w:w="974"/>
        <w:gridCol w:w="974"/>
      </w:tblGrid>
      <w:tr w:rsidR="00257BA3" w:rsidRPr="00D350B5" w14:paraId="7F38E8C5" w14:textId="77777777" w:rsidTr="00A91805">
        <w:trPr>
          <w:trHeight w:val="225"/>
          <w:jc w:val="center"/>
        </w:trPr>
        <w:tc>
          <w:tcPr>
            <w:tcW w:w="1702" w:type="dxa"/>
            <w:shd w:val="clear" w:color="auto" w:fill="C6CFD7" w:themeFill="accent3" w:themeFillTint="66"/>
            <w:noWrap/>
            <w:hideMark/>
          </w:tcPr>
          <w:p w14:paraId="28DDDD85" w14:textId="77777777" w:rsidR="00257BA3" w:rsidRPr="00D350B5" w:rsidRDefault="00257BA3" w:rsidP="00A91805">
            <w:pPr>
              <w:spacing w:after="60"/>
              <w:rPr>
                <w:rFonts w:ascii="Arial Narrow" w:hAnsi="Arial Narrow"/>
                <w:color w:val="000000"/>
                <w:sz w:val="16"/>
                <w:szCs w:val="16"/>
              </w:rPr>
            </w:pPr>
            <w:r w:rsidRPr="00D350B5">
              <w:rPr>
                <w:rFonts w:ascii="Arial Narrow" w:hAnsi="Arial Narrow"/>
                <w:color w:val="000000"/>
                <w:sz w:val="16"/>
                <w:szCs w:val="16"/>
              </w:rPr>
              <w:t> </w:t>
            </w:r>
          </w:p>
        </w:tc>
        <w:tc>
          <w:tcPr>
            <w:tcW w:w="974" w:type="dxa"/>
            <w:tcBorders>
              <w:top w:val="nil"/>
              <w:left w:val="nil"/>
              <w:right w:val="nil"/>
            </w:tcBorders>
            <w:shd w:val="clear" w:color="000000" w:fill="C7CFD8"/>
            <w:noWrap/>
            <w:vAlign w:val="bottom"/>
            <w:hideMark/>
          </w:tcPr>
          <w:p w14:paraId="6288108E"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974" w:type="dxa"/>
            <w:tcBorders>
              <w:top w:val="nil"/>
              <w:left w:val="nil"/>
              <w:right w:val="nil"/>
            </w:tcBorders>
            <w:shd w:val="clear" w:color="000000" w:fill="C7CFD8"/>
            <w:noWrap/>
            <w:vAlign w:val="bottom"/>
            <w:hideMark/>
          </w:tcPr>
          <w:p w14:paraId="18EFFE3E"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974" w:type="dxa"/>
            <w:tcBorders>
              <w:top w:val="nil"/>
              <w:left w:val="nil"/>
              <w:right w:val="nil"/>
            </w:tcBorders>
            <w:shd w:val="clear" w:color="000000" w:fill="C7CFD8"/>
            <w:noWrap/>
            <w:vAlign w:val="bottom"/>
            <w:hideMark/>
          </w:tcPr>
          <w:p w14:paraId="49F93E28"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974" w:type="dxa"/>
            <w:tcBorders>
              <w:top w:val="nil"/>
              <w:left w:val="nil"/>
              <w:right w:val="nil"/>
            </w:tcBorders>
            <w:shd w:val="clear" w:color="000000" w:fill="C7CFD8"/>
            <w:noWrap/>
            <w:vAlign w:val="bottom"/>
            <w:hideMark/>
          </w:tcPr>
          <w:p w14:paraId="79D24FC2"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144AAD68"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c>
          <w:tcPr>
            <w:tcW w:w="974" w:type="dxa"/>
            <w:tcBorders>
              <w:top w:val="nil"/>
              <w:left w:val="nil"/>
              <w:right w:val="nil"/>
            </w:tcBorders>
            <w:shd w:val="clear" w:color="000000" w:fill="C7CFD8"/>
            <w:noWrap/>
            <w:vAlign w:val="bottom"/>
            <w:hideMark/>
          </w:tcPr>
          <w:p w14:paraId="0FEB1FDD"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4A3213C9"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974" w:type="dxa"/>
            <w:tcBorders>
              <w:top w:val="nil"/>
              <w:left w:val="nil"/>
              <w:right w:val="nil"/>
            </w:tcBorders>
            <w:shd w:val="clear" w:color="000000" w:fill="C7CFD8"/>
            <w:noWrap/>
            <w:vAlign w:val="bottom"/>
            <w:hideMark/>
          </w:tcPr>
          <w:p w14:paraId="7E2DF030"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43647067"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5A58B7" w:rsidRPr="00D350B5" w14:paraId="2F781B97" w14:textId="77777777" w:rsidTr="002356E0">
        <w:trPr>
          <w:trHeight w:val="225"/>
          <w:jc w:val="center"/>
        </w:trPr>
        <w:tc>
          <w:tcPr>
            <w:tcW w:w="1702" w:type="dxa"/>
            <w:tcBorders>
              <w:top w:val="single" w:sz="4" w:space="0" w:color="C6CFD7" w:themeColor="accent3" w:themeTint="66"/>
              <w:left w:val="nil"/>
              <w:bottom w:val="nil"/>
              <w:right w:val="nil"/>
            </w:tcBorders>
            <w:shd w:val="clear" w:color="000000" w:fill="FFFFFF"/>
            <w:noWrap/>
            <w:vAlign w:val="bottom"/>
            <w:hideMark/>
          </w:tcPr>
          <w:p w14:paraId="4546C71A"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Renewal</w:t>
            </w:r>
            <w:r>
              <w:rPr>
                <w:rFonts w:ascii="Arial Narrow" w:hAnsi="Arial Narrow"/>
                <w:color w:val="000000"/>
                <w:sz w:val="16"/>
                <w:szCs w:val="16"/>
              </w:rPr>
              <w:t>s</w:t>
            </w:r>
          </w:p>
        </w:tc>
        <w:tc>
          <w:tcPr>
            <w:tcW w:w="974" w:type="dxa"/>
            <w:tcBorders>
              <w:top w:val="single" w:sz="4" w:space="0" w:color="BFBFBF"/>
              <w:left w:val="nil"/>
              <w:bottom w:val="nil"/>
              <w:right w:val="nil"/>
            </w:tcBorders>
            <w:shd w:val="clear" w:color="000000" w:fill="FFFFFF"/>
            <w:noWrap/>
            <w:vAlign w:val="bottom"/>
            <w:hideMark/>
          </w:tcPr>
          <w:p w14:paraId="4750FBE6"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32,831</w:t>
            </w:r>
          </w:p>
        </w:tc>
        <w:tc>
          <w:tcPr>
            <w:tcW w:w="974" w:type="dxa"/>
            <w:tcBorders>
              <w:top w:val="single" w:sz="4" w:space="0" w:color="BFBFBF"/>
              <w:left w:val="nil"/>
              <w:bottom w:val="nil"/>
              <w:right w:val="nil"/>
            </w:tcBorders>
            <w:shd w:val="clear" w:color="000000" w:fill="FFFFFF"/>
            <w:noWrap/>
            <w:vAlign w:val="bottom"/>
            <w:hideMark/>
          </w:tcPr>
          <w:p w14:paraId="08DC7D07"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34,218</w:t>
            </w:r>
          </w:p>
        </w:tc>
        <w:tc>
          <w:tcPr>
            <w:tcW w:w="974" w:type="dxa"/>
            <w:tcBorders>
              <w:top w:val="single" w:sz="4" w:space="0" w:color="BFBFBF"/>
              <w:left w:val="nil"/>
              <w:bottom w:val="nil"/>
              <w:right w:val="nil"/>
            </w:tcBorders>
            <w:shd w:val="clear" w:color="000000" w:fill="FFFFFF"/>
            <w:noWrap/>
            <w:vAlign w:val="bottom"/>
            <w:hideMark/>
          </w:tcPr>
          <w:p w14:paraId="0DB51A30"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38,265</w:t>
            </w:r>
          </w:p>
        </w:tc>
        <w:tc>
          <w:tcPr>
            <w:tcW w:w="974" w:type="dxa"/>
            <w:tcBorders>
              <w:top w:val="single" w:sz="4" w:space="0" w:color="BFBFBF"/>
              <w:left w:val="nil"/>
              <w:bottom w:val="nil"/>
              <w:right w:val="nil"/>
            </w:tcBorders>
            <w:shd w:val="clear" w:color="000000" w:fill="FFFFFF"/>
            <w:noWrap/>
            <w:vAlign w:val="bottom"/>
          </w:tcPr>
          <w:p w14:paraId="77BA5017" w14:textId="638F6A88"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34,900</w:t>
            </w:r>
          </w:p>
        </w:tc>
        <w:tc>
          <w:tcPr>
            <w:tcW w:w="974" w:type="dxa"/>
            <w:tcBorders>
              <w:top w:val="single" w:sz="4" w:space="0" w:color="BFBFBF"/>
              <w:left w:val="nil"/>
              <w:bottom w:val="nil"/>
              <w:right w:val="nil"/>
            </w:tcBorders>
            <w:shd w:val="clear" w:color="000000" w:fill="FFFFFF"/>
            <w:noWrap/>
            <w:vAlign w:val="bottom"/>
          </w:tcPr>
          <w:p w14:paraId="419F8C73" w14:textId="0FF6DB12"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38,400</w:t>
            </w:r>
          </w:p>
        </w:tc>
        <w:tc>
          <w:tcPr>
            <w:tcW w:w="974" w:type="dxa"/>
            <w:tcBorders>
              <w:top w:val="single" w:sz="4" w:space="0" w:color="BFBFBF"/>
              <w:left w:val="nil"/>
              <w:bottom w:val="nil"/>
              <w:right w:val="nil"/>
            </w:tcBorders>
            <w:shd w:val="clear" w:color="000000" w:fill="FFFFFF"/>
            <w:noWrap/>
            <w:vAlign w:val="bottom"/>
          </w:tcPr>
          <w:p w14:paraId="20DBE8A1" w14:textId="0C3EF817"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40,400</w:t>
            </w:r>
          </w:p>
        </w:tc>
      </w:tr>
      <w:tr w:rsidR="005A58B7" w:rsidRPr="00D350B5" w14:paraId="483B45C6" w14:textId="77777777" w:rsidTr="002356E0">
        <w:trPr>
          <w:trHeight w:val="225"/>
          <w:jc w:val="center"/>
        </w:trPr>
        <w:tc>
          <w:tcPr>
            <w:tcW w:w="1702" w:type="dxa"/>
            <w:tcBorders>
              <w:top w:val="nil"/>
              <w:left w:val="nil"/>
              <w:bottom w:val="nil"/>
              <w:right w:val="nil"/>
            </w:tcBorders>
            <w:shd w:val="clear" w:color="000000" w:fill="FFFFFF"/>
            <w:noWrap/>
            <w:vAlign w:val="bottom"/>
            <w:hideMark/>
          </w:tcPr>
          <w:p w14:paraId="2DC7450D"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Growth</w:t>
            </w:r>
          </w:p>
        </w:tc>
        <w:tc>
          <w:tcPr>
            <w:tcW w:w="974" w:type="dxa"/>
            <w:tcBorders>
              <w:top w:val="nil"/>
              <w:left w:val="nil"/>
              <w:bottom w:val="nil"/>
              <w:right w:val="nil"/>
            </w:tcBorders>
            <w:shd w:val="clear" w:color="000000" w:fill="FFFFFF"/>
            <w:noWrap/>
            <w:vAlign w:val="bottom"/>
            <w:hideMark/>
          </w:tcPr>
          <w:p w14:paraId="50B0CB5A"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12.7%</w:t>
            </w:r>
          </w:p>
        </w:tc>
        <w:tc>
          <w:tcPr>
            <w:tcW w:w="974" w:type="dxa"/>
            <w:tcBorders>
              <w:top w:val="nil"/>
              <w:left w:val="nil"/>
              <w:bottom w:val="nil"/>
              <w:right w:val="nil"/>
            </w:tcBorders>
            <w:shd w:val="clear" w:color="000000" w:fill="FFFFFF"/>
            <w:noWrap/>
            <w:vAlign w:val="bottom"/>
            <w:hideMark/>
          </w:tcPr>
          <w:p w14:paraId="29762E6A"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4.2%</w:t>
            </w:r>
          </w:p>
        </w:tc>
        <w:tc>
          <w:tcPr>
            <w:tcW w:w="974" w:type="dxa"/>
            <w:tcBorders>
              <w:top w:val="nil"/>
              <w:left w:val="nil"/>
              <w:bottom w:val="nil"/>
              <w:right w:val="nil"/>
            </w:tcBorders>
            <w:shd w:val="clear" w:color="000000" w:fill="FFFFFF"/>
            <w:noWrap/>
            <w:vAlign w:val="bottom"/>
            <w:hideMark/>
          </w:tcPr>
          <w:p w14:paraId="35DF4F82"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11.8%</w:t>
            </w:r>
          </w:p>
        </w:tc>
        <w:tc>
          <w:tcPr>
            <w:tcW w:w="974" w:type="dxa"/>
            <w:tcBorders>
              <w:top w:val="nil"/>
              <w:left w:val="nil"/>
              <w:bottom w:val="nil"/>
              <w:right w:val="nil"/>
            </w:tcBorders>
            <w:shd w:val="clear" w:color="000000" w:fill="FFFFFF"/>
            <w:noWrap/>
            <w:vAlign w:val="bottom"/>
          </w:tcPr>
          <w:p w14:paraId="52F9EE24" w14:textId="66C046D2"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-8.8%</w:t>
            </w:r>
          </w:p>
        </w:tc>
        <w:tc>
          <w:tcPr>
            <w:tcW w:w="974" w:type="dxa"/>
            <w:tcBorders>
              <w:top w:val="nil"/>
              <w:left w:val="nil"/>
              <w:bottom w:val="nil"/>
              <w:right w:val="nil"/>
            </w:tcBorders>
            <w:shd w:val="clear" w:color="000000" w:fill="FFFFFF"/>
            <w:noWrap/>
            <w:vAlign w:val="bottom"/>
          </w:tcPr>
          <w:p w14:paraId="5931B298" w14:textId="7969D687"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10.0%</w:t>
            </w:r>
          </w:p>
        </w:tc>
        <w:tc>
          <w:tcPr>
            <w:tcW w:w="974" w:type="dxa"/>
            <w:tcBorders>
              <w:top w:val="nil"/>
              <w:left w:val="nil"/>
              <w:bottom w:val="nil"/>
              <w:right w:val="nil"/>
            </w:tcBorders>
            <w:shd w:val="clear" w:color="000000" w:fill="FFFFFF"/>
            <w:noWrap/>
            <w:vAlign w:val="bottom"/>
          </w:tcPr>
          <w:p w14:paraId="629D510D" w14:textId="6C57FCFD"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5.2%</w:t>
            </w:r>
          </w:p>
        </w:tc>
      </w:tr>
      <w:tr w:rsidR="005A58B7" w:rsidRPr="00D350B5" w14:paraId="4A11C908" w14:textId="77777777" w:rsidTr="002356E0">
        <w:trPr>
          <w:trHeight w:val="225"/>
          <w:jc w:val="center"/>
        </w:trPr>
        <w:tc>
          <w:tcPr>
            <w:tcW w:w="1702" w:type="dxa"/>
            <w:tcBorders>
              <w:top w:val="nil"/>
              <w:left w:val="nil"/>
              <w:right w:val="nil"/>
            </w:tcBorders>
            <w:shd w:val="clear" w:color="000000" w:fill="FFFFFF"/>
            <w:noWrap/>
            <w:vAlign w:val="bottom"/>
            <w:hideMark/>
          </w:tcPr>
          <w:p w14:paraId="24F0A5E8"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Low bound</w:t>
            </w:r>
          </w:p>
        </w:tc>
        <w:tc>
          <w:tcPr>
            <w:tcW w:w="974" w:type="dxa"/>
            <w:tcBorders>
              <w:top w:val="nil"/>
              <w:left w:val="nil"/>
              <w:bottom w:val="nil"/>
              <w:right w:val="nil"/>
            </w:tcBorders>
            <w:shd w:val="clear" w:color="000000" w:fill="FFFFFF"/>
            <w:noWrap/>
            <w:vAlign w:val="bottom"/>
            <w:hideMark/>
          </w:tcPr>
          <w:p w14:paraId="3F197B1D" w14:textId="77777777" w:rsidR="005A58B7" w:rsidRPr="0000088D" w:rsidRDefault="005A58B7" w:rsidP="005A58B7">
            <w:pPr>
              <w:spacing w:after="60"/>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nil"/>
              <w:right w:val="nil"/>
            </w:tcBorders>
            <w:shd w:val="clear" w:color="000000" w:fill="FFFFFF"/>
            <w:noWrap/>
            <w:vAlign w:val="bottom"/>
            <w:hideMark/>
          </w:tcPr>
          <w:p w14:paraId="4F94EC77"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nil"/>
              <w:right w:val="nil"/>
            </w:tcBorders>
            <w:shd w:val="clear" w:color="000000" w:fill="FFFFFF"/>
            <w:noWrap/>
            <w:vAlign w:val="bottom"/>
            <w:hideMark/>
          </w:tcPr>
          <w:p w14:paraId="1F405E69"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nil"/>
              <w:right w:val="nil"/>
            </w:tcBorders>
            <w:shd w:val="clear" w:color="000000" w:fill="FFFFFF"/>
            <w:noWrap/>
            <w:vAlign w:val="bottom"/>
          </w:tcPr>
          <w:p w14:paraId="03729912" w14:textId="0691712C"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-1,600</w:t>
            </w:r>
          </w:p>
        </w:tc>
        <w:tc>
          <w:tcPr>
            <w:tcW w:w="974" w:type="dxa"/>
            <w:tcBorders>
              <w:top w:val="nil"/>
              <w:left w:val="nil"/>
              <w:bottom w:val="nil"/>
              <w:right w:val="nil"/>
            </w:tcBorders>
            <w:shd w:val="clear" w:color="000000" w:fill="FFFFFF"/>
            <w:noWrap/>
            <w:vAlign w:val="bottom"/>
          </w:tcPr>
          <w:p w14:paraId="5E67007C" w14:textId="14AF50D2"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-2,300</w:t>
            </w:r>
          </w:p>
        </w:tc>
        <w:tc>
          <w:tcPr>
            <w:tcW w:w="974" w:type="dxa"/>
            <w:tcBorders>
              <w:top w:val="nil"/>
              <w:left w:val="nil"/>
              <w:bottom w:val="nil"/>
              <w:right w:val="nil"/>
            </w:tcBorders>
            <w:shd w:val="clear" w:color="000000" w:fill="FFFFFF"/>
            <w:noWrap/>
            <w:vAlign w:val="bottom"/>
          </w:tcPr>
          <w:p w14:paraId="308A70AF" w14:textId="24BC45BB"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-2,900</w:t>
            </w:r>
          </w:p>
        </w:tc>
      </w:tr>
      <w:tr w:rsidR="005A58B7" w:rsidRPr="00D350B5" w14:paraId="69296CEC" w14:textId="77777777" w:rsidTr="002356E0">
        <w:trPr>
          <w:trHeight w:val="225"/>
          <w:jc w:val="center"/>
        </w:trPr>
        <w:tc>
          <w:tcPr>
            <w:tcW w:w="1702" w:type="dxa"/>
            <w:tcBorders>
              <w:top w:val="nil"/>
              <w:left w:val="nil"/>
              <w:bottom w:val="single" w:sz="4" w:space="0" w:color="BFBFBF" w:themeColor="background1" w:themeShade="BF"/>
              <w:right w:val="nil"/>
            </w:tcBorders>
            <w:shd w:val="clear" w:color="000000" w:fill="FFFFFF"/>
            <w:noWrap/>
            <w:vAlign w:val="bottom"/>
            <w:hideMark/>
          </w:tcPr>
          <w:p w14:paraId="275A217B"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High bound</w:t>
            </w:r>
          </w:p>
        </w:tc>
        <w:tc>
          <w:tcPr>
            <w:tcW w:w="974" w:type="dxa"/>
            <w:tcBorders>
              <w:top w:val="nil"/>
              <w:left w:val="nil"/>
              <w:bottom w:val="single" w:sz="4" w:space="0" w:color="BFBFBF"/>
              <w:right w:val="nil"/>
            </w:tcBorders>
            <w:shd w:val="clear" w:color="000000" w:fill="FFFFFF"/>
            <w:noWrap/>
            <w:vAlign w:val="bottom"/>
            <w:hideMark/>
          </w:tcPr>
          <w:p w14:paraId="47C342E6" w14:textId="77777777" w:rsidR="005A58B7" w:rsidRPr="0000088D" w:rsidRDefault="005A58B7" w:rsidP="005A58B7">
            <w:pPr>
              <w:spacing w:after="60"/>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single" w:sz="4" w:space="0" w:color="BFBFBF"/>
              <w:right w:val="nil"/>
            </w:tcBorders>
            <w:shd w:val="clear" w:color="000000" w:fill="FFFFFF"/>
            <w:noWrap/>
            <w:vAlign w:val="bottom"/>
            <w:hideMark/>
          </w:tcPr>
          <w:p w14:paraId="28EA5BE1"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single" w:sz="4" w:space="0" w:color="BFBFBF"/>
              <w:right w:val="nil"/>
            </w:tcBorders>
            <w:shd w:val="clear" w:color="000000" w:fill="FFFFFF"/>
            <w:noWrap/>
            <w:vAlign w:val="bottom"/>
            <w:hideMark/>
          </w:tcPr>
          <w:p w14:paraId="41D396E9"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74" w:type="dxa"/>
            <w:tcBorders>
              <w:top w:val="nil"/>
              <w:left w:val="nil"/>
              <w:bottom w:val="single" w:sz="4" w:space="0" w:color="BFBFBF"/>
              <w:right w:val="nil"/>
            </w:tcBorders>
            <w:shd w:val="clear" w:color="000000" w:fill="FFFFFF"/>
            <w:noWrap/>
            <w:vAlign w:val="bottom"/>
          </w:tcPr>
          <w:p w14:paraId="6D51501E" w14:textId="65CBEEAC"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+1,600</w:t>
            </w:r>
          </w:p>
        </w:tc>
        <w:tc>
          <w:tcPr>
            <w:tcW w:w="974" w:type="dxa"/>
            <w:tcBorders>
              <w:top w:val="nil"/>
              <w:left w:val="nil"/>
              <w:bottom w:val="single" w:sz="4" w:space="0" w:color="BFBFBF"/>
              <w:right w:val="nil"/>
            </w:tcBorders>
            <w:shd w:val="clear" w:color="000000" w:fill="FFFFFF"/>
            <w:noWrap/>
            <w:vAlign w:val="bottom"/>
          </w:tcPr>
          <w:p w14:paraId="637B892E" w14:textId="5B903139"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+2,300</w:t>
            </w:r>
          </w:p>
        </w:tc>
        <w:tc>
          <w:tcPr>
            <w:tcW w:w="974" w:type="dxa"/>
            <w:tcBorders>
              <w:top w:val="nil"/>
              <w:left w:val="nil"/>
              <w:bottom w:val="single" w:sz="4" w:space="0" w:color="BFBFBF"/>
              <w:right w:val="nil"/>
            </w:tcBorders>
            <w:shd w:val="clear" w:color="000000" w:fill="FFFFFF"/>
            <w:noWrap/>
            <w:vAlign w:val="bottom"/>
          </w:tcPr>
          <w:p w14:paraId="154A9456" w14:textId="45BD3165"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+2,900</w:t>
            </w:r>
          </w:p>
        </w:tc>
      </w:tr>
    </w:tbl>
    <w:p w14:paraId="4F79A0A6" w14:textId="77777777" w:rsidR="00A97BB0" w:rsidRDefault="00A97BB0" w:rsidP="00257BA3">
      <w:pPr>
        <w:rPr>
          <w:rFonts w:eastAsia="Arial"/>
          <w:i/>
          <w:sz w:val="10"/>
        </w:rPr>
      </w:pPr>
    </w:p>
    <w:p w14:paraId="636522C6" w14:textId="77777777" w:rsidR="00257BA3" w:rsidRPr="00D350B5" w:rsidRDefault="00257BA3" w:rsidP="00257BA3">
      <w:pPr>
        <w:rPr>
          <w:rFonts w:ascii="Arial Bold" w:eastAsia="Arial" w:hAnsi="Arial Bold"/>
          <w:b/>
          <w:color w:val="005172"/>
        </w:rPr>
      </w:pPr>
      <w:r w:rsidRPr="00D350B5">
        <w:rPr>
          <w:rFonts w:ascii="Arial Bold" w:eastAsia="Arial" w:hAnsi="Arial Bold"/>
          <w:b/>
          <w:color w:val="005172"/>
        </w:rPr>
        <w:t>Expected Level of Madrid Fee Income</w:t>
      </w:r>
    </w:p>
    <w:p w14:paraId="39F3E278" w14:textId="77777777" w:rsidR="00257BA3" w:rsidRPr="00D350B5" w:rsidRDefault="00257BA3" w:rsidP="008407D7">
      <w:pPr>
        <w:pStyle w:val="NormalNumb"/>
        <w:numPr>
          <w:ilvl w:val="4"/>
          <w:numId w:val="23"/>
        </w:numPr>
        <w:tabs>
          <w:tab w:val="left" w:pos="8505"/>
        </w:tabs>
      </w:pPr>
      <w:r w:rsidRPr="00D350B5">
        <w:t>Madrid fee income derives from three categories of services offered by WIPO under the Madrid System, namely:  (a) the recording of international registrations; (b) the recording of renewals; (c) the recording of subsequent designations</w:t>
      </w:r>
      <w:r>
        <w:t>;</w:t>
      </w:r>
      <w:r w:rsidRPr="00D350B5">
        <w:t xml:space="preserve"> and (d) other services, including modifications and the issuance of extracts.  </w:t>
      </w:r>
    </w:p>
    <w:p w14:paraId="5C43D595" w14:textId="77777777" w:rsidR="00257BA3" w:rsidRPr="00D350B5" w:rsidRDefault="00257BA3" w:rsidP="008407D7">
      <w:pPr>
        <w:pStyle w:val="NormalNumb"/>
        <w:numPr>
          <w:ilvl w:val="4"/>
          <w:numId w:val="23"/>
        </w:numPr>
        <w:tabs>
          <w:tab w:val="left" w:pos="8505"/>
        </w:tabs>
      </w:pPr>
      <w:r w:rsidRPr="00D350B5">
        <w:t xml:space="preserve">WIPO recognizes its income via the Madrid registrations based on publication </w:t>
      </w:r>
      <w:r>
        <w:t>which n</w:t>
      </w:r>
      <w:r w:rsidRPr="00D350B5">
        <w:t xml:space="preserve">ormally </w:t>
      </w:r>
      <w:r>
        <w:t xml:space="preserve">occurs </w:t>
      </w:r>
      <w:r w:rsidRPr="00D350B5">
        <w:t xml:space="preserve">around two weeks after registration.  The income </w:t>
      </w:r>
      <w:r>
        <w:t>generated by</w:t>
      </w:r>
      <w:r w:rsidRPr="00D350B5">
        <w:t xml:space="preserve"> Madrid renewals and subsequent designations are recognized on the date of inscription of renewals and subsequent designations.  Chart </w:t>
      </w:r>
      <w:r>
        <w:t>6</w:t>
      </w:r>
      <w:r w:rsidRPr="00D350B5">
        <w:t xml:space="preserve"> below shows the estimated IPSAS-adjusted Madrid fee income for the period 20</w:t>
      </w:r>
      <w:r>
        <w:t>23</w:t>
      </w:r>
      <w:r w:rsidRPr="00D350B5">
        <w:t> to 202</w:t>
      </w:r>
      <w:r>
        <w:t>5</w:t>
      </w:r>
      <w:r w:rsidRPr="00D350B5">
        <w:t xml:space="preserve"> attributable to each of the above mentioned categories of services.  Income estimates are based on the numbers of international registrations and renewals taking possible processing backlogs into account. </w:t>
      </w:r>
    </w:p>
    <w:p w14:paraId="3165939D" w14:textId="38129032" w:rsidR="00257BA3" w:rsidRDefault="00257BA3" w:rsidP="00257BA3">
      <w:pPr>
        <w:keepNext/>
        <w:keepLines/>
        <w:spacing w:before="240" w:after="60"/>
        <w:jc w:val="center"/>
        <w:rPr>
          <w:rFonts w:eastAsia="Arial"/>
          <w:b/>
          <w:color w:val="005172"/>
        </w:rPr>
      </w:pPr>
      <w:r w:rsidRPr="00D350B5">
        <w:rPr>
          <w:rFonts w:eastAsia="Arial"/>
          <w:b/>
          <w:color w:val="005172"/>
        </w:rPr>
        <w:t xml:space="preserve">Chart </w:t>
      </w:r>
      <w:r>
        <w:rPr>
          <w:rFonts w:eastAsia="Arial"/>
          <w:b/>
          <w:color w:val="005172"/>
        </w:rPr>
        <w:t>6</w:t>
      </w:r>
      <w:r w:rsidRPr="00D350B5">
        <w:rPr>
          <w:rFonts w:eastAsia="Arial"/>
          <w:b/>
          <w:color w:val="005172"/>
        </w:rPr>
        <w:t>.  IPSAS-Adjusted Madrid Income Forecast until 202</w:t>
      </w:r>
      <w:r>
        <w:rPr>
          <w:rFonts w:eastAsia="Arial"/>
          <w:b/>
          <w:color w:val="005172"/>
        </w:rPr>
        <w:t>5</w:t>
      </w:r>
    </w:p>
    <w:p w14:paraId="3B329CEA" w14:textId="215D3CD9" w:rsidR="005A58B7" w:rsidRDefault="005A58B7" w:rsidP="00257BA3">
      <w:pPr>
        <w:keepNext/>
        <w:keepLines/>
        <w:spacing w:before="240" w:after="60"/>
        <w:jc w:val="center"/>
        <w:rPr>
          <w:rFonts w:eastAsia="Arial"/>
          <w:b/>
          <w:color w:val="005172"/>
        </w:rPr>
      </w:pPr>
      <w:r>
        <w:rPr>
          <w:noProof/>
          <w:lang w:val="en-US"/>
        </w:rPr>
        <w:drawing>
          <wp:inline distT="0" distB="0" distL="0" distR="0" wp14:anchorId="10F40FB3" wp14:editId="58ECD347">
            <wp:extent cx="4322618" cy="2537922"/>
            <wp:effectExtent l="0" t="0" r="1905" b="0"/>
            <wp:docPr id="927" name="Chart 9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0DCC9C0" w14:textId="192295AF" w:rsidR="00257BA3" w:rsidRPr="00226134" w:rsidRDefault="00257BA3" w:rsidP="00226134">
      <w:pPr>
        <w:keepNext/>
        <w:keepLines/>
        <w:spacing w:after="120"/>
        <w:jc w:val="center"/>
        <w:rPr>
          <w:rFonts w:eastAsia="Arial"/>
          <w:b/>
          <w:color w:val="005172"/>
          <w:sz w:val="6"/>
          <w:szCs w:val="6"/>
        </w:rPr>
      </w:pPr>
    </w:p>
    <w:tbl>
      <w:tblPr>
        <w:tblW w:w="7073" w:type="dxa"/>
        <w:jc w:val="center"/>
        <w:tblLook w:val="04A0" w:firstRow="1" w:lastRow="0" w:firstColumn="1" w:lastColumn="0" w:noHBand="0" w:noVBand="1"/>
      </w:tblPr>
      <w:tblGrid>
        <w:gridCol w:w="1882"/>
        <w:gridCol w:w="626"/>
        <w:gridCol w:w="913"/>
        <w:gridCol w:w="913"/>
        <w:gridCol w:w="913"/>
        <w:gridCol w:w="913"/>
        <w:gridCol w:w="913"/>
      </w:tblGrid>
      <w:tr w:rsidR="00257BA3" w:rsidRPr="00D350B5" w14:paraId="211E87A9" w14:textId="77777777" w:rsidTr="00A91805">
        <w:trPr>
          <w:trHeight w:val="165"/>
          <w:jc w:val="center"/>
        </w:trPr>
        <w:tc>
          <w:tcPr>
            <w:tcW w:w="1882" w:type="dxa"/>
            <w:shd w:val="clear" w:color="auto" w:fill="C6CFD7" w:themeFill="accent3" w:themeFillTint="66"/>
            <w:noWrap/>
            <w:hideMark/>
          </w:tcPr>
          <w:p w14:paraId="51348AD0" w14:textId="77777777" w:rsidR="00257BA3" w:rsidRPr="00D350B5" w:rsidRDefault="00257BA3" w:rsidP="00A91805">
            <w:pPr>
              <w:spacing w:after="60"/>
              <w:rPr>
                <w:rFonts w:ascii="Arial Narrow" w:hAnsi="Arial Narrow"/>
                <w:color w:val="000000"/>
                <w:sz w:val="16"/>
                <w:szCs w:val="16"/>
              </w:rPr>
            </w:pPr>
            <w:r w:rsidRPr="00D350B5">
              <w:rPr>
                <w:rFonts w:ascii="Arial Narrow" w:hAnsi="Arial Narrow"/>
                <w:color w:val="000000"/>
                <w:sz w:val="16"/>
                <w:szCs w:val="16"/>
              </w:rPr>
              <w:t> </w:t>
            </w:r>
          </w:p>
        </w:tc>
        <w:tc>
          <w:tcPr>
            <w:tcW w:w="626" w:type="dxa"/>
            <w:tcBorders>
              <w:top w:val="nil"/>
              <w:left w:val="nil"/>
              <w:right w:val="nil"/>
            </w:tcBorders>
            <w:shd w:val="clear" w:color="000000" w:fill="C7CFD8"/>
            <w:noWrap/>
            <w:vAlign w:val="bottom"/>
            <w:hideMark/>
          </w:tcPr>
          <w:p w14:paraId="67BE3303"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913" w:type="dxa"/>
            <w:tcBorders>
              <w:top w:val="nil"/>
              <w:left w:val="nil"/>
              <w:right w:val="nil"/>
            </w:tcBorders>
            <w:shd w:val="clear" w:color="000000" w:fill="C7CFD8"/>
            <w:noWrap/>
            <w:vAlign w:val="bottom"/>
            <w:hideMark/>
          </w:tcPr>
          <w:p w14:paraId="06B7F80C"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913" w:type="dxa"/>
            <w:tcBorders>
              <w:top w:val="nil"/>
              <w:left w:val="nil"/>
              <w:right w:val="nil"/>
            </w:tcBorders>
            <w:shd w:val="clear" w:color="000000" w:fill="C7CFD8"/>
            <w:noWrap/>
            <w:vAlign w:val="bottom"/>
            <w:hideMark/>
          </w:tcPr>
          <w:p w14:paraId="5AB3A4CC"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913" w:type="dxa"/>
            <w:tcBorders>
              <w:top w:val="nil"/>
              <w:left w:val="nil"/>
              <w:right w:val="nil"/>
            </w:tcBorders>
            <w:shd w:val="clear" w:color="000000" w:fill="C7CFD8"/>
            <w:noWrap/>
            <w:vAlign w:val="bottom"/>
            <w:hideMark/>
          </w:tcPr>
          <w:p w14:paraId="38C6080B"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202F50FC"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c>
          <w:tcPr>
            <w:tcW w:w="913" w:type="dxa"/>
            <w:tcBorders>
              <w:top w:val="nil"/>
              <w:left w:val="nil"/>
              <w:right w:val="nil"/>
            </w:tcBorders>
            <w:shd w:val="clear" w:color="000000" w:fill="C7CFD8"/>
            <w:noWrap/>
            <w:vAlign w:val="bottom"/>
            <w:hideMark/>
          </w:tcPr>
          <w:p w14:paraId="524295DC"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5F7BE93E"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 xml:space="preserve"> Estimates</w:t>
            </w:r>
          </w:p>
        </w:tc>
        <w:tc>
          <w:tcPr>
            <w:tcW w:w="913" w:type="dxa"/>
            <w:tcBorders>
              <w:top w:val="nil"/>
              <w:left w:val="nil"/>
              <w:right w:val="nil"/>
            </w:tcBorders>
            <w:shd w:val="clear" w:color="000000" w:fill="C7CFD8"/>
            <w:noWrap/>
            <w:vAlign w:val="bottom"/>
            <w:hideMark/>
          </w:tcPr>
          <w:p w14:paraId="2FAFE4F0"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09EE96DE" w14:textId="77777777" w:rsidR="00257BA3" w:rsidRPr="00EC73F2" w:rsidRDefault="00257BA3" w:rsidP="00A91805">
            <w:pPr>
              <w:spacing w:after="60"/>
              <w:jc w:val="right"/>
              <w:rPr>
                <w:rFonts w:ascii="Arial Narrow" w:hAnsi="Arial Narrow"/>
                <w:b/>
                <w:color w:val="000000"/>
                <w:sz w:val="16"/>
                <w:szCs w:val="16"/>
              </w:rPr>
            </w:pPr>
            <w:r w:rsidRPr="003128CE">
              <w:rPr>
                <w:rFonts w:ascii="Arial Narrow" w:hAnsi="Arial Narrow" w:cs="Arial"/>
                <w:b/>
                <w:color w:val="000000"/>
                <w:sz w:val="16"/>
                <w:szCs w:val="16"/>
              </w:rPr>
              <w:t>Estimates</w:t>
            </w:r>
          </w:p>
        </w:tc>
      </w:tr>
      <w:tr w:rsidR="005A58B7" w:rsidRPr="00D350B5" w14:paraId="2BEAFB1D" w14:textId="77777777" w:rsidTr="002356E0">
        <w:trPr>
          <w:trHeight w:val="165"/>
          <w:jc w:val="center"/>
        </w:trPr>
        <w:tc>
          <w:tcPr>
            <w:tcW w:w="1882" w:type="dxa"/>
            <w:tcBorders>
              <w:left w:val="nil"/>
              <w:bottom w:val="nil"/>
              <w:right w:val="nil"/>
            </w:tcBorders>
            <w:shd w:val="clear" w:color="000000" w:fill="FFFFFF"/>
            <w:noWrap/>
            <w:vAlign w:val="bottom"/>
            <w:hideMark/>
          </w:tcPr>
          <w:p w14:paraId="2B471D09"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Basic fee</w:t>
            </w:r>
          </w:p>
        </w:tc>
        <w:tc>
          <w:tcPr>
            <w:tcW w:w="626" w:type="dxa"/>
            <w:tcBorders>
              <w:top w:val="single" w:sz="4" w:space="0" w:color="BFBFBF"/>
              <w:left w:val="nil"/>
              <w:bottom w:val="nil"/>
              <w:right w:val="nil"/>
            </w:tcBorders>
            <w:shd w:val="clear" w:color="000000" w:fill="FFFFFF"/>
            <w:noWrap/>
            <w:vAlign w:val="bottom"/>
            <w:hideMark/>
          </w:tcPr>
          <w:p w14:paraId="6231B66A"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46.4</w:t>
            </w:r>
          </w:p>
        </w:tc>
        <w:tc>
          <w:tcPr>
            <w:tcW w:w="913" w:type="dxa"/>
            <w:tcBorders>
              <w:top w:val="single" w:sz="4" w:space="0" w:color="BFBFBF"/>
              <w:left w:val="nil"/>
              <w:bottom w:val="nil"/>
              <w:right w:val="nil"/>
            </w:tcBorders>
            <w:shd w:val="clear" w:color="000000" w:fill="FFFFFF"/>
            <w:noWrap/>
            <w:vAlign w:val="bottom"/>
            <w:hideMark/>
          </w:tcPr>
          <w:p w14:paraId="282FD9AD"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51.7</w:t>
            </w:r>
          </w:p>
        </w:tc>
        <w:tc>
          <w:tcPr>
            <w:tcW w:w="913" w:type="dxa"/>
            <w:tcBorders>
              <w:top w:val="single" w:sz="4" w:space="0" w:color="BFBFBF"/>
              <w:left w:val="nil"/>
              <w:bottom w:val="nil"/>
              <w:right w:val="nil"/>
            </w:tcBorders>
            <w:shd w:val="clear" w:color="000000" w:fill="FFFFFF"/>
            <w:noWrap/>
            <w:vAlign w:val="bottom"/>
          </w:tcPr>
          <w:p w14:paraId="4EBE7B2B" w14:textId="75BA48ED"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51.9</w:t>
            </w:r>
          </w:p>
        </w:tc>
        <w:tc>
          <w:tcPr>
            <w:tcW w:w="913" w:type="dxa"/>
            <w:tcBorders>
              <w:top w:val="single" w:sz="4" w:space="0" w:color="BFBFBF"/>
              <w:left w:val="nil"/>
              <w:bottom w:val="nil"/>
              <w:right w:val="nil"/>
            </w:tcBorders>
            <w:shd w:val="clear" w:color="000000" w:fill="FFFFFF"/>
            <w:noWrap/>
            <w:vAlign w:val="bottom"/>
          </w:tcPr>
          <w:p w14:paraId="7C87F8BC" w14:textId="068CA6E9"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51.4</w:t>
            </w:r>
          </w:p>
        </w:tc>
        <w:tc>
          <w:tcPr>
            <w:tcW w:w="913" w:type="dxa"/>
            <w:tcBorders>
              <w:top w:val="single" w:sz="4" w:space="0" w:color="BFBFBF"/>
              <w:left w:val="nil"/>
              <w:bottom w:val="nil"/>
              <w:right w:val="nil"/>
            </w:tcBorders>
            <w:shd w:val="clear" w:color="000000" w:fill="FFFFFF"/>
            <w:noWrap/>
            <w:vAlign w:val="bottom"/>
          </w:tcPr>
          <w:p w14:paraId="075E3584" w14:textId="5CEBE108"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53.8</w:t>
            </w:r>
          </w:p>
        </w:tc>
        <w:tc>
          <w:tcPr>
            <w:tcW w:w="913" w:type="dxa"/>
            <w:tcBorders>
              <w:top w:val="single" w:sz="4" w:space="0" w:color="BFBFBF"/>
              <w:left w:val="nil"/>
              <w:bottom w:val="nil"/>
              <w:right w:val="nil"/>
            </w:tcBorders>
            <w:shd w:val="clear" w:color="000000" w:fill="FFFFFF"/>
            <w:noWrap/>
            <w:vAlign w:val="bottom"/>
          </w:tcPr>
          <w:p w14:paraId="4437CE1D" w14:textId="6024C612"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55.4</w:t>
            </w:r>
          </w:p>
        </w:tc>
      </w:tr>
      <w:tr w:rsidR="005A58B7" w:rsidRPr="00D350B5" w14:paraId="13A9C6FE" w14:textId="77777777" w:rsidTr="002356E0">
        <w:trPr>
          <w:trHeight w:val="165"/>
          <w:jc w:val="center"/>
        </w:trPr>
        <w:tc>
          <w:tcPr>
            <w:tcW w:w="1882" w:type="dxa"/>
            <w:tcBorders>
              <w:top w:val="nil"/>
              <w:left w:val="nil"/>
              <w:bottom w:val="nil"/>
              <w:right w:val="nil"/>
            </w:tcBorders>
            <w:shd w:val="clear" w:color="000000" w:fill="FFFFFF"/>
            <w:noWrap/>
            <w:vAlign w:val="bottom"/>
            <w:hideMark/>
          </w:tcPr>
          <w:p w14:paraId="70B0536F"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Renewal fee</w:t>
            </w:r>
          </w:p>
        </w:tc>
        <w:tc>
          <w:tcPr>
            <w:tcW w:w="626" w:type="dxa"/>
            <w:tcBorders>
              <w:top w:val="nil"/>
              <w:left w:val="nil"/>
              <w:bottom w:val="nil"/>
              <w:right w:val="nil"/>
            </w:tcBorders>
            <w:shd w:val="clear" w:color="000000" w:fill="FFFFFF"/>
            <w:noWrap/>
            <w:vAlign w:val="bottom"/>
            <w:hideMark/>
          </w:tcPr>
          <w:p w14:paraId="377DC99A"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21.4</w:t>
            </w:r>
          </w:p>
        </w:tc>
        <w:tc>
          <w:tcPr>
            <w:tcW w:w="913" w:type="dxa"/>
            <w:tcBorders>
              <w:top w:val="nil"/>
              <w:left w:val="nil"/>
              <w:bottom w:val="nil"/>
              <w:right w:val="nil"/>
            </w:tcBorders>
            <w:shd w:val="clear" w:color="000000" w:fill="FFFFFF"/>
            <w:noWrap/>
            <w:vAlign w:val="bottom"/>
            <w:hideMark/>
          </w:tcPr>
          <w:p w14:paraId="6FABF195"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22.3</w:t>
            </w:r>
          </w:p>
        </w:tc>
        <w:tc>
          <w:tcPr>
            <w:tcW w:w="913" w:type="dxa"/>
            <w:tcBorders>
              <w:top w:val="nil"/>
              <w:left w:val="nil"/>
              <w:bottom w:val="nil"/>
              <w:right w:val="nil"/>
            </w:tcBorders>
            <w:shd w:val="clear" w:color="000000" w:fill="FFFFFF"/>
            <w:noWrap/>
            <w:vAlign w:val="bottom"/>
          </w:tcPr>
          <w:p w14:paraId="325FDCC3" w14:textId="7DCF9C64"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25.0</w:t>
            </w:r>
          </w:p>
        </w:tc>
        <w:tc>
          <w:tcPr>
            <w:tcW w:w="913" w:type="dxa"/>
            <w:tcBorders>
              <w:top w:val="nil"/>
              <w:left w:val="nil"/>
              <w:bottom w:val="nil"/>
              <w:right w:val="nil"/>
            </w:tcBorders>
            <w:shd w:val="clear" w:color="000000" w:fill="FFFFFF"/>
            <w:noWrap/>
            <w:vAlign w:val="bottom"/>
          </w:tcPr>
          <w:p w14:paraId="22A4F397" w14:textId="20AFB233"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22.8</w:t>
            </w:r>
          </w:p>
        </w:tc>
        <w:tc>
          <w:tcPr>
            <w:tcW w:w="913" w:type="dxa"/>
            <w:tcBorders>
              <w:top w:val="nil"/>
              <w:left w:val="nil"/>
              <w:bottom w:val="nil"/>
              <w:right w:val="nil"/>
            </w:tcBorders>
            <w:shd w:val="clear" w:color="000000" w:fill="FFFFFF"/>
            <w:noWrap/>
            <w:vAlign w:val="bottom"/>
          </w:tcPr>
          <w:p w14:paraId="2D21BE06" w14:textId="0F540A66"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25.1</w:t>
            </w:r>
          </w:p>
        </w:tc>
        <w:tc>
          <w:tcPr>
            <w:tcW w:w="913" w:type="dxa"/>
            <w:tcBorders>
              <w:top w:val="nil"/>
              <w:left w:val="nil"/>
              <w:bottom w:val="nil"/>
              <w:right w:val="nil"/>
            </w:tcBorders>
            <w:shd w:val="clear" w:color="000000" w:fill="FFFFFF"/>
            <w:noWrap/>
            <w:vAlign w:val="bottom"/>
          </w:tcPr>
          <w:p w14:paraId="0283C1AD" w14:textId="261FA38D"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26.4</w:t>
            </w:r>
          </w:p>
        </w:tc>
      </w:tr>
      <w:tr w:rsidR="005A58B7" w:rsidRPr="00D350B5" w14:paraId="0B7C5BF2" w14:textId="77777777" w:rsidTr="002356E0">
        <w:trPr>
          <w:trHeight w:val="281"/>
          <w:jc w:val="center"/>
        </w:trPr>
        <w:tc>
          <w:tcPr>
            <w:tcW w:w="1882" w:type="dxa"/>
            <w:tcBorders>
              <w:top w:val="nil"/>
              <w:left w:val="nil"/>
              <w:bottom w:val="nil"/>
              <w:right w:val="nil"/>
            </w:tcBorders>
            <w:shd w:val="clear" w:color="000000" w:fill="FFFFFF"/>
            <w:vAlign w:val="bottom"/>
            <w:hideMark/>
          </w:tcPr>
          <w:p w14:paraId="7343BA24"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Subsequent designation fee</w:t>
            </w:r>
          </w:p>
        </w:tc>
        <w:tc>
          <w:tcPr>
            <w:tcW w:w="626" w:type="dxa"/>
            <w:tcBorders>
              <w:top w:val="nil"/>
              <w:left w:val="nil"/>
              <w:bottom w:val="nil"/>
              <w:right w:val="nil"/>
            </w:tcBorders>
            <w:shd w:val="clear" w:color="000000" w:fill="FFFFFF"/>
            <w:noWrap/>
            <w:vAlign w:val="bottom"/>
            <w:hideMark/>
          </w:tcPr>
          <w:p w14:paraId="0848ECF2"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5.9</w:t>
            </w:r>
          </w:p>
        </w:tc>
        <w:tc>
          <w:tcPr>
            <w:tcW w:w="913" w:type="dxa"/>
            <w:tcBorders>
              <w:top w:val="nil"/>
              <w:left w:val="nil"/>
              <w:bottom w:val="nil"/>
              <w:right w:val="nil"/>
            </w:tcBorders>
            <w:shd w:val="clear" w:color="000000" w:fill="FFFFFF"/>
            <w:noWrap/>
            <w:vAlign w:val="bottom"/>
            <w:hideMark/>
          </w:tcPr>
          <w:p w14:paraId="70B6A8BF"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6.4</w:t>
            </w:r>
          </w:p>
        </w:tc>
        <w:tc>
          <w:tcPr>
            <w:tcW w:w="913" w:type="dxa"/>
            <w:tcBorders>
              <w:top w:val="nil"/>
              <w:left w:val="nil"/>
              <w:bottom w:val="nil"/>
              <w:right w:val="nil"/>
            </w:tcBorders>
            <w:shd w:val="clear" w:color="000000" w:fill="FFFFFF"/>
            <w:noWrap/>
            <w:vAlign w:val="bottom"/>
          </w:tcPr>
          <w:p w14:paraId="2A74A75E" w14:textId="26D2306A"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6.4</w:t>
            </w:r>
          </w:p>
        </w:tc>
        <w:tc>
          <w:tcPr>
            <w:tcW w:w="913" w:type="dxa"/>
            <w:tcBorders>
              <w:top w:val="nil"/>
              <w:left w:val="nil"/>
              <w:bottom w:val="nil"/>
              <w:right w:val="nil"/>
            </w:tcBorders>
            <w:shd w:val="clear" w:color="000000" w:fill="FFFFFF"/>
            <w:noWrap/>
            <w:vAlign w:val="bottom"/>
          </w:tcPr>
          <w:p w14:paraId="58457DEA" w14:textId="68982454"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6.6</w:t>
            </w:r>
          </w:p>
        </w:tc>
        <w:tc>
          <w:tcPr>
            <w:tcW w:w="913" w:type="dxa"/>
            <w:tcBorders>
              <w:top w:val="nil"/>
              <w:left w:val="nil"/>
              <w:bottom w:val="nil"/>
              <w:right w:val="nil"/>
            </w:tcBorders>
            <w:shd w:val="clear" w:color="000000" w:fill="FFFFFF"/>
            <w:noWrap/>
            <w:vAlign w:val="bottom"/>
          </w:tcPr>
          <w:p w14:paraId="7CFC5FC2" w14:textId="2FB691D8"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6.6</w:t>
            </w:r>
          </w:p>
        </w:tc>
        <w:tc>
          <w:tcPr>
            <w:tcW w:w="913" w:type="dxa"/>
            <w:tcBorders>
              <w:top w:val="nil"/>
              <w:left w:val="nil"/>
              <w:bottom w:val="nil"/>
              <w:right w:val="nil"/>
            </w:tcBorders>
            <w:shd w:val="clear" w:color="000000" w:fill="FFFFFF"/>
            <w:noWrap/>
            <w:vAlign w:val="bottom"/>
          </w:tcPr>
          <w:p w14:paraId="78F288F0" w14:textId="0A05D175"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6.7</w:t>
            </w:r>
          </w:p>
        </w:tc>
      </w:tr>
      <w:tr w:rsidR="005A58B7" w:rsidRPr="00D350B5" w14:paraId="4E825BE8" w14:textId="77777777" w:rsidTr="002356E0">
        <w:trPr>
          <w:trHeight w:val="165"/>
          <w:jc w:val="center"/>
        </w:trPr>
        <w:tc>
          <w:tcPr>
            <w:tcW w:w="1882" w:type="dxa"/>
            <w:tcBorders>
              <w:top w:val="nil"/>
              <w:left w:val="nil"/>
              <w:bottom w:val="single" w:sz="4" w:space="0" w:color="BFBFBF" w:themeColor="background1" w:themeShade="BF"/>
              <w:right w:val="nil"/>
            </w:tcBorders>
            <w:shd w:val="clear" w:color="000000" w:fill="FFFFFF"/>
            <w:noWrap/>
            <w:vAlign w:val="bottom"/>
            <w:hideMark/>
          </w:tcPr>
          <w:p w14:paraId="3CE01706"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Others</w:t>
            </w:r>
          </w:p>
        </w:tc>
        <w:tc>
          <w:tcPr>
            <w:tcW w:w="626" w:type="dxa"/>
            <w:tcBorders>
              <w:top w:val="nil"/>
              <w:left w:val="nil"/>
              <w:bottom w:val="single" w:sz="4" w:space="0" w:color="BFBFBF" w:themeColor="background1" w:themeShade="BF"/>
              <w:right w:val="nil"/>
            </w:tcBorders>
            <w:shd w:val="clear" w:color="000000" w:fill="FFFFFF"/>
            <w:noWrap/>
            <w:vAlign w:val="bottom"/>
            <w:hideMark/>
          </w:tcPr>
          <w:p w14:paraId="7BE01F49"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3.3</w:t>
            </w:r>
          </w:p>
        </w:tc>
        <w:tc>
          <w:tcPr>
            <w:tcW w:w="913" w:type="dxa"/>
            <w:tcBorders>
              <w:top w:val="nil"/>
              <w:left w:val="nil"/>
              <w:bottom w:val="single" w:sz="4" w:space="0" w:color="BFBFBF"/>
              <w:right w:val="nil"/>
            </w:tcBorders>
            <w:shd w:val="clear" w:color="000000" w:fill="FFFFFF"/>
            <w:noWrap/>
            <w:vAlign w:val="bottom"/>
            <w:hideMark/>
          </w:tcPr>
          <w:p w14:paraId="601D391D"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3.6</w:t>
            </w:r>
          </w:p>
        </w:tc>
        <w:tc>
          <w:tcPr>
            <w:tcW w:w="913" w:type="dxa"/>
            <w:tcBorders>
              <w:top w:val="nil"/>
              <w:left w:val="nil"/>
              <w:bottom w:val="single" w:sz="4" w:space="0" w:color="BFBFBF"/>
              <w:right w:val="nil"/>
            </w:tcBorders>
            <w:shd w:val="clear" w:color="000000" w:fill="FFFFFF"/>
            <w:noWrap/>
            <w:vAlign w:val="bottom"/>
          </w:tcPr>
          <w:p w14:paraId="5C2508A4" w14:textId="1C411BA5"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3.6</w:t>
            </w:r>
          </w:p>
        </w:tc>
        <w:tc>
          <w:tcPr>
            <w:tcW w:w="913" w:type="dxa"/>
            <w:tcBorders>
              <w:top w:val="nil"/>
              <w:left w:val="nil"/>
              <w:bottom w:val="single" w:sz="4" w:space="0" w:color="BFBFBF"/>
              <w:right w:val="nil"/>
            </w:tcBorders>
            <w:shd w:val="clear" w:color="000000" w:fill="FFFFFF"/>
            <w:noWrap/>
            <w:vAlign w:val="bottom"/>
          </w:tcPr>
          <w:p w14:paraId="13C96621" w14:textId="08CE4DE1"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3.6</w:t>
            </w:r>
          </w:p>
        </w:tc>
        <w:tc>
          <w:tcPr>
            <w:tcW w:w="913" w:type="dxa"/>
            <w:tcBorders>
              <w:top w:val="nil"/>
              <w:left w:val="nil"/>
              <w:bottom w:val="single" w:sz="4" w:space="0" w:color="BFBFBF"/>
              <w:right w:val="nil"/>
            </w:tcBorders>
            <w:shd w:val="clear" w:color="000000" w:fill="FFFFFF"/>
            <w:noWrap/>
            <w:vAlign w:val="bottom"/>
          </w:tcPr>
          <w:p w14:paraId="305FBEB4" w14:textId="6D8E6868"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3.8</w:t>
            </w:r>
          </w:p>
        </w:tc>
        <w:tc>
          <w:tcPr>
            <w:tcW w:w="913" w:type="dxa"/>
            <w:tcBorders>
              <w:top w:val="nil"/>
              <w:left w:val="nil"/>
              <w:bottom w:val="single" w:sz="4" w:space="0" w:color="BFBFBF"/>
              <w:right w:val="nil"/>
            </w:tcBorders>
            <w:shd w:val="clear" w:color="000000" w:fill="FFFFFF"/>
            <w:noWrap/>
            <w:vAlign w:val="bottom"/>
          </w:tcPr>
          <w:p w14:paraId="6423DA80" w14:textId="0B485C6A"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3.9</w:t>
            </w:r>
          </w:p>
        </w:tc>
      </w:tr>
      <w:tr w:rsidR="005A58B7" w:rsidRPr="00D350B5" w14:paraId="6B624578" w14:textId="77777777" w:rsidTr="002356E0">
        <w:trPr>
          <w:trHeight w:val="165"/>
          <w:jc w:val="center"/>
        </w:trPr>
        <w:tc>
          <w:tcPr>
            <w:tcW w:w="1882" w:type="dxa"/>
            <w:tcBorders>
              <w:top w:val="single" w:sz="4" w:space="0" w:color="BFBFBF" w:themeColor="background1" w:themeShade="BF"/>
              <w:left w:val="nil"/>
              <w:bottom w:val="single" w:sz="4" w:space="0" w:color="BFBFBF" w:themeColor="background1" w:themeShade="BF"/>
              <w:right w:val="nil"/>
            </w:tcBorders>
            <w:shd w:val="clear" w:color="000000" w:fill="FFFFFF"/>
            <w:noWrap/>
            <w:vAlign w:val="bottom"/>
            <w:hideMark/>
          </w:tcPr>
          <w:p w14:paraId="7A0CB356" w14:textId="77777777" w:rsidR="005A58B7" w:rsidRPr="00D350B5" w:rsidRDefault="005A58B7" w:rsidP="005A58B7">
            <w:pPr>
              <w:spacing w:after="60"/>
              <w:rPr>
                <w:rFonts w:ascii="Arial Narrow" w:hAnsi="Arial Narrow"/>
                <w:b/>
                <w:color w:val="000000"/>
                <w:sz w:val="16"/>
                <w:szCs w:val="16"/>
              </w:rPr>
            </w:pPr>
            <w:r w:rsidRPr="00D350B5">
              <w:rPr>
                <w:rFonts w:ascii="Arial Narrow" w:hAnsi="Arial Narrow"/>
                <w:b/>
                <w:color w:val="000000"/>
                <w:sz w:val="16"/>
                <w:szCs w:val="16"/>
              </w:rPr>
              <w:t>Total Income</w:t>
            </w:r>
            <w:r>
              <w:rPr>
                <w:rFonts w:ascii="Arial Narrow" w:hAnsi="Arial Narrow"/>
                <w:b/>
                <w:color w:val="000000"/>
                <w:sz w:val="16"/>
                <w:szCs w:val="16"/>
              </w:rPr>
              <w:t xml:space="preserve"> (million CHF)</w:t>
            </w:r>
          </w:p>
        </w:tc>
        <w:tc>
          <w:tcPr>
            <w:tcW w:w="626" w:type="dxa"/>
            <w:tcBorders>
              <w:top w:val="single" w:sz="4" w:space="0" w:color="BFBFBF" w:themeColor="background1" w:themeShade="BF"/>
              <w:left w:val="nil"/>
              <w:bottom w:val="single" w:sz="4" w:space="0" w:color="BFBFBF" w:themeColor="background1" w:themeShade="BF"/>
              <w:right w:val="nil"/>
            </w:tcBorders>
            <w:shd w:val="clear" w:color="000000" w:fill="FFFFFF"/>
            <w:noWrap/>
            <w:vAlign w:val="bottom"/>
            <w:hideMark/>
          </w:tcPr>
          <w:p w14:paraId="5448E533" w14:textId="77777777" w:rsidR="005A58B7" w:rsidRPr="0000088D" w:rsidRDefault="005A58B7" w:rsidP="005A58B7">
            <w:pPr>
              <w:spacing w:after="60"/>
              <w:jc w:val="right"/>
              <w:rPr>
                <w:rFonts w:ascii="Arial Narrow" w:hAnsi="Arial Narrow"/>
                <w:b/>
                <w:color w:val="000000"/>
                <w:sz w:val="16"/>
                <w:szCs w:val="16"/>
              </w:rPr>
            </w:pPr>
            <w:r w:rsidRPr="0000088D">
              <w:rPr>
                <w:rFonts w:ascii="Arial Narrow" w:hAnsi="Arial Narrow" w:cs="Arial"/>
                <w:color w:val="000000"/>
                <w:sz w:val="16"/>
                <w:szCs w:val="18"/>
              </w:rPr>
              <w:t>77.0</w:t>
            </w:r>
          </w:p>
        </w:tc>
        <w:tc>
          <w:tcPr>
            <w:tcW w:w="913" w:type="dxa"/>
            <w:tcBorders>
              <w:top w:val="nil"/>
              <w:left w:val="nil"/>
              <w:bottom w:val="nil"/>
              <w:right w:val="nil"/>
            </w:tcBorders>
            <w:shd w:val="clear" w:color="000000" w:fill="FFFFFF"/>
            <w:noWrap/>
            <w:vAlign w:val="bottom"/>
            <w:hideMark/>
          </w:tcPr>
          <w:p w14:paraId="0B8DB238" w14:textId="77777777" w:rsidR="005A58B7" w:rsidRPr="0000088D" w:rsidRDefault="005A58B7" w:rsidP="005A58B7">
            <w:pPr>
              <w:spacing w:after="60"/>
              <w:jc w:val="right"/>
              <w:rPr>
                <w:rFonts w:ascii="Arial Narrow" w:hAnsi="Arial Narrow"/>
                <w:b/>
                <w:color w:val="000000"/>
                <w:sz w:val="16"/>
                <w:szCs w:val="16"/>
              </w:rPr>
            </w:pPr>
            <w:r w:rsidRPr="0000088D">
              <w:rPr>
                <w:rFonts w:ascii="Arial Narrow" w:hAnsi="Arial Narrow" w:cs="Arial"/>
                <w:color w:val="000000"/>
                <w:sz w:val="16"/>
                <w:szCs w:val="18"/>
              </w:rPr>
              <w:t>84.0</w:t>
            </w:r>
          </w:p>
        </w:tc>
        <w:tc>
          <w:tcPr>
            <w:tcW w:w="913" w:type="dxa"/>
            <w:tcBorders>
              <w:top w:val="nil"/>
              <w:left w:val="nil"/>
              <w:bottom w:val="nil"/>
              <w:right w:val="nil"/>
            </w:tcBorders>
            <w:shd w:val="clear" w:color="000000" w:fill="FFFFFF"/>
            <w:noWrap/>
            <w:vAlign w:val="bottom"/>
          </w:tcPr>
          <w:p w14:paraId="55FAB5E8" w14:textId="720E0115" w:rsidR="005A58B7" w:rsidRPr="0000088D" w:rsidRDefault="005A58B7" w:rsidP="005A58B7">
            <w:pPr>
              <w:spacing w:after="60"/>
              <w:jc w:val="right"/>
              <w:rPr>
                <w:rFonts w:ascii="Arial Narrow" w:hAnsi="Arial Narrow"/>
                <w:b/>
                <w:color w:val="000000"/>
                <w:sz w:val="16"/>
                <w:szCs w:val="16"/>
              </w:rPr>
            </w:pPr>
            <w:r>
              <w:rPr>
                <w:rFonts w:ascii="Arial Narrow" w:hAnsi="Arial Narrow" w:cs="Arial"/>
                <w:color w:val="000000"/>
                <w:sz w:val="16"/>
                <w:szCs w:val="16"/>
              </w:rPr>
              <w:t>86.8</w:t>
            </w:r>
          </w:p>
        </w:tc>
        <w:tc>
          <w:tcPr>
            <w:tcW w:w="913" w:type="dxa"/>
            <w:tcBorders>
              <w:top w:val="nil"/>
              <w:left w:val="nil"/>
              <w:bottom w:val="nil"/>
              <w:right w:val="nil"/>
            </w:tcBorders>
            <w:shd w:val="clear" w:color="000000" w:fill="FFFFFF"/>
            <w:noWrap/>
            <w:vAlign w:val="bottom"/>
          </w:tcPr>
          <w:p w14:paraId="0E215B87" w14:textId="1E4C73C6" w:rsidR="005A58B7" w:rsidRPr="0000088D" w:rsidRDefault="005A58B7" w:rsidP="005A58B7">
            <w:pPr>
              <w:spacing w:after="60"/>
              <w:jc w:val="right"/>
              <w:rPr>
                <w:rFonts w:ascii="Arial Narrow" w:hAnsi="Arial Narrow"/>
                <w:b/>
                <w:color w:val="000000"/>
                <w:sz w:val="16"/>
                <w:szCs w:val="16"/>
              </w:rPr>
            </w:pPr>
            <w:r>
              <w:rPr>
                <w:rFonts w:ascii="Arial Narrow" w:hAnsi="Arial Narrow" w:cs="Arial"/>
                <w:color w:val="000000"/>
                <w:sz w:val="16"/>
                <w:szCs w:val="16"/>
              </w:rPr>
              <w:t>84.3</w:t>
            </w:r>
          </w:p>
        </w:tc>
        <w:tc>
          <w:tcPr>
            <w:tcW w:w="913" w:type="dxa"/>
            <w:tcBorders>
              <w:top w:val="nil"/>
              <w:left w:val="nil"/>
              <w:bottom w:val="nil"/>
              <w:right w:val="nil"/>
            </w:tcBorders>
            <w:shd w:val="clear" w:color="000000" w:fill="FFFFFF"/>
            <w:noWrap/>
            <w:vAlign w:val="bottom"/>
          </w:tcPr>
          <w:p w14:paraId="30C10024" w14:textId="76023131" w:rsidR="005A58B7" w:rsidRPr="0000088D" w:rsidRDefault="005A58B7" w:rsidP="005A58B7">
            <w:pPr>
              <w:spacing w:after="60"/>
              <w:jc w:val="right"/>
              <w:rPr>
                <w:rFonts w:ascii="Arial Narrow" w:hAnsi="Arial Narrow"/>
                <w:b/>
                <w:color w:val="000000"/>
                <w:sz w:val="16"/>
                <w:szCs w:val="16"/>
              </w:rPr>
            </w:pPr>
            <w:r>
              <w:rPr>
                <w:rFonts w:ascii="Arial Narrow" w:hAnsi="Arial Narrow" w:cs="Arial"/>
                <w:color w:val="000000"/>
                <w:sz w:val="16"/>
                <w:szCs w:val="16"/>
              </w:rPr>
              <w:t>89.2</w:t>
            </w:r>
          </w:p>
        </w:tc>
        <w:tc>
          <w:tcPr>
            <w:tcW w:w="913" w:type="dxa"/>
            <w:tcBorders>
              <w:top w:val="nil"/>
              <w:left w:val="nil"/>
              <w:bottom w:val="nil"/>
              <w:right w:val="nil"/>
            </w:tcBorders>
            <w:shd w:val="clear" w:color="000000" w:fill="FFFFFF"/>
            <w:noWrap/>
            <w:vAlign w:val="bottom"/>
          </w:tcPr>
          <w:p w14:paraId="772F4475" w14:textId="4D2622D4" w:rsidR="005A58B7" w:rsidRPr="0000088D" w:rsidRDefault="005A58B7" w:rsidP="005A58B7">
            <w:pPr>
              <w:spacing w:after="60"/>
              <w:jc w:val="right"/>
              <w:rPr>
                <w:rFonts w:ascii="Arial Narrow" w:hAnsi="Arial Narrow"/>
                <w:b/>
                <w:color w:val="000000"/>
                <w:sz w:val="16"/>
                <w:szCs w:val="16"/>
              </w:rPr>
            </w:pPr>
            <w:r>
              <w:rPr>
                <w:rFonts w:ascii="Arial Narrow" w:hAnsi="Arial Narrow" w:cs="Arial"/>
                <w:color w:val="000000"/>
                <w:sz w:val="16"/>
                <w:szCs w:val="16"/>
              </w:rPr>
              <w:t>92.3</w:t>
            </w:r>
          </w:p>
        </w:tc>
      </w:tr>
      <w:tr w:rsidR="005A58B7" w:rsidRPr="00D350B5" w14:paraId="7D8270C1" w14:textId="77777777" w:rsidTr="002356E0">
        <w:trPr>
          <w:trHeight w:val="165"/>
          <w:jc w:val="center"/>
        </w:trPr>
        <w:tc>
          <w:tcPr>
            <w:tcW w:w="1882" w:type="dxa"/>
            <w:tcBorders>
              <w:top w:val="single" w:sz="4" w:space="0" w:color="BFBFBF" w:themeColor="background1" w:themeShade="BF"/>
              <w:left w:val="nil"/>
              <w:bottom w:val="nil"/>
              <w:right w:val="nil"/>
            </w:tcBorders>
            <w:shd w:val="clear" w:color="000000" w:fill="FFFFFF"/>
            <w:noWrap/>
            <w:vAlign w:val="bottom"/>
            <w:hideMark/>
          </w:tcPr>
          <w:p w14:paraId="34100E4C"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Growth</w:t>
            </w:r>
          </w:p>
        </w:tc>
        <w:tc>
          <w:tcPr>
            <w:tcW w:w="626" w:type="dxa"/>
            <w:tcBorders>
              <w:top w:val="single" w:sz="4" w:space="0" w:color="BFBFBF" w:themeColor="background1" w:themeShade="BF"/>
              <w:left w:val="nil"/>
              <w:bottom w:val="nil"/>
              <w:right w:val="nil"/>
            </w:tcBorders>
            <w:shd w:val="clear" w:color="000000" w:fill="FFFFFF"/>
            <w:noWrap/>
            <w:vAlign w:val="bottom"/>
            <w:hideMark/>
          </w:tcPr>
          <w:p w14:paraId="67013D44"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0.1%</w:t>
            </w:r>
          </w:p>
        </w:tc>
        <w:tc>
          <w:tcPr>
            <w:tcW w:w="913" w:type="dxa"/>
            <w:tcBorders>
              <w:top w:val="single" w:sz="4" w:space="0" w:color="BFBFBF"/>
              <w:left w:val="nil"/>
              <w:bottom w:val="nil"/>
              <w:right w:val="nil"/>
            </w:tcBorders>
            <w:shd w:val="clear" w:color="000000" w:fill="FFFFFF"/>
            <w:noWrap/>
            <w:vAlign w:val="bottom"/>
            <w:hideMark/>
          </w:tcPr>
          <w:p w14:paraId="35985ABB"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9.2%</w:t>
            </w:r>
          </w:p>
        </w:tc>
        <w:tc>
          <w:tcPr>
            <w:tcW w:w="913" w:type="dxa"/>
            <w:tcBorders>
              <w:top w:val="single" w:sz="4" w:space="0" w:color="BFBFBF"/>
              <w:left w:val="nil"/>
              <w:bottom w:val="nil"/>
              <w:right w:val="nil"/>
            </w:tcBorders>
            <w:shd w:val="clear" w:color="000000" w:fill="FFFFFF"/>
            <w:noWrap/>
            <w:vAlign w:val="bottom"/>
          </w:tcPr>
          <w:p w14:paraId="30DD8988" w14:textId="4B130CEF"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0.0%</w:t>
            </w:r>
          </w:p>
        </w:tc>
        <w:tc>
          <w:tcPr>
            <w:tcW w:w="913" w:type="dxa"/>
            <w:tcBorders>
              <w:top w:val="single" w:sz="4" w:space="0" w:color="BFBFBF"/>
              <w:left w:val="nil"/>
              <w:bottom w:val="nil"/>
              <w:right w:val="nil"/>
            </w:tcBorders>
            <w:shd w:val="clear" w:color="000000" w:fill="FFFFFF"/>
            <w:noWrap/>
            <w:vAlign w:val="bottom"/>
          </w:tcPr>
          <w:p w14:paraId="3DF1F8D4" w14:textId="34E41892"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-2.9%</w:t>
            </w:r>
          </w:p>
        </w:tc>
        <w:tc>
          <w:tcPr>
            <w:tcW w:w="913" w:type="dxa"/>
            <w:tcBorders>
              <w:top w:val="single" w:sz="4" w:space="0" w:color="BFBFBF"/>
              <w:left w:val="nil"/>
              <w:bottom w:val="nil"/>
              <w:right w:val="nil"/>
            </w:tcBorders>
            <w:shd w:val="clear" w:color="000000" w:fill="FFFFFF"/>
            <w:noWrap/>
            <w:vAlign w:val="bottom"/>
          </w:tcPr>
          <w:p w14:paraId="06E3AF5E" w14:textId="2D8F7A86"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5.8%</w:t>
            </w:r>
          </w:p>
        </w:tc>
        <w:tc>
          <w:tcPr>
            <w:tcW w:w="913" w:type="dxa"/>
            <w:tcBorders>
              <w:top w:val="single" w:sz="4" w:space="0" w:color="BFBFBF"/>
              <w:left w:val="nil"/>
              <w:bottom w:val="nil"/>
              <w:right w:val="nil"/>
            </w:tcBorders>
            <w:shd w:val="clear" w:color="000000" w:fill="FFFFFF"/>
            <w:noWrap/>
            <w:vAlign w:val="bottom"/>
          </w:tcPr>
          <w:p w14:paraId="67CB4E29" w14:textId="745C2637"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3.5%</w:t>
            </w:r>
          </w:p>
        </w:tc>
      </w:tr>
      <w:tr w:rsidR="005A58B7" w:rsidRPr="00D350B5" w14:paraId="25946733" w14:textId="77777777" w:rsidTr="002356E0">
        <w:trPr>
          <w:trHeight w:val="165"/>
          <w:jc w:val="center"/>
        </w:trPr>
        <w:tc>
          <w:tcPr>
            <w:tcW w:w="1882" w:type="dxa"/>
            <w:tcBorders>
              <w:top w:val="nil"/>
              <w:left w:val="nil"/>
              <w:right w:val="nil"/>
            </w:tcBorders>
            <w:shd w:val="clear" w:color="000000" w:fill="FFFFFF"/>
            <w:noWrap/>
            <w:vAlign w:val="bottom"/>
            <w:hideMark/>
          </w:tcPr>
          <w:p w14:paraId="102C919B"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Low bound</w:t>
            </w:r>
          </w:p>
        </w:tc>
        <w:tc>
          <w:tcPr>
            <w:tcW w:w="626" w:type="dxa"/>
            <w:tcBorders>
              <w:top w:val="nil"/>
              <w:left w:val="nil"/>
              <w:bottom w:val="nil"/>
              <w:right w:val="nil"/>
            </w:tcBorders>
            <w:shd w:val="clear" w:color="000000" w:fill="FFFFFF"/>
            <w:noWrap/>
            <w:vAlign w:val="bottom"/>
            <w:hideMark/>
          </w:tcPr>
          <w:p w14:paraId="18DA9398" w14:textId="77777777" w:rsidR="005A58B7" w:rsidRPr="0000088D" w:rsidRDefault="005A58B7" w:rsidP="005A58B7">
            <w:pPr>
              <w:spacing w:after="60"/>
              <w:rPr>
                <w:rFonts w:ascii="Arial Narrow" w:hAnsi="Arial Narrow"/>
                <w:color w:val="000000"/>
                <w:sz w:val="16"/>
                <w:szCs w:val="16"/>
              </w:rPr>
            </w:pPr>
            <w:r w:rsidRPr="0000088D">
              <w:rPr>
                <w:rFonts w:ascii="Arial Narrow" w:hAnsi="Arial Narrow" w:cs="Arial"/>
                <w:color w:val="000000"/>
                <w:sz w:val="16"/>
                <w:szCs w:val="18"/>
              </w:rPr>
              <w:t> </w:t>
            </w:r>
          </w:p>
        </w:tc>
        <w:tc>
          <w:tcPr>
            <w:tcW w:w="913" w:type="dxa"/>
            <w:tcBorders>
              <w:top w:val="nil"/>
              <w:left w:val="nil"/>
              <w:bottom w:val="nil"/>
              <w:right w:val="nil"/>
            </w:tcBorders>
            <w:shd w:val="clear" w:color="000000" w:fill="FFFFFF"/>
            <w:noWrap/>
            <w:vAlign w:val="bottom"/>
            <w:hideMark/>
          </w:tcPr>
          <w:p w14:paraId="145CEF1C"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13" w:type="dxa"/>
            <w:tcBorders>
              <w:top w:val="nil"/>
              <w:left w:val="nil"/>
              <w:bottom w:val="nil"/>
              <w:right w:val="nil"/>
            </w:tcBorders>
            <w:shd w:val="clear" w:color="000000" w:fill="FFFFFF"/>
            <w:noWrap/>
            <w:vAlign w:val="bottom"/>
          </w:tcPr>
          <w:p w14:paraId="4C4DC430" w14:textId="0E330D63"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-0.2</w:t>
            </w:r>
          </w:p>
        </w:tc>
        <w:tc>
          <w:tcPr>
            <w:tcW w:w="913" w:type="dxa"/>
            <w:tcBorders>
              <w:top w:val="nil"/>
              <w:left w:val="nil"/>
              <w:bottom w:val="nil"/>
              <w:right w:val="nil"/>
            </w:tcBorders>
            <w:shd w:val="clear" w:color="000000" w:fill="FFFFFF"/>
            <w:noWrap/>
            <w:vAlign w:val="bottom"/>
          </w:tcPr>
          <w:p w14:paraId="5E6C360F" w14:textId="579536C0"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-3.7</w:t>
            </w:r>
          </w:p>
        </w:tc>
        <w:tc>
          <w:tcPr>
            <w:tcW w:w="913" w:type="dxa"/>
            <w:tcBorders>
              <w:top w:val="nil"/>
              <w:left w:val="nil"/>
              <w:bottom w:val="nil"/>
              <w:right w:val="nil"/>
            </w:tcBorders>
            <w:shd w:val="clear" w:color="000000" w:fill="FFFFFF"/>
            <w:noWrap/>
            <w:vAlign w:val="bottom"/>
          </w:tcPr>
          <w:p w14:paraId="7862C85E" w14:textId="12624EE7"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-5.3</w:t>
            </w:r>
          </w:p>
        </w:tc>
        <w:tc>
          <w:tcPr>
            <w:tcW w:w="913" w:type="dxa"/>
            <w:tcBorders>
              <w:top w:val="nil"/>
              <w:left w:val="nil"/>
              <w:bottom w:val="nil"/>
              <w:right w:val="nil"/>
            </w:tcBorders>
            <w:shd w:val="clear" w:color="000000" w:fill="FFFFFF"/>
            <w:noWrap/>
            <w:vAlign w:val="bottom"/>
          </w:tcPr>
          <w:p w14:paraId="00ADC613" w14:textId="60799DA7"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-6.6</w:t>
            </w:r>
          </w:p>
        </w:tc>
      </w:tr>
      <w:tr w:rsidR="005A58B7" w:rsidRPr="00D350B5" w14:paraId="36A52059" w14:textId="77777777" w:rsidTr="002356E0">
        <w:trPr>
          <w:trHeight w:val="165"/>
          <w:jc w:val="center"/>
        </w:trPr>
        <w:tc>
          <w:tcPr>
            <w:tcW w:w="1882" w:type="dxa"/>
            <w:tcBorders>
              <w:top w:val="nil"/>
              <w:left w:val="nil"/>
              <w:bottom w:val="single" w:sz="4" w:space="0" w:color="BFBFBF" w:themeColor="background1" w:themeShade="BF"/>
              <w:right w:val="nil"/>
            </w:tcBorders>
            <w:shd w:val="clear" w:color="000000" w:fill="FFFFFF"/>
            <w:noWrap/>
            <w:vAlign w:val="bottom"/>
            <w:hideMark/>
          </w:tcPr>
          <w:p w14:paraId="4947CE05" w14:textId="77777777" w:rsidR="005A58B7" w:rsidRPr="00D350B5" w:rsidRDefault="005A58B7" w:rsidP="005A58B7">
            <w:pPr>
              <w:spacing w:after="60"/>
              <w:rPr>
                <w:rFonts w:ascii="Arial Narrow" w:hAnsi="Arial Narrow"/>
                <w:color w:val="000000"/>
                <w:sz w:val="16"/>
                <w:szCs w:val="16"/>
              </w:rPr>
            </w:pPr>
            <w:r w:rsidRPr="00D350B5">
              <w:rPr>
                <w:rFonts w:ascii="Arial Narrow" w:hAnsi="Arial Narrow"/>
                <w:color w:val="000000"/>
                <w:sz w:val="16"/>
                <w:szCs w:val="16"/>
              </w:rPr>
              <w:t>High bound</w:t>
            </w:r>
          </w:p>
        </w:tc>
        <w:tc>
          <w:tcPr>
            <w:tcW w:w="626" w:type="dxa"/>
            <w:tcBorders>
              <w:top w:val="nil"/>
              <w:left w:val="nil"/>
              <w:bottom w:val="single" w:sz="4" w:space="0" w:color="BFBFBF"/>
              <w:right w:val="nil"/>
            </w:tcBorders>
            <w:shd w:val="clear" w:color="000000" w:fill="FFFFFF"/>
            <w:noWrap/>
            <w:vAlign w:val="bottom"/>
            <w:hideMark/>
          </w:tcPr>
          <w:p w14:paraId="62B76786" w14:textId="77777777" w:rsidR="005A58B7" w:rsidRPr="0000088D" w:rsidRDefault="005A58B7" w:rsidP="005A58B7">
            <w:pPr>
              <w:spacing w:after="60"/>
              <w:rPr>
                <w:rFonts w:ascii="Arial Narrow" w:hAnsi="Arial Narrow"/>
                <w:color w:val="000000"/>
                <w:sz w:val="16"/>
                <w:szCs w:val="16"/>
              </w:rPr>
            </w:pPr>
            <w:r w:rsidRPr="0000088D">
              <w:rPr>
                <w:rFonts w:ascii="Arial Narrow" w:hAnsi="Arial Narrow" w:cs="Arial"/>
                <w:color w:val="000000"/>
                <w:sz w:val="16"/>
                <w:szCs w:val="18"/>
              </w:rPr>
              <w:t> </w:t>
            </w:r>
          </w:p>
        </w:tc>
        <w:tc>
          <w:tcPr>
            <w:tcW w:w="913" w:type="dxa"/>
            <w:tcBorders>
              <w:top w:val="nil"/>
              <w:left w:val="nil"/>
              <w:bottom w:val="single" w:sz="4" w:space="0" w:color="BFBFBF"/>
              <w:right w:val="nil"/>
            </w:tcBorders>
            <w:shd w:val="clear" w:color="000000" w:fill="FFFFFF"/>
            <w:noWrap/>
            <w:vAlign w:val="bottom"/>
            <w:hideMark/>
          </w:tcPr>
          <w:p w14:paraId="310B6FC6" w14:textId="77777777" w:rsidR="005A58B7" w:rsidRPr="0000088D" w:rsidRDefault="005A58B7" w:rsidP="005A58B7">
            <w:pPr>
              <w:spacing w:after="60"/>
              <w:jc w:val="right"/>
              <w:rPr>
                <w:rFonts w:ascii="Arial Narrow" w:hAnsi="Arial Narrow"/>
                <w:color w:val="000000"/>
                <w:sz w:val="16"/>
                <w:szCs w:val="16"/>
              </w:rPr>
            </w:pPr>
            <w:r w:rsidRPr="0000088D">
              <w:rPr>
                <w:rFonts w:ascii="Arial Narrow" w:hAnsi="Arial Narrow" w:cs="Arial"/>
                <w:color w:val="000000"/>
                <w:sz w:val="16"/>
                <w:szCs w:val="18"/>
              </w:rPr>
              <w:t> </w:t>
            </w:r>
          </w:p>
        </w:tc>
        <w:tc>
          <w:tcPr>
            <w:tcW w:w="913" w:type="dxa"/>
            <w:tcBorders>
              <w:top w:val="nil"/>
              <w:left w:val="nil"/>
              <w:bottom w:val="single" w:sz="4" w:space="0" w:color="BFBFBF"/>
              <w:right w:val="nil"/>
            </w:tcBorders>
            <w:shd w:val="clear" w:color="000000" w:fill="FFFFFF"/>
            <w:noWrap/>
            <w:vAlign w:val="bottom"/>
          </w:tcPr>
          <w:p w14:paraId="1ECBCE95" w14:textId="34A1F02D"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+0.2</w:t>
            </w:r>
          </w:p>
        </w:tc>
        <w:tc>
          <w:tcPr>
            <w:tcW w:w="913" w:type="dxa"/>
            <w:tcBorders>
              <w:top w:val="nil"/>
              <w:left w:val="nil"/>
              <w:bottom w:val="single" w:sz="4" w:space="0" w:color="BFBFBF"/>
              <w:right w:val="nil"/>
            </w:tcBorders>
            <w:shd w:val="clear" w:color="000000" w:fill="FFFFFF"/>
            <w:noWrap/>
            <w:vAlign w:val="bottom"/>
          </w:tcPr>
          <w:p w14:paraId="0BC0E0D4" w14:textId="4387C663"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+3.7</w:t>
            </w:r>
          </w:p>
        </w:tc>
        <w:tc>
          <w:tcPr>
            <w:tcW w:w="913" w:type="dxa"/>
            <w:tcBorders>
              <w:top w:val="nil"/>
              <w:left w:val="nil"/>
              <w:bottom w:val="single" w:sz="4" w:space="0" w:color="BFBFBF"/>
              <w:right w:val="nil"/>
            </w:tcBorders>
            <w:shd w:val="clear" w:color="000000" w:fill="FFFFFF"/>
            <w:noWrap/>
            <w:vAlign w:val="bottom"/>
          </w:tcPr>
          <w:p w14:paraId="017DEF6C" w14:textId="4AD2AE36"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+5.3</w:t>
            </w:r>
          </w:p>
        </w:tc>
        <w:tc>
          <w:tcPr>
            <w:tcW w:w="913" w:type="dxa"/>
            <w:tcBorders>
              <w:top w:val="nil"/>
              <w:left w:val="nil"/>
              <w:bottom w:val="single" w:sz="4" w:space="0" w:color="BFBFBF"/>
              <w:right w:val="nil"/>
            </w:tcBorders>
            <w:shd w:val="clear" w:color="000000" w:fill="FFFFFF"/>
            <w:noWrap/>
            <w:vAlign w:val="bottom"/>
          </w:tcPr>
          <w:p w14:paraId="5756C3DF" w14:textId="0F723D30" w:rsidR="005A58B7" w:rsidRPr="0000088D" w:rsidRDefault="005A58B7" w:rsidP="005A58B7">
            <w:pPr>
              <w:spacing w:after="60"/>
              <w:jc w:val="right"/>
              <w:rPr>
                <w:rFonts w:ascii="Arial Narrow" w:hAnsi="Arial Narrow"/>
                <w:color w:val="000000"/>
                <w:sz w:val="16"/>
                <w:szCs w:val="16"/>
              </w:rPr>
            </w:pPr>
            <w:r>
              <w:rPr>
                <w:rFonts w:ascii="Arial Narrow" w:hAnsi="Arial Narrow" w:cs="Arial"/>
                <w:color w:val="000000"/>
                <w:sz w:val="16"/>
                <w:szCs w:val="16"/>
              </w:rPr>
              <w:t>+6.6</w:t>
            </w:r>
          </w:p>
        </w:tc>
      </w:tr>
    </w:tbl>
    <w:p w14:paraId="77D6CF92" w14:textId="101D43B1" w:rsidR="00257BA3" w:rsidRPr="00A57412" w:rsidRDefault="00257BA3" w:rsidP="00257BA3">
      <w:pPr>
        <w:spacing w:after="120"/>
        <w:rPr>
          <w:rFonts w:eastAsia="Arial"/>
          <w:sz w:val="20"/>
        </w:rPr>
      </w:pPr>
      <w:r>
        <w:rPr>
          <w:rFonts w:eastAsia="Arial"/>
          <w:i/>
          <w:sz w:val="10"/>
        </w:rPr>
        <w:t xml:space="preserve">                                              </w:t>
      </w:r>
    </w:p>
    <w:p w14:paraId="06E5FAB2" w14:textId="77777777" w:rsidR="00257BA3" w:rsidRDefault="00257BA3" w:rsidP="008407D7">
      <w:pPr>
        <w:pStyle w:val="NormalNumb"/>
        <w:numPr>
          <w:ilvl w:val="4"/>
          <w:numId w:val="23"/>
        </w:numPr>
        <w:tabs>
          <w:tab w:val="left" w:pos="8505"/>
        </w:tabs>
      </w:pPr>
      <w:r w:rsidRPr="00D350B5">
        <w:t>The table below provides information on the actual and expected numbers of registrations and renewals for the period 20</w:t>
      </w:r>
      <w:r>
        <w:t>20</w:t>
      </w:r>
      <w:r w:rsidRPr="00D350B5">
        <w:t xml:space="preserve"> to 202</w:t>
      </w:r>
      <w:r>
        <w:t>5</w:t>
      </w:r>
      <w:r w:rsidRPr="00D350B5">
        <w:t xml:space="preserve"> and on the actual and expected evolution of the average fee during that period.  The average fee is calculated as the total Madrid fee income divided by the total number of registrations and renewals in any given year.</w:t>
      </w:r>
    </w:p>
    <w:p w14:paraId="3FCF2C72" w14:textId="77777777" w:rsidR="00257BA3" w:rsidRPr="00D350B5" w:rsidRDefault="00257BA3" w:rsidP="00257BA3">
      <w:pPr>
        <w:keepNext/>
        <w:keepLines/>
        <w:spacing w:before="240" w:after="240"/>
        <w:jc w:val="center"/>
        <w:rPr>
          <w:rFonts w:eastAsia="Arial"/>
          <w:b/>
          <w:color w:val="005172"/>
        </w:rPr>
      </w:pPr>
      <w:r w:rsidRPr="00D350B5">
        <w:rPr>
          <w:rFonts w:eastAsia="Arial"/>
          <w:b/>
          <w:color w:val="005172"/>
        </w:rPr>
        <w:t>Madrid Total Fee Income and Average Fee</w:t>
      </w:r>
    </w:p>
    <w:tbl>
      <w:tblPr>
        <w:tblW w:w="7349" w:type="dxa"/>
        <w:jc w:val="center"/>
        <w:tblLook w:val="04A0" w:firstRow="1" w:lastRow="0" w:firstColumn="1" w:lastColumn="0" w:noHBand="0" w:noVBand="1"/>
      </w:tblPr>
      <w:tblGrid>
        <w:gridCol w:w="1954"/>
        <w:gridCol w:w="900"/>
        <w:gridCol w:w="899"/>
        <w:gridCol w:w="899"/>
        <w:gridCol w:w="899"/>
        <w:gridCol w:w="899"/>
        <w:gridCol w:w="899"/>
      </w:tblGrid>
      <w:tr w:rsidR="00257BA3" w:rsidRPr="00D350B5" w14:paraId="4B1AC2F7" w14:textId="77777777" w:rsidTr="00A91805">
        <w:trPr>
          <w:trHeight w:val="208"/>
          <w:jc w:val="center"/>
        </w:trPr>
        <w:tc>
          <w:tcPr>
            <w:tcW w:w="1954" w:type="dxa"/>
            <w:shd w:val="clear" w:color="auto" w:fill="C6CFD7" w:themeFill="accent3" w:themeFillTint="66"/>
            <w:noWrap/>
            <w:hideMark/>
          </w:tcPr>
          <w:p w14:paraId="09E8EA95" w14:textId="77777777" w:rsidR="00257BA3" w:rsidRPr="00D350B5" w:rsidRDefault="00257BA3" w:rsidP="00A91805">
            <w:pPr>
              <w:spacing w:after="60"/>
              <w:rPr>
                <w:rFonts w:ascii="Arial Narrow" w:hAnsi="Arial Narrow"/>
                <w:sz w:val="16"/>
                <w:szCs w:val="16"/>
              </w:rPr>
            </w:pPr>
            <w:r w:rsidRPr="00D350B5">
              <w:rPr>
                <w:rFonts w:ascii="Arial Narrow" w:hAnsi="Arial Narrow"/>
                <w:color w:val="000000"/>
                <w:sz w:val="16"/>
                <w:szCs w:val="16"/>
              </w:rPr>
              <w:t> </w:t>
            </w:r>
          </w:p>
        </w:tc>
        <w:tc>
          <w:tcPr>
            <w:tcW w:w="900" w:type="dxa"/>
            <w:tcBorders>
              <w:top w:val="nil"/>
              <w:left w:val="nil"/>
              <w:right w:val="nil"/>
            </w:tcBorders>
            <w:shd w:val="clear" w:color="000000" w:fill="C7CFD8"/>
            <w:noWrap/>
            <w:vAlign w:val="bottom"/>
            <w:hideMark/>
          </w:tcPr>
          <w:p w14:paraId="477C0F73"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899" w:type="dxa"/>
            <w:tcBorders>
              <w:top w:val="nil"/>
              <w:left w:val="nil"/>
              <w:right w:val="nil"/>
            </w:tcBorders>
            <w:shd w:val="clear" w:color="000000" w:fill="C7CFD8"/>
            <w:noWrap/>
            <w:vAlign w:val="bottom"/>
            <w:hideMark/>
          </w:tcPr>
          <w:p w14:paraId="7D6986E4"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899" w:type="dxa"/>
            <w:tcBorders>
              <w:top w:val="nil"/>
              <w:left w:val="nil"/>
              <w:right w:val="nil"/>
            </w:tcBorders>
            <w:shd w:val="clear" w:color="000000" w:fill="C7CFD8"/>
            <w:noWrap/>
            <w:vAlign w:val="bottom"/>
            <w:hideMark/>
          </w:tcPr>
          <w:p w14:paraId="5468CA0B"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899" w:type="dxa"/>
            <w:tcBorders>
              <w:top w:val="nil"/>
              <w:left w:val="nil"/>
              <w:right w:val="nil"/>
            </w:tcBorders>
            <w:shd w:val="clear" w:color="000000" w:fill="C7CFD8"/>
            <w:noWrap/>
            <w:vAlign w:val="bottom"/>
            <w:hideMark/>
          </w:tcPr>
          <w:p w14:paraId="531BF384"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725A01E4"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Estimates</w:t>
            </w:r>
          </w:p>
        </w:tc>
        <w:tc>
          <w:tcPr>
            <w:tcW w:w="899" w:type="dxa"/>
            <w:tcBorders>
              <w:top w:val="nil"/>
              <w:left w:val="nil"/>
              <w:right w:val="nil"/>
            </w:tcBorders>
            <w:shd w:val="clear" w:color="000000" w:fill="C7CFD8"/>
            <w:noWrap/>
            <w:vAlign w:val="bottom"/>
            <w:hideMark/>
          </w:tcPr>
          <w:p w14:paraId="02077A19"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73E3C4B4"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 xml:space="preserve"> Estimates</w:t>
            </w:r>
          </w:p>
        </w:tc>
        <w:tc>
          <w:tcPr>
            <w:tcW w:w="899" w:type="dxa"/>
            <w:tcBorders>
              <w:top w:val="nil"/>
              <w:left w:val="nil"/>
              <w:right w:val="nil"/>
            </w:tcBorders>
            <w:shd w:val="clear" w:color="000000" w:fill="C7CFD8"/>
            <w:noWrap/>
            <w:vAlign w:val="bottom"/>
            <w:hideMark/>
          </w:tcPr>
          <w:p w14:paraId="03FE335E"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4A055F03" w14:textId="77777777" w:rsidR="00257BA3" w:rsidRPr="00F96ECB" w:rsidRDefault="00257BA3" w:rsidP="00A91805">
            <w:pPr>
              <w:spacing w:after="60"/>
              <w:jc w:val="right"/>
              <w:rPr>
                <w:rFonts w:ascii="Arial Narrow" w:hAnsi="Arial Narrow"/>
                <w:b/>
                <w:szCs w:val="16"/>
              </w:rPr>
            </w:pPr>
            <w:r w:rsidRPr="003128CE">
              <w:rPr>
                <w:rFonts w:ascii="Arial Narrow" w:hAnsi="Arial Narrow" w:cs="Arial"/>
                <w:b/>
                <w:color w:val="000000"/>
                <w:sz w:val="16"/>
                <w:szCs w:val="16"/>
              </w:rPr>
              <w:t>Estimates</w:t>
            </w:r>
          </w:p>
        </w:tc>
      </w:tr>
      <w:tr w:rsidR="00E83523" w:rsidRPr="00D350B5" w14:paraId="6E4F0E14" w14:textId="77777777" w:rsidTr="002356E0">
        <w:trPr>
          <w:trHeight w:val="208"/>
          <w:jc w:val="center"/>
        </w:trPr>
        <w:tc>
          <w:tcPr>
            <w:tcW w:w="1954" w:type="dxa"/>
            <w:tcBorders>
              <w:top w:val="nil"/>
              <w:left w:val="nil"/>
              <w:bottom w:val="nil"/>
              <w:right w:val="nil"/>
            </w:tcBorders>
            <w:shd w:val="clear" w:color="000000" w:fill="FFFFFF"/>
            <w:noWrap/>
            <w:vAlign w:val="bottom"/>
            <w:hideMark/>
          </w:tcPr>
          <w:p w14:paraId="5CB66581" w14:textId="77777777" w:rsidR="00E83523" w:rsidRPr="00D350B5" w:rsidRDefault="00E83523" w:rsidP="00E83523">
            <w:pPr>
              <w:spacing w:after="60"/>
              <w:rPr>
                <w:rFonts w:ascii="Arial Narrow" w:hAnsi="Arial Narrow"/>
                <w:sz w:val="16"/>
                <w:szCs w:val="16"/>
              </w:rPr>
            </w:pPr>
            <w:r w:rsidRPr="00D350B5">
              <w:rPr>
                <w:rFonts w:ascii="Arial Narrow" w:hAnsi="Arial Narrow"/>
                <w:sz w:val="16"/>
                <w:szCs w:val="16"/>
              </w:rPr>
              <w:t>Madrid registrations</w:t>
            </w:r>
          </w:p>
        </w:tc>
        <w:tc>
          <w:tcPr>
            <w:tcW w:w="900" w:type="dxa"/>
            <w:tcBorders>
              <w:top w:val="single" w:sz="4" w:space="0" w:color="BFBFBF"/>
              <w:left w:val="nil"/>
              <w:bottom w:val="nil"/>
              <w:right w:val="nil"/>
            </w:tcBorders>
            <w:shd w:val="clear" w:color="000000" w:fill="FFFFFF"/>
            <w:noWrap/>
            <w:vAlign w:val="bottom"/>
            <w:hideMark/>
          </w:tcPr>
          <w:p w14:paraId="5C60F5A8"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62,062</w:t>
            </w:r>
          </w:p>
        </w:tc>
        <w:tc>
          <w:tcPr>
            <w:tcW w:w="899" w:type="dxa"/>
            <w:tcBorders>
              <w:top w:val="single" w:sz="4" w:space="0" w:color="BFBFBF"/>
              <w:left w:val="nil"/>
              <w:bottom w:val="nil"/>
              <w:right w:val="nil"/>
            </w:tcBorders>
            <w:shd w:val="clear" w:color="000000" w:fill="FFFFFF"/>
            <w:noWrap/>
            <w:vAlign w:val="bottom"/>
            <w:hideMark/>
          </w:tcPr>
          <w:p w14:paraId="0EBD082C"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68,265</w:t>
            </w:r>
          </w:p>
        </w:tc>
        <w:tc>
          <w:tcPr>
            <w:tcW w:w="899" w:type="dxa"/>
            <w:tcBorders>
              <w:top w:val="single" w:sz="4" w:space="0" w:color="BFBFBF"/>
              <w:left w:val="nil"/>
              <w:bottom w:val="nil"/>
              <w:right w:val="nil"/>
            </w:tcBorders>
            <w:shd w:val="clear" w:color="000000" w:fill="FFFFFF"/>
            <w:noWrap/>
            <w:vAlign w:val="bottom"/>
            <w:hideMark/>
          </w:tcPr>
          <w:p w14:paraId="04EF472C"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68,589</w:t>
            </w:r>
          </w:p>
        </w:tc>
        <w:tc>
          <w:tcPr>
            <w:tcW w:w="899" w:type="dxa"/>
            <w:tcBorders>
              <w:top w:val="single" w:sz="4" w:space="0" w:color="BFBFBF"/>
              <w:left w:val="nil"/>
              <w:bottom w:val="nil"/>
              <w:right w:val="nil"/>
            </w:tcBorders>
            <w:shd w:val="clear" w:color="000000" w:fill="FFFFFF"/>
            <w:noWrap/>
            <w:vAlign w:val="bottom"/>
          </w:tcPr>
          <w:p w14:paraId="6A8A0586" w14:textId="4DBA913A"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66,200</w:t>
            </w:r>
          </w:p>
        </w:tc>
        <w:tc>
          <w:tcPr>
            <w:tcW w:w="899" w:type="dxa"/>
            <w:tcBorders>
              <w:top w:val="single" w:sz="4" w:space="0" w:color="BFBFBF"/>
              <w:left w:val="nil"/>
              <w:bottom w:val="nil"/>
              <w:right w:val="nil"/>
            </w:tcBorders>
            <w:shd w:val="clear" w:color="000000" w:fill="FFFFFF"/>
            <w:noWrap/>
            <w:vAlign w:val="bottom"/>
          </w:tcPr>
          <w:p w14:paraId="4C02DBC4" w14:textId="09623331"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69,500</w:t>
            </w:r>
          </w:p>
        </w:tc>
        <w:tc>
          <w:tcPr>
            <w:tcW w:w="899" w:type="dxa"/>
            <w:tcBorders>
              <w:top w:val="single" w:sz="4" w:space="0" w:color="BFBFBF"/>
              <w:left w:val="nil"/>
              <w:bottom w:val="nil"/>
              <w:right w:val="nil"/>
            </w:tcBorders>
            <w:shd w:val="clear" w:color="000000" w:fill="FFFFFF"/>
            <w:noWrap/>
            <w:vAlign w:val="bottom"/>
          </w:tcPr>
          <w:p w14:paraId="24B5D23C" w14:textId="17529F77"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71,600</w:t>
            </w:r>
          </w:p>
        </w:tc>
      </w:tr>
      <w:tr w:rsidR="00E83523" w:rsidRPr="00D350B5" w14:paraId="01C6BEA5" w14:textId="77777777" w:rsidTr="002356E0">
        <w:trPr>
          <w:trHeight w:val="208"/>
          <w:jc w:val="center"/>
        </w:trPr>
        <w:tc>
          <w:tcPr>
            <w:tcW w:w="1954" w:type="dxa"/>
            <w:tcBorders>
              <w:top w:val="nil"/>
              <w:left w:val="nil"/>
              <w:bottom w:val="nil"/>
              <w:right w:val="nil"/>
            </w:tcBorders>
            <w:shd w:val="clear" w:color="000000" w:fill="FFFFFF"/>
            <w:noWrap/>
            <w:vAlign w:val="bottom"/>
            <w:hideMark/>
          </w:tcPr>
          <w:p w14:paraId="69DBFDA3" w14:textId="77777777" w:rsidR="00E83523" w:rsidRPr="00D350B5" w:rsidRDefault="00E83523" w:rsidP="00E83523">
            <w:pPr>
              <w:spacing w:after="60"/>
              <w:rPr>
                <w:rFonts w:ascii="Arial Narrow" w:hAnsi="Arial Narrow"/>
                <w:sz w:val="16"/>
                <w:szCs w:val="16"/>
              </w:rPr>
            </w:pPr>
            <w:r w:rsidRPr="00D350B5">
              <w:rPr>
                <w:rFonts w:ascii="Arial Narrow" w:hAnsi="Arial Narrow"/>
                <w:sz w:val="16"/>
                <w:szCs w:val="16"/>
              </w:rPr>
              <w:t>Madrid renewals</w:t>
            </w:r>
          </w:p>
        </w:tc>
        <w:tc>
          <w:tcPr>
            <w:tcW w:w="900" w:type="dxa"/>
            <w:tcBorders>
              <w:top w:val="nil"/>
              <w:left w:val="nil"/>
              <w:bottom w:val="nil"/>
              <w:right w:val="nil"/>
            </w:tcBorders>
            <w:shd w:val="clear" w:color="000000" w:fill="FFFFFF"/>
            <w:noWrap/>
            <w:vAlign w:val="bottom"/>
            <w:hideMark/>
          </w:tcPr>
          <w:p w14:paraId="379E5778"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32,831</w:t>
            </w:r>
          </w:p>
        </w:tc>
        <w:tc>
          <w:tcPr>
            <w:tcW w:w="899" w:type="dxa"/>
            <w:tcBorders>
              <w:top w:val="nil"/>
              <w:left w:val="nil"/>
              <w:bottom w:val="nil"/>
              <w:right w:val="nil"/>
            </w:tcBorders>
            <w:shd w:val="clear" w:color="000000" w:fill="FFFFFF"/>
            <w:noWrap/>
            <w:vAlign w:val="bottom"/>
            <w:hideMark/>
          </w:tcPr>
          <w:p w14:paraId="508E56BB"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34,218</w:t>
            </w:r>
          </w:p>
        </w:tc>
        <w:tc>
          <w:tcPr>
            <w:tcW w:w="899" w:type="dxa"/>
            <w:tcBorders>
              <w:top w:val="nil"/>
              <w:left w:val="nil"/>
              <w:bottom w:val="nil"/>
              <w:right w:val="nil"/>
            </w:tcBorders>
            <w:shd w:val="clear" w:color="000000" w:fill="FFFFFF"/>
            <w:noWrap/>
            <w:vAlign w:val="bottom"/>
            <w:hideMark/>
          </w:tcPr>
          <w:p w14:paraId="7FA2305A"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38,265</w:t>
            </w:r>
          </w:p>
        </w:tc>
        <w:tc>
          <w:tcPr>
            <w:tcW w:w="899" w:type="dxa"/>
            <w:tcBorders>
              <w:top w:val="nil"/>
              <w:left w:val="nil"/>
              <w:bottom w:val="nil"/>
              <w:right w:val="nil"/>
            </w:tcBorders>
            <w:shd w:val="clear" w:color="000000" w:fill="FFFFFF"/>
            <w:noWrap/>
            <w:vAlign w:val="bottom"/>
          </w:tcPr>
          <w:p w14:paraId="0C25E688" w14:textId="57BC68B4"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34,900</w:t>
            </w:r>
          </w:p>
        </w:tc>
        <w:tc>
          <w:tcPr>
            <w:tcW w:w="899" w:type="dxa"/>
            <w:tcBorders>
              <w:top w:val="nil"/>
              <w:left w:val="nil"/>
              <w:bottom w:val="nil"/>
              <w:right w:val="nil"/>
            </w:tcBorders>
            <w:shd w:val="clear" w:color="000000" w:fill="FFFFFF"/>
            <w:noWrap/>
            <w:vAlign w:val="bottom"/>
          </w:tcPr>
          <w:p w14:paraId="2509B05F" w14:textId="72099E60"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38,400</w:t>
            </w:r>
          </w:p>
        </w:tc>
        <w:tc>
          <w:tcPr>
            <w:tcW w:w="899" w:type="dxa"/>
            <w:tcBorders>
              <w:top w:val="nil"/>
              <w:left w:val="nil"/>
              <w:bottom w:val="nil"/>
              <w:right w:val="nil"/>
            </w:tcBorders>
            <w:shd w:val="clear" w:color="000000" w:fill="FFFFFF"/>
            <w:noWrap/>
            <w:vAlign w:val="bottom"/>
          </w:tcPr>
          <w:p w14:paraId="7FBFF27E" w14:textId="760DB2AC"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40,400</w:t>
            </w:r>
          </w:p>
        </w:tc>
      </w:tr>
      <w:tr w:rsidR="00E83523" w:rsidRPr="00D350B5" w14:paraId="25301DD7" w14:textId="77777777" w:rsidTr="002356E0">
        <w:trPr>
          <w:trHeight w:val="208"/>
          <w:jc w:val="center"/>
        </w:trPr>
        <w:tc>
          <w:tcPr>
            <w:tcW w:w="1954" w:type="dxa"/>
            <w:tcBorders>
              <w:top w:val="nil"/>
              <w:left w:val="nil"/>
              <w:bottom w:val="nil"/>
              <w:right w:val="nil"/>
            </w:tcBorders>
            <w:shd w:val="clear" w:color="000000" w:fill="FFFFFF"/>
            <w:noWrap/>
            <w:vAlign w:val="bottom"/>
            <w:hideMark/>
          </w:tcPr>
          <w:p w14:paraId="408C5E96" w14:textId="77777777" w:rsidR="00E83523" w:rsidRPr="00D350B5" w:rsidRDefault="00E83523" w:rsidP="00E83523">
            <w:pPr>
              <w:spacing w:after="60"/>
              <w:rPr>
                <w:rFonts w:ascii="Arial Narrow" w:hAnsi="Arial Narrow"/>
                <w:sz w:val="16"/>
                <w:szCs w:val="16"/>
              </w:rPr>
            </w:pPr>
            <w:r w:rsidRPr="00D350B5">
              <w:rPr>
                <w:rFonts w:ascii="Arial Narrow" w:hAnsi="Arial Narrow"/>
                <w:sz w:val="16"/>
                <w:szCs w:val="16"/>
              </w:rPr>
              <w:t>Registration</w:t>
            </w:r>
            <w:r>
              <w:rPr>
                <w:rFonts w:ascii="Arial Narrow" w:hAnsi="Arial Narrow"/>
                <w:sz w:val="16"/>
                <w:szCs w:val="16"/>
              </w:rPr>
              <w:t>s</w:t>
            </w:r>
            <w:r w:rsidRPr="00D350B5">
              <w:rPr>
                <w:rFonts w:ascii="Arial Narrow" w:hAnsi="Arial Narrow"/>
                <w:sz w:val="16"/>
                <w:szCs w:val="16"/>
              </w:rPr>
              <w:t xml:space="preserve"> + renewal</w:t>
            </w:r>
            <w:r>
              <w:rPr>
                <w:rFonts w:ascii="Arial Narrow" w:hAnsi="Arial Narrow"/>
                <w:sz w:val="16"/>
                <w:szCs w:val="16"/>
              </w:rPr>
              <w:t>s</w:t>
            </w:r>
          </w:p>
        </w:tc>
        <w:tc>
          <w:tcPr>
            <w:tcW w:w="900" w:type="dxa"/>
            <w:tcBorders>
              <w:top w:val="nil"/>
              <w:left w:val="nil"/>
              <w:bottom w:val="nil"/>
              <w:right w:val="nil"/>
            </w:tcBorders>
            <w:shd w:val="clear" w:color="000000" w:fill="FFFFFF"/>
            <w:noWrap/>
            <w:vAlign w:val="bottom"/>
            <w:hideMark/>
          </w:tcPr>
          <w:p w14:paraId="6415857F"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94,893</w:t>
            </w:r>
          </w:p>
        </w:tc>
        <w:tc>
          <w:tcPr>
            <w:tcW w:w="899" w:type="dxa"/>
            <w:tcBorders>
              <w:top w:val="nil"/>
              <w:left w:val="nil"/>
              <w:bottom w:val="nil"/>
              <w:right w:val="nil"/>
            </w:tcBorders>
            <w:shd w:val="clear" w:color="000000" w:fill="FFFFFF"/>
            <w:noWrap/>
            <w:vAlign w:val="bottom"/>
            <w:hideMark/>
          </w:tcPr>
          <w:p w14:paraId="28AF4449"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102,483</w:t>
            </w:r>
          </w:p>
        </w:tc>
        <w:tc>
          <w:tcPr>
            <w:tcW w:w="899" w:type="dxa"/>
            <w:tcBorders>
              <w:top w:val="nil"/>
              <w:left w:val="nil"/>
              <w:bottom w:val="nil"/>
              <w:right w:val="nil"/>
            </w:tcBorders>
            <w:shd w:val="clear" w:color="000000" w:fill="FFFFFF"/>
            <w:noWrap/>
            <w:vAlign w:val="bottom"/>
            <w:hideMark/>
          </w:tcPr>
          <w:p w14:paraId="66DB749E"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106,854</w:t>
            </w:r>
          </w:p>
        </w:tc>
        <w:tc>
          <w:tcPr>
            <w:tcW w:w="899" w:type="dxa"/>
            <w:tcBorders>
              <w:top w:val="nil"/>
              <w:left w:val="nil"/>
              <w:bottom w:val="nil"/>
              <w:right w:val="nil"/>
            </w:tcBorders>
            <w:shd w:val="clear" w:color="000000" w:fill="FFFFFF"/>
            <w:noWrap/>
            <w:vAlign w:val="bottom"/>
          </w:tcPr>
          <w:p w14:paraId="0C15B1E9" w14:textId="068C5C9C"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101,100</w:t>
            </w:r>
          </w:p>
        </w:tc>
        <w:tc>
          <w:tcPr>
            <w:tcW w:w="899" w:type="dxa"/>
            <w:tcBorders>
              <w:top w:val="nil"/>
              <w:left w:val="nil"/>
              <w:bottom w:val="nil"/>
              <w:right w:val="nil"/>
            </w:tcBorders>
            <w:shd w:val="clear" w:color="000000" w:fill="FFFFFF"/>
            <w:noWrap/>
            <w:vAlign w:val="bottom"/>
          </w:tcPr>
          <w:p w14:paraId="3756E953" w14:textId="51C98458"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107,900</w:t>
            </w:r>
          </w:p>
        </w:tc>
        <w:tc>
          <w:tcPr>
            <w:tcW w:w="899" w:type="dxa"/>
            <w:tcBorders>
              <w:top w:val="nil"/>
              <w:left w:val="nil"/>
              <w:bottom w:val="nil"/>
              <w:right w:val="nil"/>
            </w:tcBorders>
            <w:shd w:val="clear" w:color="000000" w:fill="FFFFFF"/>
            <w:noWrap/>
            <w:vAlign w:val="bottom"/>
          </w:tcPr>
          <w:p w14:paraId="1C41D90A" w14:textId="3AE6FC3C"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112,000</w:t>
            </w:r>
          </w:p>
        </w:tc>
      </w:tr>
      <w:tr w:rsidR="00E83523" w:rsidRPr="00D350B5" w14:paraId="1B93FDA8" w14:textId="77777777" w:rsidTr="002356E0">
        <w:trPr>
          <w:trHeight w:val="208"/>
          <w:jc w:val="center"/>
        </w:trPr>
        <w:tc>
          <w:tcPr>
            <w:tcW w:w="1954" w:type="dxa"/>
            <w:tcBorders>
              <w:top w:val="nil"/>
              <w:left w:val="nil"/>
              <w:right w:val="nil"/>
            </w:tcBorders>
            <w:shd w:val="clear" w:color="000000" w:fill="FFFFFF"/>
            <w:noWrap/>
            <w:vAlign w:val="bottom"/>
            <w:hideMark/>
          </w:tcPr>
          <w:p w14:paraId="41F58657" w14:textId="77777777" w:rsidR="00E83523" w:rsidRPr="00D350B5" w:rsidRDefault="00E83523" w:rsidP="00E83523">
            <w:pPr>
              <w:spacing w:after="60"/>
              <w:rPr>
                <w:rFonts w:ascii="Arial Narrow" w:hAnsi="Arial Narrow"/>
                <w:sz w:val="16"/>
                <w:szCs w:val="16"/>
              </w:rPr>
            </w:pPr>
            <w:r w:rsidRPr="00D350B5">
              <w:rPr>
                <w:rFonts w:ascii="Arial Narrow" w:hAnsi="Arial Narrow"/>
                <w:sz w:val="16"/>
                <w:szCs w:val="16"/>
              </w:rPr>
              <w:t>Madrid income (million CHF)</w:t>
            </w:r>
          </w:p>
        </w:tc>
        <w:tc>
          <w:tcPr>
            <w:tcW w:w="900" w:type="dxa"/>
            <w:tcBorders>
              <w:top w:val="nil"/>
              <w:left w:val="nil"/>
              <w:bottom w:val="nil"/>
              <w:right w:val="nil"/>
            </w:tcBorders>
            <w:shd w:val="clear" w:color="000000" w:fill="FFFFFF"/>
            <w:noWrap/>
            <w:vAlign w:val="bottom"/>
            <w:hideMark/>
          </w:tcPr>
          <w:p w14:paraId="032F8B28"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77.0</w:t>
            </w:r>
          </w:p>
        </w:tc>
        <w:tc>
          <w:tcPr>
            <w:tcW w:w="899" w:type="dxa"/>
            <w:tcBorders>
              <w:top w:val="nil"/>
              <w:left w:val="nil"/>
              <w:bottom w:val="nil"/>
              <w:right w:val="nil"/>
            </w:tcBorders>
            <w:shd w:val="clear" w:color="000000" w:fill="FFFFFF"/>
            <w:noWrap/>
            <w:vAlign w:val="bottom"/>
            <w:hideMark/>
          </w:tcPr>
          <w:p w14:paraId="51FA1EF3"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84.0</w:t>
            </w:r>
          </w:p>
        </w:tc>
        <w:tc>
          <w:tcPr>
            <w:tcW w:w="899" w:type="dxa"/>
            <w:tcBorders>
              <w:top w:val="nil"/>
              <w:left w:val="nil"/>
              <w:bottom w:val="nil"/>
              <w:right w:val="nil"/>
            </w:tcBorders>
            <w:shd w:val="clear" w:color="000000" w:fill="FFFFFF"/>
            <w:noWrap/>
            <w:vAlign w:val="bottom"/>
          </w:tcPr>
          <w:p w14:paraId="03822A93" w14:textId="4A676296"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86.8</w:t>
            </w:r>
          </w:p>
        </w:tc>
        <w:tc>
          <w:tcPr>
            <w:tcW w:w="899" w:type="dxa"/>
            <w:tcBorders>
              <w:top w:val="nil"/>
              <w:left w:val="nil"/>
              <w:bottom w:val="nil"/>
              <w:right w:val="nil"/>
            </w:tcBorders>
            <w:shd w:val="clear" w:color="000000" w:fill="FFFFFF"/>
            <w:noWrap/>
            <w:vAlign w:val="bottom"/>
          </w:tcPr>
          <w:p w14:paraId="33A7E8CC" w14:textId="7B3DF7B2"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84.3</w:t>
            </w:r>
          </w:p>
        </w:tc>
        <w:tc>
          <w:tcPr>
            <w:tcW w:w="899" w:type="dxa"/>
            <w:tcBorders>
              <w:top w:val="nil"/>
              <w:left w:val="nil"/>
              <w:bottom w:val="nil"/>
              <w:right w:val="nil"/>
            </w:tcBorders>
            <w:shd w:val="clear" w:color="000000" w:fill="FFFFFF"/>
            <w:noWrap/>
            <w:vAlign w:val="bottom"/>
          </w:tcPr>
          <w:p w14:paraId="4B9AB812" w14:textId="13545463"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89.2</w:t>
            </w:r>
          </w:p>
        </w:tc>
        <w:tc>
          <w:tcPr>
            <w:tcW w:w="899" w:type="dxa"/>
            <w:tcBorders>
              <w:top w:val="nil"/>
              <w:left w:val="nil"/>
              <w:bottom w:val="nil"/>
              <w:right w:val="nil"/>
            </w:tcBorders>
            <w:shd w:val="clear" w:color="000000" w:fill="FFFFFF"/>
            <w:noWrap/>
            <w:vAlign w:val="bottom"/>
          </w:tcPr>
          <w:p w14:paraId="09945BD7" w14:textId="25362306"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92.3</w:t>
            </w:r>
          </w:p>
        </w:tc>
      </w:tr>
      <w:tr w:rsidR="00E83523" w:rsidRPr="00D350B5" w14:paraId="3136E1D8" w14:textId="77777777" w:rsidTr="002356E0">
        <w:trPr>
          <w:trHeight w:val="208"/>
          <w:jc w:val="center"/>
        </w:trPr>
        <w:tc>
          <w:tcPr>
            <w:tcW w:w="1954" w:type="dxa"/>
            <w:tcBorders>
              <w:top w:val="nil"/>
              <w:left w:val="nil"/>
              <w:bottom w:val="single" w:sz="4" w:space="0" w:color="BFBFBF" w:themeColor="background1" w:themeShade="BF"/>
              <w:right w:val="nil"/>
            </w:tcBorders>
            <w:shd w:val="clear" w:color="000000" w:fill="FFFFFF"/>
            <w:noWrap/>
            <w:vAlign w:val="bottom"/>
            <w:hideMark/>
          </w:tcPr>
          <w:p w14:paraId="1776D280" w14:textId="77777777" w:rsidR="00E83523" w:rsidRPr="00D350B5" w:rsidRDefault="00E83523" w:rsidP="00E83523">
            <w:pPr>
              <w:spacing w:after="60"/>
              <w:rPr>
                <w:rFonts w:ascii="Arial Narrow" w:hAnsi="Arial Narrow"/>
                <w:sz w:val="16"/>
                <w:szCs w:val="16"/>
              </w:rPr>
            </w:pPr>
            <w:r w:rsidRPr="00D350B5">
              <w:rPr>
                <w:rFonts w:ascii="Arial Narrow" w:hAnsi="Arial Narrow"/>
                <w:sz w:val="16"/>
                <w:szCs w:val="16"/>
              </w:rPr>
              <w:t>Average fee (CHF)</w:t>
            </w:r>
          </w:p>
        </w:tc>
        <w:tc>
          <w:tcPr>
            <w:tcW w:w="900" w:type="dxa"/>
            <w:tcBorders>
              <w:top w:val="nil"/>
              <w:left w:val="nil"/>
              <w:bottom w:val="single" w:sz="4" w:space="0" w:color="BFBFBF"/>
              <w:right w:val="nil"/>
            </w:tcBorders>
            <w:shd w:val="clear" w:color="000000" w:fill="FFFFFF"/>
            <w:noWrap/>
            <w:vAlign w:val="bottom"/>
            <w:hideMark/>
          </w:tcPr>
          <w:p w14:paraId="44764261"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811</w:t>
            </w:r>
          </w:p>
        </w:tc>
        <w:tc>
          <w:tcPr>
            <w:tcW w:w="899" w:type="dxa"/>
            <w:tcBorders>
              <w:top w:val="nil"/>
              <w:left w:val="nil"/>
              <w:bottom w:val="single" w:sz="4" w:space="0" w:color="BFBFBF"/>
              <w:right w:val="nil"/>
            </w:tcBorders>
            <w:shd w:val="clear" w:color="000000" w:fill="FFFFFF"/>
            <w:noWrap/>
            <w:vAlign w:val="bottom"/>
            <w:hideMark/>
          </w:tcPr>
          <w:p w14:paraId="07DD60D4" w14:textId="77777777" w:rsidR="00E83523" w:rsidRPr="0000088D" w:rsidRDefault="00E83523" w:rsidP="00E83523">
            <w:pPr>
              <w:spacing w:after="60"/>
              <w:jc w:val="right"/>
              <w:rPr>
                <w:rFonts w:ascii="Arial Narrow" w:hAnsi="Arial Narrow"/>
                <w:sz w:val="16"/>
                <w:szCs w:val="16"/>
              </w:rPr>
            </w:pPr>
            <w:r w:rsidRPr="0000088D">
              <w:rPr>
                <w:rFonts w:ascii="Arial Narrow" w:hAnsi="Arial Narrow" w:cs="Arial"/>
                <w:sz w:val="16"/>
                <w:szCs w:val="18"/>
              </w:rPr>
              <w:t>820</w:t>
            </w:r>
          </w:p>
        </w:tc>
        <w:tc>
          <w:tcPr>
            <w:tcW w:w="899" w:type="dxa"/>
            <w:tcBorders>
              <w:top w:val="nil"/>
              <w:left w:val="nil"/>
              <w:bottom w:val="single" w:sz="4" w:space="0" w:color="BFBFBF"/>
              <w:right w:val="nil"/>
            </w:tcBorders>
            <w:shd w:val="clear" w:color="000000" w:fill="FFFFFF"/>
            <w:noWrap/>
            <w:vAlign w:val="bottom"/>
          </w:tcPr>
          <w:p w14:paraId="52D85378" w14:textId="28EA547A"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812</w:t>
            </w:r>
          </w:p>
        </w:tc>
        <w:tc>
          <w:tcPr>
            <w:tcW w:w="899" w:type="dxa"/>
            <w:tcBorders>
              <w:top w:val="nil"/>
              <w:left w:val="nil"/>
              <w:bottom w:val="single" w:sz="4" w:space="0" w:color="BFBFBF"/>
              <w:right w:val="nil"/>
            </w:tcBorders>
            <w:shd w:val="clear" w:color="000000" w:fill="FFFFFF"/>
            <w:noWrap/>
            <w:vAlign w:val="bottom"/>
          </w:tcPr>
          <w:p w14:paraId="5007141C" w14:textId="40B7A81C"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834</w:t>
            </w:r>
          </w:p>
        </w:tc>
        <w:tc>
          <w:tcPr>
            <w:tcW w:w="899" w:type="dxa"/>
            <w:tcBorders>
              <w:top w:val="nil"/>
              <w:left w:val="nil"/>
              <w:bottom w:val="single" w:sz="4" w:space="0" w:color="BFBFBF"/>
              <w:right w:val="nil"/>
            </w:tcBorders>
            <w:shd w:val="clear" w:color="000000" w:fill="FFFFFF"/>
            <w:noWrap/>
            <w:vAlign w:val="bottom"/>
          </w:tcPr>
          <w:p w14:paraId="3A9B5721" w14:textId="60B90134"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827</w:t>
            </w:r>
          </w:p>
        </w:tc>
        <w:tc>
          <w:tcPr>
            <w:tcW w:w="899" w:type="dxa"/>
            <w:tcBorders>
              <w:top w:val="nil"/>
              <w:left w:val="nil"/>
              <w:bottom w:val="single" w:sz="4" w:space="0" w:color="BFBFBF"/>
              <w:right w:val="nil"/>
            </w:tcBorders>
            <w:shd w:val="clear" w:color="000000" w:fill="FFFFFF"/>
            <w:noWrap/>
            <w:vAlign w:val="bottom"/>
          </w:tcPr>
          <w:p w14:paraId="746A6879" w14:textId="491EA7AC" w:rsidR="00E83523" w:rsidRPr="0000088D" w:rsidRDefault="00E83523" w:rsidP="00E83523">
            <w:pPr>
              <w:spacing w:after="60"/>
              <w:jc w:val="right"/>
              <w:rPr>
                <w:rFonts w:ascii="Arial Narrow" w:hAnsi="Arial Narrow"/>
                <w:sz w:val="16"/>
                <w:szCs w:val="16"/>
              </w:rPr>
            </w:pPr>
            <w:r>
              <w:rPr>
                <w:rFonts w:ascii="Arial Narrow" w:hAnsi="Arial Narrow" w:cs="Arial"/>
                <w:sz w:val="16"/>
                <w:szCs w:val="16"/>
              </w:rPr>
              <w:t>824</w:t>
            </w:r>
          </w:p>
        </w:tc>
      </w:tr>
    </w:tbl>
    <w:p w14:paraId="2182E6EC" w14:textId="4A6D32F4" w:rsidR="00257BA3" w:rsidRPr="00D350B5" w:rsidRDefault="00257BA3" w:rsidP="00257BA3">
      <w:pPr>
        <w:spacing w:after="120"/>
        <w:rPr>
          <w:rFonts w:eastAsia="Arial"/>
        </w:rPr>
      </w:pPr>
      <w:r>
        <w:rPr>
          <w:rFonts w:eastAsia="Arial"/>
          <w:i/>
          <w:sz w:val="10"/>
        </w:rPr>
        <w:t xml:space="preserve">                              </w:t>
      </w:r>
    </w:p>
    <w:p w14:paraId="35E1C234" w14:textId="77777777" w:rsidR="00257BA3" w:rsidRPr="00D350B5" w:rsidRDefault="00257BA3" w:rsidP="00257BA3">
      <w:pPr>
        <w:keepNext/>
        <w:spacing w:before="320" w:after="240"/>
        <w:outlineLvl w:val="2"/>
        <w:rPr>
          <w:rFonts w:eastAsia="Arial"/>
          <w:color w:val="005172"/>
          <w:sz w:val="32"/>
        </w:rPr>
      </w:pPr>
      <w:r w:rsidRPr="00D350B5">
        <w:rPr>
          <w:rFonts w:eastAsia="Arial"/>
          <w:color w:val="005172"/>
          <w:sz w:val="32"/>
        </w:rPr>
        <w:t xml:space="preserve">The Hague </w:t>
      </w:r>
    </w:p>
    <w:p w14:paraId="30E40FE5" w14:textId="77777777" w:rsidR="00257BA3" w:rsidRPr="00D350B5" w:rsidRDefault="00257BA3" w:rsidP="00257BA3">
      <w:pPr>
        <w:rPr>
          <w:rFonts w:ascii="Arial Bold" w:eastAsia="Arial" w:hAnsi="Arial Bold"/>
          <w:b/>
          <w:color w:val="005172"/>
        </w:rPr>
      </w:pPr>
      <w:r w:rsidRPr="00D350B5">
        <w:rPr>
          <w:rFonts w:ascii="Arial Bold" w:eastAsia="Arial" w:hAnsi="Arial Bold"/>
          <w:b/>
          <w:color w:val="005172"/>
        </w:rPr>
        <w:t>The Hague - Forecast of Demand for International Registrations</w:t>
      </w:r>
    </w:p>
    <w:p w14:paraId="38429736" w14:textId="5A48930E" w:rsidR="00257BA3" w:rsidRPr="00D350B5" w:rsidRDefault="00257BA3" w:rsidP="008407D7">
      <w:pPr>
        <w:pStyle w:val="NormalNumb"/>
        <w:numPr>
          <w:ilvl w:val="4"/>
          <w:numId w:val="23"/>
        </w:numPr>
        <w:tabs>
          <w:tab w:val="left" w:pos="8505"/>
        </w:tabs>
      </w:pPr>
      <w:r w:rsidRPr="00D350B5">
        <w:t xml:space="preserve">Chart </w:t>
      </w:r>
      <w:r>
        <w:t>7</w:t>
      </w:r>
      <w:r w:rsidRPr="00D350B5">
        <w:t xml:space="preserve"> shows the Hague applications </w:t>
      </w:r>
      <w:r>
        <w:t xml:space="preserve">forecast </w:t>
      </w:r>
      <w:r w:rsidRPr="00D350B5">
        <w:t>for the years 20</w:t>
      </w:r>
      <w:r>
        <w:t>23</w:t>
      </w:r>
      <w:r w:rsidRPr="00D350B5">
        <w:t xml:space="preserve"> </w:t>
      </w:r>
      <w:r w:rsidRPr="00522E2D">
        <w:t>to 202</w:t>
      </w:r>
      <w:r>
        <w:t>5</w:t>
      </w:r>
      <w:r w:rsidRPr="00522E2D">
        <w:t xml:space="preserve"> (based on data at the end of </w:t>
      </w:r>
      <w:r w:rsidR="00511ECB">
        <w:t>April</w:t>
      </w:r>
      <w:r>
        <w:t xml:space="preserve"> 2023</w:t>
      </w:r>
      <w:r w:rsidRPr="00522E2D">
        <w:t xml:space="preserve">). </w:t>
      </w:r>
      <w:r w:rsidRPr="00D350B5">
        <w:t xml:space="preserve">The forecast of Hague applications is based on multiple models, including autoregressive and econometric models.  The </w:t>
      </w:r>
      <w:r>
        <w:t>latter</w:t>
      </w:r>
      <w:r w:rsidRPr="00D350B5">
        <w:t xml:space="preserve"> are based on actual GDP data and GDP forecasts released by the IMF.  The results by different models are further combined to control for the uncertainty arising from the correct model specification. </w:t>
      </w:r>
    </w:p>
    <w:p w14:paraId="6DAFD658" w14:textId="6EFEE4A3" w:rsidR="00257BA3" w:rsidRDefault="00257BA3" w:rsidP="00257BA3">
      <w:pPr>
        <w:keepNext/>
        <w:keepLines/>
        <w:spacing w:before="240" w:after="60"/>
        <w:jc w:val="center"/>
        <w:rPr>
          <w:rFonts w:eastAsia="Arial"/>
          <w:b/>
          <w:color w:val="005172"/>
        </w:rPr>
      </w:pPr>
      <w:r w:rsidRPr="00D350B5">
        <w:rPr>
          <w:rFonts w:eastAsia="Arial"/>
          <w:b/>
          <w:color w:val="005172"/>
        </w:rPr>
        <w:t xml:space="preserve">Chart </w:t>
      </w:r>
      <w:r>
        <w:rPr>
          <w:rFonts w:eastAsia="Arial"/>
          <w:b/>
          <w:color w:val="005172"/>
        </w:rPr>
        <w:t>7</w:t>
      </w:r>
      <w:r w:rsidRPr="00D350B5">
        <w:rPr>
          <w:rFonts w:eastAsia="Arial"/>
          <w:b/>
          <w:color w:val="005172"/>
        </w:rPr>
        <w:t>.  Hague Applications</w:t>
      </w:r>
      <w:r>
        <w:rPr>
          <w:rFonts w:eastAsia="Arial"/>
          <w:b/>
          <w:color w:val="005172"/>
        </w:rPr>
        <w:t xml:space="preserve"> 2020 to 2025</w:t>
      </w:r>
    </w:p>
    <w:p w14:paraId="11AFD6F1" w14:textId="77777777" w:rsidR="00226134" w:rsidRDefault="00E83523" w:rsidP="00226134">
      <w:pPr>
        <w:keepNext/>
        <w:keepLines/>
        <w:spacing w:before="240" w:after="60"/>
        <w:jc w:val="center"/>
        <w:rPr>
          <w:rFonts w:eastAsia="Arial"/>
          <w:b/>
          <w:color w:val="005172"/>
        </w:rPr>
      </w:pPr>
      <w:r>
        <w:rPr>
          <w:noProof/>
          <w:lang w:val="en-US"/>
        </w:rPr>
        <w:drawing>
          <wp:inline distT="0" distB="0" distL="0" distR="0" wp14:anchorId="2641D196" wp14:editId="5289436B">
            <wp:extent cx="3678382" cy="2254827"/>
            <wp:effectExtent l="0" t="0" r="0" b="0"/>
            <wp:docPr id="928" name="Chart 9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0DBEE51C" w14:textId="688C0D95" w:rsidR="00257BA3" w:rsidRPr="00226134" w:rsidRDefault="00257BA3" w:rsidP="00226134">
      <w:pPr>
        <w:keepNext/>
        <w:keepLines/>
        <w:spacing w:after="60"/>
        <w:jc w:val="center"/>
        <w:rPr>
          <w:rFonts w:eastAsia="Arial"/>
          <w:b/>
          <w:color w:val="005172"/>
          <w:sz w:val="6"/>
          <w:szCs w:val="6"/>
        </w:rPr>
      </w:pPr>
    </w:p>
    <w:tbl>
      <w:tblPr>
        <w:tblW w:w="6785" w:type="dxa"/>
        <w:jc w:val="center"/>
        <w:tblLook w:val="04A0" w:firstRow="1" w:lastRow="0" w:firstColumn="1" w:lastColumn="0" w:noHBand="0" w:noVBand="1"/>
      </w:tblPr>
      <w:tblGrid>
        <w:gridCol w:w="1529"/>
        <w:gridCol w:w="876"/>
        <w:gridCol w:w="876"/>
        <w:gridCol w:w="876"/>
        <w:gridCol w:w="876"/>
        <w:gridCol w:w="876"/>
        <w:gridCol w:w="876"/>
      </w:tblGrid>
      <w:tr w:rsidR="00257BA3" w:rsidRPr="00D350B5" w14:paraId="6C08F21B" w14:textId="77777777" w:rsidTr="00A91805">
        <w:trPr>
          <w:trHeight w:val="191"/>
          <w:jc w:val="center"/>
        </w:trPr>
        <w:tc>
          <w:tcPr>
            <w:tcW w:w="1529" w:type="dxa"/>
            <w:shd w:val="clear" w:color="auto" w:fill="C6CFD7" w:themeFill="accent3" w:themeFillTint="66"/>
            <w:noWrap/>
            <w:hideMark/>
          </w:tcPr>
          <w:p w14:paraId="6F680F74" w14:textId="77777777" w:rsidR="00257BA3" w:rsidRPr="00D350B5" w:rsidRDefault="00257BA3" w:rsidP="00A91805">
            <w:pPr>
              <w:spacing w:after="60"/>
              <w:rPr>
                <w:rFonts w:ascii="Arial Narrow" w:hAnsi="Arial Narrow" w:cstheme="majorHAnsi"/>
                <w:color w:val="000000"/>
                <w:sz w:val="16"/>
                <w:szCs w:val="16"/>
              </w:rPr>
            </w:pPr>
            <w:r w:rsidRPr="00D350B5">
              <w:rPr>
                <w:rFonts w:ascii="Arial Narrow" w:hAnsi="Arial Narrow"/>
                <w:color w:val="000000"/>
                <w:sz w:val="16"/>
                <w:szCs w:val="16"/>
              </w:rPr>
              <w:t> </w:t>
            </w:r>
          </w:p>
        </w:tc>
        <w:tc>
          <w:tcPr>
            <w:tcW w:w="876" w:type="dxa"/>
            <w:tcBorders>
              <w:top w:val="nil"/>
              <w:left w:val="nil"/>
              <w:right w:val="nil"/>
            </w:tcBorders>
            <w:shd w:val="clear" w:color="000000" w:fill="C7CFD8"/>
            <w:noWrap/>
            <w:vAlign w:val="bottom"/>
            <w:hideMark/>
          </w:tcPr>
          <w:p w14:paraId="0625BC65"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876" w:type="dxa"/>
            <w:tcBorders>
              <w:top w:val="nil"/>
              <w:left w:val="nil"/>
              <w:right w:val="nil"/>
            </w:tcBorders>
            <w:shd w:val="clear" w:color="000000" w:fill="C7CFD8"/>
            <w:noWrap/>
            <w:vAlign w:val="bottom"/>
            <w:hideMark/>
          </w:tcPr>
          <w:p w14:paraId="70B92DDA"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876" w:type="dxa"/>
            <w:tcBorders>
              <w:top w:val="nil"/>
              <w:left w:val="nil"/>
              <w:right w:val="nil"/>
            </w:tcBorders>
            <w:shd w:val="clear" w:color="000000" w:fill="C7CFD8"/>
            <w:noWrap/>
            <w:vAlign w:val="bottom"/>
            <w:hideMark/>
          </w:tcPr>
          <w:p w14:paraId="0B21091F"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876" w:type="dxa"/>
            <w:tcBorders>
              <w:top w:val="nil"/>
              <w:left w:val="nil"/>
              <w:right w:val="nil"/>
            </w:tcBorders>
            <w:shd w:val="clear" w:color="000000" w:fill="C7CFD8"/>
            <w:noWrap/>
            <w:vAlign w:val="bottom"/>
            <w:hideMark/>
          </w:tcPr>
          <w:p w14:paraId="0D67A6BB"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5C741DD0"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Estimates</w:t>
            </w:r>
          </w:p>
        </w:tc>
        <w:tc>
          <w:tcPr>
            <w:tcW w:w="876" w:type="dxa"/>
            <w:tcBorders>
              <w:top w:val="nil"/>
              <w:left w:val="nil"/>
              <w:right w:val="nil"/>
            </w:tcBorders>
            <w:shd w:val="clear" w:color="000000" w:fill="C7CFD8"/>
            <w:noWrap/>
            <w:vAlign w:val="bottom"/>
            <w:hideMark/>
          </w:tcPr>
          <w:p w14:paraId="6DA89225"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76FB909F"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 xml:space="preserve"> Estimates</w:t>
            </w:r>
          </w:p>
        </w:tc>
        <w:tc>
          <w:tcPr>
            <w:tcW w:w="876" w:type="dxa"/>
            <w:tcBorders>
              <w:top w:val="nil"/>
              <w:left w:val="nil"/>
              <w:right w:val="nil"/>
            </w:tcBorders>
            <w:shd w:val="clear" w:color="000000" w:fill="C7CFD8"/>
            <w:noWrap/>
            <w:vAlign w:val="bottom"/>
            <w:hideMark/>
          </w:tcPr>
          <w:p w14:paraId="2BE81548"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018525D4" w14:textId="77777777" w:rsidR="00257BA3" w:rsidRPr="00F96ECB" w:rsidRDefault="00257BA3" w:rsidP="00A91805">
            <w:pPr>
              <w:spacing w:after="60"/>
              <w:jc w:val="right"/>
              <w:rPr>
                <w:rFonts w:ascii="Arial Narrow" w:hAnsi="Arial Narrow" w:cstheme="majorHAnsi"/>
                <w:b/>
                <w:color w:val="000000"/>
                <w:szCs w:val="16"/>
              </w:rPr>
            </w:pPr>
            <w:r w:rsidRPr="003128CE">
              <w:rPr>
                <w:rFonts w:ascii="Arial Narrow" w:hAnsi="Arial Narrow" w:cs="Arial"/>
                <w:b/>
                <w:color w:val="000000"/>
                <w:sz w:val="16"/>
                <w:szCs w:val="16"/>
              </w:rPr>
              <w:t>Estimates</w:t>
            </w:r>
          </w:p>
        </w:tc>
      </w:tr>
      <w:tr w:rsidR="00E83523" w:rsidRPr="00D350B5" w14:paraId="58032E18" w14:textId="77777777" w:rsidTr="002356E0">
        <w:trPr>
          <w:trHeight w:val="191"/>
          <w:jc w:val="center"/>
        </w:trPr>
        <w:tc>
          <w:tcPr>
            <w:tcW w:w="1529" w:type="dxa"/>
            <w:tcBorders>
              <w:top w:val="single" w:sz="4" w:space="0" w:color="C6CFD7" w:themeColor="accent3" w:themeTint="66"/>
            </w:tcBorders>
            <w:shd w:val="clear" w:color="000000" w:fill="FFFFFF"/>
            <w:noWrap/>
            <w:vAlign w:val="bottom"/>
            <w:hideMark/>
          </w:tcPr>
          <w:p w14:paraId="2E3CE993" w14:textId="77777777" w:rsidR="00E83523" w:rsidRPr="00D350B5" w:rsidRDefault="00E83523" w:rsidP="00E83523">
            <w:pPr>
              <w:spacing w:after="60"/>
              <w:rPr>
                <w:rFonts w:ascii="Arial Narrow" w:hAnsi="Arial Narrow" w:cstheme="majorHAnsi"/>
                <w:color w:val="000000"/>
                <w:sz w:val="16"/>
                <w:szCs w:val="16"/>
              </w:rPr>
            </w:pPr>
            <w:r w:rsidRPr="00D350B5">
              <w:rPr>
                <w:rFonts w:ascii="Arial Narrow" w:hAnsi="Arial Narrow" w:cstheme="majorHAnsi"/>
                <w:color w:val="000000"/>
                <w:sz w:val="16"/>
                <w:szCs w:val="16"/>
              </w:rPr>
              <w:t>Applications</w:t>
            </w:r>
          </w:p>
        </w:tc>
        <w:tc>
          <w:tcPr>
            <w:tcW w:w="876" w:type="dxa"/>
            <w:tcBorders>
              <w:top w:val="single" w:sz="4" w:space="0" w:color="BFBFBF"/>
              <w:left w:val="nil"/>
              <w:bottom w:val="nil"/>
              <w:right w:val="nil"/>
            </w:tcBorders>
            <w:shd w:val="clear" w:color="000000" w:fill="FFFFFF"/>
            <w:noWrap/>
            <w:vAlign w:val="bottom"/>
            <w:hideMark/>
          </w:tcPr>
          <w:p w14:paraId="71D983D7"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5,799</w:t>
            </w:r>
          </w:p>
        </w:tc>
        <w:tc>
          <w:tcPr>
            <w:tcW w:w="876" w:type="dxa"/>
            <w:tcBorders>
              <w:top w:val="single" w:sz="4" w:space="0" w:color="BFBFBF"/>
              <w:left w:val="nil"/>
              <w:bottom w:val="nil"/>
              <w:right w:val="nil"/>
            </w:tcBorders>
            <w:shd w:val="clear" w:color="000000" w:fill="FFFFFF"/>
            <w:noWrap/>
            <w:vAlign w:val="bottom"/>
            <w:hideMark/>
          </w:tcPr>
          <w:p w14:paraId="40A3CE56"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6,714</w:t>
            </w:r>
          </w:p>
        </w:tc>
        <w:tc>
          <w:tcPr>
            <w:tcW w:w="876" w:type="dxa"/>
            <w:tcBorders>
              <w:top w:val="single" w:sz="4" w:space="0" w:color="BFBFBF"/>
              <w:left w:val="nil"/>
              <w:bottom w:val="nil"/>
              <w:right w:val="nil"/>
            </w:tcBorders>
            <w:shd w:val="clear" w:color="000000" w:fill="FFFFFF"/>
            <w:noWrap/>
            <w:vAlign w:val="bottom"/>
            <w:hideMark/>
          </w:tcPr>
          <w:p w14:paraId="672F7D33" w14:textId="0A52DF88" w:rsidR="00E83523" w:rsidRPr="00E83523" w:rsidRDefault="00E83523" w:rsidP="00E83523">
            <w:pPr>
              <w:spacing w:after="60"/>
              <w:jc w:val="right"/>
              <w:rPr>
                <w:rFonts w:ascii="Arial Narrow" w:hAnsi="Arial Narrow" w:cs="Arial"/>
                <w:color w:val="000000"/>
                <w:sz w:val="16"/>
                <w:szCs w:val="18"/>
              </w:rPr>
            </w:pPr>
            <w:r w:rsidRPr="00E83523">
              <w:rPr>
                <w:rFonts w:ascii="Arial Narrow" w:hAnsi="Arial Narrow" w:cs="Arial"/>
                <w:color w:val="000000"/>
                <w:sz w:val="16"/>
                <w:szCs w:val="18"/>
              </w:rPr>
              <w:t>7,977</w:t>
            </w:r>
          </w:p>
        </w:tc>
        <w:tc>
          <w:tcPr>
            <w:tcW w:w="876" w:type="dxa"/>
            <w:tcBorders>
              <w:top w:val="single" w:sz="4" w:space="0" w:color="BFBFBF"/>
              <w:left w:val="nil"/>
              <w:bottom w:val="nil"/>
              <w:right w:val="nil"/>
            </w:tcBorders>
            <w:shd w:val="clear" w:color="000000" w:fill="FFFFFF"/>
            <w:noWrap/>
            <w:vAlign w:val="bottom"/>
          </w:tcPr>
          <w:p w14:paraId="23E30411" w14:textId="089479A6"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8,960</w:t>
            </w:r>
          </w:p>
        </w:tc>
        <w:tc>
          <w:tcPr>
            <w:tcW w:w="876" w:type="dxa"/>
            <w:tcBorders>
              <w:top w:val="single" w:sz="4" w:space="0" w:color="BFBFBF"/>
              <w:left w:val="nil"/>
              <w:bottom w:val="nil"/>
              <w:right w:val="nil"/>
            </w:tcBorders>
            <w:shd w:val="clear" w:color="000000" w:fill="FFFFFF"/>
            <w:noWrap/>
            <w:vAlign w:val="bottom"/>
          </w:tcPr>
          <w:p w14:paraId="571FC14A" w14:textId="430B95E5"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9,970</w:t>
            </w:r>
          </w:p>
        </w:tc>
        <w:tc>
          <w:tcPr>
            <w:tcW w:w="876" w:type="dxa"/>
            <w:tcBorders>
              <w:top w:val="single" w:sz="4" w:space="0" w:color="BFBFBF"/>
              <w:left w:val="nil"/>
              <w:bottom w:val="nil"/>
              <w:right w:val="nil"/>
            </w:tcBorders>
            <w:shd w:val="clear" w:color="000000" w:fill="FFFFFF"/>
            <w:noWrap/>
            <w:vAlign w:val="bottom"/>
          </w:tcPr>
          <w:p w14:paraId="784707CD" w14:textId="2E823BB3"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10,840</w:t>
            </w:r>
          </w:p>
        </w:tc>
      </w:tr>
      <w:tr w:rsidR="00E83523" w:rsidRPr="00D350B5" w14:paraId="65E4735F" w14:textId="77777777" w:rsidTr="002356E0">
        <w:trPr>
          <w:trHeight w:val="191"/>
          <w:jc w:val="center"/>
        </w:trPr>
        <w:tc>
          <w:tcPr>
            <w:tcW w:w="1529" w:type="dxa"/>
            <w:shd w:val="clear" w:color="000000" w:fill="FFFFFF"/>
            <w:noWrap/>
            <w:vAlign w:val="bottom"/>
            <w:hideMark/>
          </w:tcPr>
          <w:p w14:paraId="0D0C3AD8" w14:textId="77777777" w:rsidR="00E83523" w:rsidRPr="00D350B5" w:rsidRDefault="00E83523" w:rsidP="00E83523">
            <w:pPr>
              <w:spacing w:after="60"/>
              <w:rPr>
                <w:rFonts w:ascii="Arial Narrow" w:hAnsi="Arial Narrow" w:cstheme="majorHAnsi"/>
                <w:color w:val="000000"/>
                <w:sz w:val="16"/>
                <w:szCs w:val="16"/>
              </w:rPr>
            </w:pPr>
            <w:r w:rsidRPr="00D350B5">
              <w:rPr>
                <w:rFonts w:ascii="Arial Narrow" w:hAnsi="Arial Narrow" w:cstheme="majorHAnsi"/>
                <w:color w:val="000000"/>
                <w:sz w:val="16"/>
                <w:szCs w:val="16"/>
              </w:rPr>
              <w:t>Growth</w:t>
            </w:r>
          </w:p>
        </w:tc>
        <w:tc>
          <w:tcPr>
            <w:tcW w:w="876" w:type="dxa"/>
            <w:tcBorders>
              <w:top w:val="nil"/>
              <w:left w:val="nil"/>
              <w:bottom w:val="nil"/>
              <w:right w:val="nil"/>
            </w:tcBorders>
            <w:shd w:val="clear" w:color="000000" w:fill="FFFFFF"/>
            <w:noWrap/>
            <w:vAlign w:val="bottom"/>
            <w:hideMark/>
          </w:tcPr>
          <w:p w14:paraId="293A2811"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-1.6%</w:t>
            </w:r>
          </w:p>
        </w:tc>
        <w:tc>
          <w:tcPr>
            <w:tcW w:w="876" w:type="dxa"/>
            <w:tcBorders>
              <w:top w:val="nil"/>
              <w:left w:val="nil"/>
              <w:bottom w:val="nil"/>
              <w:right w:val="nil"/>
            </w:tcBorders>
            <w:shd w:val="clear" w:color="000000" w:fill="FFFFFF"/>
            <w:noWrap/>
            <w:vAlign w:val="bottom"/>
            <w:hideMark/>
          </w:tcPr>
          <w:p w14:paraId="371FE579"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15.8%</w:t>
            </w:r>
          </w:p>
        </w:tc>
        <w:tc>
          <w:tcPr>
            <w:tcW w:w="876" w:type="dxa"/>
            <w:tcBorders>
              <w:top w:val="nil"/>
              <w:left w:val="nil"/>
              <w:bottom w:val="nil"/>
              <w:right w:val="nil"/>
            </w:tcBorders>
            <w:shd w:val="clear" w:color="000000" w:fill="FFFFFF"/>
            <w:noWrap/>
            <w:vAlign w:val="bottom"/>
            <w:hideMark/>
          </w:tcPr>
          <w:p w14:paraId="5DB32FDE"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18.8%</w:t>
            </w:r>
          </w:p>
        </w:tc>
        <w:tc>
          <w:tcPr>
            <w:tcW w:w="876" w:type="dxa"/>
            <w:tcBorders>
              <w:top w:val="nil"/>
              <w:left w:val="nil"/>
              <w:bottom w:val="nil"/>
              <w:right w:val="nil"/>
            </w:tcBorders>
            <w:shd w:val="clear" w:color="000000" w:fill="FFFFFF"/>
            <w:noWrap/>
            <w:vAlign w:val="bottom"/>
          </w:tcPr>
          <w:p w14:paraId="3E403A7B" w14:textId="5538FCC5"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12.3%</w:t>
            </w:r>
          </w:p>
        </w:tc>
        <w:tc>
          <w:tcPr>
            <w:tcW w:w="876" w:type="dxa"/>
            <w:tcBorders>
              <w:top w:val="nil"/>
              <w:left w:val="nil"/>
              <w:bottom w:val="nil"/>
              <w:right w:val="nil"/>
            </w:tcBorders>
            <w:shd w:val="clear" w:color="000000" w:fill="FFFFFF"/>
            <w:noWrap/>
            <w:vAlign w:val="bottom"/>
          </w:tcPr>
          <w:p w14:paraId="41104A90" w14:textId="0645FAFF"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11.3%</w:t>
            </w:r>
          </w:p>
        </w:tc>
        <w:tc>
          <w:tcPr>
            <w:tcW w:w="876" w:type="dxa"/>
            <w:tcBorders>
              <w:top w:val="nil"/>
              <w:left w:val="nil"/>
              <w:bottom w:val="nil"/>
              <w:right w:val="nil"/>
            </w:tcBorders>
            <w:shd w:val="clear" w:color="000000" w:fill="FFFFFF"/>
            <w:noWrap/>
            <w:vAlign w:val="bottom"/>
          </w:tcPr>
          <w:p w14:paraId="290953E6" w14:textId="45BAAB8E"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8.7%</w:t>
            </w:r>
          </w:p>
        </w:tc>
      </w:tr>
      <w:tr w:rsidR="00E83523" w:rsidRPr="00D350B5" w14:paraId="0809C290" w14:textId="77777777" w:rsidTr="002356E0">
        <w:trPr>
          <w:trHeight w:val="191"/>
          <w:jc w:val="center"/>
        </w:trPr>
        <w:tc>
          <w:tcPr>
            <w:tcW w:w="1529" w:type="dxa"/>
            <w:shd w:val="clear" w:color="000000" w:fill="FFFFFF"/>
            <w:noWrap/>
            <w:vAlign w:val="bottom"/>
            <w:hideMark/>
          </w:tcPr>
          <w:p w14:paraId="082AF508" w14:textId="77777777" w:rsidR="00E83523" w:rsidRPr="00D350B5" w:rsidRDefault="00E83523" w:rsidP="00E83523">
            <w:pPr>
              <w:spacing w:after="60"/>
              <w:rPr>
                <w:rFonts w:ascii="Arial Narrow" w:hAnsi="Arial Narrow" w:cstheme="majorHAnsi"/>
                <w:color w:val="000000"/>
                <w:sz w:val="16"/>
                <w:szCs w:val="16"/>
              </w:rPr>
            </w:pPr>
            <w:r w:rsidRPr="00D350B5">
              <w:rPr>
                <w:rFonts w:ascii="Arial Narrow" w:hAnsi="Arial Narrow" w:cstheme="majorHAnsi"/>
                <w:color w:val="000000"/>
                <w:sz w:val="16"/>
                <w:szCs w:val="16"/>
              </w:rPr>
              <w:t>Low bound</w:t>
            </w:r>
          </w:p>
        </w:tc>
        <w:tc>
          <w:tcPr>
            <w:tcW w:w="876" w:type="dxa"/>
            <w:tcBorders>
              <w:top w:val="nil"/>
              <w:left w:val="nil"/>
              <w:bottom w:val="nil"/>
              <w:right w:val="nil"/>
            </w:tcBorders>
            <w:shd w:val="clear" w:color="000000" w:fill="FFFFFF"/>
            <w:noWrap/>
            <w:vAlign w:val="bottom"/>
            <w:hideMark/>
          </w:tcPr>
          <w:p w14:paraId="7306EE7F" w14:textId="77777777" w:rsidR="00E83523" w:rsidRPr="00EB4598" w:rsidRDefault="00E83523" w:rsidP="00E83523">
            <w:pPr>
              <w:spacing w:after="60"/>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nil"/>
              <w:right w:val="nil"/>
            </w:tcBorders>
            <w:shd w:val="clear" w:color="000000" w:fill="FFFFFF"/>
            <w:noWrap/>
            <w:vAlign w:val="bottom"/>
            <w:hideMark/>
          </w:tcPr>
          <w:p w14:paraId="6BF87FFC"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nil"/>
              <w:right w:val="nil"/>
            </w:tcBorders>
            <w:shd w:val="clear" w:color="000000" w:fill="FFFFFF"/>
            <w:noWrap/>
            <w:vAlign w:val="bottom"/>
            <w:hideMark/>
          </w:tcPr>
          <w:p w14:paraId="3752DE82"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nil"/>
              <w:right w:val="nil"/>
            </w:tcBorders>
            <w:shd w:val="clear" w:color="000000" w:fill="FFFFFF"/>
            <w:noWrap/>
            <w:vAlign w:val="bottom"/>
          </w:tcPr>
          <w:p w14:paraId="012EF3BA" w14:textId="255432CA"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-1,170</w:t>
            </w:r>
          </w:p>
        </w:tc>
        <w:tc>
          <w:tcPr>
            <w:tcW w:w="876" w:type="dxa"/>
            <w:tcBorders>
              <w:top w:val="nil"/>
              <w:left w:val="nil"/>
              <w:bottom w:val="nil"/>
              <w:right w:val="nil"/>
            </w:tcBorders>
            <w:shd w:val="clear" w:color="000000" w:fill="FFFFFF"/>
            <w:noWrap/>
            <w:vAlign w:val="bottom"/>
          </w:tcPr>
          <w:p w14:paraId="0148D987" w14:textId="2A2D3ECF"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-2,350</w:t>
            </w:r>
          </w:p>
        </w:tc>
        <w:tc>
          <w:tcPr>
            <w:tcW w:w="876" w:type="dxa"/>
            <w:tcBorders>
              <w:top w:val="nil"/>
              <w:left w:val="nil"/>
              <w:bottom w:val="nil"/>
              <w:right w:val="nil"/>
            </w:tcBorders>
            <w:shd w:val="clear" w:color="000000" w:fill="FFFFFF"/>
            <w:noWrap/>
            <w:vAlign w:val="bottom"/>
          </w:tcPr>
          <w:p w14:paraId="62CDB0F0" w14:textId="24CF535B"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-2,980</w:t>
            </w:r>
          </w:p>
        </w:tc>
      </w:tr>
      <w:tr w:rsidR="00E83523" w:rsidRPr="00D350B5" w14:paraId="490C32BB" w14:textId="77777777" w:rsidTr="002356E0">
        <w:trPr>
          <w:trHeight w:val="191"/>
          <w:jc w:val="center"/>
        </w:trPr>
        <w:tc>
          <w:tcPr>
            <w:tcW w:w="1529" w:type="dxa"/>
            <w:tcBorders>
              <w:bottom w:val="single" w:sz="4" w:space="0" w:color="BFBFBF" w:themeColor="background1" w:themeShade="BF"/>
            </w:tcBorders>
            <w:shd w:val="clear" w:color="000000" w:fill="FFFFFF"/>
            <w:noWrap/>
            <w:vAlign w:val="bottom"/>
            <w:hideMark/>
          </w:tcPr>
          <w:p w14:paraId="7979D198" w14:textId="77777777" w:rsidR="00E83523" w:rsidRPr="00D350B5" w:rsidRDefault="00E83523" w:rsidP="00E83523">
            <w:pPr>
              <w:spacing w:after="60"/>
              <w:rPr>
                <w:rFonts w:ascii="Arial Narrow" w:hAnsi="Arial Narrow" w:cstheme="majorHAnsi"/>
                <w:color w:val="000000"/>
                <w:sz w:val="16"/>
                <w:szCs w:val="16"/>
              </w:rPr>
            </w:pPr>
            <w:r w:rsidRPr="00D350B5">
              <w:rPr>
                <w:rFonts w:ascii="Arial Narrow" w:hAnsi="Arial Narrow" w:cstheme="majorHAnsi"/>
                <w:color w:val="000000"/>
                <w:sz w:val="16"/>
                <w:szCs w:val="16"/>
              </w:rPr>
              <w:t>High bound</w:t>
            </w:r>
          </w:p>
        </w:tc>
        <w:tc>
          <w:tcPr>
            <w:tcW w:w="876" w:type="dxa"/>
            <w:tcBorders>
              <w:top w:val="nil"/>
              <w:left w:val="nil"/>
              <w:bottom w:val="single" w:sz="4" w:space="0" w:color="BFBFBF"/>
              <w:right w:val="nil"/>
            </w:tcBorders>
            <w:shd w:val="clear" w:color="000000" w:fill="FFFFFF"/>
            <w:noWrap/>
            <w:vAlign w:val="bottom"/>
            <w:hideMark/>
          </w:tcPr>
          <w:p w14:paraId="516AB8C4" w14:textId="77777777" w:rsidR="00E83523" w:rsidRPr="00EB4598" w:rsidRDefault="00E83523" w:rsidP="00E83523">
            <w:pPr>
              <w:spacing w:after="60"/>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single" w:sz="4" w:space="0" w:color="BFBFBF"/>
              <w:right w:val="nil"/>
            </w:tcBorders>
            <w:shd w:val="clear" w:color="000000" w:fill="FFFFFF"/>
            <w:noWrap/>
            <w:vAlign w:val="bottom"/>
            <w:hideMark/>
          </w:tcPr>
          <w:p w14:paraId="063F1D7C"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single" w:sz="4" w:space="0" w:color="BFBFBF"/>
              <w:right w:val="nil"/>
            </w:tcBorders>
            <w:shd w:val="clear" w:color="000000" w:fill="FFFFFF"/>
            <w:noWrap/>
            <w:vAlign w:val="bottom"/>
            <w:hideMark/>
          </w:tcPr>
          <w:p w14:paraId="3E5ACF33" w14:textId="77777777" w:rsidR="00E83523" w:rsidRPr="00EB4598" w:rsidRDefault="00E83523" w:rsidP="00E83523">
            <w:pPr>
              <w:spacing w:after="60"/>
              <w:jc w:val="right"/>
              <w:rPr>
                <w:rFonts w:ascii="Arial Narrow" w:hAnsi="Arial Narrow" w:cstheme="majorHAnsi"/>
                <w:color w:val="000000"/>
                <w:sz w:val="16"/>
                <w:szCs w:val="16"/>
              </w:rPr>
            </w:pPr>
            <w:r w:rsidRPr="00EB4598">
              <w:rPr>
                <w:rFonts w:ascii="Arial Narrow" w:hAnsi="Arial Narrow" w:cs="Arial"/>
                <w:color w:val="000000"/>
                <w:sz w:val="16"/>
                <w:szCs w:val="18"/>
              </w:rPr>
              <w:t> </w:t>
            </w:r>
          </w:p>
        </w:tc>
        <w:tc>
          <w:tcPr>
            <w:tcW w:w="876" w:type="dxa"/>
            <w:tcBorders>
              <w:top w:val="nil"/>
              <w:left w:val="nil"/>
              <w:bottom w:val="single" w:sz="4" w:space="0" w:color="BFBFBF"/>
              <w:right w:val="nil"/>
            </w:tcBorders>
            <w:shd w:val="clear" w:color="000000" w:fill="FFFFFF"/>
            <w:noWrap/>
            <w:vAlign w:val="bottom"/>
          </w:tcPr>
          <w:p w14:paraId="3CCBB75C" w14:textId="40BDA0D3"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+1,380</w:t>
            </w:r>
          </w:p>
        </w:tc>
        <w:tc>
          <w:tcPr>
            <w:tcW w:w="876" w:type="dxa"/>
            <w:tcBorders>
              <w:top w:val="nil"/>
              <w:left w:val="nil"/>
              <w:bottom w:val="single" w:sz="4" w:space="0" w:color="BFBFBF"/>
              <w:right w:val="nil"/>
            </w:tcBorders>
            <w:shd w:val="clear" w:color="000000" w:fill="FFFFFF"/>
            <w:noWrap/>
            <w:vAlign w:val="bottom"/>
          </w:tcPr>
          <w:p w14:paraId="6E462A79" w14:textId="45CFA587"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+2,790</w:t>
            </w:r>
          </w:p>
        </w:tc>
        <w:tc>
          <w:tcPr>
            <w:tcW w:w="876" w:type="dxa"/>
            <w:tcBorders>
              <w:top w:val="nil"/>
              <w:left w:val="nil"/>
              <w:bottom w:val="single" w:sz="4" w:space="0" w:color="BFBFBF"/>
              <w:right w:val="nil"/>
            </w:tcBorders>
            <w:shd w:val="clear" w:color="000000" w:fill="FFFFFF"/>
            <w:noWrap/>
            <w:vAlign w:val="bottom"/>
          </w:tcPr>
          <w:p w14:paraId="14D84CEF" w14:textId="4A0E14F1" w:rsidR="00E83523" w:rsidRPr="00EB4598" w:rsidRDefault="00E83523" w:rsidP="00E83523">
            <w:pPr>
              <w:spacing w:after="60"/>
              <w:jc w:val="right"/>
              <w:rPr>
                <w:rFonts w:ascii="Arial Narrow" w:hAnsi="Arial Narrow" w:cstheme="majorHAnsi"/>
                <w:color w:val="000000"/>
                <w:sz w:val="16"/>
                <w:szCs w:val="16"/>
              </w:rPr>
            </w:pPr>
            <w:r>
              <w:rPr>
                <w:rFonts w:ascii="Arial Narrow" w:hAnsi="Arial Narrow" w:cs="Arial"/>
                <w:color w:val="000000"/>
                <w:sz w:val="16"/>
                <w:szCs w:val="16"/>
              </w:rPr>
              <w:t>+3,580</w:t>
            </w:r>
          </w:p>
        </w:tc>
      </w:tr>
    </w:tbl>
    <w:p w14:paraId="74031BD4" w14:textId="728FE76C" w:rsidR="00257BA3" w:rsidRPr="00D350B5" w:rsidRDefault="00257BA3" w:rsidP="00257BA3">
      <w:pPr>
        <w:spacing w:after="120"/>
        <w:rPr>
          <w:rFonts w:eastAsia="Arial"/>
        </w:rPr>
      </w:pPr>
    </w:p>
    <w:p w14:paraId="364F836F" w14:textId="77777777" w:rsidR="00257BA3" w:rsidRPr="00D350B5" w:rsidRDefault="00257BA3" w:rsidP="00257BA3">
      <w:pPr>
        <w:keepNext/>
        <w:keepLines/>
        <w:spacing w:before="120" w:after="0"/>
        <w:jc w:val="center"/>
        <w:rPr>
          <w:rFonts w:eastAsia="Arial"/>
          <w:b/>
          <w:color w:val="005172"/>
        </w:rPr>
      </w:pPr>
    </w:p>
    <w:p w14:paraId="23721710" w14:textId="77777777" w:rsidR="00257BA3" w:rsidRPr="00D350B5" w:rsidRDefault="00257BA3" w:rsidP="00257BA3">
      <w:pPr>
        <w:rPr>
          <w:rFonts w:ascii="Arial Bold" w:eastAsia="Arial" w:hAnsi="Arial Bold"/>
          <w:b/>
          <w:color w:val="005172"/>
        </w:rPr>
      </w:pPr>
      <w:r w:rsidRPr="00D350B5">
        <w:rPr>
          <w:rFonts w:ascii="Arial Bold" w:eastAsia="Arial" w:hAnsi="Arial Bold"/>
          <w:b/>
          <w:color w:val="005172"/>
        </w:rPr>
        <w:t>The Hague - Forecast of Demand for Renewals</w:t>
      </w:r>
    </w:p>
    <w:p w14:paraId="6AEB7D34" w14:textId="2ACBC35E" w:rsidR="00257BA3" w:rsidRPr="008770E6" w:rsidRDefault="00257BA3" w:rsidP="008407D7">
      <w:pPr>
        <w:pStyle w:val="NormalNumb"/>
        <w:numPr>
          <w:ilvl w:val="4"/>
          <w:numId w:val="23"/>
        </w:numPr>
        <w:tabs>
          <w:tab w:val="left" w:pos="8505"/>
        </w:tabs>
        <w:rPr>
          <w:szCs w:val="18"/>
        </w:rPr>
      </w:pPr>
      <w:r w:rsidRPr="00D350B5">
        <w:t xml:space="preserve">Chart </w:t>
      </w:r>
      <w:r>
        <w:t>8</w:t>
      </w:r>
      <w:r w:rsidRPr="00D350B5">
        <w:t xml:space="preserve"> shows the Hague </w:t>
      </w:r>
      <w:r>
        <w:t xml:space="preserve">renewals forecast </w:t>
      </w:r>
      <w:r w:rsidRPr="00D350B5">
        <w:t>for the years 20</w:t>
      </w:r>
      <w:r>
        <w:t>23</w:t>
      </w:r>
      <w:r w:rsidRPr="00D350B5">
        <w:t xml:space="preserve"> </w:t>
      </w:r>
      <w:r w:rsidRPr="00522E2D">
        <w:t>to 202</w:t>
      </w:r>
      <w:r>
        <w:t xml:space="preserve">5.  </w:t>
      </w:r>
      <w:r w:rsidRPr="008770E6">
        <w:rPr>
          <w:szCs w:val="18"/>
        </w:rPr>
        <w:t xml:space="preserve">Renewals are forecasted based on the </w:t>
      </w:r>
      <w:r w:rsidRPr="008770E6">
        <w:rPr>
          <w:rFonts w:cs="Arial"/>
        </w:rPr>
        <w:t>transfer model, which involves analyzing the historical renewal rate over the past 5 years and applying it to registrations that are due for renewal in the next 5 years.</w:t>
      </w:r>
    </w:p>
    <w:p w14:paraId="672F1D2A" w14:textId="1D041F0E" w:rsidR="00257BA3" w:rsidRDefault="00257BA3" w:rsidP="00257BA3">
      <w:pPr>
        <w:keepNext/>
        <w:keepLines/>
        <w:spacing w:before="240" w:after="60"/>
        <w:jc w:val="center"/>
        <w:rPr>
          <w:rFonts w:eastAsia="Arial"/>
          <w:b/>
          <w:color w:val="005172"/>
        </w:rPr>
      </w:pPr>
      <w:r w:rsidRPr="00D350B5">
        <w:rPr>
          <w:rFonts w:eastAsia="Arial"/>
          <w:b/>
          <w:color w:val="005172"/>
        </w:rPr>
        <w:t xml:space="preserve">Chart </w:t>
      </w:r>
      <w:r>
        <w:rPr>
          <w:rFonts w:eastAsia="Arial"/>
          <w:b/>
          <w:color w:val="005172"/>
        </w:rPr>
        <w:t>8</w:t>
      </w:r>
      <w:r w:rsidRPr="00D350B5">
        <w:rPr>
          <w:rFonts w:eastAsia="Arial"/>
          <w:b/>
          <w:color w:val="005172"/>
        </w:rPr>
        <w:t xml:space="preserve">.  Hague Renewals </w:t>
      </w:r>
      <w:r>
        <w:rPr>
          <w:rFonts w:eastAsia="Arial"/>
          <w:b/>
          <w:color w:val="005172"/>
        </w:rPr>
        <w:t>2020 to 2025</w:t>
      </w:r>
    </w:p>
    <w:p w14:paraId="42282AE9" w14:textId="1CB8A5E6" w:rsidR="00E83523" w:rsidRDefault="00E83523" w:rsidP="00257BA3">
      <w:pPr>
        <w:keepNext/>
        <w:keepLines/>
        <w:spacing w:before="240" w:after="60"/>
        <w:jc w:val="center"/>
        <w:rPr>
          <w:rFonts w:eastAsia="Arial"/>
          <w:b/>
          <w:color w:val="005172"/>
        </w:rPr>
      </w:pPr>
      <w:r>
        <w:rPr>
          <w:noProof/>
          <w:lang w:val="en-US"/>
        </w:rPr>
        <w:drawing>
          <wp:inline distT="0" distB="0" distL="0" distR="0" wp14:anchorId="72C12625" wp14:editId="2FCD3B75">
            <wp:extent cx="3823335" cy="2129675"/>
            <wp:effectExtent l="0" t="0" r="5715" b="4445"/>
            <wp:docPr id="929" name="Chart 9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157EB60B" w14:textId="4287B636" w:rsidR="00257BA3" w:rsidRPr="00241DCF" w:rsidRDefault="00257BA3" w:rsidP="00257BA3">
      <w:pPr>
        <w:spacing w:before="240" w:after="60"/>
        <w:jc w:val="center"/>
        <w:rPr>
          <w:rFonts w:eastAsia="Arial"/>
          <w:b/>
          <w:color w:val="005172"/>
          <w:sz w:val="4"/>
        </w:rPr>
      </w:pPr>
    </w:p>
    <w:p w14:paraId="391A790C" w14:textId="5452A2B2" w:rsidR="00257BA3" w:rsidRDefault="00257BA3" w:rsidP="00257BA3"/>
    <w:tbl>
      <w:tblPr>
        <w:tblW w:w="6554" w:type="dxa"/>
        <w:jc w:val="center"/>
        <w:tblLook w:val="04A0" w:firstRow="1" w:lastRow="0" w:firstColumn="1" w:lastColumn="0" w:noHBand="0" w:noVBand="1"/>
      </w:tblPr>
      <w:tblGrid>
        <w:gridCol w:w="1478"/>
        <w:gridCol w:w="846"/>
        <w:gridCol w:w="846"/>
        <w:gridCol w:w="846"/>
        <w:gridCol w:w="846"/>
        <w:gridCol w:w="846"/>
        <w:gridCol w:w="846"/>
      </w:tblGrid>
      <w:tr w:rsidR="00257BA3" w:rsidRPr="00D350B5" w14:paraId="2CB01B4D" w14:textId="77777777" w:rsidTr="00A91805">
        <w:trPr>
          <w:trHeight w:val="195"/>
          <w:jc w:val="center"/>
        </w:trPr>
        <w:tc>
          <w:tcPr>
            <w:tcW w:w="1478" w:type="dxa"/>
            <w:shd w:val="clear" w:color="auto" w:fill="C6CFD7" w:themeFill="accent3" w:themeFillTint="66"/>
            <w:noWrap/>
            <w:hideMark/>
          </w:tcPr>
          <w:p w14:paraId="47A28BEA" w14:textId="77777777" w:rsidR="00257BA3" w:rsidRPr="00D350B5" w:rsidRDefault="00257BA3" w:rsidP="00A91805">
            <w:pPr>
              <w:tabs>
                <w:tab w:val="left" w:pos="596"/>
              </w:tabs>
              <w:spacing w:after="60"/>
              <w:rPr>
                <w:rFonts w:ascii="Arial Narrow" w:hAnsi="Arial Narrow"/>
                <w:color w:val="000000"/>
                <w:sz w:val="16"/>
                <w:szCs w:val="16"/>
              </w:rPr>
            </w:pPr>
            <w:r w:rsidRPr="00D350B5">
              <w:rPr>
                <w:rFonts w:ascii="Arial Narrow" w:hAnsi="Arial Narrow"/>
                <w:color w:val="000000"/>
                <w:sz w:val="16"/>
                <w:szCs w:val="16"/>
              </w:rPr>
              <w:t> </w:t>
            </w:r>
          </w:p>
        </w:tc>
        <w:tc>
          <w:tcPr>
            <w:tcW w:w="846" w:type="dxa"/>
            <w:tcBorders>
              <w:top w:val="nil"/>
              <w:left w:val="nil"/>
              <w:right w:val="nil"/>
            </w:tcBorders>
            <w:shd w:val="clear" w:color="000000" w:fill="C7CFD8"/>
            <w:noWrap/>
            <w:vAlign w:val="bottom"/>
            <w:hideMark/>
          </w:tcPr>
          <w:p w14:paraId="41DE5F95"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846" w:type="dxa"/>
            <w:tcBorders>
              <w:top w:val="nil"/>
              <w:left w:val="nil"/>
              <w:right w:val="nil"/>
            </w:tcBorders>
            <w:shd w:val="clear" w:color="000000" w:fill="C7CFD8"/>
            <w:noWrap/>
            <w:vAlign w:val="bottom"/>
            <w:hideMark/>
          </w:tcPr>
          <w:p w14:paraId="0B05AD3A"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846" w:type="dxa"/>
            <w:tcBorders>
              <w:top w:val="nil"/>
              <w:left w:val="nil"/>
              <w:right w:val="nil"/>
            </w:tcBorders>
            <w:shd w:val="clear" w:color="000000" w:fill="C7CFD8"/>
            <w:noWrap/>
            <w:vAlign w:val="bottom"/>
            <w:hideMark/>
          </w:tcPr>
          <w:p w14:paraId="73D3323B"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846" w:type="dxa"/>
            <w:tcBorders>
              <w:top w:val="nil"/>
              <w:left w:val="nil"/>
              <w:right w:val="nil"/>
            </w:tcBorders>
            <w:shd w:val="clear" w:color="000000" w:fill="C7CFD8"/>
            <w:noWrap/>
            <w:vAlign w:val="bottom"/>
            <w:hideMark/>
          </w:tcPr>
          <w:p w14:paraId="083AE910"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570BC661"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Estimates</w:t>
            </w:r>
          </w:p>
        </w:tc>
        <w:tc>
          <w:tcPr>
            <w:tcW w:w="846" w:type="dxa"/>
            <w:tcBorders>
              <w:top w:val="nil"/>
              <w:left w:val="nil"/>
              <w:right w:val="nil"/>
            </w:tcBorders>
            <w:shd w:val="clear" w:color="000000" w:fill="C7CFD8"/>
            <w:noWrap/>
            <w:vAlign w:val="bottom"/>
            <w:hideMark/>
          </w:tcPr>
          <w:p w14:paraId="79C66096"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4A74432B"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Estimates</w:t>
            </w:r>
          </w:p>
        </w:tc>
        <w:tc>
          <w:tcPr>
            <w:tcW w:w="846" w:type="dxa"/>
            <w:tcBorders>
              <w:top w:val="nil"/>
              <w:left w:val="nil"/>
              <w:right w:val="nil"/>
            </w:tcBorders>
            <w:shd w:val="clear" w:color="000000" w:fill="C7CFD8"/>
            <w:noWrap/>
            <w:vAlign w:val="bottom"/>
            <w:hideMark/>
          </w:tcPr>
          <w:p w14:paraId="69419904"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14982AD6" w14:textId="77777777" w:rsidR="00257BA3" w:rsidRPr="00F96ECB" w:rsidRDefault="00257BA3" w:rsidP="00A91805">
            <w:pPr>
              <w:spacing w:after="60"/>
              <w:jc w:val="right"/>
              <w:rPr>
                <w:rFonts w:ascii="Arial Narrow" w:hAnsi="Arial Narrow"/>
                <w:b/>
                <w:color w:val="000000"/>
                <w:szCs w:val="16"/>
              </w:rPr>
            </w:pPr>
            <w:r w:rsidRPr="003128CE">
              <w:rPr>
                <w:rFonts w:ascii="Arial Narrow" w:hAnsi="Arial Narrow" w:cs="Arial"/>
                <w:b/>
                <w:color w:val="000000"/>
                <w:sz w:val="16"/>
                <w:szCs w:val="16"/>
              </w:rPr>
              <w:t>Estimates</w:t>
            </w:r>
          </w:p>
        </w:tc>
      </w:tr>
      <w:tr w:rsidR="00E83523" w:rsidRPr="00D350B5" w14:paraId="22F5635F" w14:textId="77777777" w:rsidTr="002356E0">
        <w:trPr>
          <w:trHeight w:val="195"/>
          <w:jc w:val="center"/>
        </w:trPr>
        <w:tc>
          <w:tcPr>
            <w:tcW w:w="1478" w:type="dxa"/>
            <w:tcBorders>
              <w:left w:val="nil"/>
              <w:bottom w:val="nil"/>
              <w:right w:val="nil"/>
            </w:tcBorders>
            <w:shd w:val="clear" w:color="000000" w:fill="FFFFFF"/>
            <w:noWrap/>
            <w:vAlign w:val="bottom"/>
            <w:hideMark/>
          </w:tcPr>
          <w:p w14:paraId="7B141E5A" w14:textId="77777777" w:rsidR="00E83523" w:rsidRPr="00D350B5" w:rsidRDefault="00E83523" w:rsidP="00E83523">
            <w:pPr>
              <w:tabs>
                <w:tab w:val="left" w:pos="596"/>
              </w:tabs>
              <w:spacing w:after="60"/>
              <w:rPr>
                <w:rFonts w:ascii="Arial Narrow" w:hAnsi="Arial Narrow"/>
                <w:color w:val="000000"/>
                <w:sz w:val="16"/>
                <w:szCs w:val="16"/>
              </w:rPr>
            </w:pPr>
            <w:r w:rsidRPr="00D350B5">
              <w:rPr>
                <w:rFonts w:ascii="Arial Narrow" w:hAnsi="Arial Narrow"/>
                <w:color w:val="000000"/>
                <w:sz w:val="16"/>
                <w:szCs w:val="16"/>
              </w:rPr>
              <w:t>Renewal</w:t>
            </w:r>
            <w:r>
              <w:rPr>
                <w:rFonts w:ascii="Arial Narrow" w:hAnsi="Arial Narrow"/>
                <w:color w:val="000000"/>
                <w:sz w:val="16"/>
                <w:szCs w:val="16"/>
              </w:rPr>
              <w:t>s</w:t>
            </w:r>
          </w:p>
        </w:tc>
        <w:tc>
          <w:tcPr>
            <w:tcW w:w="846" w:type="dxa"/>
            <w:tcBorders>
              <w:top w:val="single" w:sz="4" w:space="0" w:color="BFBFBF"/>
              <w:left w:val="nil"/>
              <w:bottom w:val="nil"/>
              <w:right w:val="nil"/>
            </w:tcBorders>
            <w:shd w:val="clear" w:color="000000" w:fill="FFFFFF"/>
            <w:noWrap/>
            <w:vAlign w:val="bottom"/>
            <w:hideMark/>
          </w:tcPr>
          <w:p w14:paraId="4DDD6A8A"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4,759</w:t>
            </w:r>
          </w:p>
        </w:tc>
        <w:tc>
          <w:tcPr>
            <w:tcW w:w="846" w:type="dxa"/>
            <w:tcBorders>
              <w:top w:val="single" w:sz="4" w:space="0" w:color="BFBFBF"/>
              <w:left w:val="nil"/>
              <w:bottom w:val="nil"/>
              <w:right w:val="nil"/>
            </w:tcBorders>
            <w:shd w:val="clear" w:color="000000" w:fill="FFFFFF"/>
            <w:noWrap/>
            <w:vAlign w:val="bottom"/>
            <w:hideMark/>
          </w:tcPr>
          <w:p w14:paraId="424D161C"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5,461</w:t>
            </w:r>
          </w:p>
        </w:tc>
        <w:tc>
          <w:tcPr>
            <w:tcW w:w="846" w:type="dxa"/>
            <w:tcBorders>
              <w:top w:val="single" w:sz="4" w:space="0" w:color="BFBFBF"/>
              <w:left w:val="nil"/>
              <w:bottom w:val="nil"/>
              <w:right w:val="nil"/>
            </w:tcBorders>
            <w:shd w:val="clear" w:color="000000" w:fill="FFFFFF"/>
            <w:noWrap/>
            <w:vAlign w:val="bottom"/>
            <w:hideMark/>
          </w:tcPr>
          <w:p w14:paraId="2256122E"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5,284</w:t>
            </w:r>
          </w:p>
        </w:tc>
        <w:tc>
          <w:tcPr>
            <w:tcW w:w="846" w:type="dxa"/>
            <w:tcBorders>
              <w:top w:val="single" w:sz="4" w:space="0" w:color="BFBFBF"/>
              <w:left w:val="nil"/>
              <w:bottom w:val="nil"/>
              <w:right w:val="nil"/>
            </w:tcBorders>
            <w:shd w:val="clear" w:color="000000" w:fill="FFFFFF"/>
            <w:noWrap/>
            <w:vAlign w:val="bottom"/>
          </w:tcPr>
          <w:p w14:paraId="5B0438AA" w14:textId="7FB525B2"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5,480</w:t>
            </w:r>
          </w:p>
        </w:tc>
        <w:tc>
          <w:tcPr>
            <w:tcW w:w="846" w:type="dxa"/>
            <w:tcBorders>
              <w:top w:val="single" w:sz="4" w:space="0" w:color="BFBFBF"/>
              <w:left w:val="nil"/>
              <w:bottom w:val="nil"/>
              <w:right w:val="nil"/>
            </w:tcBorders>
            <w:shd w:val="clear" w:color="000000" w:fill="FFFFFF"/>
            <w:noWrap/>
            <w:vAlign w:val="bottom"/>
          </w:tcPr>
          <w:p w14:paraId="4BFEB650" w14:textId="6374115A"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5,570</w:t>
            </w:r>
          </w:p>
        </w:tc>
        <w:tc>
          <w:tcPr>
            <w:tcW w:w="846" w:type="dxa"/>
            <w:tcBorders>
              <w:top w:val="single" w:sz="4" w:space="0" w:color="BFBFBF"/>
              <w:left w:val="nil"/>
              <w:bottom w:val="nil"/>
              <w:right w:val="nil"/>
            </w:tcBorders>
            <w:shd w:val="clear" w:color="000000" w:fill="FFFFFF"/>
            <w:noWrap/>
            <w:vAlign w:val="bottom"/>
          </w:tcPr>
          <w:p w14:paraId="05A4EBC4" w14:textId="76CA94EA"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6,280</w:t>
            </w:r>
          </w:p>
        </w:tc>
      </w:tr>
      <w:tr w:rsidR="00E83523" w:rsidRPr="00D350B5" w14:paraId="732176D6" w14:textId="77777777" w:rsidTr="002356E0">
        <w:trPr>
          <w:trHeight w:val="195"/>
          <w:jc w:val="center"/>
        </w:trPr>
        <w:tc>
          <w:tcPr>
            <w:tcW w:w="1478" w:type="dxa"/>
            <w:tcBorders>
              <w:top w:val="nil"/>
              <w:left w:val="nil"/>
              <w:bottom w:val="nil"/>
              <w:right w:val="nil"/>
            </w:tcBorders>
            <w:shd w:val="clear" w:color="000000" w:fill="FFFFFF"/>
            <w:noWrap/>
            <w:vAlign w:val="bottom"/>
            <w:hideMark/>
          </w:tcPr>
          <w:p w14:paraId="3AF1EA96" w14:textId="77777777" w:rsidR="00E83523" w:rsidRPr="00D350B5" w:rsidRDefault="00E83523" w:rsidP="00E83523">
            <w:pPr>
              <w:tabs>
                <w:tab w:val="left" w:pos="596"/>
              </w:tabs>
              <w:spacing w:after="60"/>
              <w:rPr>
                <w:rFonts w:ascii="Arial Narrow" w:hAnsi="Arial Narrow"/>
                <w:color w:val="000000"/>
                <w:sz w:val="16"/>
                <w:szCs w:val="16"/>
              </w:rPr>
            </w:pPr>
            <w:r w:rsidRPr="00D350B5">
              <w:rPr>
                <w:rFonts w:ascii="Arial Narrow" w:hAnsi="Arial Narrow"/>
                <w:color w:val="000000"/>
                <w:sz w:val="16"/>
                <w:szCs w:val="16"/>
              </w:rPr>
              <w:t>Growth</w:t>
            </w:r>
          </w:p>
        </w:tc>
        <w:tc>
          <w:tcPr>
            <w:tcW w:w="846" w:type="dxa"/>
            <w:tcBorders>
              <w:top w:val="nil"/>
              <w:left w:val="nil"/>
              <w:bottom w:val="nil"/>
              <w:right w:val="nil"/>
            </w:tcBorders>
            <w:shd w:val="clear" w:color="000000" w:fill="FFFFFF"/>
            <w:noWrap/>
            <w:vAlign w:val="bottom"/>
            <w:hideMark/>
          </w:tcPr>
          <w:p w14:paraId="6DC1435F"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34.2%</w:t>
            </w:r>
          </w:p>
        </w:tc>
        <w:tc>
          <w:tcPr>
            <w:tcW w:w="846" w:type="dxa"/>
            <w:tcBorders>
              <w:top w:val="nil"/>
              <w:left w:val="nil"/>
              <w:bottom w:val="nil"/>
              <w:right w:val="nil"/>
            </w:tcBorders>
            <w:shd w:val="clear" w:color="000000" w:fill="FFFFFF"/>
            <w:noWrap/>
            <w:vAlign w:val="bottom"/>
            <w:hideMark/>
          </w:tcPr>
          <w:p w14:paraId="2A428D46"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14.8%</w:t>
            </w:r>
          </w:p>
        </w:tc>
        <w:tc>
          <w:tcPr>
            <w:tcW w:w="846" w:type="dxa"/>
            <w:tcBorders>
              <w:top w:val="nil"/>
              <w:left w:val="nil"/>
              <w:bottom w:val="nil"/>
              <w:right w:val="nil"/>
            </w:tcBorders>
            <w:shd w:val="clear" w:color="000000" w:fill="FFFFFF"/>
            <w:noWrap/>
            <w:vAlign w:val="bottom"/>
            <w:hideMark/>
          </w:tcPr>
          <w:p w14:paraId="56327059"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-3.2%</w:t>
            </w:r>
          </w:p>
        </w:tc>
        <w:tc>
          <w:tcPr>
            <w:tcW w:w="846" w:type="dxa"/>
            <w:tcBorders>
              <w:top w:val="nil"/>
              <w:left w:val="nil"/>
              <w:bottom w:val="nil"/>
              <w:right w:val="nil"/>
            </w:tcBorders>
            <w:shd w:val="clear" w:color="000000" w:fill="FFFFFF"/>
            <w:noWrap/>
            <w:vAlign w:val="bottom"/>
          </w:tcPr>
          <w:p w14:paraId="680CEFD4" w14:textId="54BFD270"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3.7%</w:t>
            </w:r>
          </w:p>
        </w:tc>
        <w:tc>
          <w:tcPr>
            <w:tcW w:w="846" w:type="dxa"/>
            <w:tcBorders>
              <w:top w:val="nil"/>
              <w:left w:val="nil"/>
              <w:bottom w:val="nil"/>
              <w:right w:val="nil"/>
            </w:tcBorders>
            <w:shd w:val="clear" w:color="000000" w:fill="FFFFFF"/>
            <w:noWrap/>
            <w:vAlign w:val="bottom"/>
          </w:tcPr>
          <w:p w14:paraId="53598EA0" w14:textId="5DF8EF39"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1.6%</w:t>
            </w:r>
          </w:p>
        </w:tc>
        <w:tc>
          <w:tcPr>
            <w:tcW w:w="846" w:type="dxa"/>
            <w:tcBorders>
              <w:top w:val="nil"/>
              <w:left w:val="nil"/>
              <w:bottom w:val="nil"/>
              <w:right w:val="nil"/>
            </w:tcBorders>
            <w:shd w:val="clear" w:color="000000" w:fill="FFFFFF"/>
            <w:noWrap/>
            <w:vAlign w:val="bottom"/>
          </w:tcPr>
          <w:p w14:paraId="2DC17E92" w14:textId="31FE440F"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12.7%</w:t>
            </w:r>
          </w:p>
        </w:tc>
      </w:tr>
      <w:tr w:rsidR="00E83523" w:rsidRPr="00D350B5" w14:paraId="6773612B" w14:textId="77777777" w:rsidTr="002356E0">
        <w:trPr>
          <w:trHeight w:val="195"/>
          <w:jc w:val="center"/>
        </w:trPr>
        <w:tc>
          <w:tcPr>
            <w:tcW w:w="1478" w:type="dxa"/>
            <w:tcBorders>
              <w:top w:val="nil"/>
              <w:left w:val="nil"/>
              <w:right w:val="nil"/>
            </w:tcBorders>
            <w:shd w:val="clear" w:color="000000" w:fill="FFFFFF"/>
            <w:noWrap/>
            <w:vAlign w:val="bottom"/>
            <w:hideMark/>
          </w:tcPr>
          <w:p w14:paraId="65D8DABD" w14:textId="77777777" w:rsidR="00E83523" w:rsidRPr="00D350B5" w:rsidRDefault="00E83523" w:rsidP="00E83523">
            <w:pPr>
              <w:tabs>
                <w:tab w:val="left" w:pos="596"/>
              </w:tabs>
              <w:spacing w:after="60"/>
              <w:rPr>
                <w:rFonts w:ascii="Arial Narrow" w:hAnsi="Arial Narrow"/>
                <w:color w:val="000000"/>
                <w:sz w:val="16"/>
                <w:szCs w:val="16"/>
              </w:rPr>
            </w:pPr>
            <w:r w:rsidRPr="00D350B5">
              <w:rPr>
                <w:rFonts w:ascii="Arial Narrow" w:hAnsi="Arial Narrow"/>
                <w:color w:val="000000"/>
                <w:sz w:val="16"/>
                <w:szCs w:val="16"/>
              </w:rPr>
              <w:t>Low bound</w:t>
            </w:r>
          </w:p>
        </w:tc>
        <w:tc>
          <w:tcPr>
            <w:tcW w:w="846" w:type="dxa"/>
            <w:tcBorders>
              <w:top w:val="nil"/>
              <w:left w:val="nil"/>
              <w:bottom w:val="nil"/>
              <w:right w:val="nil"/>
            </w:tcBorders>
            <w:shd w:val="clear" w:color="000000" w:fill="FFFFFF"/>
            <w:noWrap/>
            <w:vAlign w:val="bottom"/>
            <w:hideMark/>
          </w:tcPr>
          <w:p w14:paraId="4B4C6D2F" w14:textId="77777777" w:rsidR="00E83523" w:rsidRPr="00EB4598" w:rsidRDefault="00E83523" w:rsidP="00E83523">
            <w:pPr>
              <w:spacing w:after="60"/>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nil"/>
              <w:right w:val="nil"/>
            </w:tcBorders>
            <w:shd w:val="clear" w:color="000000" w:fill="FFFFFF"/>
            <w:noWrap/>
            <w:vAlign w:val="bottom"/>
            <w:hideMark/>
          </w:tcPr>
          <w:p w14:paraId="4E058CD3"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nil"/>
              <w:right w:val="nil"/>
            </w:tcBorders>
            <w:shd w:val="clear" w:color="000000" w:fill="FFFFFF"/>
            <w:noWrap/>
            <w:vAlign w:val="bottom"/>
            <w:hideMark/>
          </w:tcPr>
          <w:p w14:paraId="45F851F2"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nil"/>
              <w:right w:val="nil"/>
            </w:tcBorders>
            <w:shd w:val="clear" w:color="000000" w:fill="FFFFFF"/>
            <w:noWrap/>
            <w:vAlign w:val="bottom"/>
          </w:tcPr>
          <w:p w14:paraId="626C7BD7" w14:textId="0285D1F0"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-720</w:t>
            </w:r>
          </w:p>
        </w:tc>
        <w:tc>
          <w:tcPr>
            <w:tcW w:w="846" w:type="dxa"/>
            <w:tcBorders>
              <w:top w:val="nil"/>
              <w:left w:val="nil"/>
              <w:bottom w:val="nil"/>
              <w:right w:val="nil"/>
            </w:tcBorders>
            <w:shd w:val="clear" w:color="000000" w:fill="FFFFFF"/>
            <w:noWrap/>
            <w:vAlign w:val="bottom"/>
          </w:tcPr>
          <w:p w14:paraId="76D7D985" w14:textId="62D39989"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-1310</w:t>
            </w:r>
          </w:p>
        </w:tc>
        <w:tc>
          <w:tcPr>
            <w:tcW w:w="846" w:type="dxa"/>
            <w:tcBorders>
              <w:top w:val="nil"/>
              <w:left w:val="nil"/>
              <w:bottom w:val="nil"/>
              <w:right w:val="nil"/>
            </w:tcBorders>
            <w:shd w:val="clear" w:color="000000" w:fill="FFFFFF"/>
            <w:noWrap/>
            <w:vAlign w:val="bottom"/>
          </w:tcPr>
          <w:p w14:paraId="51C0AB2B" w14:textId="6AB60332"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-1730</w:t>
            </w:r>
          </w:p>
        </w:tc>
      </w:tr>
      <w:tr w:rsidR="00E83523" w:rsidRPr="00D350B5" w14:paraId="5F7AF9B4" w14:textId="77777777" w:rsidTr="002356E0">
        <w:trPr>
          <w:trHeight w:val="195"/>
          <w:jc w:val="center"/>
        </w:trPr>
        <w:tc>
          <w:tcPr>
            <w:tcW w:w="1478" w:type="dxa"/>
            <w:tcBorders>
              <w:top w:val="nil"/>
              <w:left w:val="nil"/>
              <w:bottom w:val="single" w:sz="4" w:space="0" w:color="BFBFBF" w:themeColor="background1" w:themeShade="BF"/>
              <w:right w:val="nil"/>
            </w:tcBorders>
            <w:shd w:val="clear" w:color="000000" w:fill="FFFFFF"/>
            <w:noWrap/>
            <w:vAlign w:val="bottom"/>
            <w:hideMark/>
          </w:tcPr>
          <w:p w14:paraId="50639293" w14:textId="77777777" w:rsidR="00E83523" w:rsidRPr="00D350B5" w:rsidRDefault="00E83523" w:rsidP="00E83523">
            <w:pPr>
              <w:tabs>
                <w:tab w:val="left" w:pos="596"/>
              </w:tabs>
              <w:spacing w:after="60"/>
              <w:rPr>
                <w:rFonts w:ascii="Arial Narrow" w:hAnsi="Arial Narrow"/>
                <w:color w:val="000000"/>
                <w:sz w:val="16"/>
                <w:szCs w:val="16"/>
              </w:rPr>
            </w:pPr>
            <w:r w:rsidRPr="00D350B5">
              <w:rPr>
                <w:rFonts w:ascii="Arial Narrow" w:hAnsi="Arial Narrow"/>
                <w:color w:val="000000"/>
                <w:sz w:val="16"/>
                <w:szCs w:val="16"/>
              </w:rPr>
              <w:t>High bound</w:t>
            </w:r>
          </w:p>
        </w:tc>
        <w:tc>
          <w:tcPr>
            <w:tcW w:w="846" w:type="dxa"/>
            <w:tcBorders>
              <w:top w:val="nil"/>
              <w:left w:val="nil"/>
              <w:bottom w:val="single" w:sz="4" w:space="0" w:color="BFBFBF"/>
              <w:right w:val="nil"/>
            </w:tcBorders>
            <w:shd w:val="clear" w:color="000000" w:fill="FFFFFF"/>
            <w:noWrap/>
            <w:vAlign w:val="bottom"/>
            <w:hideMark/>
          </w:tcPr>
          <w:p w14:paraId="16FAF715" w14:textId="77777777" w:rsidR="00E83523" w:rsidRPr="00EB4598" w:rsidRDefault="00E83523" w:rsidP="00E83523">
            <w:pPr>
              <w:spacing w:after="60"/>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single" w:sz="4" w:space="0" w:color="BFBFBF"/>
              <w:right w:val="nil"/>
            </w:tcBorders>
            <w:shd w:val="clear" w:color="000000" w:fill="FFFFFF"/>
            <w:noWrap/>
            <w:vAlign w:val="bottom"/>
            <w:hideMark/>
          </w:tcPr>
          <w:p w14:paraId="34E5A6C3"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single" w:sz="4" w:space="0" w:color="BFBFBF"/>
              <w:right w:val="nil"/>
            </w:tcBorders>
            <w:shd w:val="clear" w:color="000000" w:fill="FFFFFF"/>
            <w:noWrap/>
            <w:vAlign w:val="bottom"/>
            <w:hideMark/>
          </w:tcPr>
          <w:p w14:paraId="693B6147" w14:textId="77777777" w:rsidR="00E83523" w:rsidRPr="00EB4598" w:rsidRDefault="00E83523" w:rsidP="00E83523">
            <w:pPr>
              <w:spacing w:after="60"/>
              <w:jc w:val="right"/>
              <w:rPr>
                <w:rFonts w:ascii="Arial Narrow" w:hAnsi="Arial Narrow"/>
                <w:color w:val="000000"/>
                <w:sz w:val="16"/>
                <w:szCs w:val="16"/>
              </w:rPr>
            </w:pPr>
            <w:r w:rsidRPr="00EB4598">
              <w:rPr>
                <w:rFonts w:ascii="Arial Narrow" w:hAnsi="Arial Narrow" w:cs="Arial"/>
                <w:color w:val="000000"/>
                <w:sz w:val="16"/>
                <w:szCs w:val="18"/>
              </w:rPr>
              <w:t> </w:t>
            </w:r>
          </w:p>
        </w:tc>
        <w:tc>
          <w:tcPr>
            <w:tcW w:w="846" w:type="dxa"/>
            <w:tcBorders>
              <w:top w:val="nil"/>
              <w:left w:val="nil"/>
              <w:bottom w:val="single" w:sz="4" w:space="0" w:color="BFBFBF"/>
              <w:right w:val="nil"/>
            </w:tcBorders>
            <w:shd w:val="clear" w:color="000000" w:fill="FFFFFF"/>
            <w:noWrap/>
            <w:vAlign w:val="bottom"/>
          </w:tcPr>
          <w:p w14:paraId="260FC3DA" w14:textId="63A5919E"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+840</w:t>
            </w:r>
          </w:p>
        </w:tc>
        <w:tc>
          <w:tcPr>
            <w:tcW w:w="846" w:type="dxa"/>
            <w:tcBorders>
              <w:top w:val="nil"/>
              <w:left w:val="nil"/>
              <w:bottom w:val="single" w:sz="4" w:space="0" w:color="BFBFBF"/>
              <w:right w:val="nil"/>
            </w:tcBorders>
            <w:shd w:val="clear" w:color="000000" w:fill="FFFFFF"/>
            <w:noWrap/>
            <w:vAlign w:val="bottom"/>
          </w:tcPr>
          <w:p w14:paraId="45D93A9E" w14:textId="61D04F49"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+1560</w:t>
            </w:r>
          </w:p>
        </w:tc>
        <w:tc>
          <w:tcPr>
            <w:tcW w:w="846" w:type="dxa"/>
            <w:tcBorders>
              <w:top w:val="nil"/>
              <w:left w:val="nil"/>
              <w:bottom w:val="single" w:sz="4" w:space="0" w:color="BFBFBF"/>
              <w:right w:val="nil"/>
            </w:tcBorders>
            <w:shd w:val="clear" w:color="000000" w:fill="FFFFFF"/>
            <w:noWrap/>
            <w:vAlign w:val="bottom"/>
          </w:tcPr>
          <w:p w14:paraId="39AA909F" w14:textId="0F7E8B26" w:rsidR="00E83523" w:rsidRPr="00EB4598" w:rsidRDefault="00E83523" w:rsidP="00E83523">
            <w:pPr>
              <w:spacing w:after="60"/>
              <w:jc w:val="right"/>
              <w:rPr>
                <w:rFonts w:ascii="Arial Narrow" w:hAnsi="Arial Narrow"/>
                <w:color w:val="000000"/>
                <w:sz w:val="16"/>
                <w:szCs w:val="16"/>
              </w:rPr>
            </w:pPr>
            <w:r>
              <w:rPr>
                <w:rFonts w:ascii="Arial Narrow" w:hAnsi="Arial Narrow" w:cs="Arial"/>
                <w:color w:val="000000"/>
                <w:sz w:val="16"/>
                <w:szCs w:val="16"/>
              </w:rPr>
              <w:t>+2070</w:t>
            </w:r>
          </w:p>
        </w:tc>
      </w:tr>
    </w:tbl>
    <w:p w14:paraId="0BCA5558" w14:textId="774333B4" w:rsidR="00257BA3" w:rsidRPr="00D350B5" w:rsidRDefault="00257BA3" w:rsidP="00257BA3">
      <w:pPr>
        <w:spacing w:after="120"/>
        <w:rPr>
          <w:rFonts w:eastAsia="Arial"/>
        </w:rPr>
      </w:pPr>
      <w:r>
        <w:rPr>
          <w:rFonts w:eastAsia="Arial"/>
          <w:i/>
          <w:sz w:val="10"/>
        </w:rPr>
        <w:t xml:space="preserve">                                                       </w:t>
      </w:r>
    </w:p>
    <w:p w14:paraId="6C38DA79" w14:textId="77777777" w:rsidR="00257BA3" w:rsidRDefault="00257BA3" w:rsidP="00257BA3">
      <w:pPr>
        <w:spacing w:after="200" w:line="276" w:lineRule="auto"/>
        <w:rPr>
          <w:rFonts w:ascii="Arial Bold" w:eastAsia="Arial" w:hAnsi="Arial Bold"/>
          <w:b/>
          <w:color w:val="005172"/>
        </w:rPr>
      </w:pPr>
    </w:p>
    <w:p w14:paraId="5C223510" w14:textId="77777777" w:rsidR="00257BA3" w:rsidRPr="00D350B5" w:rsidRDefault="00257BA3" w:rsidP="00257BA3">
      <w:pPr>
        <w:spacing w:after="200" w:line="276" w:lineRule="auto"/>
        <w:rPr>
          <w:rFonts w:ascii="Arial Bold" w:eastAsia="Arial" w:hAnsi="Arial Bold"/>
          <w:b/>
          <w:color w:val="005172"/>
        </w:rPr>
      </w:pPr>
      <w:r w:rsidRPr="00D350B5">
        <w:rPr>
          <w:rFonts w:ascii="Arial Bold" w:eastAsia="Arial" w:hAnsi="Arial Bold"/>
          <w:b/>
          <w:color w:val="005172"/>
        </w:rPr>
        <w:t xml:space="preserve">Expected </w:t>
      </w:r>
      <w:r w:rsidRPr="00C75948">
        <w:rPr>
          <w:rFonts w:ascii="Arial Bold" w:hAnsi="Arial Bold"/>
          <w:color w:val="005172" w:themeColor="accent1"/>
        </w:rPr>
        <w:t>Level</w:t>
      </w:r>
      <w:r w:rsidRPr="00D350B5">
        <w:rPr>
          <w:rFonts w:ascii="Arial Bold" w:eastAsia="Arial" w:hAnsi="Arial Bold"/>
          <w:b/>
          <w:color w:val="005172"/>
        </w:rPr>
        <w:t xml:space="preserve"> of Hague Income</w:t>
      </w:r>
    </w:p>
    <w:p w14:paraId="275A903D" w14:textId="77777777" w:rsidR="00257BA3" w:rsidRDefault="00257BA3" w:rsidP="008407D7">
      <w:pPr>
        <w:pStyle w:val="NormalNumb"/>
        <w:numPr>
          <w:ilvl w:val="4"/>
          <w:numId w:val="23"/>
        </w:numPr>
        <w:tabs>
          <w:tab w:val="left" w:pos="8505"/>
        </w:tabs>
      </w:pPr>
      <w:r w:rsidRPr="00D350B5">
        <w:t xml:space="preserve">The income generated by the Hague System is calculated based on the current fee schedule.  The main components of this schedule are the basic and renewal fees.  These two parts cover about 90 per cent of the income.  Other fees are grouped as “Others”. Chart </w:t>
      </w:r>
      <w:r>
        <w:t>9</w:t>
      </w:r>
      <w:r w:rsidRPr="00D350B5">
        <w:t xml:space="preserve"> below shows the estimated figures of the IPSAS-adjusted </w:t>
      </w:r>
      <w:r>
        <w:t xml:space="preserve">Hague </w:t>
      </w:r>
      <w:r w:rsidRPr="00D350B5">
        <w:t>fee income for the period 20</w:t>
      </w:r>
      <w:r>
        <w:t>23</w:t>
      </w:r>
      <w:r w:rsidRPr="00D350B5">
        <w:t> to 202</w:t>
      </w:r>
      <w:r>
        <w:t>5.</w:t>
      </w:r>
    </w:p>
    <w:p w14:paraId="585C3D70" w14:textId="750093DB" w:rsidR="00257BA3" w:rsidRDefault="00257BA3" w:rsidP="00257BA3">
      <w:pPr>
        <w:keepNext/>
        <w:keepLines/>
        <w:spacing w:before="240" w:after="60"/>
        <w:jc w:val="center"/>
        <w:rPr>
          <w:rFonts w:eastAsia="Arial"/>
          <w:b/>
          <w:color w:val="005172"/>
        </w:rPr>
      </w:pPr>
      <w:r w:rsidRPr="00D350B5">
        <w:rPr>
          <w:rFonts w:eastAsia="Arial"/>
          <w:b/>
          <w:color w:val="005172"/>
        </w:rPr>
        <w:t xml:space="preserve">Chart </w:t>
      </w:r>
      <w:r>
        <w:rPr>
          <w:rFonts w:eastAsia="Arial"/>
          <w:b/>
          <w:color w:val="005172"/>
        </w:rPr>
        <w:t>9</w:t>
      </w:r>
      <w:r w:rsidRPr="00D350B5">
        <w:rPr>
          <w:rFonts w:eastAsia="Arial"/>
          <w:b/>
          <w:color w:val="005172"/>
        </w:rPr>
        <w:t xml:space="preserve">.  IPSAS-Adjusted </w:t>
      </w:r>
      <w:r>
        <w:rPr>
          <w:rFonts w:eastAsia="Arial"/>
          <w:b/>
          <w:color w:val="005172"/>
        </w:rPr>
        <w:t>Hague</w:t>
      </w:r>
      <w:r w:rsidRPr="00D350B5">
        <w:rPr>
          <w:rFonts w:eastAsia="Arial"/>
          <w:b/>
          <w:color w:val="005172"/>
        </w:rPr>
        <w:t xml:space="preserve"> Income Forecast until 202</w:t>
      </w:r>
      <w:r>
        <w:rPr>
          <w:rFonts w:eastAsia="Arial"/>
          <w:b/>
          <w:color w:val="005172"/>
        </w:rPr>
        <w:t>5</w:t>
      </w:r>
    </w:p>
    <w:p w14:paraId="5B1A6109" w14:textId="064D1296" w:rsidR="00257BA3" w:rsidRDefault="00E83523" w:rsidP="00226134">
      <w:pPr>
        <w:keepNext/>
        <w:keepLines/>
        <w:spacing w:before="240" w:after="60"/>
        <w:jc w:val="center"/>
        <w:rPr>
          <w:rFonts w:eastAsia="Arial"/>
          <w:b/>
          <w:color w:val="005172"/>
        </w:rPr>
      </w:pPr>
      <w:r>
        <w:rPr>
          <w:noProof/>
          <w:lang w:val="en-US"/>
        </w:rPr>
        <w:drawing>
          <wp:inline distT="0" distB="0" distL="0" distR="0" wp14:anchorId="3CCA46CA" wp14:editId="60D03825">
            <wp:extent cx="4301490" cy="2379518"/>
            <wp:effectExtent l="0" t="0" r="3810" b="1905"/>
            <wp:docPr id="930" name="Chart 9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5CEC18F" w14:textId="77777777" w:rsidR="00226134" w:rsidRPr="00226134" w:rsidRDefault="00226134" w:rsidP="00226134">
      <w:pPr>
        <w:keepNext/>
        <w:keepLines/>
        <w:spacing w:after="60"/>
        <w:jc w:val="center"/>
        <w:rPr>
          <w:rFonts w:eastAsia="Arial"/>
          <w:b/>
          <w:color w:val="005172"/>
        </w:rPr>
      </w:pPr>
    </w:p>
    <w:tbl>
      <w:tblPr>
        <w:tblW w:w="7942" w:type="dxa"/>
        <w:jc w:val="center"/>
        <w:tblLook w:val="04A0" w:firstRow="1" w:lastRow="0" w:firstColumn="1" w:lastColumn="0" w:noHBand="0" w:noVBand="1"/>
      </w:tblPr>
      <w:tblGrid>
        <w:gridCol w:w="1745"/>
        <w:gridCol w:w="999"/>
        <w:gridCol w:w="999"/>
        <w:gridCol w:w="999"/>
        <w:gridCol w:w="1202"/>
        <w:gridCol w:w="999"/>
        <w:gridCol w:w="999"/>
      </w:tblGrid>
      <w:tr w:rsidR="00257BA3" w:rsidRPr="00874E03" w14:paraId="1E9A10E1" w14:textId="77777777" w:rsidTr="00A91805">
        <w:trPr>
          <w:trHeight w:val="442"/>
          <w:jc w:val="center"/>
        </w:trPr>
        <w:tc>
          <w:tcPr>
            <w:tcW w:w="1745" w:type="dxa"/>
            <w:shd w:val="clear" w:color="auto" w:fill="C6CFD7" w:themeFill="accent3" w:themeFillTint="66"/>
            <w:noWrap/>
            <w:hideMark/>
          </w:tcPr>
          <w:p w14:paraId="1E0984CB" w14:textId="77777777" w:rsidR="00257BA3" w:rsidRPr="00874E03" w:rsidRDefault="00257BA3" w:rsidP="00A91805">
            <w:pPr>
              <w:spacing w:after="0" w:line="240" w:lineRule="auto"/>
              <w:rPr>
                <w:rFonts w:ascii="Arial Narrow" w:eastAsia="Times New Roman" w:hAnsi="Arial Narrow" w:cs="Arial"/>
                <w:color w:val="000000"/>
                <w:szCs w:val="18"/>
                <w:lang w:val="en-US"/>
              </w:rPr>
            </w:pPr>
            <w:r w:rsidRPr="00D350B5">
              <w:rPr>
                <w:rFonts w:ascii="Arial Narrow" w:hAnsi="Arial Narrow"/>
                <w:color w:val="000000"/>
                <w:sz w:val="16"/>
                <w:szCs w:val="16"/>
              </w:rPr>
              <w:t> </w:t>
            </w:r>
          </w:p>
        </w:tc>
        <w:tc>
          <w:tcPr>
            <w:tcW w:w="999" w:type="dxa"/>
            <w:tcBorders>
              <w:top w:val="nil"/>
              <w:left w:val="nil"/>
              <w:right w:val="nil"/>
            </w:tcBorders>
            <w:shd w:val="clear" w:color="000000" w:fill="C7CFD8"/>
            <w:noWrap/>
            <w:vAlign w:val="bottom"/>
            <w:hideMark/>
          </w:tcPr>
          <w:p w14:paraId="6E381026"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999" w:type="dxa"/>
            <w:tcBorders>
              <w:top w:val="nil"/>
              <w:left w:val="nil"/>
              <w:right w:val="nil"/>
            </w:tcBorders>
            <w:shd w:val="clear" w:color="000000" w:fill="C7CFD8"/>
            <w:noWrap/>
            <w:vAlign w:val="bottom"/>
            <w:hideMark/>
          </w:tcPr>
          <w:p w14:paraId="77D068AE"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999" w:type="dxa"/>
            <w:tcBorders>
              <w:top w:val="nil"/>
              <w:left w:val="nil"/>
              <w:right w:val="nil"/>
            </w:tcBorders>
            <w:shd w:val="clear" w:color="000000" w:fill="C7CFD8"/>
            <w:noWrap/>
            <w:vAlign w:val="bottom"/>
            <w:hideMark/>
          </w:tcPr>
          <w:p w14:paraId="114CC430"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1202" w:type="dxa"/>
            <w:tcBorders>
              <w:top w:val="nil"/>
              <w:left w:val="nil"/>
              <w:right w:val="nil"/>
            </w:tcBorders>
            <w:shd w:val="clear" w:color="000000" w:fill="C7CFD8"/>
            <w:vAlign w:val="bottom"/>
            <w:hideMark/>
          </w:tcPr>
          <w:p w14:paraId="490F2B58"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65FEBADD"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Estimates</w:t>
            </w:r>
          </w:p>
        </w:tc>
        <w:tc>
          <w:tcPr>
            <w:tcW w:w="999" w:type="dxa"/>
            <w:tcBorders>
              <w:top w:val="nil"/>
              <w:left w:val="nil"/>
              <w:right w:val="nil"/>
            </w:tcBorders>
            <w:shd w:val="clear" w:color="000000" w:fill="C7CFD8"/>
            <w:vAlign w:val="bottom"/>
            <w:hideMark/>
          </w:tcPr>
          <w:p w14:paraId="78539FB3"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3B229A0D"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 xml:space="preserve"> Estimates</w:t>
            </w:r>
          </w:p>
        </w:tc>
        <w:tc>
          <w:tcPr>
            <w:tcW w:w="999" w:type="dxa"/>
            <w:tcBorders>
              <w:top w:val="nil"/>
              <w:left w:val="nil"/>
              <w:right w:val="nil"/>
            </w:tcBorders>
            <w:shd w:val="clear" w:color="000000" w:fill="C7CFD8"/>
            <w:vAlign w:val="bottom"/>
            <w:hideMark/>
          </w:tcPr>
          <w:p w14:paraId="397CC0A9"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01F7E85E"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Estimates</w:t>
            </w:r>
          </w:p>
        </w:tc>
      </w:tr>
      <w:tr w:rsidR="00E83523" w:rsidRPr="00874E03" w14:paraId="52B04F7D" w14:textId="77777777" w:rsidTr="002356E0">
        <w:trPr>
          <w:trHeight w:val="220"/>
          <w:jc w:val="center"/>
        </w:trPr>
        <w:tc>
          <w:tcPr>
            <w:tcW w:w="1745" w:type="dxa"/>
            <w:tcBorders>
              <w:top w:val="single" w:sz="4" w:space="0" w:color="BFBFBF" w:themeColor="background1" w:themeShade="BF"/>
              <w:left w:val="nil"/>
              <w:bottom w:val="single" w:sz="4" w:space="0" w:color="BFBFBF" w:themeColor="background1" w:themeShade="BF"/>
              <w:right w:val="nil"/>
            </w:tcBorders>
            <w:shd w:val="clear" w:color="000000" w:fill="FFFFFF"/>
            <w:noWrap/>
            <w:vAlign w:val="bottom"/>
            <w:hideMark/>
          </w:tcPr>
          <w:p w14:paraId="17863A18" w14:textId="77777777" w:rsidR="00E83523" w:rsidRPr="00874E03" w:rsidRDefault="00E83523" w:rsidP="00E83523">
            <w:pPr>
              <w:spacing w:after="0" w:line="240" w:lineRule="auto"/>
              <w:rPr>
                <w:rFonts w:ascii="Arial Narrow" w:eastAsia="Times New Roman" w:hAnsi="Arial Narrow" w:cs="Arial"/>
                <w:color w:val="000000"/>
                <w:sz w:val="16"/>
                <w:szCs w:val="16"/>
                <w:lang w:val="en-US"/>
              </w:rPr>
            </w:pPr>
            <w:r w:rsidRPr="00874E03">
              <w:rPr>
                <w:rFonts w:ascii="Arial Narrow" w:eastAsia="Times New Roman" w:hAnsi="Arial Narrow" w:cs="Arial"/>
                <w:color w:val="000000"/>
                <w:sz w:val="16"/>
                <w:szCs w:val="16"/>
                <w:lang w:val="en-US"/>
              </w:rPr>
              <w:t>Income (million CHF)</w:t>
            </w:r>
          </w:p>
        </w:tc>
        <w:tc>
          <w:tcPr>
            <w:tcW w:w="999" w:type="dxa"/>
            <w:tcBorders>
              <w:top w:val="single" w:sz="4" w:space="0" w:color="BFBFBF"/>
              <w:left w:val="nil"/>
              <w:bottom w:val="single" w:sz="4" w:space="0" w:color="BFBFBF"/>
              <w:right w:val="nil"/>
            </w:tcBorders>
            <w:shd w:val="clear" w:color="000000" w:fill="FFFFFF"/>
            <w:noWrap/>
            <w:vAlign w:val="bottom"/>
            <w:hideMark/>
          </w:tcPr>
          <w:p w14:paraId="136F7799" w14:textId="77777777"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5.5</w:t>
            </w:r>
          </w:p>
        </w:tc>
        <w:tc>
          <w:tcPr>
            <w:tcW w:w="999" w:type="dxa"/>
            <w:tcBorders>
              <w:top w:val="single" w:sz="4" w:space="0" w:color="BFBFBF"/>
              <w:left w:val="nil"/>
              <w:bottom w:val="single" w:sz="4" w:space="0" w:color="BFBFBF"/>
              <w:right w:val="nil"/>
            </w:tcBorders>
            <w:shd w:val="clear" w:color="000000" w:fill="FFFFFF"/>
            <w:noWrap/>
            <w:vAlign w:val="bottom"/>
            <w:hideMark/>
          </w:tcPr>
          <w:p w14:paraId="364BE9FF" w14:textId="77777777"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6.1</w:t>
            </w:r>
          </w:p>
        </w:tc>
        <w:tc>
          <w:tcPr>
            <w:tcW w:w="999" w:type="dxa"/>
            <w:tcBorders>
              <w:top w:val="single" w:sz="4" w:space="0" w:color="BFBFBF"/>
              <w:left w:val="nil"/>
              <w:bottom w:val="single" w:sz="4" w:space="0" w:color="BFBFBF"/>
              <w:right w:val="nil"/>
            </w:tcBorders>
            <w:shd w:val="clear" w:color="000000" w:fill="FFFFFF"/>
            <w:noWrap/>
            <w:vAlign w:val="bottom"/>
            <w:hideMark/>
          </w:tcPr>
          <w:p w14:paraId="195CA512" w14:textId="3397D075"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8"/>
              </w:rPr>
              <w:t>6.7</w:t>
            </w:r>
          </w:p>
        </w:tc>
        <w:tc>
          <w:tcPr>
            <w:tcW w:w="1202" w:type="dxa"/>
            <w:tcBorders>
              <w:top w:val="single" w:sz="4" w:space="0" w:color="BFBFBF"/>
              <w:left w:val="nil"/>
              <w:bottom w:val="single" w:sz="4" w:space="0" w:color="BFBFBF"/>
              <w:right w:val="nil"/>
            </w:tcBorders>
            <w:shd w:val="clear" w:color="000000" w:fill="FFFFFF"/>
            <w:noWrap/>
            <w:vAlign w:val="bottom"/>
          </w:tcPr>
          <w:p w14:paraId="12355751" w14:textId="6224F0C5"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7.7</w:t>
            </w:r>
          </w:p>
        </w:tc>
        <w:tc>
          <w:tcPr>
            <w:tcW w:w="999" w:type="dxa"/>
            <w:tcBorders>
              <w:top w:val="single" w:sz="4" w:space="0" w:color="BFBFBF"/>
              <w:left w:val="nil"/>
              <w:bottom w:val="single" w:sz="4" w:space="0" w:color="BFBFBF"/>
              <w:right w:val="nil"/>
            </w:tcBorders>
            <w:shd w:val="clear" w:color="000000" w:fill="FFFFFF"/>
            <w:noWrap/>
            <w:vAlign w:val="bottom"/>
          </w:tcPr>
          <w:p w14:paraId="2363859C" w14:textId="3E358E5B"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8.4</w:t>
            </w:r>
          </w:p>
        </w:tc>
        <w:tc>
          <w:tcPr>
            <w:tcW w:w="999" w:type="dxa"/>
            <w:tcBorders>
              <w:top w:val="single" w:sz="4" w:space="0" w:color="BFBFBF"/>
              <w:left w:val="nil"/>
              <w:bottom w:val="single" w:sz="4" w:space="0" w:color="BFBFBF"/>
              <w:right w:val="nil"/>
            </w:tcBorders>
            <w:shd w:val="clear" w:color="000000" w:fill="FFFFFF"/>
            <w:noWrap/>
            <w:vAlign w:val="bottom"/>
          </w:tcPr>
          <w:p w14:paraId="3C097A94" w14:textId="27A31C44"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9.1</w:t>
            </w:r>
          </w:p>
        </w:tc>
      </w:tr>
      <w:tr w:rsidR="00E83523" w:rsidRPr="00874E03" w14:paraId="4D73C3B3" w14:textId="77777777" w:rsidTr="002356E0">
        <w:trPr>
          <w:trHeight w:val="220"/>
          <w:jc w:val="center"/>
        </w:trPr>
        <w:tc>
          <w:tcPr>
            <w:tcW w:w="1745" w:type="dxa"/>
            <w:tcBorders>
              <w:top w:val="single" w:sz="4" w:space="0" w:color="BFBFBF" w:themeColor="background1" w:themeShade="BF"/>
              <w:left w:val="nil"/>
              <w:bottom w:val="nil"/>
              <w:right w:val="nil"/>
            </w:tcBorders>
            <w:shd w:val="clear" w:color="000000" w:fill="FFFFFF"/>
            <w:noWrap/>
            <w:vAlign w:val="bottom"/>
            <w:hideMark/>
          </w:tcPr>
          <w:p w14:paraId="50E65270" w14:textId="77777777" w:rsidR="00E83523" w:rsidRPr="00874E03" w:rsidRDefault="00E83523" w:rsidP="00E83523">
            <w:pPr>
              <w:spacing w:after="0" w:line="240" w:lineRule="auto"/>
              <w:rPr>
                <w:rFonts w:ascii="Arial Narrow" w:eastAsia="Times New Roman" w:hAnsi="Arial Narrow" w:cs="Arial"/>
                <w:color w:val="000000"/>
                <w:sz w:val="16"/>
                <w:szCs w:val="16"/>
                <w:lang w:val="en-US"/>
              </w:rPr>
            </w:pPr>
            <w:r w:rsidRPr="00874E03">
              <w:rPr>
                <w:rFonts w:ascii="Arial Narrow" w:eastAsia="Times New Roman" w:hAnsi="Arial Narrow" w:cs="Arial"/>
                <w:color w:val="000000"/>
                <w:sz w:val="16"/>
                <w:szCs w:val="16"/>
                <w:lang w:val="en-US"/>
              </w:rPr>
              <w:t>Growth</w:t>
            </w:r>
          </w:p>
        </w:tc>
        <w:tc>
          <w:tcPr>
            <w:tcW w:w="999" w:type="dxa"/>
            <w:tcBorders>
              <w:top w:val="nil"/>
              <w:left w:val="nil"/>
              <w:bottom w:val="nil"/>
              <w:right w:val="nil"/>
            </w:tcBorders>
            <w:shd w:val="clear" w:color="000000" w:fill="FFFFFF"/>
            <w:noWrap/>
            <w:vAlign w:val="bottom"/>
          </w:tcPr>
          <w:p w14:paraId="2EF57F56" w14:textId="49CDE5CB" w:rsidR="00E83523" w:rsidRPr="002356E0" w:rsidRDefault="00E83523" w:rsidP="002356E0">
            <w:pPr>
              <w:spacing w:after="0" w:line="240" w:lineRule="auto"/>
              <w:jc w:val="right"/>
              <w:rPr>
                <w:rFonts w:ascii="Arial Narrow" w:hAnsi="Arial Narrow" w:cs="Arial"/>
                <w:color w:val="000000"/>
                <w:sz w:val="16"/>
                <w:szCs w:val="16"/>
              </w:rPr>
            </w:pPr>
            <w:r>
              <w:rPr>
                <w:rFonts w:ascii="Arial Narrow" w:hAnsi="Arial Narrow" w:cs="Arial"/>
                <w:color w:val="000000"/>
                <w:sz w:val="16"/>
                <w:szCs w:val="16"/>
              </w:rPr>
              <w:t>7.6%</w:t>
            </w:r>
          </w:p>
        </w:tc>
        <w:tc>
          <w:tcPr>
            <w:tcW w:w="999" w:type="dxa"/>
            <w:tcBorders>
              <w:top w:val="nil"/>
              <w:left w:val="nil"/>
              <w:bottom w:val="nil"/>
              <w:right w:val="nil"/>
            </w:tcBorders>
            <w:shd w:val="clear" w:color="000000" w:fill="FFFFFF"/>
            <w:noWrap/>
            <w:vAlign w:val="bottom"/>
          </w:tcPr>
          <w:p w14:paraId="1B22C842" w14:textId="7AF5736F" w:rsidR="00E83523" w:rsidRPr="002356E0" w:rsidRDefault="00E83523" w:rsidP="00226134">
            <w:pPr>
              <w:spacing w:after="0" w:line="240" w:lineRule="auto"/>
              <w:jc w:val="right"/>
              <w:rPr>
                <w:rFonts w:ascii="Arial Narrow" w:hAnsi="Arial Narrow" w:cs="Arial"/>
                <w:color w:val="000000"/>
                <w:sz w:val="16"/>
                <w:szCs w:val="16"/>
              </w:rPr>
            </w:pPr>
            <w:r>
              <w:rPr>
                <w:rFonts w:ascii="Arial Narrow" w:hAnsi="Arial Narrow" w:cs="Arial"/>
                <w:color w:val="000000"/>
                <w:sz w:val="16"/>
                <w:szCs w:val="16"/>
              </w:rPr>
              <w:t>11.6%</w:t>
            </w:r>
          </w:p>
        </w:tc>
        <w:tc>
          <w:tcPr>
            <w:tcW w:w="999" w:type="dxa"/>
            <w:tcBorders>
              <w:top w:val="nil"/>
              <w:left w:val="nil"/>
              <w:bottom w:val="nil"/>
              <w:right w:val="nil"/>
            </w:tcBorders>
            <w:shd w:val="clear" w:color="000000" w:fill="FFFFFF"/>
            <w:noWrap/>
            <w:vAlign w:val="bottom"/>
          </w:tcPr>
          <w:p w14:paraId="2069406E" w14:textId="355A6F99"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9.7%</w:t>
            </w:r>
          </w:p>
        </w:tc>
        <w:tc>
          <w:tcPr>
            <w:tcW w:w="1202" w:type="dxa"/>
            <w:tcBorders>
              <w:top w:val="nil"/>
              <w:left w:val="nil"/>
              <w:bottom w:val="nil"/>
              <w:right w:val="nil"/>
            </w:tcBorders>
            <w:shd w:val="clear" w:color="000000" w:fill="FFFFFF"/>
            <w:noWrap/>
            <w:vAlign w:val="bottom"/>
          </w:tcPr>
          <w:p w14:paraId="00D97523" w14:textId="6978073D"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14.4%</w:t>
            </w:r>
          </w:p>
        </w:tc>
        <w:tc>
          <w:tcPr>
            <w:tcW w:w="999" w:type="dxa"/>
            <w:tcBorders>
              <w:top w:val="nil"/>
              <w:left w:val="nil"/>
              <w:bottom w:val="nil"/>
              <w:right w:val="nil"/>
            </w:tcBorders>
            <w:shd w:val="clear" w:color="000000" w:fill="FFFFFF"/>
            <w:noWrap/>
            <w:vAlign w:val="bottom"/>
          </w:tcPr>
          <w:p w14:paraId="316F6388" w14:textId="3CBA9404"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8.6%</w:t>
            </w:r>
          </w:p>
        </w:tc>
        <w:tc>
          <w:tcPr>
            <w:tcW w:w="999" w:type="dxa"/>
            <w:tcBorders>
              <w:top w:val="nil"/>
              <w:left w:val="nil"/>
              <w:bottom w:val="nil"/>
              <w:right w:val="nil"/>
            </w:tcBorders>
            <w:shd w:val="clear" w:color="000000" w:fill="FFFFFF"/>
            <w:noWrap/>
            <w:vAlign w:val="bottom"/>
          </w:tcPr>
          <w:p w14:paraId="194A2B81" w14:textId="5CCD23A9"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9.1%</w:t>
            </w:r>
          </w:p>
        </w:tc>
      </w:tr>
      <w:tr w:rsidR="00E83523" w:rsidRPr="00874E03" w14:paraId="321B8CC5" w14:textId="77777777" w:rsidTr="002356E0">
        <w:trPr>
          <w:trHeight w:val="220"/>
          <w:jc w:val="center"/>
        </w:trPr>
        <w:tc>
          <w:tcPr>
            <w:tcW w:w="1745" w:type="dxa"/>
            <w:tcBorders>
              <w:top w:val="nil"/>
              <w:left w:val="nil"/>
              <w:right w:val="nil"/>
            </w:tcBorders>
            <w:shd w:val="clear" w:color="000000" w:fill="FFFFFF"/>
            <w:noWrap/>
            <w:vAlign w:val="bottom"/>
            <w:hideMark/>
          </w:tcPr>
          <w:p w14:paraId="6D278553" w14:textId="77777777" w:rsidR="00E83523" w:rsidRPr="00874E03" w:rsidRDefault="00E83523" w:rsidP="00E83523">
            <w:pPr>
              <w:spacing w:after="0" w:line="240" w:lineRule="auto"/>
              <w:rPr>
                <w:rFonts w:ascii="Arial Narrow" w:eastAsia="Times New Roman" w:hAnsi="Arial Narrow" w:cs="Arial"/>
                <w:color w:val="000000"/>
                <w:sz w:val="16"/>
                <w:szCs w:val="16"/>
                <w:lang w:val="en-US"/>
              </w:rPr>
            </w:pPr>
            <w:r w:rsidRPr="00874E03">
              <w:rPr>
                <w:rFonts w:ascii="Arial Narrow" w:eastAsia="Times New Roman" w:hAnsi="Arial Narrow" w:cs="Arial"/>
                <w:color w:val="000000"/>
                <w:sz w:val="16"/>
                <w:szCs w:val="16"/>
                <w:lang w:val="en-US"/>
              </w:rPr>
              <w:t>Low bound</w:t>
            </w:r>
          </w:p>
        </w:tc>
        <w:tc>
          <w:tcPr>
            <w:tcW w:w="999" w:type="dxa"/>
            <w:tcBorders>
              <w:top w:val="nil"/>
              <w:left w:val="nil"/>
              <w:bottom w:val="nil"/>
              <w:right w:val="nil"/>
            </w:tcBorders>
            <w:shd w:val="clear" w:color="000000" w:fill="FFFFFF"/>
            <w:noWrap/>
            <w:vAlign w:val="bottom"/>
            <w:hideMark/>
          </w:tcPr>
          <w:p w14:paraId="2032BAD7"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999" w:type="dxa"/>
            <w:tcBorders>
              <w:top w:val="nil"/>
              <w:left w:val="nil"/>
              <w:bottom w:val="nil"/>
              <w:right w:val="nil"/>
            </w:tcBorders>
            <w:shd w:val="clear" w:color="000000" w:fill="FFFFFF"/>
            <w:noWrap/>
            <w:vAlign w:val="bottom"/>
            <w:hideMark/>
          </w:tcPr>
          <w:p w14:paraId="55367CFB"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999" w:type="dxa"/>
            <w:tcBorders>
              <w:top w:val="nil"/>
              <w:left w:val="nil"/>
              <w:bottom w:val="nil"/>
              <w:right w:val="nil"/>
            </w:tcBorders>
            <w:shd w:val="clear" w:color="000000" w:fill="FFFFFF"/>
            <w:noWrap/>
            <w:vAlign w:val="bottom"/>
            <w:hideMark/>
          </w:tcPr>
          <w:p w14:paraId="26658FD6"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1202" w:type="dxa"/>
            <w:tcBorders>
              <w:top w:val="nil"/>
              <w:left w:val="nil"/>
              <w:bottom w:val="nil"/>
              <w:right w:val="nil"/>
            </w:tcBorders>
            <w:shd w:val="clear" w:color="000000" w:fill="FFFFFF"/>
            <w:noWrap/>
            <w:vAlign w:val="bottom"/>
          </w:tcPr>
          <w:p w14:paraId="214BD8BD" w14:textId="44DDEBCD"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-1.0</w:t>
            </w:r>
          </w:p>
        </w:tc>
        <w:tc>
          <w:tcPr>
            <w:tcW w:w="999" w:type="dxa"/>
            <w:tcBorders>
              <w:top w:val="nil"/>
              <w:left w:val="nil"/>
              <w:bottom w:val="nil"/>
              <w:right w:val="nil"/>
            </w:tcBorders>
            <w:shd w:val="clear" w:color="000000" w:fill="FFFFFF"/>
            <w:noWrap/>
            <w:vAlign w:val="bottom"/>
          </w:tcPr>
          <w:p w14:paraId="75C695E3" w14:textId="10ABF669"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-2.0</w:t>
            </w:r>
          </w:p>
        </w:tc>
        <w:tc>
          <w:tcPr>
            <w:tcW w:w="999" w:type="dxa"/>
            <w:tcBorders>
              <w:top w:val="nil"/>
              <w:left w:val="nil"/>
              <w:bottom w:val="nil"/>
              <w:right w:val="nil"/>
            </w:tcBorders>
            <w:shd w:val="clear" w:color="000000" w:fill="FFFFFF"/>
            <w:noWrap/>
            <w:vAlign w:val="bottom"/>
          </w:tcPr>
          <w:p w14:paraId="5E710D64" w14:textId="3018D2F1"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-2.5</w:t>
            </w:r>
          </w:p>
        </w:tc>
      </w:tr>
      <w:tr w:rsidR="00E83523" w:rsidRPr="00874E03" w14:paraId="24CEAD24" w14:textId="77777777" w:rsidTr="002356E0">
        <w:trPr>
          <w:trHeight w:val="220"/>
          <w:jc w:val="center"/>
        </w:trPr>
        <w:tc>
          <w:tcPr>
            <w:tcW w:w="1745" w:type="dxa"/>
            <w:tcBorders>
              <w:top w:val="nil"/>
              <w:left w:val="nil"/>
              <w:bottom w:val="single" w:sz="4" w:space="0" w:color="BFBFBF" w:themeColor="background1" w:themeShade="BF"/>
              <w:right w:val="nil"/>
            </w:tcBorders>
            <w:shd w:val="clear" w:color="000000" w:fill="FFFFFF"/>
            <w:noWrap/>
            <w:vAlign w:val="bottom"/>
            <w:hideMark/>
          </w:tcPr>
          <w:p w14:paraId="65F43A6E" w14:textId="77777777" w:rsidR="00E83523" w:rsidRPr="00874E03" w:rsidRDefault="00E83523" w:rsidP="00E83523">
            <w:pPr>
              <w:spacing w:after="0" w:line="240" w:lineRule="auto"/>
              <w:rPr>
                <w:rFonts w:ascii="Arial Narrow" w:eastAsia="Times New Roman" w:hAnsi="Arial Narrow" w:cs="Arial"/>
                <w:color w:val="000000"/>
                <w:sz w:val="16"/>
                <w:szCs w:val="16"/>
                <w:lang w:val="en-US"/>
              </w:rPr>
            </w:pPr>
            <w:r w:rsidRPr="00874E03">
              <w:rPr>
                <w:rFonts w:ascii="Arial Narrow" w:eastAsia="Times New Roman" w:hAnsi="Arial Narrow" w:cs="Arial"/>
                <w:color w:val="000000"/>
                <w:sz w:val="16"/>
                <w:szCs w:val="16"/>
                <w:lang w:val="en-US"/>
              </w:rPr>
              <w:t>High bound</w:t>
            </w:r>
          </w:p>
        </w:tc>
        <w:tc>
          <w:tcPr>
            <w:tcW w:w="999" w:type="dxa"/>
            <w:tcBorders>
              <w:top w:val="nil"/>
              <w:left w:val="nil"/>
              <w:bottom w:val="single" w:sz="4" w:space="0" w:color="BFBFBF"/>
              <w:right w:val="nil"/>
            </w:tcBorders>
            <w:shd w:val="clear" w:color="000000" w:fill="FFFFFF"/>
            <w:noWrap/>
            <w:vAlign w:val="bottom"/>
            <w:hideMark/>
          </w:tcPr>
          <w:p w14:paraId="65727822"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999" w:type="dxa"/>
            <w:tcBorders>
              <w:top w:val="nil"/>
              <w:left w:val="nil"/>
              <w:bottom w:val="single" w:sz="4" w:space="0" w:color="BFBFBF"/>
              <w:right w:val="nil"/>
            </w:tcBorders>
            <w:shd w:val="clear" w:color="000000" w:fill="FFFFFF"/>
            <w:noWrap/>
            <w:vAlign w:val="bottom"/>
            <w:hideMark/>
          </w:tcPr>
          <w:p w14:paraId="737798F3"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999" w:type="dxa"/>
            <w:tcBorders>
              <w:top w:val="nil"/>
              <w:left w:val="nil"/>
              <w:bottom w:val="single" w:sz="4" w:space="0" w:color="BFBFBF"/>
              <w:right w:val="nil"/>
            </w:tcBorders>
            <w:shd w:val="clear" w:color="000000" w:fill="FFFFFF"/>
            <w:noWrap/>
            <w:vAlign w:val="bottom"/>
            <w:hideMark/>
          </w:tcPr>
          <w:p w14:paraId="4E3391FF" w14:textId="77777777" w:rsidR="00E83523" w:rsidRPr="001374A3" w:rsidRDefault="00E83523" w:rsidP="00E83523">
            <w:pPr>
              <w:spacing w:after="0" w:line="240" w:lineRule="auto"/>
              <w:rPr>
                <w:rFonts w:ascii="Arial Narrow" w:eastAsia="Times New Roman" w:hAnsi="Arial Narrow" w:cs="Arial"/>
                <w:color w:val="000000"/>
                <w:sz w:val="16"/>
                <w:szCs w:val="16"/>
                <w:lang w:val="en-US"/>
              </w:rPr>
            </w:pPr>
            <w:r w:rsidRPr="001374A3">
              <w:rPr>
                <w:rFonts w:ascii="Arial Narrow" w:hAnsi="Arial Narrow" w:cs="Arial"/>
                <w:color w:val="000000"/>
                <w:sz w:val="16"/>
                <w:szCs w:val="18"/>
              </w:rPr>
              <w:t> </w:t>
            </w:r>
          </w:p>
        </w:tc>
        <w:tc>
          <w:tcPr>
            <w:tcW w:w="1202" w:type="dxa"/>
            <w:tcBorders>
              <w:top w:val="nil"/>
              <w:left w:val="nil"/>
              <w:bottom w:val="single" w:sz="4" w:space="0" w:color="BFBFBF"/>
              <w:right w:val="nil"/>
            </w:tcBorders>
            <w:shd w:val="clear" w:color="000000" w:fill="FFFFFF"/>
            <w:noWrap/>
            <w:vAlign w:val="bottom"/>
          </w:tcPr>
          <w:p w14:paraId="2B74B6E2" w14:textId="43613540"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+1.2</w:t>
            </w:r>
          </w:p>
        </w:tc>
        <w:tc>
          <w:tcPr>
            <w:tcW w:w="999" w:type="dxa"/>
            <w:tcBorders>
              <w:top w:val="nil"/>
              <w:left w:val="nil"/>
              <w:bottom w:val="single" w:sz="4" w:space="0" w:color="BFBFBF"/>
              <w:right w:val="nil"/>
            </w:tcBorders>
            <w:shd w:val="clear" w:color="000000" w:fill="FFFFFF"/>
            <w:noWrap/>
            <w:vAlign w:val="bottom"/>
          </w:tcPr>
          <w:p w14:paraId="3798CE60" w14:textId="0344BFF4"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+2.3</w:t>
            </w:r>
          </w:p>
        </w:tc>
        <w:tc>
          <w:tcPr>
            <w:tcW w:w="999" w:type="dxa"/>
            <w:tcBorders>
              <w:top w:val="nil"/>
              <w:left w:val="nil"/>
              <w:bottom w:val="single" w:sz="4" w:space="0" w:color="BFBFBF"/>
              <w:right w:val="nil"/>
            </w:tcBorders>
            <w:shd w:val="clear" w:color="000000" w:fill="FFFFFF"/>
            <w:noWrap/>
            <w:vAlign w:val="bottom"/>
          </w:tcPr>
          <w:p w14:paraId="7C31FD48" w14:textId="7F84B619" w:rsidR="00E83523" w:rsidRPr="001374A3" w:rsidRDefault="00E83523" w:rsidP="00E83523">
            <w:pPr>
              <w:spacing w:after="0" w:line="240" w:lineRule="auto"/>
              <w:jc w:val="right"/>
              <w:rPr>
                <w:rFonts w:ascii="Arial Narrow" w:eastAsia="Times New Roman" w:hAnsi="Arial Narrow" w:cs="Arial"/>
                <w:color w:val="000000"/>
                <w:sz w:val="16"/>
                <w:szCs w:val="16"/>
                <w:lang w:val="en-US"/>
              </w:rPr>
            </w:pPr>
            <w:r>
              <w:rPr>
                <w:rFonts w:ascii="Arial Narrow" w:hAnsi="Arial Narrow" w:cs="Arial"/>
                <w:color w:val="000000"/>
                <w:sz w:val="16"/>
                <w:szCs w:val="16"/>
              </w:rPr>
              <w:t>+3.0</w:t>
            </w:r>
          </w:p>
        </w:tc>
      </w:tr>
    </w:tbl>
    <w:p w14:paraId="27D50CD4" w14:textId="11FD7785" w:rsidR="00257BA3" w:rsidRDefault="00257BA3" w:rsidP="002356E0">
      <w:pPr>
        <w:spacing w:after="120"/>
        <w:rPr>
          <w:rFonts w:ascii="Arial Narrow" w:eastAsia="Arial" w:hAnsi="Arial Narrow"/>
          <w:i/>
          <w:sz w:val="16"/>
          <w:szCs w:val="16"/>
        </w:rPr>
      </w:pPr>
      <w:r>
        <w:rPr>
          <w:rFonts w:ascii="Arial Narrow" w:eastAsia="Arial" w:hAnsi="Arial Narrow"/>
          <w:i/>
          <w:sz w:val="16"/>
          <w:szCs w:val="16"/>
        </w:rPr>
        <w:t xml:space="preserve">                       </w:t>
      </w:r>
    </w:p>
    <w:p w14:paraId="1D6C9B92" w14:textId="77777777" w:rsidR="00257BA3" w:rsidRPr="00D350B5" w:rsidRDefault="00257BA3" w:rsidP="008407D7">
      <w:pPr>
        <w:pStyle w:val="NormalNumb"/>
        <w:numPr>
          <w:ilvl w:val="4"/>
          <w:numId w:val="23"/>
        </w:numPr>
        <w:tabs>
          <w:tab w:val="left" w:pos="8505"/>
        </w:tabs>
      </w:pPr>
      <w:r w:rsidRPr="00874E03">
        <w:t>Income estimates for 202</w:t>
      </w:r>
      <w:r>
        <w:t>0</w:t>
      </w:r>
      <w:r w:rsidRPr="00874E03">
        <w:t xml:space="preserve"> to 202</w:t>
      </w:r>
      <w:r>
        <w:t>5</w:t>
      </w:r>
      <w:r w:rsidRPr="00874E03">
        <w:t xml:space="preserve"> in the table below are based on the expected numbers of international registrations and renewals.  It should be noted that the income estimates given below are based on the assumption that no changes to the schedule of fees payable to the IB under the Hague system will take place in the forthcoming years.</w:t>
      </w:r>
    </w:p>
    <w:p w14:paraId="6A98ED2E" w14:textId="77777777" w:rsidR="00257BA3" w:rsidRPr="00D350B5" w:rsidRDefault="00257BA3" w:rsidP="00257BA3">
      <w:pPr>
        <w:keepNext/>
        <w:keepLines/>
        <w:spacing w:after="120"/>
        <w:jc w:val="center"/>
        <w:rPr>
          <w:rFonts w:eastAsia="Arial"/>
          <w:b/>
          <w:color w:val="005172"/>
        </w:rPr>
      </w:pPr>
      <w:r>
        <w:rPr>
          <w:rFonts w:eastAsia="Arial"/>
          <w:b/>
          <w:color w:val="005172"/>
        </w:rPr>
        <w:t>Hague</w:t>
      </w:r>
      <w:r w:rsidRPr="00D350B5">
        <w:rPr>
          <w:rFonts w:eastAsia="Arial"/>
          <w:b/>
          <w:color w:val="005172"/>
        </w:rPr>
        <w:t xml:space="preserve"> Total Fee Income and Average Fee</w:t>
      </w:r>
    </w:p>
    <w:tbl>
      <w:tblPr>
        <w:tblW w:w="8514" w:type="dxa"/>
        <w:jc w:val="center"/>
        <w:tblLook w:val="04A0" w:firstRow="1" w:lastRow="0" w:firstColumn="1" w:lastColumn="0" w:noHBand="0" w:noVBand="1"/>
      </w:tblPr>
      <w:tblGrid>
        <w:gridCol w:w="1870"/>
        <w:gridCol w:w="1071"/>
        <w:gridCol w:w="1071"/>
        <w:gridCol w:w="1071"/>
        <w:gridCol w:w="1289"/>
        <w:gridCol w:w="1071"/>
        <w:gridCol w:w="1071"/>
      </w:tblGrid>
      <w:tr w:rsidR="00257BA3" w:rsidRPr="00874E03" w14:paraId="317AFDE1" w14:textId="77777777" w:rsidTr="00A91805">
        <w:trPr>
          <w:trHeight w:val="520"/>
          <w:jc w:val="center"/>
        </w:trPr>
        <w:tc>
          <w:tcPr>
            <w:tcW w:w="1870" w:type="dxa"/>
            <w:shd w:val="clear" w:color="auto" w:fill="C6CFD7" w:themeFill="accent3" w:themeFillTint="66"/>
            <w:hideMark/>
          </w:tcPr>
          <w:p w14:paraId="07CFDFF2" w14:textId="77777777" w:rsidR="00257BA3" w:rsidRPr="00874E03" w:rsidRDefault="00257BA3" w:rsidP="00A91805">
            <w:pPr>
              <w:spacing w:after="0" w:line="240" w:lineRule="auto"/>
              <w:jc w:val="center"/>
              <w:rPr>
                <w:rFonts w:ascii="Arial Narrow" w:eastAsia="Times New Roman" w:hAnsi="Arial Narrow" w:cs="Arial"/>
                <w:color w:val="000000"/>
                <w:sz w:val="16"/>
                <w:szCs w:val="18"/>
                <w:lang w:val="en-US"/>
              </w:rPr>
            </w:pPr>
            <w:r w:rsidRPr="00D350B5">
              <w:rPr>
                <w:rFonts w:ascii="Arial Narrow" w:hAnsi="Arial Narrow"/>
                <w:color w:val="000000"/>
                <w:sz w:val="16"/>
                <w:szCs w:val="16"/>
              </w:rPr>
              <w:t> </w:t>
            </w:r>
          </w:p>
        </w:tc>
        <w:tc>
          <w:tcPr>
            <w:tcW w:w="1071" w:type="dxa"/>
            <w:tcBorders>
              <w:top w:val="nil"/>
              <w:left w:val="nil"/>
              <w:right w:val="nil"/>
            </w:tcBorders>
            <w:shd w:val="clear" w:color="000000" w:fill="C7CFD8"/>
            <w:vAlign w:val="bottom"/>
            <w:hideMark/>
          </w:tcPr>
          <w:p w14:paraId="4CCEFF69"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w:t>
            </w:r>
            <w:r>
              <w:rPr>
                <w:rFonts w:ascii="Arial Narrow" w:hAnsi="Arial Narrow" w:cs="Arial"/>
                <w:b/>
                <w:color w:val="000000"/>
                <w:sz w:val="16"/>
                <w:szCs w:val="16"/>
              </w:rPr>
              <w:t>20</w:t>
            </w:r>
          </w:p>
        </w:tc>
        <w:tc>
          <w:tcPr>
            <w:tcW w:w="1071" w:type="dxa"/>
            <w:tcBorders>
              <w:top w:val="nil"/>
              <w:left w:val="nil"/>
              <w:right w:val="nil"/>
            </w:tcBorders>
            <w:shd w:val="clear" w:color="000000" w:fill="C7CFD8"/>
            <w:vAlign w:val="bottom"/>
            <w:hideMark/>
          </w:tcPr>
          <w:p w14:paraId="3C293756"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w:t>
            </w:r>
            <w:r>
              <w:rPr>
                <w:rFonts w:ascii="Arial Narrow" w:hAnsi="Arial Narrow" w:cs="Arial"/>
                <w:b/>
                <w:color w:val="000000"/>
                <w:sz w:val="16"/>
                <w:szCs w:val="16"/>
              </w:rPr>
              <w:t>21</w:t>
            </w:r>
          </w:p>
        </w:tc>
        <w:tc>
          <w:tcPr>
            <w:tcW w:w="1071" w:type="dxa"/>
            <w:tcBorders>
              <w:top w:val="nil"/>
              <w:left w:val="nil"/>
              <w:right w:val="nil"/>
            </w:tcBorders>
            <w:shd w:val="clear" w:color="000000" w:fill="C7CFD8"/>
            <w:vAlign w:val="bottom"/>
            <w:hideMark/>
          </w:tcPr>
          <w:p w14:paraId="143CB011"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202</w:t>
            </w:r>
            <w:r>
              <w:rPr>
                <w:rFonts w:ascii="Arial Narrow" w:hAnsi="Arial Narrow" w:cs="Arial"/>
                <w:b/>
                <w:color w:val="000000"/>
                <w:sz w:val="16"/>
                <w:szCs w:val="16"/>
              </w:rPr>
              <w:t>2</w:t>
            </w:r>
          </w:p>
        </w:tc>
        <w:tc>
          <w:tcPr>
            <w:tcW w:w="1289" w:type="dxa"/>
            <w:tcBorders>
              <w:top w:val="nil"/>
              <w:left w:val="nil"/>
              <w:right w:val="nil"/>
            </w:tcBorders>
            <w:shd w:val="clear" w:color="000000" w:fill="C7CFD8"/>
            <w:vAlign w:val="bottom"/>
            <w:hideMark/>
          </w:tcPr>
          <w:p w14:paraId="773B3D23"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3</w:t>
            </w:r>
            <w:r w:rsidRPr="003128CE">
              <w:rPr>
                <w:rFonts w:ascii="Arial Narrow" w:hAnsi="Arial Narrow" w:cs="Arial"/>
                <w:b/>
                <w:color w:val="000000"/>
                <w:sz w:val="16"/>
                <w:szCs w:val="16"/>
              </w:rPr>
              <w:t xml:space="preserve"> </w:t>
            </w:r>
          </w:p>
          <w:p w14:paraId="36A55410"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Estimates</w:t>
            </w:r>
          </w:p>
        </w:tc>
        <w:tc>
          <w:tcPr>
            <w:tcW w:w="1071" w:type="dxa"/>
            <w:tcBorders>
              <w:top w:val="nil"/>
              <w:left w:val="nil"/>
              <w:right w:val="nil"/>
            </w:tcBorders>
            <w:shd w:val="clear" w:color="000000" w:fill="C7CFD8"/>
            <w:vAlign w:val="bottom"/>
            <w:hideMark/>
          </w:tcPr>
          <w:p w14:paraId="7F96B676"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4</w:t>
            </w:r>
          </w:p>
          <w:p w14:paraId="53E2C61A"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 xml:space="preserve"> Estimates</w:t>
            </w:r>
          </w:p>
        </w:tc>
        <w:tc>
          <w:tcPr>
            <w:tcW w:w="1071" w:type="dxa"/>
            <w:tcBorders>
              <w:top w:val="nil"/>
              <w:left w:val="nil"/>
              <w:right w:val="nil"/>
            </w:tcBorders>
            <w:shd w:val="clear" w:color="000000" w:fill="C7CFD8"/>
            <w:vAlign w:val="bottom"/>
            <w:hideMark/>
          </w:tcPr>
          <w:p w14:paraId="3DD6A963" w14:textId="77777777" w:rsidR="00257BA3" w:rsidRDefault="00257BA3" w:rsidP="00A91805">
            <w:pPr>
              <w:spacing w:after="0"/>
              <w:jc w:val="right"/>
              <w:rPr>
                <w:rFonts w:ascii="Arial Narrow" w:hAnsi="Arial Narrow" w:cs="Arial"/>
                <w:b/>
                <w:color w:val="000000"/>
                <w:sz w:val="16"/>
                <w:szCs w:val="16"/>
              </w:rPr>
            </w:pPr>
            <w:r w:rsidRPr="003128CE">
              <w:rPr>
                <w:rFonts w:ascii="Arial Narrow" w:hAnsi="Arial Narrow" w:cs="Arial"/>
                <w:b/>
                <w:color w:val="000000"/>
                <w:sz w:val="16"/>
                <w:szCs w:val="16"/>
              </w:rPr>
              <w:t>202</w:t>
            </w:r>
            <w:r>
              <w:rPr>
                <w:rFonts w:ascii="Arial Narrow" w:hAnsi="Arial Narrow" w:cs="Arial"/>
                <w:b/>
                <w:color w:val="000000"/>
                <w:sz w:val="16"/>
                <w:szCs w:val="16"/>
              </w:rPr>
              <w:t>5</w:t>
            </w:r>
            <w:r w:rsidRPr="003128CE">
              <w:rPr>
                <w:rFonts w:ascii="Arial Narrow" w:hAnsi="Arial Narrow" w:cs="Arial"/>
                <w:b/>
                <w:color w:val="000000"/>
                <w:sz w:val="16"/>
                <w:szCs w:val="16"/>
              </w:rPr>
              <w:t xml:space="preserve"> </w:t>
            </w:r>
          </w:p>
          <w:p w14:paraId="6F2D21EA" w14:textId="77777777" w:rsidR="00257BA3" w:rsidRPr="00874E03" w:rsidRDefault="00257BA3" w:rsidP="00A91805">
            <w:pPr>
              <w:spacing w:after="0" w:line="240" w:lineRule="auto"/>
              <w:jc w:val="right"/>
              <w:rPr>
                <w:rFonts w:ascii="Arial Narrow" w:eastAsia="Times New Roman" w:hAnsi="Arial Narrow" w:cs="Arial"/>
                <w:b/>
                <w:color w:val="000000"/>
                <w:sz w:val="16"/>
                <w:szCs w:val="18"/>
                <w:lang w:val="en-US"/>
              </w:rPr>
            </w:pPr>
            <w:r w:rsidRPr="003128CE">
              <w:rPr>
                <w:rFonts w:ascii="Arial Narrow" w:hAnsi="Arial Narrow" w:cs="Arial"/>
                <w:b/>
                <w:color w:val="000000"/>
                <w:sz w:val="16"/>
                <w:szCs w:val="16"/>
              </w:rPr>
              <w:t>Estimates</w:t>
            </w:r>
          </w:p>
        </w:tc>
      </w:tr>
      <w:tr w:rsidR="00821BE7" w:rsidRPr="00874E03" w14:paraId="67264161" w14:textId="77777777" w:rsidTr="002356E0">
        <w:trPr>
          <w:trHeight w:val="260"/>
          <w:jc w:val="center"/>
        </w:trPr>
        <w:tc>
          <w:tcPr>
            <w:tcW w:w="1870" w:type="dxa"/>
            <w:tcBorders>
              <w:top w:val="single" w:sz="4" w:space="0" w:color="BFBFBF" w:themeColor="background1" w:themeShade="BF"/>
              <w:left w:val="nil"/>
              <w:bottom w:val="nil"/>
              <w:right w:val="nil"/>
            </w:tcBorders>
            <w:shd w:val="clear" w:color="000000" w:fill="FFFFFF"/>
            <w:noWrap/>
            <w:vAlign w:val="bottom"/>
            <w:hideMark/>
          </w:tcPr>
          <w:p w14:paraId="566A5B8E" w14:textId="77777777" w:rsidR="00821BE7" w:rsidRPr="00874E03" w:rsidRDefault="00821BE7" w:rsidP="00821BE7">
            <w:pPr>
              <w:spacing w:after="0" w:line="240" w:lineRule="auto"/>
              <w:rPr>
                <w:rFonts w:ascii="Arial Narrow" w:eastAsia="Times New Roman" w:hAnsi="Arial Narrow" w:cs="Arial"/>
                <w:sz w:val="16"/>
                <w:szCs w:val="18"/>
                <w:lang w:val="en-US"/>
              </w:rPr>
            </w:pPr>
            <w:r w:rsidRPr="00874E03">
              <w:rPr>
                <w:rFonts w:ascii="Arial Narrow" w:eastAsia="Times New Roman" w:hAnsi="Arial Narrow" w:cs="Arial"/>
                <w:sz w:val="16"/>
                <w:szCs w:val="18"/>
                <w:lang w:val="en-US"/>
              </w:rPr>
              <w:t>Hague registrations</w:t>
            </w:r>
          </w:p>
        </w:tc>
        <w:tc>
          <w:tcPr>
            <w:tcW w:w="1071" w:type="dxa"/>
            <w:tcBorders>
              <w:top w:val="single" w:sz="4" w:space="0" w:color="BFBFBF"/>
              <w:left w:val="nil"/>
              <w:bottom w:val="nil"/>
              <w:right w:val="nil"/>
            </w:tcBorders>
            <w:shd w:val="clear" w:color="000000" w:fill="FFFFFF"/>
            <w:noWrap/>
            <w:vAlign w:val="bottom"/>
            <w:hideMark/>
          </w:tcPr>
          <w:p w14:paraId="494746FA"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6,795</w:t>
            </w:r>
          </w:p>
        </w:tc>
        <w:tc>
          <w:tcPr>
            <w:tcW w:w="1071" w:type="dxa"/>
            <w:tcBorders>
              <w:top w:val="single" w:sz="4" w:space="0" w:color="BFBFBF"/>
              <w:left w:val="nil"/>
              <w:bottom w:val="nil"/>
              <w:right w:val="nil"/>
            </w:tcBorders>
            <w:shd w:val="clear" w:color="000000" w:fill="FFFFFF"/>
            <w:noWrap/>
            <w:vAlign w:val="bottom"/>
            <w:hideMark/>
          </w:tcPr>
          <w:p w14:paraId="4E7AD058"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6,106</w:t>
            </w:r>
          </w:p>
        </w:tc>
        <w:tc>
          <w:tcPr>
            <w:tcW w:w="1071" w:type="dxa"/>
            <w:tcBorders>
              <w:top w:val="single" w:sz="4" w:space="0" w:color="BFBFBF"/>
              <w:left w:val="nil"/>
              <w:bottom w:val="nil"/>
              <w:right w:val="nil"/>
            </w:tcBorders>
            <w:shd w:val="clear" w:color="000000" w:fill="FFFFFF"/>
            <w:noWrap/>
            <w:vAlign w:val="bottom"/>
            <w:hideMark/>
          </w:tcPr>
          <w:p w14:paraId="58978C8B"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7,725</w:t>
            </w:r>
          </w:p>
        </w:tc>
        <w:tc>
          <w:tcPr>
            <w:tcW w:w="1289" w:type="dxa"/>
            <w:tcBorders>
              <w:top w:val="single" w:sz="4" w:space="0" w:color="BFBFBF"/>
              <w:left w:val="nil"/>
              <w:bottom w:val="nil"/>
              <w:right w:val="nil"/>
            </w:tcBorders>
            <w:shd w:val="clear" w:color="000000" w:fill="FFFFFF"/>
            <w:noWrap/>
            <w:vAlign w:val="bottom"/>
          </w:tcPr>
          <w:p w14:paraId="48F7A2C3" w14:textId="43DEF6B8"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8,670</w:t>
            </w:r>
          </w:p>
        </w:tc>
        <w:tc>
          <w:tcPr>
            <w:tcW w:w="1071" w:type="dxa"/>
            <w:tcBorders>
              <w:top w:val="single" w:sz="4" w:space="0" w:color="BFBFBF"/>
              <w:left w:val="nil"/>
              <w:bottom w:val="nil"/>
              <w:right w:val="nil"/>
            </w:tcBorders>
            <w:shd w:val="clear" w:color="000000" w:fill="FFFFFF"/>
            <w:noWrap/>
            <w:vAlign w:val="bottom"/>
          </w:tcPr>
          <w:p w14:paraId="5F2BECC1" w14:textId="5BABBCAB"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9,630</w:t>
            </w:r>
          </w:p>
        </w:tc>
        <w:tc>
          <w:tcPr>
            <w:tcW w:w="1071" w:type="dxa"/>
            <w:tcBorders>
              <w:top w:val="single" w:sz="4" w:space="0" w:color="BFBFBF"/>
              <w:left w:val="nil"/>
              <w:bottom w:val="nil"/>
              <w:right w:val="nil"/>
            </w:tcBorders>
            <w:shd w:val="clear" w:color="000000" w:fill="FFFFFF"/>
            <w:noWrap/>
            <w:vAlign w:val="bottom"/>
          </w:tcPr>
          <w:p w14:paraId="332680C1" w14:textId="6671E56E"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10,510</w:t>
            </w:r>
          </w:p>
        </w:tc>
      </w:tr>
      <w:tr w:rsidR="00821BE7" w:rsidRPr="00874E03" w14:paraId="27D3E136" w14:textId="77777777" w:rsidTr="002356E0">
        <w:trPr>
          <w:trHeight w:val="260"/>
          <w:jc w:val="center"/>
        </w:trPr>
        <w:tc>
          <w:tcPr>
            <w:tcW w:w="1870" w:type="dxa"/>
            <w:tcBorders>
              <w:top w:val="nil"/>
              <w:left w:val="nil"/>
              <w:bottom w:val="nil"/>
              <w:right w:val="nil"/>
            </w:tcBorders>
            <w:shd w:val="clear" w:color="000000" w:fill="FFFFFF"/>
            <w:noWrap/>
            <w:vAlign w:val="bottom"/>
            <w:hideMark/>
          </w:tcPr>
          <w:p w14:paraId="41A71B34" w14:textId="77777777" w:rsidR="00821BE7" w:rsidRPr="00874E03" w:rsidRDefault="00821BE7" w:rsidP="00821BE7">
            <w:pPr>
              <w:spacing w:after="0" w:line="240" w:lineRule="auto"/>
              <w:rPr>
                <w:rFonts w:ascii="Arial Narrow" w:eastAsia="Times New Roman" w:hAnsi="Arial Narrow" w:cs="Arial"/>
                <w:sz w:val="16"/>
                <w:szCs w:val="18"/>
                <w:lang w:val="en-US"/>
              </w:rPr>
            </w:pPr>
            <w:r w:rsidRPr="00874E03">
              <w:rPr>
                <w:rFonts w:ascii="Arial Narrow" w:eastAsia="Times New Roman" w:hAnsi="Arial Narrow" w:cs="Arial"/>
                <w:sz w:val="16"/>
                <w:szCs w:val="18"/>
                <w:lang w:val="en-US"/>
              </w:rPr>
              <w:t>Hague renewals</w:t>
            </w:r>
          </w:p>
        </w:tc>
        <w:tc>
          <w:tcPr>
            <w:tcW w:w="1071" w:type="dxa"/>
            <w:tcBorders>
              <w:top w:val="nil"/>
              <w:left w:val="nil"/>
              <w:bottom w:val="nil"/>
              <w:right w:val="nil"/>
            </w:tcBorders>
            <w:shd w:val="clear" w:color="000000" w:fill="FFFFFF"/>
            <w:noWrap/>
            <w:vAlign w:val="bottom"/>
            <w:hideMark/>
          </w:tcPr>
          <w:p w14:paraId="42CB621F"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4,759</w:t>
            </w:r>
          </w:p>
        </w:tc>
        <w:tc>
          <w:tcPr>
            <w:tcW w:w="1071" w:type="dxa"/>
            <w:tcBorders>
              <w:top w:val="nil"/>
              <w:left w:val="nil"/>
              <w:bottom w:val="nil"/>
              <w:right w:val="nil"/>
            </w:tcBorders>
            <w:shd w:val="clear" w:color="000000" w:fill="FFFFFF"/>
            <w:noWrap/>
            <w:vAlign w:val="bottom"/>
            <w:hideMark/>
          </w:tcPr>
          <w:p w14:paraId="0F801D00"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5,461</w:t>
            </w:r>
          </w:p>
        </w:tc>
        <w:tc>
          <w:tcPr>
            <w:tcW w:w="1071" w:type="dxa"/>
            <w:tcBorders>
              <w:top w:val="nil"/>
              <w:left w:val="nil"/>
              <w:bottom w:val="nil"/>
              <w:right w:val="nil"/>
            </w:tcBorders>
            <w:shd w:val="clear" w:color="000000" w:fill="FFFFFF"/>
            <w:noWrap/>
            <w:vAlign w:val="bottom"/>
            <w:hideMark/>
          </w:tcPr>
          <w:p w14:paraId="40E54564"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5,284</w:t>
            </w:r>
          </w:p>
        </w:tc>
        <w:tc>
          <w:tcPr>
            <w:tcW w:w="1289" w:type="dxa"/>
            <w:tcBorders>
              <w:top w:val="nil"/>
              <w:left w:val="nil"/>
              <w:bottom w:val="nil"/>
              <w:right w:val="nil"/>
            </w:tcBorders>
            <w:shd w:val="clear" w:color="000000" w:fill="FFFFFF"/>
            <w:noWrap/>
            <w:vAlign w:val="bottom"/>
          </w:tcPr>
          <w:p w14:paraId="36A3F69A" w14:textId="3A7B89B9"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5,480</w:t>
            </w:r>
          </w:p>
        </w:tc>
        <w:tc>
          <w:tcPr>
            <w:tcW w:w="1071" w:type="dxa"/>
            <w:tcBorders>
              <w:top w:val="nil"/>
              <w:left w:val="nil"/>
              <w:bottom w:val="nil"/>
              <w:right w:val="nil"/>
            </w:tcBorders>
            <w:shd w:val="clear" w:color="000000" w:fill="FFFFFF"/>
            <w:noWrap/>
            <w:vAlign w:val="bottom"/>
          </w:tcPr>
          <w:p w14:paraId="4B3853A7" w14:textId="305F531A"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5,570</w:t>
            </w:r>
          </w:p>
        </w:tc>
        <w:tc>
          <w:tcPr>
            <w:tcW w:w="1071" w:type="dxa"/>
            <w:tcBorders>
              <w:top w:val="nil"/>
              <w:left w:val="nil"/>
              <w:bottom w:val="nil"/>
              <w:right w:val="nil"/>
            </w:tcBorders>
            <w:shd w:val="clear" w:color="000000" w:fill="FFFFFF"/>
            <w:noWrap/>
            <w:vAlign w:val="bottom"/>
          </w:tcPr>
          <w:p w14:paraId="4AEE021D" w14:textId="5403DE91"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6,280</w:t>
            </w:r>
          </w:p>
        </w:tc>
      </w:tr>
      <w:tr w:rsidR="00821BE7" w:rsidRPr="00874E03" w14:paraId="6911ACEC" w14:textId="77777777" w:rsidTr="002356E0">
        <w:trPr>
          <w:trHeight w:val="260"/>
          <w:jc w:val="center"/>
        </w:trPr>
        <w:tc>
          <w:tcPr>
            <w:tcW w:w="1870" w:type="dxa"/>
            <w:tcBorders>
              <w:top w:val="nil"/>
              <w:left w:val="nil"/>
              <w:bottom w:val="nil"/>
              <w:right w:val="nil"/>
            </w:tcBorders>
            <w:shd w:val="clear" w:color="000000" w:fill="FFFFFF"/>
            <w:noWrap/>
            <w:vAlign w:val="bottom"/>
            <w:hideMark/>
          </w:tcPr>
          <w:p w14:paraId="0673A3D2" w14:textId="77777777" w:rsidR="00821BE7" w:rsidRPr="00874E03" w:rsidRDefault="00821BE7" w:rsidP="00821BE7">
            <w:pPr>
              <w:spacing w:after="0" w:line="240" w:lineRule="auto"/>
              <w:rPr>
                <w:rFonts w:ascii="Arial Narrow" w:eastAsia="Times New Roman" w:hAnsi="Arial Narrow" w:cs="Arial"/>
                <w:sz w:val="16"/>
                <w:szCs w:val="18"/>
                <w:lang w:val="en-US"/>
              </w:rPr>
            </w:pPr>
            <w:r w:rsidRPr="00874E03">
              <w:rPr>
                <w:rFonts w:ascii="Arial Narrow" w:eastAsia="Times New Roman" w:hAnsi="Arial Narrow" w:cs="Arial"/>
                <w:sz w:val="16"/>
                <w:szCs w:val="18"/>
                <w:lang w:val="en-US"/>
              </w:rPr>
              <w:t>Registration</w:t>
            </w:r>
            <w:r>
              <w:rPr>
                <w:rFonts w:ascii="Arial Narrow" w:eastAsia="Times New Roman" w:hAnsi="Arial Narrow" w:cs="Arial"/>
                <w:sz w:val="16"/>
                <w:szCs w:val="18"/>
                <w:lang w:val="en-US"/>
              </w:rPr>
              <w:t>s</w:t>
            </w:r>
            <w:r w:rsidRPr="00874E03">
              <w:rPr>
                <w:rFonts w:ascii="Arial Narrow" w:eastAsia="Times New Roman" w:hAnsi="Arial Narrow" w:cs="Arial"/>
                <w:sz w:val="16"/>
                <w:szCs w:val="18"/>
                <w:lang w:val="en-US"/>
              </w:rPr>
              <w:t xml:space="preserve"> + renewal</w:t>
            </w:r>
            <w:r>
              <w:rPr>
                <w:rFonts w:ascii="Arial Narrow" w:eastAsia="Times New Roman" w:hAnsi="Arial Narrow" w:cs="Arial"/>
                <w:sz w:val="16"/>
                <w:szCs w:val="18"/>
                <w:lang w:val="en-US"/>
              </w:rPr>
              <w:t>s</w:t>
            </w:r>
          </w:p>
        </w:tc>
        <w:tc>
          <w:tcPr>
            <w:tcW w:w="1071" w:type="dxa"/>
            <w:tcBorders>
              <w:top w:val="nil"/>
              <w:left w:val="nil"/>
              <w:bottom w:val="nil"/>
              <w:right w:val="nil"/>
            </w:tcBorders>
            <w:shd w:val="clear" w:color="000000" w:fill="FFFFFF"/>
            <w:noWrap/>
            <w:vAlign w:val="bottom"/>
            <w:hideMark/>
          </w:tcPr>
          <w:p w14:paraId="1D60628B"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11,554</w:t>
            </w:r>
          </w:p>
        </w:tc>
        <w:tc>
          <w:tcPr>
            <w:tcW w:w="1071" w:type="dxa"/>
            <w:tcBorders>
              <w:top w:val="nil"/>
              <w:left w:val="nil"/>
              <w:bottom w:val="nil"/>
              <w:right w:val="nil"/>
            </w:tcBorders>
            <w:shd w:val="clear" w:color="000000" w:fill="FFFFFF"/>
            <w:noWrap/>
            <w:vAlign w:val="bottom"/>
            <w:hideMark/>
          </w:tcPr>
          <w:p w14:paraId="15B12B44"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11,567</w:t>
            </w:r>
          </w:p>
        </w:tc>
        <w:tc>
          <w:tcPr>
            <w:tcW w:w="1071" w:type="dxa"/>
            <w:tcBorders>
              <w:top w:val="nil"/>
              <w:left w:val="nil"/>
              <w:bottom w:val="nil"/>
              <w:right w:val="nil"/>
            </w:tcBorders>
            <w:shd w:val="clear" w:color="000000" w:fill="FFFFFF"/>
            <w:noWrap/>
            <w:vAlign w:val="bottom"/>
            <w:hideMark/>
          </w:tcPr>
          <w:p w14:paraId="48D58F18"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13,009</w:t>
            </w:r>
          </w:p>
        </w:tc>
        <w:tc>
          <w:tcPr>
            <w:tcW w:w="1289" w:type="dxa"/>
            <w:tcBorders>
              <w:top w:val="nil"/>
              <w:left w:val="nil"/>
              <w:bottom w:val="nil"/>
              <w:right w:val="nil"/>
            </w:tcBorders>
            <w:shd w:val="clear" w:color="000000" w:fill="FFFFFF"/>
            <w:noWrap/>
            <w:vAlign w:val="bottom"/>
          </w:tcPr>
          <w:p w14:paraId="43DF58D2" w14:textId="337E3D83"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14,150</w:t>
            </w:r>
          </w:p>
        </w:tc>
        <w:tc>
          <w:tcPr>
            <w:tcW w:w="1071" w:type="dxa"/>
            <w:tcBorders>
              <w:top w:val="nil"/>
              <w:left w:val="nil"/>
              <w:bottom w:val="nil"/>
              <w:right w:val="nil"/>
            </w:tcBorders>
            <w:shd w:val="clear" w:color="000000" w:fill="FFFFFF"/>
            <w:noWrap/>
            <w:vAlign w:val="bottom"/>
          </w:tcPr>
          <w:p w14:paraId="6A5F469B" w14:textId="0D0AA675"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15,200</w:t>
            </w:r>
          </w:p>
        </w:tc>
        <w:tc>
          <w:tcPr>
            <w:tcW w:w="1071" w:type="dxa"/>
            <w:tcBorders>
              <w:top w:val="nil"/>
              <w:left w:val="nil"/>
              <w:bottom w:val="nil"/>
              <w:right w:val="nil"/>
            </w:tcBorders>
            <w:shd w:val="clear" w:color="000000" w:fill="FFFFFF"/>
            <w:noWrap/>
            <w:vAlign w:val="bottom"/>
          </w:tcPr>
          <w:p w14:paraId="64248BBD" w14:textId="6CA07E23"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16,790</w:t>
            </w:r>
          </w:p>
        </w:tc>
      </w:tr>
      <w:tr w:rsidR="00821BE7" w:rsidRPr="00874E03" w14:paraId="5940AE15" w14:textId="77777777" w:rsidTr="002356E0">
        <w:trPr>
          <w:trHeight w:val="260"/>
          <w:jc w:val="center"/>
        </w:trPr>
        <w:tc>
          <w:tcPr>
            <w:tcW w:w="1870" w:type="dxa"/>
            <w:tcBorders>
              <w:top w:val="nil"/>
              <w:left w:val="nil"/>
              <w:bottom w:val="nil"/>
              <w:right w:val="nil"/>
            </w:tcBorders>
            <w:shd w:val="clear" w:color="000000" w:fill="FFFFFF"/>
            <w:noWrap/>
            <w:vAlign w:val="bottom"/>
            <w:hideMark/>
          </w:tcPr>
          <w:p w14:paraId="6623BCB6" w14:textId="77777777" w:rsidR="00821BE7" w:rsidRPr="00874E03" w:rsidRDefault="00821BE7" w:rsidP="00821BE7">
            <w:pPr>
              <w:spacing w:after="0" w:line="240" w:lineRule="auto"/>
              <w:rPr>
                <w:rFonts w:ascii="Arial Narrow" w:eastAsia="Times New Roman" w:hAnsi="Arial Narrow" w:cs="Arial"/>
                <w:sz w:val="16"/>
                <w:szCs w:val="18"/>
                <w:lang w:val="en-US"/>
              </w:rPr>
            </w:pPr>
            <w:r w:rsidRPr="00874E03">
              <w:rPr>
                <w:rFonts w:ascii="Arial Narrow" w:eastAsia="Times New Roman" w:hAnsi="Arial Narrow" w:cs="Arial"/>
                <w:sz w:val="16"/>
                <w:szCs w:val="18"/>
                <w:lang w:val="en-US"/>
              </w:rPr>
              <w:t>Hague income (million CHF)</w:t>
            </w:r>
          </w:p>
        </w:tc>
        <w:tc>
          <w:tcPr>
            <w:tcW w:w="1071" w:type="dxa"/>
            <w:tcBorders>
              <w:top w:val="nil"/>
              <w:left w:val="nil"/>
              <w:bottom w:val="nil"/>
              <w:right w:val="nil"/>
            </w:tcBorders>
            <w:shd w:val="clear" w:color="000000" w:fill="FFFFFF"/>
            <w:noWrap/>
            <w:vAlign w:val="bottom"/>
            <w:hideMark/>
          </w:tcPr>
          <w:p w14:paraId="040B904D"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5.5</w:t>
            </w:r>
          </w:p>
        </w:tc>
        <w:tc>
          <w:tcPr>
            <w:tcW w:w="1071" w:type="dxa"/>
            <w:tcBorders>
              <w:top w:val="nil"/>
              <w:left w:val="nil"/>
              <w:bottom w:val="nil"/>
              <w:right w:val="nil"/>
            </w:tcBorders>
            <w:shd w:val="clear" w:color="000000" w:fill="FFFFFF"/>
            <w:noWrap/>
            <w:vAlign w:val="bottom"/>
            <w:hideMark/>
          </w:tcPr>
          <w:p w14:paraId="4AAB88F4"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6.1</w:t>
            </w:r>
          </w:p>
        </w:tc>
        <w:tc>
          <w:tcPr>
            <w:tcW w:w="1071" w:type="dxa"/>
            <w:tcBorders>
              <w:top w:val="nil"/>
              <w:left w:val="nil"/>
              <w:bottom w:val="nil"/>
              <w:right w:val="nil"/>
            </w:tcBorders>
            <w:shd w:val="clear" w:color="000000" w:fill="FFFFFF"/>
            <w:noWrap/>
            <w:vAlign w:val="bottom"/>
            <w:hideMark/>
          </w:tcPr>
          <w:p w14:paraId="31B1CE36" w14:textId="64140849"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8"/>
              </w:rPr>
              <w:t>6.7</w:t>
            </w:r>
          </w:p>
        </w:tc>
        <w:tc>
          <w:tcPr>
            <w:tcW w:w="1289" w:type="dxa"/>
            <w:tcBorders>
              <w:top w:val="nil"/>
              <w:left w:val="nil"/>
              <w:bottom w:val="nil"/>
              <w:right w:val="nil"/>
            </w:tcBorders>
            <w:shd w:val="clear" w:color="000000" w:fill="FFFFFF"/>
            <w:noWrap/>
            <w:vAlign w:val="bottom"/>
          </w:tcPr>
          <w:p w14:paraId="0D40B1BB" w14:textId="6F8ED738"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7.7</w:t>
            </w:r>
          </w:p>
        </w:tc>
        <w:tc>
          <w:tcPr>
            <w:tcW w:w="1071" w:type="dxa"/>
            <w:tcBorders>
              <w:top w:val="nil"/>
              <w:left w:val="nil"/>
              <w:bottom w:val="nil"/>
              <w:right w:val="nil"/>
            </w:tcBorders>
            <w:shd w:val="clear" w:color="000000" w:fill="FFFFFF"/>
            <w:noWrap/>
            <w:vAlign w:val="bottom"/>
          </w:tcPr>
          <w:p w14:paraId="05EF0AAF" w14:textId="55E38577"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8.4</w:t>
            </w:r>
          </w:p>
        </w:tc>
        <w:tc>
          <w:tcPr>
            <w:tcW w:w="1071" w:type="dxa"/>
            <w:tcBorders>
              <w:top w:val="nil"/>
              <w:left w:val="nil"/>
              <w:bottom w:val="nil"/>
              <w:right w:val="nil"/>
            </w:tcBorders>
            <w:shd w:val="clear" w:color="000000" w:fill="FFFFFF"/>
            <w:noWrap/>
            <w:vAlign w:val="bottom"/>
          </w:tcPr>
          <w:p w14:paraId="3E799472" w14:textId="14840578"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9.1</w:t>
            </w:r>
          </w:p>
        </w:tc>
      </w:tr>
      <w:tr w:rsidR="00821BE7" w:rsidRPr="00874E03" w14:paraId="4D2A3F9F" w14:textId="77777777" w:rsidTr="002356E0">
        <w:trPr>
          <w:trHeight w:val="260"/>
          <w:jc w:val="center"/>
        </w:trPr>
        <w:tc>
          <w:tcPr>
            <w:tcW w:w="1870" w:type="dxa"/>
            <w:tcBorders>
              <w:top w:val="nil"/>
              <w:left w:val="nil"/>
              <w:bottom w:val="single" w:sz="4" w:space="0" w:color="BFBFBF"/>
              <w:right w:val="nil"/>
            </w:tcBorders>
            <w:shd w:val="clear" w:color="000000" w:fill="FFFFFF"/>
            <w:noWrap/>
            <w:vAlign w:val="bottom"/>
            <w:hideMark/>
          </w:tcPr>
          <w:p w14:paraId="21633F36" w14:textId="77777777" w:rsidR="00821BE7" w:rsidRPr="00874E03" w:rsidRDefault="00821BE7" w:rsidP="00821BE7">
            <w:pPr>
              <w:spacing w:after="0" w:line="240" w:lineRule="auto"/>
              <w:rPr>
                <w:rFonts w:ascii="Arial Narrow" w:eastAsia="Times New Roman" w:hAnsi="Arial Narrow" w:cs="Arial"/>
                <w:sz w:val="16"/>
                <w:szCs w:val="18"/>
                <w:lang w:val="en-US"/>
              </w:rPr>
            </w:pPr>
            <w:r w:rsidRPr="00874E03">
              <w:rPr>
                <w:rFonts w:ascii="Arial Narrow" w:eastAsia="Times New Roman" w:hAnsi="Arial Narrow" w:cs="Arial"/>
                <w:sz w:val="16"/>
                <w:szCs w:val="18"/>
                <w:lang w:val="en-US"/>
              </w:rPr>
              <w:t>Average fee (CHF)</w:t>
            </w:r>
          </w:p>
        </w:tc>
        <w:tc>
          <w:tcPr>
            <w:tcW w:w="1071" w:type="dxa"/>
            <w:tcBorders>
              <w:top w:val="nil"/>
              <w:left w:val="nil"/>
              <w:bottom w:val="single" w:sz="4" w:space="0" w:color="BFBFBF"/>
              <w:right w:val="nil"/>
            </w:tcBorders>
            <w:shd w:val="clear" w:color="000000" w:fill="FFFFFF"/>
            <w:noWrap/>
            <w:vAlign w:val="bottom"/>
            <w:hideMark/>
          </w:tcPr>
          <w:p w14:paraId="777CBD73" w14:textId="77777777" w:rsidR="00821BE7" w:rsidRPr="001374A3" w:rsidRDefault="00821BE7" w:rsidP="00821BE7">
            <w:pPr>
              <w:spacing w:after="0" w:line="240" w:lineRule="auto"/>
              <w:jc w:val="right"/>
              <w:rPr>
                <w:rFonts w:ascii="Arial Narrow" w:eastAsia="Times New Roman" w:hAnsi="Arial Narrow" w:cs="Arial"/>
                <w:sz w:val="16"/>
                <w:szCs w:val="18"/>
                <w:lang w:val="en-US"/>
              </w:rPr>
            </w:pPr>
            <w:r w:rsidRPr="001374A3">
              <w:rPr>
                <w:rFonts w:ascii="Arial Narrow" w:hAnsi="Arial Narrow" w:cs="Arial"/>
                <w:sz w:val="16"/>
                <w:szCs w:val="18"/>
              </w:rPr>
              <w:t>476</w:t>
            </w:r>
          </w:p>
        </w:tc>
        <w:tc>
          <w:tcPr>
            <w:tcW w:w="1071" w:type="dxa"/>
            <w:tcBorders>
              <w:top w:val="nil"/>
              <w:left w:val="nil"/>
              <w:bottom w:val="single" w:sz="4" w:space="0" w:color="BFBFBF"/>
              <w:right w:val="nil"/>
            </w:tcBorders>
            <w:shd w:val="clear" w:color="000000" w:fill="FFFFFF"/>
            <w:noWrap/>
            <w:vAlign w:val="bottom"/>
            <w:hideMark/>
          </w:tcPr>
          <w:p w14:paraId="077CE5E2" w14:textId="27D27AE7"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8"/>
              </w:rPr>
              <w:t>530</w:t>
            </w:r>
          </w:p>
        </w:tc>
        <w:tc>
          <w:tcPr>
            <w:tcW w:w="1071" w:type="dxa"/>
            <w:tcBorders>
              <w:top w:val="nil"/>
              <w:left w:val="nil"/>
              <w:bottom w:val="single" w:sz="4" w:space="0" w:color="BFBFBF"/>
              <w:right w:val="nil"/>
            </w:tcBorders>
            <w:shd w:val="clear" w:color="000000" w:fill="FFFFFF"/>
            <w:noWrap/>
            <w:vAlign w:val="bottom"/>
            <w:hideMark/>
          </w:tcPr>
          <w:p w14:paraId="5D8BC161" w14:textId="50C1AD22"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8"/>
              </w:rPr>
              <w:t>517</w:t>
            </w:r>
          </w:p>
        </w:tc>
        <w:tc>
          <w:tcPr>
            <w:tcW w:w="1289" w:type="dxa"/>
            <w:tcBorders>
              <w:top w:val="nil"/>
              <w:left w:val="nil"/>
              <w:bottom w:val="single" w:sz="4" w:space="0" w:color="BFBFBF"/>
              <w:right w:val="nil"/>
            </w:tcBorders>
            <w:shd w:val="clear" w:color="000000" w:fill="FFFFFF"/>
            <w:noWrap/>
            <w:vAlign w:val="bottom"/>
          </w:tcPr>
          <w:p w14:paraId="55867B81" w14:textId="311BDA8D"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543</w:t>
            </w:r>
          </w:p>
        </w:tc>
        <w:tc>
          <w:tcPr>
            <w:tcW w:w="1071" w:type="dxa"/>
            <w:tcBorders>
              <w:top w:val="nil"/>
              <w:left w:val="nil"/>
              <w:bottom w:val="single" w:sz="4" w:space="0" w:color="BFBFBF"/>
              <w:right w:val="nil"/>
            </w:tcBorders>
            <w:shd w:val="clear" w:color="000000" w:fill="FFFFFF"/>
            <w:noWrap/>
            <w:vAlign w:val="bottom"/>
          </w:tcPr>
          <w:p w14:paraId="233CF8D4" w14:textId="149C2DF7"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550</w:t>
            </w:r>
          </w:p>
        </w:tc>
        <w:tc>
          <w:tcPr>
            <w:tcW w:w="1071" w:type="dxa"/>
            <w:tcBorders>
              <w:top w:val="nil"/>
              <w:left w:val="nil"/>
              <w:bottom w:val="single" w:sz="4" w:space="0" w:color="BFBFBF"/>
              <w:right w:val="nil"/>
            </w:tcBorders>
            <w:shd w:val="clear" w:color="000000" w:fill="FFFFFF"/>
            <w:noWrap/>
            <w:vAlign w:val="bottom"/>
          </w:tcPr>
          <w:p w14:paraId="7522A53E" w14:textId="469C0EEF" w:rsidR="00821BE7" w:rsidRPr="001374A3" w:rsidRDefault="00821BE7" w:rsidP="00821BE7">
            <w:pPr>
              <w:spacing w:after="0" w:line="240" w:lineRule="auto"/>
              <w:jc w:val="right"/>
              <w:rPr>
                <w:rFonts w:ascii="Arial Narrow" w:eastAsia="Times New Roman" w:hAnsi="Arial Narrow" w:cs="Arial"/>
                <w:sz w:val="16"/>
                <w:szCs w:val="18"/>
                <w:lang w:val="en-US"/>
              </w:rPr>
            </w:pPr>
            <w:r>
              <w:rPr>
                <w:rFonts w:ascii="Arial Narrow" w:hAnsi="Arial Narrow" w:cs="Arial"/>
                <w:sz w:val="16"/>
                <w:szCs w:val="16"/>
              </w:rPr>
              <w:t>543</w:t>
            </w:r>
          </w:p>
        </w:tc>
      </w:tr>
    </w:tbl>
    <w:p w14:paraId="68D79997" w14:textId="38B48FB2" w:rsidR="00257BA3" w:rsidRPr="00846FB2" w:rsidRDefault="00257BA3" w:rsidP="00257BA3">
      <w:pPr>
        <w:rPr>
          <w:rFonts w:ascii="Arial Narrow" w:hAnsi="Arial Narrow"/>
          <w:sz w:val="16"/>
          <w:szCs w:val="16"/>
        </w:rPr>
      </w:pPr>
      <w:r>
        <w:rPr>
          <w:rFonts w:ascii="Arial Narrow" w:eastAsia="Arial" w:hAnsi="Arial Narrow"/>
          <w:i/>
          <w:sz w:val="12"/>
          <w:szCs w:val="16"/>
        </w:rPr>
        <w:t xml:space="preserve">                    </w:t>
      </w:r>
    </w:p>
    <w:p w14:paraId="24796EC7" w14:textId="64689A77" w:rsidR="0074193F" w:rsidRDefault="0074193F" w:rsidP="00874E03">
      <w:pPr>
        <w:rPr>
          <w:rFonts w:ascii="Arial Narrow" w:eastAsia="Arial" w:hAnsi="Arial Narrow"/>
          <w:i/>
          <w:sz w:val="12"/>
          <w:szCs w:val="16"/>
        </w:rPr>
      </w:pPr>
    </w:p>
    <w:p w14:paraId="1BFAAF02" w14:textId="77777777" w:rsidR="0074193F" w:rsidRPr="0074193F" w:rsidRDefault="0074193F" w:rsidP="00874E03">
      <w:pPr>
        <w:rPr>
          <w:rFonts w:ascii="Arial Narrow" w:eastAsia="Arial" w:hAnsi="Arial Narrow"/>
          <w:i/>
          <w:sz w:val="12"/>
          <w:szCs w:val="16"/>
        </w:rPr>
        <w:sectPr w:rsidR="0074193F" w:rsidRPr="0074193F" w:rsidSect="00333041">
          <w:pgSz w:w="11906" w:h="16838"/>
          <w:pgMar w:top="1361" w:right="1134" w:bottom="1080" w:left="1134" w:header="567" w:footer="432" w:gutter="0"/>
          <w:cols w:space="708"/>
          <w:titlePg/>
          <w:docGrid w:linePitch="360"/>
        </w:sectPr>
      </w:pPr>
    </w:p>
    <w:p w14:paraId="552435C2" w14:textId="5CEE2C0B" w:rsidR="00143DF8" w:rsidRPr="00D350B5" w:rsidRDefault="007100BA" w:rsidP="008407D7">
      <w:pPr>
        <w:pStyle w:val="AnnexTitle2"/>
        <w:numPr>
          <w:ilvl w:val="0"/>
          <w:numId w:val="25"/>
        </w:numPr>
        <w:rPr>
          <w:lang w:val="en-US"/>
        </w:rPr>
      </w:pPr>
      <w:bookmarkStart w:id="38" w:name="_Toc131175997"/>
      <w:r w:rsidRPr="00D350B5">
        <w:rPr>
          <w:lang w:val="en-US"/>
        </w:rPr>
        <w:t>I</w:t>
      </w:r>
      <w:r w:rsidR="00F967A0" w:rsidRPr="00D350B5">
        <w:rPr>
          <w:lang w:val="en-US"/>
        </w:rPr>
        <w:t xml:space="preserve">ndicators </w:t>
      </w:r>
      <w:r w:rsidR="00520C12" w:rsidRPr="00D350B5">
        <w:rPr>
          <w:lang w:val="en-US"/>
        </w:rPr>
        <w:t xml:space="preserve">for the </w:t>
      </w:r>
      <w:r w:rsidR="00104AB3">
        <w:rPr>
          <w:lang w:val="en-US"/>
        </w:rPr>
        <w:t xml:space="preserve">Global </w:t>
      </w:r>
      <w:r w:rsidR="008F16F4">
        <w:rPr>
          <w:lang w:val="en-US"/>
        </w:rPr>
        <w:t>IP</w:t>
      </w:r>
      <w:r w:rsidR="00520C12" w:rsidRPr="00D350B5">
        <w:rPr>
          <w:lang w:val="en-US"/>
        </w:rPr>
        <w:t xml:space="preserve"> Systems</w:t>
      </w:r>
      <w:bookmarkEnd w:id="38"/>
      <w:r w:rsidR="00F967A0" w:rsidRPr="00D350B5">
        <w:rPr>
          <w:lang w:val="en-US"/>
        </w:rPr>
        <w:t xml:space="preserve"> </w:t>
      </w:r>
    </w:p>
    <w:p w14:paraId="2368DCB5" w14:textId="77777777" w:rsidR="003525FF" w:rsidRPr="00EC0210" w:rsidRDefault="003525FF" w:rsidP="003525FF">
      <w:pPr>
        <w:keepNext/>
        <w:spacing w:before="320" w:after="240"/>
        <w:outlineLvl w:val="2"/>
        <w:rPr>
          <w:rFonts w:eastAsia="Arial"/>
          <w:b/>
          <w:color w:val="005172"/>
          <w:sz w:val="32"/>
        </w:rPr>
      </w:pPr>
      <w:bookmarkStart w:id="39" w:name="_Toc512332178"/>
      <w:bookmarkStart w:id="40" w:name="_Toc518908989"/>
      <w:r w:rsidRPr="00EC0210">
        <w:rPr>
          <w:rFonts w:eastAsia="Arial"/>
          <w:b/>
          <w:color w:val="005172"/>
          <w:sz w:val="32"/>
        </w:rPr>
        <w:t>Indicators of the PCT System</w:t>
      </w:r>
      <w:bookmarkEnd w:id="39"/>
      <w:bookmarkEnd w:id="40"/>
      <w:r w:rsidRPr="00EC0210">
        <w:rPr>
          <w:rFonts w:eastAsia="Arial"/>
          <w:b/>
          <w:color w:val="005172"/>
          <w:sz w:val="32"/>
        </w:rPr>
        <w:t xml:space="preserve"> </w:t>
      </w:r>
    </w:p>
    <w:p w14:paraId="08E7D723" w14:textId="77777777" w:rsidR="003525FF" w:rsidRPr="00EC0210" w:rsidRDefault="003525FF" w:rsidP="003525FF">
      <w:pPr>
        <w:keepNext/>
        <w:spacing w:before="320" w:after="240"/>
        <w:rPr>
          <w:rFonts w:eastAsia="SimHei"/>
          <w:b/>
          <w:color w:val="005172"/>
          <w:sz w:val="24"/>
          <w:szCs w:val="24"/>
        </w:rPr>
      </w:pPr>
      <w:bookmarkStart w:id="41" w:name="_Toc518908990"/>
      <w:r w:rsidRPr="00EC0210">
        <w:rPr>
          <w:rFonts w:eastAsia="SimHei"/>
          <w:b/>
          <w:color w:val="005172"/>
          <w:sz w:val="24"/>
          <w:szCs w:val="24"/>
        </w:rPr>
        <w:t>General</w:t>
      </w:r>
    </w:p>
    <w:p w14:paraId="413502DA" w14:textId="77777777" w:rsidR="003525FF" w:rsidRPr="00EC0210" w:rsidRDefault="003525FF" w:rsidP="003525FF">
      <w:pPr>
        <w:tabs>
          <w:tab w:val="left" w:pos="567"/>
        </w:tabs>
        <w:rPr>
          <w:rFonts w:eastAsia="Arial"/>
          <w:szCs w:val="18"/>
        </w:rPr>
      </w:pPr>
      <w:r w:rsidRPr="00EC0210">
        <w:rPr>
          <w:rFonts w:eastAsia="Arial"/>
          <w:szCs w:val="18"/>
        </w:rPr>
        <w:t>This Annex provides an overview of the following indicators for PCT Operations:</w:t>
      </w:r>
    </w:p>
    <w:p w14:paraId="29BB3452" w14:textId="77777777" w:rsidR="003525FF" w:rsidRPr="00EC0210" w:rsidRDefault="003525FF" w:rsidP="008407D7">
      <w:pPr>
        <w:numPr>
          <w:ilvl w:val="0"/>
          <w:numId w:val="33"/>
        </w:numPr>
        <w:spacing w:after="60"/>
        <w:ind w:left="567" w:firstLine="0"/>
        <w:rPr>
          <w:rFonts w:eastAsia="Arial"/>
          <w:szCs w:val="18"/>
        </w:rPr>
      </w:pPr>
      <w:r w:rsidRPr="00EC0210">
        <w:rPr>
          <w:rFonts w:eastAsia="Arial"/>
          <w:szCs w:val="18"/>
        </w:rPr>
        <w:t>Workloads;</w:t>
      </w:r>
    </w:p>
    <w:p w14:paraId="0DD30070" w14:textId="77777777" w:rsidR="003525FF" w:rsidRPr="00EC0210" w:rsidRDefault="003525FF" w:rsidP="008407D7">
      <w:pPr>
        <w:numPr>
          <w:ilvl w:val="0"/>
          <w:numId w:val="33"/>
        </w:numPr>
        <w:spacing w:after="60"/>
        <w:ind w:left="567" w:firstLine="0"/>
        <w:rPr>
          <w:rFonts w:eastAsia="Arial"/>
          <w:szCs w:val="18"/>
        </w:rPr>
      </w:pPr>
      <w:r w:rsidRPr="00EC0210">
        <w:rPr>
          <w:rFonts w:eastAsia="Arial"/>
          <w:szCs w:val="18"/>
        </w:rPr>
        <w:t>Language distribution of those workloads;</w:t>
      </w:r>
    </w:p>
    <w:p w14:paraId="72C48993" w14:textId="77777777" w:rsidR="003525FF" w:rsidRPr="00EC0210" w:rsidRDefault="003525FF" w:rsidP="008407D7">
      <w:pPr>
        <w:numPr>
          <w:ilvl w:val="0"/>
          <w:numId w:val="33"/>
        </w:numPr>
        <w:spacing w:after="60"/>
        <w:ind w:left="562" w:firstLine="0"/>
        <w:rPr>
          <w:rFonts w:eastAsia="Arial"/>
          <w:szCs w:val="18"/>
        </w:rPr>
      </w:pPr>
      <w:r w:rsidRPr="00EC0210">
        <w:rPr>
          <w:rFonts w:eastAsia="Arial"/>
          <w:szCs w:val="18"/>
        </w:rPr>
        <w:t>Unit cost of processing an application;</w:t>
      </w:r>
    </w:p>
    <w:p w14:paraId="78DEB1C7" w14:textId="77777777" w:rsidR="003525FF" w:rsidRPr="00EC0210" w:rsidRDefault="003525FF" w:rsidP="008407D7">
      <w:pPr>
        <w:numPr>
          <w:ilvl w:val="0"/>
          <w:numId w:val="33"/>
        </w:numPr>
        <w:spacing w:after="60"/>
        <w:ind w:left="562" w:firstLine="0"/>
        <w:rPr>
          <w:rFonts w:eastAsia="Arial"/>
          <w:szCs w:val="18"/>
        </w:rPr>
      </w:pPr>
      <w:r w:rsidRPr="00EC0210">
        <w:rPr>
          <w:rFonts w:eastAsia="Arial"/>
          <w:szCs w:val="18"/>
        </w:rPr>
        <w:t>Productivity of formalities examination;</w:t>
      </w:r>
    </w:p>
    <w:p w14:paraId="1257165B" w14:textId="77777777" w:rsidR="003525FF" w:rsidRPr="00EC0210" w:rsidRDefault="003525FF" w:rsidP="008407D7">
      <w:pPr>
        <w:numPr>
          <w:ilvl w:val="0"/>
          <w:numId w:val="33"/>
        </w:numPr>
        <w:spacing w:after="60"/>
        <w:ind w:left="562" w:firstLine="0"/>
        <w:rPr>
          <w:rFonts w:eastAsia="Arial"/>
          <w:szCs w:val="18"/>
        </w:rPr>
      </w:pPr>
      <w:r>
        <w:rPr>
          <w:rFonts w:eastAsia="Arial"/>
          <w:szCs w:val="18"/>
        </w:rPr>
        <w:t>Aggregate q</w:t>
      </w:r>
      <w:r w:rsidRPr="00EC0210">
        <w:rPr>
          <w:rFonts w:eastAsia="Arial"/>
          <w:szCs w:val="18"/>
        </w:rPr>
        <w:t>uality of formalities examination;</w:t>
      </w:r>
    </w:p>
    <w:p w14:paraId="32016CAA" w14:textId="77777777" w:rsidR="003525FF" w:rsidRPr="00EC0210" w:rsidRDefault="003525FF" w:rsidP="008407D7">
      <w:pPr>
        <w:numPr>
          <w:ilvl w:val="0"/>
          <w:numId w:val="33"/>
        </w:numPr>
        <w:spacing w:after="60"/>
        <w:ind w:left="562" w:firstLine="0"/>
        <w:rPr>
          <w:rFonts w:eastAsia="Arial"/>
          <w:szCs w:val="18"/>
        </w:rPr>
      </w:pPr>
      <w:r w:rsidRPr="00EC0210">
        <w:rPr>
          <w:rFonts w:eastAsia="Arial"/>
          <w:szCs w:val="18"/>
        </w:rPr>
        <w:t xml:space="preserve">Quality of translation; </w:t>
      </w:r>
    </w:p>
    <w:p w14:paraId="7BB273CC" w14:textId="77777777" w:rsidR="003525FF" w:rsidRPr="00EC0210" w:rsidRDefault="003525FF" w:rsidP="008407D7">
      <w:pPr>
        <w:numPr>
          <w:ilvl w:val="0"/>
          <w:numId w:val="33"/>
        </w:numPr>
        <w:spacing w:after="60"/>
        <w:ind w:left="562" w:firstLine="0"/>
        <w:rPr>
          <w:rFonts w:eastAsia="Arial"/>
          <w:szCs w:val="18"/>
        </w:rPr>
      </w:pPr>
      <w:r w:rsidRPr="00EC0210">
        <w:rPr>
          <w:rFonts w:eastAsia="Arial"/>
          <w:szCs w:val="18"/>
        </w:rPr>
        <w:t>Quality of software development; and</w:t>
      </w:r>
    </w:p>
    <w:p w14:paraId="0811423D" w14:textId="77777777" w:rsidR="003525FF" w:rsidRPr="00EC0210" w:rsidRDefault="003525FF" w:rsidP="008407D7">
      <w:pPr>
        <w:numPr>
          <w:ilvl w:val="0"/>
          <w:numId w:val="33"/>
        </w:numPr>
        <w:spacing w:after="60"/>
        <w:ind w:left="562" w:firstLine="0"/>
        <w:rPr>
          <w:rFonts w:eastAsia="Arial"/>
          <w:szCs w:val="18"/>
        </w:rPr>
      </w:pPr>
      <w:r w:rsidRPr="00EC0210">
        <w:rPr>
          <w:rFonts w:eastAsia="Arial"/>
          <w:szCs w:val="18"/>
        </w:rPr>
        <w:t>RO/IB filings.</w:t>
      </w:r>
    </w:p>
    <w:p w14:paraId="1926CBA5" w14:textId="77777777" w:rsidR="003525FF" w:rsidRPr="00EC0210" w:rsidRDefault="003525FF" w:rsidP="003525FF">
      <w:pPr>
        <w:spacing w:after="60"/>
        <w:rPr>
          <w:rFonts w:eastAsia="Arial"/>
          <w:szCs w:val="18"/>
        </w:rPr>
      </w:pPr>
    </w:p>
    <w:p w14:paraId="005F363D" w14:textId="77777777" w:rsidR="003525FF" w:rsidRPr="00EC0210" w:rsidRDefault="003525FF" w:rsidP="003525FF">
      <w:pPr>
        <w:jc w:val="both"/>
        <w:rPr>
          <w:rFonts w:eastAsia="Arial"/>
          <w:szCs w:val="18"/>
        </w:rPr>
      </w:pPr>
      <w:r w:rsidRPr="00EC0210">
        <w:rPr>
          <w:rFonts w:eastAsia="Arial"/>
          <w:szCs w:val="18"/>
        </w:rPr>
        <w:t xml:space="preserve">Publication of PCT applications usually takes place every Thursday. </w:t>
      </w:r>
      <w:r>
        <w:rPr>
          <w:rFonts w:eastAsia="Arial"/>
          <w:szCs w:val="18"/>
        </w:rPr>
        <w:t xml:space="preserve"> </w:t>
      </w:r>
      <w:r w:rsidRPr="00EC0210">
        <w:rPr>
          <w:rFonts w:eastAsia="Arial"/>
          <w:szCs w:val="18"/>
        </w:rPr>
        <w:t xml:space="preserve">The years 2014 and 2020 each had 53 Thursdays rather than 52 for the other years, slightly affecting statistical trends </w:t>
      </w:r>
      <w:r>
        <w:rPr>
          <w:rFonts w:eastAsia="Arial"/>
          <w:szCs w:val="18"/>
        </w:rPr>
        <w:t>for</w:t>
      </w:r>
      <w:r w:rsidRPr="00EC0210">
        <w:rPr>
          <w:rFonts w:eastAsia="Arial"/>
          <w:szCs w:val="18"/>
        </w:rPr>
        <w:t xml:space="preserve"> published PCT applications.</w:t>
      </w:r>
    </w:p>
    <w:p w14:paraId="5FB0659A" w14:textId="77777777" w:rsidR="003525FF" w:rsidRPr="00EA0268" w:rsidRDefault="003525FF" w:rsidP="003525FF">
      <w:pPr>
        <w:keepNext/>
        <w:spacing w:before="360" w:after="240"/>
        <w:rPr>
          <w:rFonts w:eastAsia="SimHei"/>
          <w:b/>
          <w:color w:val="005172"/>
          <w:sz w:val="24"/>
          <w:szCs w:val="24"/>
        </w:rPr>
      </w:pPr>
      <w:r w:rsidRPr="00EA0268">
        <w:rPr>
          <w:rFonts w:eastAsia="SimHei"/>
          <w:b/>
          <w:color w:val="005172"/>
          <w:sz w:val="24"/>
          <w:szCs w:val="24"/>
        </w:rPr>
        <w:t>Workloads</w:t>
      </w:r>
    </w:p>
    <w:p w14:paraId="0D369B91" w14:textId="77777777" w:rsidR="003525FF" w:rsidRPr="00EA0268" w:rsidRDefault="003525FF" w:rsidP="003525FF">
      <w:pPr>
        <w:spacing w:after="120"/>
        <w:rPr>
          <w:rFonts w:eastAsia="Arial"/>
          <w:szCs w:val="18"/>
        </w:rPr>
      </w:pPr>
      <w:r w:rsidRPr="00EA0268">
        <w:rPr>
          <w:rFonts w:eastAsia="Arial"/>
          <w:szCs w:val="18"/>
        </w:rPr>
        <w:t xml:space="preserve">Workloads are tracked </w:t>
      </w:r>
      <w:r>
        <w:rPr>
          <w:rFonts w:eastAsia="Arial"/>
          <w:szCs w:val="18"/>
        </w:rPr>
        <w:t>based on</w:t>
      </w:r>
      <w:r w:rsidRPr="00EA0268">
        <w:rPr>
          <w:rFonts w:eastAsia="Arial"/>
          <w:szCs w:val="18"/>
        </w:rPr>
        <w:t xml:space="preserve"> the yearly number of PCT applications filed.</w:t>
      </w:r>
    </w:p>
    <w:p w14:paraId="1EE5F5F3" w14:textId="77777777" w:rsidR="00DF4B49" w:rsidRDefault="003525FF" w:rsidP="003525FF">
      <w:pPr>
        <w:spacing w:after="120"/>
        <w:jc w:val="center"/>
        <w:rPr>
          <w:rFonts w:eastAsia="Arial"/>
          <w:b/>
          <w:bCs/>
          <w:color w:val="005172"/>
          <w:szCs w:val="16"/>
        </w:rPr>
      </w:pPr>
      <w:r w:rsidRPr="00EA0268">
        <w:rPr>
          <w:rFonts w:eastAsia="Arial"/>
          <w:b/>
          <w:bCs/>
          <w:color w:val="005172"/>
          <w:szCs w:val="16"/>
        </w:rPr>
        <w:t>Evolution of PCT applications by Medium of Filing</w:t>
      </w:r>
    </w:p>
    <w:p w14:paraId="02FACAA5" w14:textId="27E341E1" w:rsidR="003525FF" w:rsidRDefault="003525FF" w:rsidP="003525FF">
      <w:pPr>
        <w:spacing w:after="120"/>
        <w:jc w:val="center"/>
        <w:rPr>
          <w:rFonts w:eastAsia="Arial"/>
          <w:b/>
          <w:bCs/>
          <w:noProof/>
          <w:color w:val="005172"/>
          <w:sz w:val="16"/>
          <w:szCs w:val="16"/>
        </w:rPr>
      </w:pPr>
      <w:r w:rsidRPr="00EA0268">
        <w:rPr>
          <w:rFonts w:eastAsia="Arial"/>
          <w:noProof/>
          <w:sz w:val="20"/>
        </w:rPr>
        <w:t xml:space="preserve"> </w:t>
      </w:r>
      <w:r w:rsidR="00DF4B49">
        <w:rPr>
          <w:noProof/>
          <w:lang w:val="en-US"/>
        </w:rPr>
        <w:drawing>
          <wp:inline distT="0" distB="0" distL="0" distR="0" wp14:anchorId="54632B21" wp14:editId="228D298B">
            <wp:extent cx="5376560" cy="2618509"/>
            <wp:effectExtent l="0" t="0" r="1460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6A3CBB8F" w14:textId="01F970AA" w:rsidR="003525FF" w:rsidRPr="00E814BE" w:rsidRDefault="003525FF" w:rsidP="003525FF">
      <w:pPr>
        <w:spacing w:after="120"/>
        <w:jc w:val="center"/>
        <w:rPr>
          <w:rFonts w:eastAsia="Arial"/>
          <w:noProof/>
          <w:sz w:val="20"/>
        </w:rPr>
      </w:pPr>
    </w:p>
    <w:p w14:paraId="36F44FD1" w14:textId="5963EACB" w:rsidR="003525FF" w:rsidRPr="00EA0268" w:rsidRDefault="003525FF" w:rsidP="002363E7">
      <w:pPr>
        <w:spacing w:after="60"/>
        <w:ind w:left="562"/>
        <w:jc w:val="both"/>
        <w:rPr>
          <w:rFonts w:eastAsia="Arial"/>
          <w:color w:val="7F7F7F"/>
        </w:rPr>
      </w:pPr>
      <w:r w:rsidRPr="00EA0268">
        <w:rPr>
          <w:rFonts w:eastAsia="Arial"/>
          <w:sz w:val="15"/>
          <w:szCs w:val="15"/>
        </w:rPr>
        <w:t xml:space="preserve">Note: PDF, </w:t>
      </w:r>
      <w:r>
        <w:rPr>
          <w:rFonts w:eastAsia="Arial"/>
          <w:sz w:val="15"/>
          <w:szCs w:val="15"/>
        </w:rPr>
        <w:t>XML and SEF</w:t>
      </w:r>
      <w:r w:rsidRPr="00EA0268">
        <w:rPr>
          <w:rFonts w:eastAsia="Arial"/>
          <w:sz w:val="15"/>
          <w:szCs w:val="15"/>
        </w:rPr>
        <w:t>-Web</w:t>
      </w:r>
      <w:r>
        <w:rPr>
          <w:rFonts w:eastAsia="Arial"/>
          <w:sz w:val="15"/>
          <w:szCs w:val="15"/>
        </w:rPr>
        <w:t xml:space="preserve"> are the three</w:t>
      </w:r>
      <w:r w:rsidRPr="00EA0268">
        <w:rPr>
          <w:rFonts w:eastAsia="Arial"/>
          <w:sz w:val="15"/>
          <w:szCs w:val="15"/>
        </w:rPr>
        <w:t xml:space="preserve"> electronic filing mediums.</w:t>
      </w:r>
    </w:p>
    <w:p w14:paraId="55A6E0DD" w14:textId="1AD29AC6" w:rsidR="003525FF" w:rsidRPr="00EA0268" w:rsidRDefault="003525FF" w:rsidP="003525FF">
      <w:pPr>
        <w:spacing w:after="240"/>
        <w:ind w:firstLine="562"/>
        <w:rPr>
          <w:rFonts w:eastAsia="Arial"/>
          <w:sz w:val="15"/>
          <w:szCs w:val="15"/>
        </w:rPr>
      </w:pPr>
      <w:r w:rsidRPr="00EA0268">
        <w:rPr>
          <w:rFonts w:eastAsia="Arial"/>
          <w:sz w:val="15"/>
          <w:szCs w:val="15"/>
        </w:rPr>
        <w:t xml:space="preserve">Source: WIPO Statistics Database, </w:t>
      </w:r>
      <w:r w:rsidR="0075425B">
        <w:rPr>
          <w:rFonts w:eastAsia="Arial"/>
          <w:sz w:val="15"/>
          <w:szCs w:val="15"/>
        </w:rPr>
        <w:t>April</w:t>
      </w:r>
      <w:r>
        <w:rPr>
          <w:rFonts w:eastAsia="Arial"/>
          <w:sz w:val="15"/>
          <w:szCs w:val="15"/>
        </w:rPr>
        <w:t xml:space="preserve"> 2023</w:t>
      </w:r>
    </w:p>
    <w:p w14:paraId="7E0D5340" w14:textId="430E8558" w:rsidR="003525FF" w:rsidRPr="00E83D48" w:rsidRDefault="003525FF" w:rsidP="008407D7">
      <w:pPr>
        <w:numPr>
          <w:ilvl w:val="0"/>
          <w:numId w:val="34"/>
        </w:numPr>
        <w:tabs>
          <w:tab w:val="left" w:pos="8505"/>
        </w:tabs>
        <w:spacing w:after="200" w:line="276" w:lineRule="auto"/>
        <w:rPr>
          <w:rFonts w:eastAsia="Calibri"/>
          <w:szCs w:val="18"/>
        </w:rPr>
      </w:pPr>
      <w:r w:rsidRPr="00E83D48">
        <w:rPr>
          <w:rFonts w:eastAsia="Calibri"/>
          <w:szCs w:val="18"/>
        </w:rPr>
        <w:t xml:space="preserve">In </w:t>
      </w:r>
      <w:r w:rsidRPr="00EA0268">
        <w:rPr>
          <w:rFonts w:eastAsia="Calibri"/>
          <w:szCs w:val="18"/>
        </w:rPr>
        <w:t>2022</w:t>
      </w:r>
      <w:r w:rsidRPr="00E83D48">
        <w:rPr>
          <w:rFonts w:eastAsia="Calibri"/>
          <w:szCs w:val="18"/>
        </w:rPr>
        <w:t>, 27</w:t>
      </w:r>
      <w:r w:rsidR="00511ECB">
        <w:rPr>
          <w:rFonts w:eastAsia="Calibri"/>
          <w:szCs w:val="18"/>
        </w:rPr>
        <w:t>7</w:t>
      </w:r>
      <w:r w:rsidRPr="00E83D48">
        <w:rPr>
          <w:rFonts w:eastAsia="Calibri"/>
          <w:szCs w:val="18"/>
        </w:rPr>
        <w:t>,</w:t>
      </w:r>
      <w:r w:rsidR="00511ECB">
        <w:rPr>
          <w:rFonts w:eastAsia="Calibri"/>
          <w:szCs w:val="18"/>
        </w:rPr>
        <w:t>7</w:t>
      </w:r>
      <w:r w:rsidRPr="00E83D48">
        <w:rPr>
          <w:rFonts w:eastAsia="Calibri"/>
          <w:szCs w:val="18"/>
        </w:rPr>
        <w:t>00 PCT applications were filed, representing an increase of 0.</w:t>
      </w:r>
      <w:r w:rsidR="00511ECB">
        <w:rPr>
          <w:rFonts w:eastAsia="Calibri"/>
          <w:szCs w:val="18"/>
        </w:rPr>
        <w:t>2</w:t>
      </w:r>
      <w:r w:rsidRPr="00E83D48">
        <w:rPr>
          <w:rFonts w:eastAsia="Calibri"/>
          <w:szCs w:val="18"/>
        </w:rPr>
        <w:t xml:space="preserve"> per cent compared to the previous year. </w:t>
      </w:r>
    </w:p>
    <w:p w14:paraId="603FBDB4" w14:textId="69F06FFB" w:rsidR="003525FF" w:rsidRPr="00E83D48" w:rsidRDefault="003525FF" w:rsidP="008407D7">
      <w:pPr>
        <w:numPr>
          <w:ilvl w:val="0"/>
          <w:numId w:val="34"/>
        </w:numPr>
        <w:tabs>
          <w:tab w:val="left" w:pos="8505"/>
        </w:tabs>
        <w:spacing w:after="200" w:line="276" w:lineRule="auto"/>
        <w:rPr>
          <w:rFonts w:eastAsia="Calibri"/>
          <w:szCs w:val="18"/>
        </w:rPr>
      </w:pPr>
      <w:r w:rsidRPr="00E83D48">
        <w:rPr>
          <w:rFonts w:eastAsia="Calibri"/>
          <w:szCs w:val="18"/>
        </w:rPr>
        <w:t>In 2022, electronic filing methods, which represented 99.1 per cent of total filings, were composed of PDF (66 per cent), XML (27.</w:t>
      </w:r>
      <w:r w:rsidR="00511ECB">
        <w:rPr>
          <w:rFonts w:eastAsia="Calibri"/>
          <w:szCs w:val="18"/>
        </w:rPr>
        <w:t>3</w:t>
      </w:r>
      <w:r w:rsidRPr="00E83D48">
        <w:rPr>
          <w:rFonts w:eastAsia="Calibri"/>
          <w:szCs w:val="18"/>
        </w:rPr>
        <w:t xml:space="preserve"> per cent), and SEF-Web (5.</w:t>
      </w:r>
      <w:r w:rsidR="00511ECB">
        <w:rPr>
          <w:rFonts w:eastAsia="Calibri"/>
          <w:szCs w:val="18"/>
        </w:rPr>
        <w:t>8</w:t>
      </w:r>
      <w:r w:rsidRPr="00E83D48">
        <w:rPr>
          <w:rFonts w:eastAsia="Calibri"/>
          <w:szCs w:val="18"/>
        </w:rPr>
        <w:t xml:space="preserve"> per cent) filings.</w:t>
      </w:r>
    </w:p>
    <w:p w14:paraId="085D7B2F" w14:textId="77777777" w:rsidR="003525FF" w:rsidRPr="00EA0268" w:rsidRDefault="003525FF" w:rsidP="003525FF">
      <w:pPr>
        <w:keepNext/>
        <w:spacing w:before="320" w:after="240"/>
        <w:rPr>
          <w:rFonts w:eastAsia="SimHei"/>
          <w:b/>
          <w:color w:val="005172"/>
          <w:sz w:val="24"/>
          <w:szCs w:val="24"/>
        </w:rPr>
      </w:pPr>
      <w:r w:rsidRPr="00EA0268">
        <w:rPr>
          <w:rFonts w:eastAsia="SimHei"/>
          <w:b/>
          <w:color w:val="005172"/>
          <w:sz w:val="24"/>
          <w:szCs w:val="24"/>
        </w:rPr>
        <w:t>Language Distribution</w:t>
      </w:r>
    </w:p>
    <w:p w14:paraId="054B76EB" w14:textId="77777777" w:rsidR="003525FF" w:rsidRPr="00890C93" w:rsidRDefault="003525FF" w:rsidP="003525FF">
      <w:pPr>
        <w:tabs>
          <w:tab w:val="left" w:pos="0"/>
        </w:tabs>
        <w:contextualSpacing/>
        <w:rPr>
          <w:rFonts w:eastAsia="Arial"/>
          <w:szCs w:val="18"/>
          <w:lang w:eastAsia="ja-JP"/>
        </w:rPr>
      </w:pPr>
      <w:r w:rsidRPr="00890C93">
        <w:rPr>
          <w:rFonts w:eastAsia="Arial"/>
          <w:szCs w:val="18"/>
          <w:lang w:eastAsia="ja-JP"/>
        </w:rPr>
        <w:t xml:space="preserve">One fundamental development-driving change in the IB is the increasing language diversity of filings, resulting, in particular, from the continued increased usage of the PCT System in East Asian countries. </w:t>
      </w:r>
    </w:p>
    <w:p w14:paraId="61B6B0B3" w14:textId="77777777" w:rsidR="003525FF" w:rsidRPr="004F23F9" w:rsidRDefault="003525FF" w:rsidP="003525FF">
      <w:pPr>
        <w:tabs>
          <w:tab w:val="left" w:pos="0"/>
        </w:tabs>
        <w:contextualSpacing/>
        <w:jc w:val="center"/>
        <w:rPr>
          <w:rFonts w:ascii="Calibri" w:eastAsia="SimHei" w:hAnsi="Calibri"/>
          <w:b/>
          <w:bCs/>
          <w:i/>
          <w:color w:val="005172"/>
          <w:szCs w:val="16"/>
          <w:lang w:eastAsia="ja-JP"/>
        </w:rPr>
      </w:pPr>
      <w:r w:rsidRPr="004F23F9">
        <w:rPr>
          <w:rFonts w:ascii="Calibri" w:eastAsia="SimHei" w:hAnsi="Calibri"/>
          <w:b/>
          <w:bCs/>
          <w:i/>
          <w:color w:val="005172"/>
          <w:szCs w:val="16"/>
          <w:lang w:eastAsia="ja-JP"/>
        </w:rPr>
        <w:t xml:space="preserve">Language of Filing </w:t>
      </w:r>
      <w:r w:rsidRPr="004F23F9">
        <w:rPr>
          <w:rFonts w:ascii="Calibri" w:eastAsia="SimHei" w:hAnsi="Calibri"/>
          <w:bCs/>
          <w:i/>
          <w:color w:val="005172"/>
          <w:szCs w:val="16"/>
          <w:lang w:eastAsia="ja-JP"/>
        </w:rPr>
        <w:t>(all languages)</w:t>
      </w:r>
      <w:r w:rsidRPr="004F23F9">
        <w:rPr>
          <w:rFonts w:ascii="Calibri" w:eastAsia="Times New Roman" w:hAnsi="Calibri"/>
          <w:noProof/>
          <w:lang w:eastAsia="ja-JP"/>
        </w:rPr>
        <w:t xml:space="preserve"> </w:t>
      </w:r>
    </w:p>
    <w:p w14:paraId="38A5A2F0" w14:textId="77777777" w:rsidR="003525FF" w:rsidRPr="004F23F9" w:rsidRDefault="003525FF" w:rsidP="003525FF">
      <w:pPr>
        <w:tabs>
          <w:tab w:val="left" w:pos="0"/>
        </w:tabs>
        <w:contextualSpacing/>
        <w:jc w:val="center"/>
        <w:rPr>
          <w:rFonts w:ascii="Calibri" w:eastAsia="Arial" w:hAnsi="Calibri"/>
          <w:szCs w:val="18"/>
          <w:lang w:eastAsia="ja-JP"/>
        </w:rPr>
      </w:pPr>
      <w:r>
        <w:rPr>
          <w:noProof/>
          <w:lang w:val="en-US"/>
        </w:rPr>
        <w:drawing>
          <wp:inline distT="0" distB="0" distL="0" distR="0" wp14:anchorId="7EBE4CC8" wp14:editId="659487F8">
            <wp:extent cx="5577840" cy="2743200"/>
            <wp:effectExtent l="0" t="0" r="381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56897D8" w14:textId="77777777" w:rsidR="003525FF" w:rsidRPr="005224B6" w:rsidRDefault="003525FF" w:rsidP="003525FF">
      <w:pPr>
        <w:ind w:firstLine="562"/>
        <w:rPr>
          <w:rFonts w:eastAsia="Arial"/>
          <w:sz w:val="15"/>
          <w:szCs w:val="15"/>
        </w:rPr>
      </w:pPr>
      <w:r w:rsidRPr="005224B6">
        <w:rPr>
          <w:rFonts w:eastAsia="Arial"/>
          <w:sz w:val="15"/>
          <w:szCs w:val="15"/>
        </w:rPr>
        <w:t xml:space="preserve">Source: WIPO Statistics Database, </w:t>
      </w:r>
      <w:r>
        <w:rPr>
          <w:rFonts w:eastAsia="Arial"/>
          <w:sz w:val="15"/>
          <w:szCs w:val="15"/>
        </w:rPr>
        <w:t>March 2023</w:t>
      </w:r>
    </w:p>
    <w:p w14:paraId="58961E52" w14:textId="77777777" w:rsidR="003525FF" w:rsidRDefault="003525FF" w:rsidP="003525FF">
      <w:pPr>
        <w:tabs>
          <w:tab w:val="left" w:pos="0"/>
          <w:tab w:val="left" w:pos="284"/>
          <w:tab w:val="left" w:pos="567"/>
          <w:tab w:val="left" w:pos="1418"/>
          <w:tab w:val="left" w:pos="3402"/>
        </w:tabs>
        <w:spacing w:before="400" w:after="360"/>
        <w:contextualSpacing/>
        <w:rPr>
          <w:rFonts w:eastAsia="Arial"/>
          <w:szCs w:val="18"/>
          <w:lang w:eastAsia="ja-JP"/>
        </w:rPr>
      </w:pPr>
      <w:r w:rsidRPr="005224B6">
        <w:rPr>
          <w:rFonts w:eastAsia="Arial"/>
          <w:szCs w:val="18"/>
          <w:lang w:eastAsia="ja-JP"/>
        </w:rPr>
        <w:t>English and Chinese accounted for nearly two-thirds of filings in 2022, with 42 per cent and 23.4 per cent of the total, respectively.  The share of Asian languages has increased sharply over the past decade.  The combined share of the PCT applications filed in Chinese, Japanese</w:t>
      </w:r>
      <w:r>
        <w:rPr>
          <w:rFonts w:eastAsia="Arial"/>
          <w:szCs w:val="18"/>
          <w:lang w:eastAsia="ja-JP"/>
        </w:rPr>
        <w:t>,</w:t>
      </w:r>
      <w:r w:rsidRPr="005224B6">
        <w:rPr>
          <w:rFonts w:eastAsia="Arial"/>
          <w:szCs w:val="18"/>
          <w:lang w:eastAsia="ja-JP"/>
        </w:rPr>
        <w:t xml:space="preserve"> and Korean increased from 34.5 per cent in 2013 to 48.2 per cent in 2022.  Zooming in on languages other than English provides the following picture:</w:t>
      </w:r>
    </w:p>
    <w:p w14:paraId="12161C5D" w14:textId="77777777" w:rsidR="003525FF" w:rsidRPr="005224B6" w:rsidRDefault="003525FF" w:rsidP="003525FF">
      <w:pPr>
        <w:tabs>
          <w:tab w:val="left" w:pos="0"/>
          <w:tab w:val="left" w:pos="284"/>
          <w:tab w:val="left" w:pos="567"/>
          <w:tab w:val="left" w:pos="1418"/>
          <w:tab w:val="left" w:pos="3402"/>
        </w:tabs>
        <w:spacing w:before="400" w:after="360"/>
        <w:contextualSpacing/>
        <w:rPr>
          <w:rFonts w:eastAsia="Arial"/>
          <w:szCs w:val="18"/>
          <w:lang w:eastAsia="ja-JP"/>
        </w:rPr>
      </w:pPr>
    </w:p>
    <w:p w14:paraId="754AD6D3" w14:textId="77777777" w:rsidR="003525FF" w:rsidRPr="005224B6" w:rsidRDefault="003525FF" w:rsidP="003525FF">
      <w:pPr>
        <w:tabs>
          <w:tab w:val="left" w:pos="0"/>
          <w:tab w:val="left" w:pos="284"/>
          <w:tab w:val="left" w:pos="567"/>
          <w:tab w:val="left" w:pos="1418"/>
          <w:tab w:val="left" w:pos="3402"/>
        </w:tabs>
        <w:spacing w:before="400"/>
        <w:contextualSpacing/>
        <w:rPr>
          <w:rFonts w:ascii="Calibri" w:eastAsia="Arial" w:hAnsi="Calibri"/>
          <w:sz w:val="8"/>
          <w:szCs w:val="18"/>
          <w:lang w:eastAsia="ja-JP"/>
        </w:rPr>
      </w:pPr>
    </w:p>
    <w:p w14:paraId="532061F3" w14:textId="77777777" w:rsidR="003525FF" w:rsidRPr="005224B6" w:rsidRDefault="003525FF" w:rsidP="003525FF">
      <w:pPr>
        <w:tabs>
          <w:tab w:val="left" w:pos="0"/>
        </w:tabs>
        <w:spacing w:before="360"/>
        <w:contextualSpacing/>
        <w:jc w:val="center"/>
        <w:rPr>
          <w:rFonts w:ascii="Calibri" w:eastAsia="SimHei" w:hAnsi="Calibri"/>
          <w:i/>
          <w:iCs/>
          <w:color w:val="005172"/>
          <w:szCs w:val="16"/>
          <w:lang w:eastAsia="ja-JP"/>
        </w:rPr>
      </w:pPr>
      <w:r w:rsidRPr="005224B6">
        <w:rPr>
          <w:rFonts w:ascii="Calibri" w:eastAsia="SimHei" w:hAnsi="Calibri"/>
          <w:b/>
          <w:bCs/>
          <w:i/>
          <w:color w:val="005172"/>
          <w:szCs w:val="16"/>
          <w:lang w:eastAsia="ja-JP"/>
        </w:rPr>
        <w:t xml:space="preserve">Languages of Filing </w:t>
      </w:r>
      <w:r w:rsidRPr="005224B6">
        <w:rPr>
          <w:rFonts w:ascii="Calibri" w:eastAsia="SimHei" w:hAnsi="Calibri"/>
          <w:i/>
          <w:iCs/>
          <w:color w:val="005172"/>
          <w:szCs w:val="16"/>
          <w:lang w:eastAsia="ja-JP"/>
        </w:rPr>
        <w:t>(all languages except English)</w:t>
      </w:r>
      <w:r w:rsidRPr="005224B6">
        <w:rPr>
          <w:rFonts w:ascii="Calibri" w:eastAsia="Times New Roman" w:hAnsi="Calibri"/>
          <w:noProof/>
          <w:lang w:eastAsia="ja-JP"/>
        </w:rPr>
        <w:t xml:space="preserve"> </w:t>
      </w:r>
    </w:p>
    <w:p w14:paraId="1C5A8684" w14:textId="77777777" w:rsidR="003525FF" w:rsidRPr="005224B6" w:rsidRDefault="003525FF" w:rsidP="003525FF">
      <w:pPr>
        <w:tabs>
          <w:tab w:val="left" w:pos="0"/>
        </w:tabs>
        <w:contextualSpacing/>
        <w:jc w:val="center"/>
        <w:rPr>
          <w:rFonts w:ascii="Calibri" w:eastAsia="Times New Roman" w:hAnsi="Calibri"/>
          <w:color w:val="005172"/>
          <w:sz w:val="16"/>
          <w:szCs w:val="16"/>
          <w:lang w:eastAsia="ja-JP"/>
        </w:rPr>
      </w:pPr>
      <w:r>
        <w:rPr>
          <w:noProof/>
          <w:lang w:val="en-US"/>
        </w:rPr>
        <w:drawing>
          <wp:inline distT="0" distB="0" distL="0" distR="0" wp14:anchorId="0E3123EB" wp14:editId="0E3B944A">
            <wp:extent cx="5669280" cy="2743200"/>
            <wp:effectExtent l="0" t="0" r="762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7E72442" w14:textId="77777777" w:rsidR="003525FF" w:rsidRPr="005224B6" w:rsidRDefault="003525FF" w:rsidP="003525FF">
      <w:pPr>
        <w:ind w:firstLine="567"/>
        <w:rPr>
          <w:rFonts w:eastAsia="Arial"/>
          <w:sz w:val="15"/>
          <w:szCs w:val="15"/>
        </w:rPr>
      </w:pPr>
      <w:r w:rsidRPr="005224B6">
        <w:rPr>
          <w:rFonts w:eastAsia="Arial"/>
          <w:sz w:val="15"/>
          <w:szCs w:val="15"/>
        </w:rPr>
        <w:t xml:space="preserve">Source: WIPO Statistics </w:t>
      </w:r>
      <w:r>
        <w:rPr>
          <w:rFonts w:eastAsia="Arial"/>
          <w:sz w:val="15"/>
          <w:szCs w:val="15"/>
        </w:rPr>
        <w:t>Database, March 2023</w:t>
      </w:r>
    </w:p>
    <w:p w14:paraId="5966DB8E" w14:textId="77777777" w:rsidR="003525FF" w:rsidRPr="005224B6" w:rsidRDefault="003525FF" w:rsidP="003525FF">
      <w:pPr>
        <w:tabs>
          <w:tab w:val="left" w:pos="993"/>
        </w:tabs>
        <w:spacing w:before="240" w:after="120"/>
        <w:rPr>
          <w:rFonts w:eastAsia="Arial"/>
          <w:szCs w:val="18"/>
        </w:rPr>
      </w:pPr>
      <w:r w:rsidRPr="005224B6">
        <w:rPr>
          <w:rFonts w:eastAsia="Arial"/>
          <w:szCs w:val="18"/>
        </w:rPr>
        <w:t>The sharp increase in the number of applications filed in Asian languages in recent years puts a considerable strain on the IB due to the limited number of staff resources able to work in these languages.  Mitigation of this issue has consisted of automation of certain tasks and recruitment of staff able to work in these languages.</w:t>
      </w:r>
    </w:p>
    <w:p w14:paraId="5A01BFC9" w14:textId="77777777" w:rsidR="003525FF" w:rsidRPr="00A529D9" w:rsidRDefault="003525FF" w:rsidP="003525FF">
      <w:pPr>
        <w:keepNext/>
        <w:spacing w:before="320"/>
        <w:rPr>
          <w:rFonts w:eastAsia="SimHei"/>
          <w:b/>
          <w:color w:val="005172"/>
          <w:sz w:val="24"/>
          <w:szCs w:val="24"/>
        </w:rPr>
      </w:pPr>
      <w:r w:rsidRPr="00A529D9">
        <w:rPr>
          <w:rFonts w:eastAsia="SimHei"/>
          <w:b/>
          <w:color w:val="005172"/>
          <w:sz w:val="24"/>
          <w:szCs w:val="24"/>
        </w:rPr>
        <w:t>Unit Cost of Processing an Application</w:t>
      </w:r>
    </w:p>
    <w:p w14:paraId="10275CC3" w14:textId="77777777" w:rsidR="003525FF" w:rsidRDefault="003525FF" w:rsidP="003525FF">
      <w:pPr>
        <w:contextualSpacing/>
        <w:rPr>
          <w:rFonts w:eastAsia="Times New Roman"/>
          <w:szCs w:val="18"/>
          <w:lang w:eastAsia="ja-JP"/>
        </w:rPr>
      </w:pPr>
      <w:r w:rsidRPr="00A529D9">
        <w:rPr>
          <w:rFonts w:eastAsia="Times New Roman"/>
          <w:szCs w:val="18"/>
          <w:lang w:eastAsia="ja-JP"/>
        </w:rPr>
        <w:t xml:space="preserve">The IB’s efficiency in processing PCT applications can be measured by the unit cost, defined as the average cost of producing one unit of output.  </w:t>
      </w:r>
    </w:p>
    <w:p w14:paraId="511E570B" w14:textId="77777777" w:rsidR="003525FF" w:rsidRDefault="003525FF" w:rsidP="003525FF">
      <w:pPr>
        <w:contextualSpacing/>
        <w:rPr>
          <w:rFonts w:eastAsia="Times New Roman"/>
          <w:szCs w:val="18"/>
          <w:lang w:eastAsia="ja-JP"/>
        </w:rPr>
      </w:pPr>
    </w:p>
    <w:p w14:paraId="13FE0F4D" w14:textId="77777777" w:rsidR="003525FF" w:rsidRPr="007D5E38" w:rsidRDefault="003525FF" w:rsidP="003525FF">
      <w:pPr>
        <w:contextualSpacing/>
        <w:rPr>
          <w:szCs w:val="18"/>
        </w:rPr>
      </w:pPr>
      <w:r w:rsidRPr="007D5E38">
        <w:rPr>
          <w:szCs w:val="18"/>
        </w:rPr>
        <w:t xml:space="preserve">The methodology for calculating direct and indirect costs is </w:t>
      </w:r>
      <w:r>
        <w:rPr>
          <w:szCs w:val="18"/>
        </w:rPr>
        <w:t>harmonized across</w:t>
      </w:r>
      <w:r w:rsidRPr="007D5E38">
        <w:rPr>
          <w:szCs w:val="18"/>
        </w:rPr>
        <w:t xml:space="preserve"> all Global IP Services.</w:t>
      </w:r>
      <w:r>
        <w:rPr>
          <w:szCs w:val="18"/>
        </w:rPr>
        <w:t xml:space="preserve">  </w:t>
      </w:r>
      <w:r w:rsidRPr="00A529D9">
        <w:rPr>
          <w:rFonts w:eastAsia="Times New Roman"/>
          <w:szCs w:val="18"/>
          <w:lang w:eastAsia="ja-JP"/>
        </w:rPr>
        <w:t xml:space="preserve">The total cost of production comprises expenditure relating exclusively to the PCT System and expenditure relating to activities supporting the </w:t>
      </w:r>
      <w:r>
        <w:rPr>
          <w:rFonts w:eastAsia="Times New Roman"/>
          <w:szCs w:val="18"/>
          <w:lang w:eastAsia="ja-JP"/>
        </w:rPr>
        <w:t xml:space="preserve">PCT </w:t>
      </w:r>
      <w:r w:rsidRPr="00A529D9">
        <w:rPr>
          <w:rFonts w:eastAsia="Times New Roman"/>
          <w:szCs w:val="18"/>
          <w:lang w:eastAsia="ja-JP"/>
        </w:rPr>
        <w:t xml:space="preserve">System. </w:t>
      </w:r>
    </w:p>
    <w:p w14:paraId="149DA955" w14:textId="77777777" w:rsidR="003525FF" w:rsidRPr="00A529D9" w:rsidRDefault="003525FF" w:rsidP="003525FF">
      <w:pPr>
        <w:contextualSpacing/>
        <w:rPr>
          <w:rFonts w:eastAsia="Times New Roman"/>
          <w:szCs w:val="18"/>
          <w:lang w:eastAsia="ja-JP"/>
        </w:rPr>
      </w:pPr>
      <w:r w:rsidRPr="00A529D9">
        <w:rPr>
          <w:rFonts w:eastAsia="Times New Roman"/>
          <w:szCs w:val="18"/>
          <w:lang w:eastAsia="ja-JP"/>
        </w:rPr>
        <w:t xml:space="preserve"> </w:t>
      </w:r>
    </w:p>
    <w:p w14:paraId="7F75E9BB" w14:textId="77777777" w:rsidR="003525FF" w:rsidRPr="00A529D9" w:rsidRDefault="003525FF" w:rsidP="003525FF">
      <w:pPr>
        <w:rPr>
          <w:rFonts w:eastAsia="Arial"/>
          <w:szCs w:val="18"/>
        </w:rPr>
      </w:pPr>
      <w:r w:rsidRPr="00A529D9">
        <w:rPr>
          <w:rFonts w:eastAsia="Arial"/>
          <w:szCs w:val="18"/>
        </w:rPr>
        <w:t>Expenditure of activities supporting the PCT System comprises the following services: conference and language services, executive management, finance and budget, general support services, human resources management, internal oversight, IT, and safety and security.  A small proportion of these expenses (cost of server hosting from UNICC, estimated cost of the authentic publication source of PCT applications (PATENTSCOPE), and share of cost of the Income Section in Finance) are directly attributed to the PCT System whereas the remainder of such expenses attributable to the PCT System are calculated based on headcount (including fixed term staff, temporary staff, fellows and agency workers).</w:t>
      </w:r>
    </w:p>
    <w:p w14:paraId="6994B28D" w14:textId="77777777" w:rsidR="003525FF" w:rsidRPr="00A529D9" w:rsidRDefault="003525FF" w:rsidP="003525FF">
      <w:pPr>
        <w:spacing w:after="500"/>
        <w:rPr>
          <w:rFonts w:eastAsia="Arial"/>
          <w:szCs w:val="18"/>
        </w:rPr>
      </w:pPr>
      <w:r w:rsidRPr="00A529D9">
        <w:rPr>
          <w:rFonts w:eastAsia="Arial"/>
          <w:noProof/>
          <w:szCs w:val="18"/>
          <w:lang w:val="en-US"/>
        </w:rPr>
        <w:drawing>
          <wp:anchor distT="0" distB="0" distL="114300" distR="114300" simplePos="0" relativeHeight="251821568" behindDoc="1" locked="0" layoutInCell="1" allowOverlap="1" wp14:anchorId="1EB48AEA" wp14:editId="0F41F70C">
            <wp:simplePos x="0" y="0"/>
            <wp:positionH relativeFrom="margin">
              <wp:posOffset>1884441</wp:posOffset>
            </wp:positionH>
            <wp:positionV relativeFrom="paragraph">
              <wp:posOffset>214579</wp:posOffset>
            </wp:positionV>
            <wp:extent cx="2042795" cy="344170"/>
            <wp:effectExtent l="0" t="0" r="0" b="0"/>
            <wp:wrapNone/>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42795" cy="344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29D9">
        <w:rPr>
          <w:rFonts w:eastAsia="Arial"/>
          <w:szCs w:val="18"/>
        </w:rPr>
        <w:t>Formally, the unit cost is defined as:</w:t>
      </w:r>
    </w:p>
    <w:p w14:paraId="0892C2BD" w14:textId="77777777" w:rsidR="003525FF" w:rsidRPr="00A529D9" w:rsidRDefault="003525FF" w:rsidP="003525FF">
      <w:pPr>
        <w:rPr>
          <w:rFonts w:eastAsia="Arial"/>
          <w:szCs w:val="18"/>
        </w:rPr>
      </w:pPr>
    </w:p>
    <w:p w14:paraId="01457547" w14:textId="77777777" w:rsidR="003525FF" w:rsidRPr="00A529D9" w:rsidRDefault="003525FF" w:rsidP="000304FA">
      <w:pPr>
        <w:keepNext/>
        <w:keepLines/>
        <w:spacing w:before="60" w:after="60" w:line="160" w:lineRule="atLeast"/>
        <w:jc w:val="center"/>
        <w:rPr>
          <w:rFonts w:eastAsia="Arial"/>
          <w:b/>
          <w:bCs/>
          <w:color w:val="005172"/>
          <w:szCs w:val="18"/>
        </w:rPr>
      </w:pPr>
      <w:r w:rsidRPr="005C1434">
        <w:rPr>
          <w:rFonts w:eastAsia="Arial"/>
          <w:b/>
          <w:bCs/>
          <w:color w:val="005172"/>
          <w:szCs w:val="18"/>
        </w:rPr>
        <w:t>Unit Cost of Processing a Published PCT Application</w:t>
      </w:r>
    </w:p>
    <w:p w14:paraId="60B0C323" w14:textId="77777777" w:rsidR="003525FF" w:rsidRPr="00A529D9" w:rsidRDefault="003525FF" w:rsidP="000304FA">
      <w:pPr>
        <w:keepNext/>
        <w:keepLines/>
        <w:spacing w:after="0" w:line="160" w:lineRule="atLeast"/>
        <w:jc w:val="center"/>
        <w:rPr>
          <w:rFonts w:eastAsia="Arial"/>
          <w:noProof/>
        </w:rPr>
      </w:pPr>
      <w:r w:rsidRPr="00A529D9">
        <w:rPr>
          <w:rFonts w:eastAsia="SimHei"/>
          <w:i/>
          <w:sz w:val="16"/>
          <w:szCs w:val="16"/>
        </w:rPr>
        <w:t>(in Swiss francs)</w:t>
      </w:r>
    </w:p>
    <w:p w14:paraId="783B0535" w14:textId="77777777" w:rsidR="003525FF" w:rsidRPr="00A529D9" w:rsidRDefault="003525FF" w:rsidP="003525FF">
      <w:pPr>
        <w:keepNext/>
        <w:keepLines/>
        <w:spacing w:before="120"/>
        <w:jc w:val="center"/>
        <w:rPr>
          <w:rFonts w:eastAsia="Arial"/>
          <w:szCs w:val="18"/>
        </w:rPr>
      </w:pPr>
      <w:r>
        <w:rPr>
          <w:noProof/>
          <w:lang w:val="en-US"/>
        </w:rPr>
        <w:drawing>
          <wp:inline distT="0" distB="0" distL="0" distR="0" wp14:anchorId="70AF3823" wp14:editId="0D097A13">
            <wp:extent cx="5577840" cy="2743200"/>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F1DCFFB" w14:textId="77777777" w:rsidR="003525FF" w:rsidRPr="00A529D9" w:rsidRDefault="003525FF" w:rsidP="003525FF">
      <w:pPr>
        <w:rPr>
          <w:rFonts w:eastAsia="Arial"/>
          <w:sz w:val="15"/>
          <w:szCs w:val="15"/>
        </w:rPr>
      </w:pPr>
      <w:r w:rsidRPr="00A529D9">
        <w:rPr>
          <w:rFonts w:eastAsia="Arial"/>
          <w:sz w:val="15"/>
          <w:szCs w:val="15"/>
        </w:rPr>
        <w:t>Source: WIPO</w:t>
      </w:r>
      <w:r>
        <w:rPr>
          <w:rFonts w:eastAsia="Arial"/>
          <w:sz w:val="15"/>
          <w:szCs w:val="15"/>
        </w:rPr>
        <w:t xml:space="preserve"> Statistics Database, March 2023</w:t>
      </w:r>
    </w:p>
    <w:p w14:paraId="75C0AD3E" w14:textId="77777777" w:rsidR="003525FF" w:rsidRPr="00A529D9" w:rsidRDefault="003525FF" w:rsidP="003525FF">
      <w:pPr>
        <w:keepNext/>
        <w:spacing w:before="240"/>
        <w:rPr>
          <w:rFonts w:eastAsia="Arial"/>
          <w:szCs w:val="18"/>
        </w:rPr>
      </w:pPr>
      <w:r w:rsidRPr="005C1434">
        <w:rPr>
          <w:rFonts w:eastAsia="Arial"/>
          <w:szCs w:val="18"/>
        </w:rPr>
        <w:t>The average cost of processing a published PCT application was 546 Swiss francs in 2022, representing a decrease of 5.3 per cent compared to 2021.  The unit cost in 2022 decreased as a result of a 3.4 per cent increase in the number of published PCT applications combined with a 2.1 per cent decrease in total costs as compared to</w:t>
      </w:r>
      <w:r>
        <w:rPr>
          <w:rFonts w:eastAsia="Arial"/>
          <w:szCs w:val="18"/>
        </w:rPr>
        <w:t xml:space="preserve"> 2021</w:t>
      </w:r>
      <w:r w:rsidRPr="00A529D9">
        <w:rPr>
          <w:rFonts w:eastAsia="Arial"/>
          <w:szCs w:val="18"/>
        </w:rPr>
        <w:t>.</w:t>
      </w:r>
    </w:p>
    <w:p w14:paraId="7BC3144A" w14:textId="77777777" w:rsidR="003525FF" w:rsidRPr="00A529D9" w:rsidRDefault="003525FF" w:rsidP="003525FF">
      <w:pPr>
        <w:keepNext/>
        <w:spacing w:before="320" w:after="240"/>
        <w:rPr>
          <w:rFonts w:eastAsia="SimHei"/>
          <w:b/>
          <w:color w:val="005172"/>
          <w:sz w:val="24"/>
          <w:szCs w:val="24"/>
        </w:rPr>
      </w:pPr>
      <w:r w:rsidRPr="00A529D9">
        <w:rPr>
          <w:rFonts w:eastAsia="SimHei"/>
          <w:b/>
          <w:color w:val="005172"/>
          <w:sz w:val="24"/>
          <w:szCs w:val="24"/>
        </w:rPr>
        <w:t>Productivity of Formalities Examination</w:t>
      </w:r>
    </w:p>
    <w:p w14:paraId="05EE42F6" w14:textId="77777777" w:rsidR="003525FF" w:rsidRPr="00A529D9" w:rsidRDefault="003525FF" w:rsidP="003525FF">
      <w:pPr>
        <w:spacing w:before="240"/>
        <w:jc w:val="both"/>
        <w:rPr>
          <w:rFonts w:eastAsia="Arial"/>
          <w:szCs w:val="18"/>
        </w:rPr>
      </w:pPr>
      <w:r w:rsidRPr="00A529D9">
        <w:rPr>
          <w:rFonts w:eastAsia="Arial"/>
          <w:szCs w:val="18"/>
        </w:rPr>
        <w:t xml:space="preserve">The definition of staff productivity is output (i.e. the number of PCT publications) divided by the number of </w:t>
      </w:r>
      <w:r>
        <w:rPr>
          <w:rFonts w:eastAsia="Arial"/>
          <w:szCs w:val="18"/>
        </w:rPr>
        <w:t>personnel</w:t>
      </w:r>
      <w:r w:rsidRPr="00A529D9">
        <w:rPr>
          <w:rFonts w:eastAsia="Arial"/>
          <w:szCs w:val="18"/>
        </w:rPr>
        <w:t xml:space="preserve"> undertaking PCT formalities examination.</w:t>
      </w:r>
    </w:p>
    <w:p w14:paraId="208B9662" w14:textId="77777777" w:rsidR="003525FF" w:rsidRPr="00A529D9" w:rsidRDefault="003525FF" w:rsidP="002363E7">
      <w:pPr>
        <w:keepNext/>
        <w:keepLines/>
        <w:spacing w:after="120"/>
        <w:jc w:val="center"/>
        <w:rPr>
          <w:rFonts w:eastAsia="Arial"/>
          <w:b/>
          <w:color w:val="005172"/>
          <w:szCs w:val="16"/>
        </w:rPr>
      </w:pPr>
      <w:r w:rsidRPr="00A529D9">
        <w:rPr>
          <w:rFonts w:eastAsia="Arial"/>
          <w:b/>
          <w:color w:val="005172"/>
          <w:szCs w:val="16"/>
        </w:rPr>
        <w:t>Productivity of Formalities Examination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8"/>
        <w:gridCol w:w="3470"/>
      </w:tblGrid>
      <w:tr w:rsidR="003525FF" w14:paraId="094FF10C" w14:textId="77777777" w:rsidTr="002363E7">
        <w:tc>
          <w:tcPr>
            <w:tcW w:w="6306" w:type="dxa"/>
          </w:tcPr>
          <w:p w14:paraId="2614FE3A" w14:textId="77777777" w:rsidR="003525FF" w:rsidRDefault="003525FF" w:rsidP="003525FF">
            <w:pPr>
              <w:keepNext/>
              <w:keepLines/>
              <w:spacing w:after="0"/>
              <w:jc w:val="center"/>
              <w:rPr>
                <w:rFonts w:eastAsia="Arial"/>
                <w:b/>
                <w:noProof/>
                <w:szCs w:val="18"/>
              </w:rPr>
            </w:pPr>
            <w:r>
              <w:rPr>
                <w:noProof/>
                <w:lang w:val="en-US"/>
              </w:rPr>
              <w:drawing>
                <wp:inline distT="0" distB="0" distL="0" distR="0" wp14:anchorId="3F9CD8FC" wp14:editId="7F3D0A38">
                  <wp:extent cx="3832225" cy="2321560"/>
                  <wp:effectExtent l="0" t="0" r="0" b="25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c>
          <w:tcPr>
            <w:tcW w:w="3322" w:type="dxa"/>
          </w:tcPr>
          <w:p w14:paraId="0E69BBA2" w14:textId="77777777" w:rsidR="003525FF" w:rsidRDefault="003525FF" w:rsidP="002363E7">
            <w:pPr>
              <w:keepNext/>
              <w:keepLines/>
              <w:spacing w:after="0"/>
              <w:jc w:val="center"/>
              <w:rPr>
                <w:rFonts w:eastAsia="Arial"/>
                <w:b/>
                <w:noProof/>
                <w:szCs w:val="18"/>
              </w:rPr>
            </w:pPr>
            <w:r>
              <w:rPr>
                <w:noProof/>
                <w:lang w:val="en-US"/>
              </w:rPr>
              <w:drawing>
                <wp:inline distT="0" distB="0" distL="0" distR="0" wp14:anchorId="63BDFBE8" wp14:editId="0A75CCF9">
                  <wp:extent cx="2087245" cy="2321560"/>
                  <wp:effectExtent l="0" t="0" r="8255" b="254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p w14:paraId="5ADF1FDE" w14:textId="77777777" w:rsidR="003525FF" w:rsidRPr="00A529D9" w:rsidRDefault="003525FF" w:rsidP="003525FF">
      <w:pPr>
        <w:keepNext/>
        <w:keepLines/>
        <w:spacing w:after="240"/>
        <w:rPr>
          <w:rFonts w:eastAsia="Arial"/>
          <w:sz w:val="15"/>
          <w:szCs w:val="15"/>
        </w:rPr>
      </w:pPr>
      <w:r w:rsidRPr="00F93817">
        <w:rPr>
          <w:rFonts w:eastAsia="Arial"/>
          <w:sz w:val="15"/>
          <w:szCs w:val="15"/>
        </w:rPr>
        <w:t>Note: From 2021 onwards, the methodology for calculating the number of personnel is</w:t>
      </w:r>
      <w:r>
        <w:rPr>
          <w:rFonts w:eastAsia="Arial"/>
          <w:sz w:val="15"/>
          <w:szCs w:val="15"/>
        </w:rPr>
        <w:t xml:space="preserve"> aligned with </w:t>
      </w:r>
      <w:r w:rsidRPr="0041708E">
        <w:rPr>
          <w:rFonts w:eastAsia="Arial"/>
          <w:sz w:val="15"/>
          <w:szCs w:val="15"/>
        </w:rPr>
        <w:t xml:space="preserve">the head count </w:t>
      </w:r>
      <w:r>
        <w:rPr>
          <w:rFonts w:eastAsia="Arial"/>
          <w:sz w:val="15"/>
          <w:szCs w:val="15"/>
        </w:rPr>
        <w:t xml:space="preserve">(rather than full time equivalent) </w:t>
      </w:r>
      <w:r w:rsidRPr="0041708E">
        <w:rPr>
          <w:rFonts w:eastAsia="Arial"/>
          <w:sz w:val="15"/>
          <w:szCs w:val="15"/>
        </w:rPr>
        <w:t>based methodology</w:t>
      </w:r>
      <w:r w:rsidRPr="00F93817">
        <w:rPr>
          <w:rFonts w:eastAsia="Arial"/>
          <w:sz w:val="15"/>
          <w:szCs w:val="15"/>
        </w:rPr>
        <w:t xml:space="preserve"> </w:t>
      </w:r>
      <w:r>
        <w:rPr>
          <w:rFonts w:eastAsia="Arial"/>
          <w:sz w:val="15"/>
          <w:szCs w:val="15"/>
        </w:rPr>
        <w:t>applied for the PCT unit cost indicator</w:t>
      </w:r>
      <w:r w:rsidRPr="00F93817">
        <w:rPr>
          <w:rFonts w:eastAsia="Arial"/>
          <w:sz w:val="15"/>
          <w:szCs w:val="15"/>
        </w:rPr>
        <w:t xml:space="preserve">. The 2021 and 2022 productivity, if calculated </w:t>
      </w:r>
      <w:r>
        <w:rPr>
          <w:rFonts w:eastAsia="Arial"/>
          <w:sz w:val="15"/>
          <w:szCs w:val="15"/>
        </w:rPr>
        <w:t>using</w:t>
      </w:r>
      <w:r w:rsidRPr="00F93817">
        <w:rPr>
          <w:rFonts w:eastAsia="Arial"/>
          <w:sz w:val="15"/>
          <w:szCs w:val="15"/>
        </w:rPr>
        <w:t xml:space="preserve"> the old methodology, would be </w:t>
      </w:r>
      <w:r>
        <w:rPr>
          <w:rFonts w:eastAsia="Arial"/>
          <w:sz w:val="15"/>
          <w:szCs w:val="15"/>
        </w:rPr>
        <w:t xml:space="preserve">1,608 </w:t>
      </w:r>
      <w:r w:rsidRPr="00F93817">
        <w:rPr>
          <w:rFonts w:eastAsia="Arial"/>
          <w:sz w:val="15"/>
          <w:szCs w:val="15"/>
        </w:rPr>
        <w:t xml:space="preserve">and </w:t>
      </w:r>
      <w:r>
        <w:rPr>
          <w:rFonts w:eastAsia="Arial"/>
          <w:sz w:val="15"/>
          <w:szCs w:val="15"/>
        </w:rPr>
        <w:t>1,682</w:t>
      </w:r>
      <w:r w:rsidRPr="00F93817">
        <w:rPr>
          <w:rFonts w:eastAsia="Arial"/>
          <w:sz w:val="15"/>
          <w:szCs w:val="15"/>
        </w:rPr>
        <w:t xml:space="preserve">. </w:t>
      </w:r>
      <w:r w:rsidRPr="00A529D9">
        <w:rPr>
          <w:rFonts w:eastAsia="Arial"/>
          <w:sz w:val="15"/>
          <w:szCs w:val="15"/>
        </w:rPr>
        <w:t>Source: WIPO</w:t>
      </w:r>
      <w:r>
        <w:rPr>
          <w:rFonts w:eastAsia="Arial"/>
          <w:sz w:val="15"/>
          <w:szCs w:val="15"/>
        </w:rPr>
        <w:t xml:space="preserve"> Statistics Database, March 2023</w:t>
      </w:r>
    </w:p>
    <w:p w14:paraId="3CD65E91" w14:textId="77777777" w:rsidR="003525FF" w:rsidRDefault="003525FF" w:rsidP="008407D7">
      <w:pPr>
        <w:numPr>
          <w:ilvl w:val="0"/>
          <w:numId w:val="34"/>
        </w:numPr>
        <w:spacing w:before="120" w:after="120"/>
        <w:rPr>
          <w:rFonts w:eastAsia="Arial"/>
          <w:szCs w:val="18"/>
        </w:rPr>
      </w:pPr>
      <w:r w:rsidRPr="00A529D9">
        <w:rPr>
          <w:rFonts w:eastAsia="Calibri"/>
          <w:szCs w:val="18"/>
        </w:rPr>
        <w:t>Productivity</w:t>
      </w:r>
      <w:r w:rsidRPr="00A529D9">
        <w:rPr>
          <w:rFonts w:eastAsia="Arial"/>
          <w:szCs w:val="18"/>
        </w:rPr>
        <w:t xml:space="preserve"> of formalities examina</w:t>
      </w:r>
      <w:r>
        <w:rPr>
          <w:rFonts w:eastAsia="Arial"/>
          <w:szCs w:val="18"/>
        </w:rPr>
        <w:t>tion increased steadily from 1,535 in 2021 to 1,565</w:t>
      </w:r>
      <w:r w:rsidRPr="00A529D9">
        <w:rPr>
          <w:rFonts w:eastAsia="Arial"/>
          <w:szCs w:val="18"/>
        </w:rPr>
        <w:t xml:space="preserve"> in 202</w:t>
      </w:r>
      <w:r>
        <w:rPr>
          <w:rFonts w:eastAsia="Arial"/>
          <w:szCs w:val="18"/>
        </w:rPr>
        <w:t>2.</w:t>
      </w:r>
    </w:p>
    <w:p w14:paraId="06F6AF21" w14:textId="77777777" w:rsidR="003525FF" w:rsidRPr="00B106AE" w:rsidRDefault="003525FF" w:rsidP="008407D7">
      <w:pPr>
        <w:numPr>
          <w:ilvl w:val="0"/>
          <w:numId w:val="34"/>
        </w:numPr>
        <w:spacing w:after="240"/>
        <w:rPr>
          <w:rFonts w:eastAsia="Arial"/>
          <w:szCs w:val="18"/>
        </w:rPr>
      </w:pPr>
      <w:r>
        <w:rPr>
          <w:rFonts w:eastAsia="Arial"/>
          <w:szCs w:val="18"/>
        </w:rPr>
        <w:t>The overall increase over time was</w:t>
      </w:r>
      <w:r w:rsidRPr="00A529D9">
        <w:rPr>
          <w:rFonts w:eastAsia="Arial"/>
          <w:szCs w:val="18"/>
        </w:rPr>
        <w:t xml:space="preserve"> mainly due to automation, which permits the processing of much larger workloads with a limited workforce.</w:t>
      </w:r>
      <w:r>
        <w:rPr>
          <w:rFonts w:eastAsia="Arial"/>
          <w:szCs w:val="18"/>
        </w:rPr>
        <w:t xml:space="preserve"> </w:t>
      </w:r>
    </w:p>
    <w:p w14:paraId="40A93F48" w14:textId="77777777" w:rsidR="003525FF" w:rsidRPr="00890C93" w:rsidRDefault="003525FF" w:rsidP="003525FF">
      <w:pPr>
        <w:keepNext/>
        <w:spacing w:before="320" w:after="200"/>
        <w:rPr>
          <w:rFonts w:eastAsia="SimHei"/>
          <w:b/>
          <w:color w:val="005172"/>
          <w:sz w:val="24"/>
          <w:szCs w:val="24"/>
        </w:rPr>
      </w:pPr>
      <w:r w:rsidRPr="00890C93">
        <w:rPr>
          <w:rFonts w:eastAsia="SimHei"/>
          <w:b/>
          <w:color w:val="005172"/>
          <w:sz w:val="24"/>
          <w:szCs w:val="24"/>
        </w:rPr>
        <w:t>Aggregate Quality of Formalities Examination</w:t>
      </w:r>
    </w:p>
    <w:p w14:paraId="37ED9322" w14:textId="77777777" w:rsidR="003525FF" w:rsidRPr="00890C93" w:rsidRDefault="003525FF" w:rsidP="003525FF">
      <w:pPr>
        <w:rPr>
          <w:rFonts w:eastAsia="Arial"/>
          <w:szCs w:val="18"/>
        </w:rPr>
      </w:pPr>
      <w:r>
        <w:rPr>
          <w:rFonts w:eastAsia="Arial"/>
          <w:szCs w:val="18"/>
        </w:rPr>
        <w:t>To</w:t>
      </w:r>
      <w:r w:rsidRPr="00890C93">
        <w:rPr>
          <w:rFonts w:eastAsia="Arial"/>
          <w:szCs w:val="18"/>
        </w:rPr>
        <w:t xml:space="preserve"> measure the quality of the work performed by the IB in a simple and comprehensive manner, the IB has developed an aggregate quality index, calculated as the average of four lead quality indicators.  Three of these indicators are based on the timeliness of key transactions:  acknowledgement of receipt of the PCT application, publication</w:t>
      </w:r>
      <w:r>
        <w:rPr>
          <w:rFonts w:eastAsia="Arial"/>
          <w:szCs w:val="18"/>
        </w:rPr>
        <w:t>,</w:t>
      </w:r>
      <w:r w:rsidRPr="00890C93">
        <w:rPr>
          <w:rFonts w:eastAsia="Arial"/>
          <w:szCs w:val="18"/>
        </w:rPr>
        <w:t xml:space="preserve"> and republication.  The fourth indicator reflects errors made during the processing of PCT applications.</w:t>
      </w:r>
    </w:p>
    <w:p w14:paraId="3032615C" w14:textId="77777777" w:rsidR="003525FF" w:rsidRDefault="003525FF" w:rsidP="003525FF">
      <w:pPr>
        <w:keepNext/>
        <w:keepLines/>
        <w:jc w:val="center"/>
        <w:rPr>
          <w:rFonts w:eastAsia="Arial"/>
          <w:b/>
          <w:bCs/>
          <w:color w:val="005172"/>
          <w:szCs w:val="16"/>
        </w:rPr>
      </w:pPr>
      <w:r w:rsidRPr="00890C93">
        <w:rPr>
          <w:rFonts w:eastAsia="Arial"/>
          <w:b/>
          <w:bCs/>
          <w:color w:val="005172"/>
          <w:szCs w:val="16"/>
        </w:rPr>
        <w:t>Quality Index of Formalities Examination</w:t>
      </w:r>
    </w:p>
    <w:p w14:paraId="17CDD061" w14:textId="77777777" w:rsidR="003525FF" w:rsidRPr="00890C93" w:rsidRDefault="003525FF" w:rsidP="002363E7">
      <w:pPr>
        <w:keepNext/>
        <w:keepLines/>
        <w:spacing w:after="0"/>
        <w:jc w:val="center"/>
        <w:rPr>
          <w:rFonts w:eastAsia="Arial"/>
          <w:noProof/>
        </w:rPr>
      </w:pPr>
      <w:r w:rsidRPr="00890C93">
        <w:rPr>
          <w:rFonts w:eastAsia="Arial"/>
          <w:noProof/>
          <w:sz w:val="20"/>
        </w:rPr>
        <w:t xml:space="preserve"> </w:t>
      </w:r>
      <w:r>
        <w:rPr>
          <w:noProof/>
          <w:lang w:val="en-US"/>
        </w:rPr>
        <w:drawing>
          <wp:inline distT="0" distB="0" distL="0" distR="0" wp14:anchorId="64453031" wp14:editId="4D56A96F">
            <wp:extent cx="5120640" cy="2651760"/>
            <wp:effectExtent l="0" t="0" r="381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890C93">
        <w:rPr>
          <w:rFonts w:eastAsia="Arial"/>
          <w:noProof/>
          <w:sz w:val="20"/>
        </w:rPr>
        <w:t xml:space="preserve"> </w:t>
      </w:r>
    </w:p>
    <w:p w14:paraId="53B867A8" w14:textId="77777777" w:rsidR="003525FF" w:rsidRPr="00890C93" w:rsidRDefault="003525FF" w:rsidP="003525FF">
      <w:pPr>
        <w:keepNext/>
        <w:keepLines/>
        <w:ind w:left="414" w:firstLine="720"/>
        <w:rPr>
          <w:rFonts w:eastAsia="Arial"/>
          <w:sz w:val="15"/>
          <w:szCs w:val="15"/>
        </w:rPr>
      </w:pPr>
      <w:r w:rsidRPr="00890C93">
        <w:rPr>
          <w:rFonts w:eastAsia="Arial"/>
          <w:sz w:val="15"/>
          <w:szCs w:val="15"/>
        </w:rPr>
        <w:t xml:space="preserve">Source: WIPO Statistics Database, </w:t>
      </w:r>
      <w:r>
        <w:rPr>
          <w:rFonts w:eastAsia="Arial"/>
          <w:sz w:val="15"/>
          <w:szCs w:val="15"/>
        </w:rPr>
        <w:t>March 2023</w:t>
      </w:r>
    </w:p>
    <w:p w14:paraId="646D89EC" w14:textId="77777777" w:rsidR="003525FF" w:rsidRPr="00890C93" w:rsidRDefault="003525FF" w:rsidP="008407D7">
      <w:pPr>
        <w:numPr>
          <w:ilvl w:val="0"/>
          <w:numId w:val="34"/>
        </w:numPr>
        <w:spacing w:after="240"/>
        <w:rPr>
          <w:rFonts w:eastAsia="Arial"/>
          <w:szCs w:val="18"/>
        </w:rPr>
      </w:pPr>
      <w:r w:rsidRPr="00890C93">
        <w:rPr>
          <w:rFonts w:eastAsia="Arial"/>
          <w:szCs w:val="18"/>
        </w:rPr>
        <w:t xml:space="preserve">The </w:t>
      </w:r>
      <w:r w:rsidRPr="00890C93">
        <w:rPr>
          <w:rFonts w:eastAsia="Calibri"/>
          <w:szCs w:val="18"/>
        </w:rPr>
        <w:t>overall</w:t>
      </w:r>
      <w:r w:rsidRPr="00890C93">
        <w:rPr>
          <w:rFonts w:eastAsia="Arial"/>
          <w:szCs w:val="18"/>
        </w:rPr>
        <w:t xml:space="preserve"> quality, as measured by the aggregate index, improve</w:t>
      </w:r>
      <w:r>
        <w:rPr>
          <w:rFonts w:eastAsia="Arial"/>
          <w:szCs w:val="18"/>
        </w:rPr>
        <w:t>d markedly from an average of 87.5</w:t>
      </w:r>
      <w:r w:rsidRPr="00890C93">
        <w:rPr>
          <w:rFonts w:eastAsia="Arial"/>
          <w:szCs w:val="18"/>
        </w:rPr>
        <w:t xml:space="preserve"> per cent in 201</w:t>
      </w:r>
      <w:r>
        <w:rPr>
          <w:rFonts w:eastAsia="Arial"/>
          <w:szCs w:val="18"/>
        </w:rPr>
        <w:t>3</w:t>
      </w:r>
      <w:r w:rsidRPr="00890C93">
        <w:rPr>
          <w:rFonts w:eastAsia="Arial"/>
          <w:szCs w:val="18"/>
        </w:rPr>
        <w:t xml:space="preserve"> to 97</w:t>
      </w:r>
      <w:r>
        <w:rPr>
          <w:rFonts w:eastAsia="Arial"/>
          <w:szCs w:val="18"/>
        </w:rPr>
        <w:t>.4 per cent in 2022</w:t>
      </w:r>
      <w:r w:rsidRPr="00890C93">
        <w:rPr>
          <w:rFonts w:eastAsia="Arial"/>
          <w:szCs w:val="18"/>
        </w:rPr>
        <w:t>.</w:t>
      </w:r>
    </w:p>
    <w:p w14:paraId="5951002B" w14:textId="77777777" w:rsidR="003525FF" w:rsidRPr="00BA2120" w:rsidRDefault="003525FF" w:rsidP="003525FF">
      <w:pPr>
        <w:keepNext/>
        <w:spacing w:before="320" w:after="240"/>
        <w:rPr>
          <w:rFonts w:eastAsia="SimHei"/>
          <w:b/>
          <w:color w:val="005172"/>
          <w:sz w:val="24"/>
          <w:szCs w:val="24"/>
        </w:rPr>
      </w:pPr>
      <w:r w:rsidRPr="00BA2120">
        <w:rPr>
          <w:rFonts w:eastAsia="SimHei"/>
          <w:b/>
          <w:color w:val="005172"/>
          <w:sz w:val="24"/>
          <w:szCs w:val="24"/>
        </w:rPr>
        <w:t>Quality of Translation</w:t>
      </w:r>
    </w:p>
    <w:p w14:paraId="13805EDF" w14:textId="77777777" w:rsidR="003525FF" w:rsidRPr="00BA2120" w:rsidRDefault="003525FF" w:rsidP="003525FF">
      <w:pPr>
        <w:spacing w:after="120"/>
        <w:rPr>
          <w:rFonts w:eastAsia="Arial"/>
          <w:szCs w:val="18"/>
        </w:rPr>
      </w:pPr>
      <w:r>
        <w:rPr>
          <w:rFonts w:eastAsia="Arial"/>
          <w:szCs w:val="18"/>
        </w:rPr>
        <w:t>D</w:t>
      </w:r>
      <w:r w:rsidRPr="00BA2120">
        <w:rPr>
          <w:rFonts w:eastAsia="Arial"/>
          <w:szCs w:val="18"/>
        </w:rPr>
        <w:t>ocuments are selected at random from translations of abstracts and patentability reports prepared under the responsibility of the IB for quality control.  The evaluation determines whether a translation is “acceptable” or “not acceptable”.  This indicator aggregates the results of such quality control performed by the IB across all language combinations and document types.  Relationships with external agencies that consistently have less than 80 per cent of their translations deemed “acceptable”</w:t>
      </w:r>
      <w:r>
        <w:rPr>
          <w:rFonts w:eastAsia="Arial"/>
          <w:szCs w:val="18"/>
        </w:rPr>
        <w:t xml:space="preserve"> are discontinued.  In 2022, 92</w:t>
      </w:r>
      <w:r w:rsidRPr="00BA2120">
        <w:rPr>
          <w:rFonts w:eastAsia="Arial"/>
          <w:szCs w:val="18"/>
        </w:rPr>
        <w:t xml:space="preserve"> per cent of translations were determined to have been of acceptable quality. </w:t>
      </w:r>
    </w:p>
    <w:p w14:paraId="3EC43E0B" w14:textId="77777777" w:rsidR="003525FF" w:rsidRPr="00BA2120" w:rsidRDefault="003525FF" w:rsidP="003525FF">
      <w:pPr>
        <w:keepNext/>
        <w:keepLines/>
        <w:jc w:val="center"/>
        <w:rPr>
          <w:rFonts w:eastAsia="Arial"/>
          <w:b/>
          <w:color w:val="005172"/>
          <w:szCs w:val="16"/>
        </w:rPr>
      </w:pPr>
      <w:r w:rsidRPr="00BA2120">
        <w:rPr>
          <w:rFonts w:eastAsia="Arial"/>
          <w:b/>
          <w:color w:val="005172"/>
          <w:szCs w:val="16"/>
        </w:rPr>
        <w:t>Quality of Translation</w:t>
      </w:r>
    </w:p>
    <w:p w14:paraId="098D0C35" w14:textId="77777777" w:rsidR="003525FF" w:rsidRPr="00BA2120" w:rsidRDefault="003525FF" w:rsidP="002363E7">
      <w:pPr>
        <w:keepNext/>
        <w:keepLines/>
        <w:spacing w:after="0"/>
        <w:jc w:val="center"/>
        <w:rPr>
          <w:rFonts w:eastAsia="Arial"/>
          <w:sz w:val="15"/>
          <w:szCs w:val="15"/>
        </w:rPr>
      </w:pPr>
      <w:r>
        <w:rPr>
          <w:noProof/>
          <w:lang w:val="en-US"/>
        </w:rPr>
        <w:drawing>
          <wp:inline distT="0" distB="0" distL="0" distR="0" wp14:anchorId="10AED4CE" wp14:editId="1E268F45">
            <wp:extent cx="5029200" cy="274320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031A096D" w14:textId="77777777" w:rsidR="003525FF" w:rsidRPr="00BA2120" w:rsidRDefault="003525FF" w:rsidP="003525FF">
      <w:pPr>
        <w:keepNext/>
        <w:keepLines/>
        <w:ind w:firstLine="567"/>
        <w:rPr>
          <w:rFonts w:eastAsia="Arial"/>
          <w:szCs w:val="18"/>
        </w:rPr>
      </w:pPr>
      <w:r w:rsidRPr="00BA2120">
        <w:rPr>
          <w:rFonts w:eastAsia="Arial"/>
          <w:sz w:val="15"/>
          <w:szCs w:val="15"/>
        </w:rPr>
        <w:t xml:space="preserve">Source: PCT Services Department, </w:t>
      </w:r>
      <w:r>
        <w:rPr>
          <w:rFonts w:eastAsia="Arial"/>
          <w:sz w:val="15"/>
          <w:szCs w:val="15"/>
        </w:rPr>
        <w:t>March 2023</w:t>
      </w:r>
    </w:p>
    <w:p w14:paraId="18E8489B" w14:textId="77777777" w:rsidR="003525FF" w:rsidRPr="003D34ED" w:rsidRDefault="003525FF" w:rsidP="003525FF">
      <w:pPr>
        <w:keepNext/>
        <w:tabs>
          <w:tab w:val="left" w:pos="540"/>
        </w:tabs>
        <w:spacing w:before="320" w:after="200"/>
        <w:rPr>
          <w:rFonts w:eastAsia="SimHei"/>
          <w:b/>
          <w:color w:val="005172"/>
          <w:sz w:val="24"/>
          <w:szCs w:val="24"/>
        </w:rPr>
      </w:pPr>
      <w:r w:rsidRPr="003D34ED">
        <w:rPr>
          <w:rFonts w:eastAsia="SimHei"/>
          <w:b/>
          <w:color w:val="005172"/>
          <w:sz w:val="24"/>
          <w:szCs w:val="24"/>
        </w:rPr>
        <w:t>Quality of Software Development</w:t>
      </w:r>
      <w:r w:rsidRPr="003D34ED">
        <w:rPr>
          <w:rFonts w:eastAsia="SimHei"/>
          <w:b/>
          <w:color w:val="FF0000"/>
          <w:sz w:val="24"/>
          <w:szCs w:val="24"/>
        </w:rPr>
        <w:t xml:space="preserve"> </w:t>
      </w:r>
    </w:p>
    <w:p w14:paraId="12F6C5C8" w14:textId="005C7BE3" w:rsidR="003525FF" w:rsidRDefault="003525FF" w:rsidP="003525FF">
      <w:pPr>
        <w:rPr>
          <w:rFonts w:eastAsia="Arial"/>
          <w:szCs w:val="18"/>
        </w:rPr>
      </w:pPr>
      <w:r>
        <w:rPr>
          <w:rFonts w:eastAsia="Arial"/>
          <w:szCs w:val="18"/>
        </w:rPr>
        <w:t>Until 2021, t</w:t>
      </w:r>
      <w:r w:rsidRPr="003D34ED">
        <w:rPr>
          <w:rFonts w:eastAsia="Arial"/>
          <w:szCs w:val="18"/>
        </w:rPr>
        <w:t>he quality of software development (QSD) indicator provide</w:t>
      </w:r>
      <w:r>
        <w:rPr>
          <w:rFonts w:eastAsia="Arial"/>
          <w:szCs w:val="18"/>
        </w:rPr>
        <w:t>d</w:t>
      </w:r>
      <w:r w:rsidRPr="003D34ED">
        <w:rPr>
          <w:rFonts w:eastAsia="Arial"/>
          <w:szCs w:val="18"/>
        </w:rPr>
        <w:t xml:space="preserve"> a measure </w:t>
      </w:r>
      <w:r>
        <w:rPr>
          <w:rFonts w:eastAsia="Arial"/>
          <w:szCs w:val="18"/>
        </w:rPr>
        <w:t>of</w:t>
      </w:r>
      <w:r w:rsidRPr="003D34ED">
        <w:rPr>
          <w:rFonts w:eastAsia="Arial"/>
          <w:szCs w:val="18"/>
        </w:rPr>
        <w:t xml:space="preserve"> the quality of major software releases for eDossier and ePCT projects</w:t>
      </w:r>
      <w:r>
        <w:rPr>
          <w:rFonts w:eastAsia="Arial"/>
          <w:szCs w:val="18"/>
        </w:rPr>
        <w:t>.  From 2022 onwards, the indicator covers the</w:t>
      </w:r>
      <w:r w:rsidRPr="003D34ED">
        <w:rPr>
          <w:rFonts w:eastAsia="Arial"/>
          <w:szCs w:val="18"/>
        </w:rPr>
        <w:t xml:space="preserve"> development outputs for </w:t>
      </w:r>
      <w:r>
        <w:rPr>
          <w:rFonts w:eastAsia="Arial"/>
          <w:szCs w:val="18"/>
        </w:rPr>
        <w:t xml:space="preserve">all </w:t>
      </w:r>
      <w:r w:rsidRPr="003D34ED">
        <w:rPr>
          <w:rFonts w:eastAsia="Arial"/>
          <w:szCs w:val="18"/>
        </w:rPr>
        <w:t xml:space="preserve">software projects.  </w:t>
      </w:r>
    </w:p>
    <w:p w14:paraId="5BD943B4" w14:textId="0B8C27FB" w:rsidR="003525FF" w:rsidRDefault="003525FF" w:rsidP="003525FF">
      <w:pPr>
        <w:rPr>
          <w:rFonts w:eastAsia="Arial"/>
          <w:szCs w:val="18"/>
        </w:rPr>
      </w:pPr>
      <w:r w:rsidRPr="003D34ED">
        <w:rPr>
          <w:rFonts w:eastAsia="Arial"/>
          <w:szCs w:val="18"/>
        </w:rPr>
        <w:t xml:space="preserve">The QSD reflects the share of the time spent delivering new functionality (i.e. work) out of the total time spent (i.e. work + rework).  Rework is the time spent correcting defective work that was detected in the production environment.  Under this approach, development outputs that contain low levels of rework are deemed high quality as it reflects the extent of value added to the product through the delivery of new features. </w:t>
      </w:r>
    </w:p>
    <w:p w14:paraId="39074AAD" w14:textId="77777777" w:rsidR="003525FF" w:rsidRPr="003D34ED" w:rsidRDefault="003525FF" w:rsidP="003525FF">
      <w:pPr>
        <w:rPr>
          <w:rFonts w:eastAsia="Arial"/>
          <w:noProof/>
          <w:szCs w:val="18"/>
        </w:rPr>
      </w:pPr>
      <w:r w:rsidRPr="003D34ED">
        <w:rPr>
          <w:rFonts w:eastAsia="Arial"/>
          <w:noProof/>
          <w:szCs w:val="18"/>
          <w:lang w:val="en-US"/>
        </w:rPr>
        <w:drawing>
          <wp:anchor distT="0" distB="0" distL="114300" distR="114300" simplePos="0" relativeHeight="251820544" behindDoc="1" locked="0" layoutInCell="1" allowOverlap="1" wp14:anchorId="485318E4" wp14:editId="36EEBFF7">
            <wp:simplePos x="0" y="0"/>
            <wp:positionH relativeFrom="margin">
              <wp:posOffset>1529170</wp:posOffset>
            </wp:positionH>
            <wp:positionV relativeFrom="paragraph">
              <wp:posOffset>187869</wp:posOffset>
            </wp:positionV>
            <wp:extent cx="2851150" cy="306705"/>
            <wp:effectExtent l="0" t="0" r="0" b="0"/>
            <wp:wrapTopAndBottom/>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51150" cy="306705"/>
                    </a:xfrm>
                    <a:prstGeom prst="rect">
                      <a:avLst/>
                    </a:prstGeom>
                    <a:noFill/>
                  </pic:spPr>
                </pic:pic>
              </a:graphicData>
            </a:graphic>
            <wp14:sizeRelH relativeFrom="page">
              <wp14:pctWidth>0</wp14:pctWidth>
            </wp14:sizeRelH>
            <wp14:sizeRelV relativeFrom="page">
              <wp14:pctHeight>0</wp14:pctHeight>
            </wp14:sizeRelV>
          </wp:anchor>
        </w:drawing>
      </w:r>
      <w:r w:rsidRPr="003D34ED">
        <w:rPr>
          <w:rFonts w:eastAsia="Arial"/>
          <w:szCs w:val="18"/>
        </w:rPr>
        <w:t>The QSD is defined as:</w:t>
      </w:r>
      <w:r w:rsidRPr="003D34ED">
        <w:rPr>
          <w:rFonts w:eastAsia="Arial"/>
          <w:noProof/>
          <w:szCs w:val="18"/>
        </w:rPr>
        <w:t xml:space="preserve"> </w:t>
      </w:r>
    </w:p>
    <w:p w14:paraId="14C05EDC" w14:textId="661CDF4F" w:rsidR="003525FF" w:rsidRPr="002363E7" w:rsidRDefault="003525FF" w:rsidP="003525FF">
      <w:pPr>
        <w:keepNext/>
        <w:rPr>
          <w:rFonts w:eastAsia="Arial"/>
          <w:szCs w:val="18"/>
        </w:rPr>
      </w:pPr>
      <w:r w:rsidRPr="003D34ED">
        <w:rPr>
          <w:rFonts w:eastAsia="Arial"/>
          <w:szCs w:val="18"/>
        </w:rPr>
        <w:t>In 202</w:t>
      </w:r>
      <w:r>
        <w:rPr>
          <w:rFonts w:eastAsia="Arial"/>
          <w:szCs w:val="18"/>
        </w:rPr>
        <w:t>2</w:t>
      </w:r>
      <w:r w:rsidRPr="003D34ED">
        <w:rPr>
          <w:rFonts w:eastAsia="Arial"/>
          <w:szCs w:val="18"/>
        </w:rPr>
        <w:t xml:space="preserve">, the quality of </w:t>
      </w:r>
      <w:r>
        <w:rPr>
          <w:rFonts w:eastAsia="Arial"/>
          <w:szCs w:val="18"/>
        </w:rPr>
        <w:t>software development</w:t>
      </w:r>
      <w:r w:rsidRPr="003D34ED">
        <w:rPr>
          <w:rFonts w:eastAsia="Arial"/>
          <w:szCs w:val="18"/>
        </w:rPr>
        <w:t>, as defined by the QSD, was 92</w:t>
      </w:r>
      <w:r>
        <w:rPr>
          <w:rFonts w:eastAsia="Arial"/>
          <w:szCs w:val="18"/>
        </w:rPr>
        <w:t>.2</w:t>
      </w:r>
      <w:r w:rsidRPr="003D34ED">
        <w:rPr>
          <w:rFonts w:eastAsia="Arial"/>
          <w:szCs w:val="18"/>
        </w:rPr>
        <w:t xml:space="preserve"> per cent</w:t>
      </w:r>
      <w:r>
        <w:rPr>
          <w:rFonts w:eastAsia="Arial"/>
          <w:szCs w:val="18"/>
        </w:rPr>
        <w:t>.</w:t>
      </w:r>
    </w:p>
    <w:p w14:paraId="3303CE8D" w14:textId="77777777" w:rsidR="003525FF" w:rsidRPr="003D34ED" w:rsidRDefault="003525FF" w:rsidP="002363E7">
      <w:pPr>
        <w:keepNext/>
        <w:spacing w:after="120"/>
        <w:jc w:val="center"/>
        <w:rPr>
          <w:rFonts w:eastAsia="Arial"/>
          <w:b/>
          <w:color w:val="005172"/>
          <w:szCs w:val="16"/>
        </w:rPr>
      </w:pPr>
      <w:r w:rsidRPr="003D34ED">
        <w:rPr>
          <w:rFonts w:eastAsia="Arial"/>
          <w:b/>
          <w:color w:val="005172"/>
          <w:szCs w:val="16"/>
        </w:rPr>
        <w:t>Quality of Software Development</w:t>
      </w:r>
    </w:p>
    <w:p w14:paraId="3417CCA4" w14:textId="77777777" w:rsidR="003525FF" w:rsidRPr="003D34ED" w:rsidRDefault="003525FF" w:rsidP="002363E7">
      <w:pPr>
        <w:keepNext/>
        <w:keepLines/>
        <w:spacing w:after="0"/>
        <w:jc w:val="center"/>
        <w:rPr>
          <w:rFonts w:eastAsia="Arial"/>
          <w:sz w:val="15"/>
          <w:szCs w:val="15"/>
        </w:rPr>
      </w:pPr>
      <w:r>
        <w:rPr>
          <w:noProof/>
          <w:lang w:val="en-US"/>
        </w:rPr>
        <w:drawing>
          <wp:inline distT="0" distB="0" distL="0" distR="0" wp14:anchorId="0047381B" wp14:editId="5651D0DF">
            <wp:extent cx="5577840" cy="274320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0128C1E" w14:textId="77777777" w:rsidR="003525FF" w:rsidRPr="003D34ED" w:rsidRDefault="003525FF" w:rsidP="003525FF">
      <w:pPr>
        <w:keepNext/>
        <w:keepLines/>
        <w:ind w:firstLine="567"/>
        <w:rPr>
          <w:rFonts w:eastAsia="Arial"/>
          <w:sz w:val="15"/>
          <w:szCs w:val="15"/>
        </w:rPr>
      </w:pPr>
      <w:r w:rsidRPr="003D34ED">
        <w:rPr>
          <w:rFonts w:eastAsia="Arial"/>
          <w:sz w:val="15"/>
          <w:szCs w:val="15"/>
        </w:rPr>
        <w:t xml:space="preserve">Source:  PCT Services Department, </w:t>
      </w:r>
      <w:r>
        <w:rPr>
          <w:rFonts w:eastAsia="Arial"/>
          <w:sz w:val="15"/>
          <w:szCs w:val="15"/>
        </w:rPr>
        <w:t>March 2023</w:t>
      </w:r>
    </w:p>
    <w:p w14:paraId="32961AE3" w14:textId="77777777" w:rsidR="003525FF" w:rsidRPr="003D34ED" w:rsidRDefault="003525FF" w:rsidP="002363E7">
      <w:pPr>
        <w:keepNext/>
        <w:spacing w:after="0"/>
        <w:rPr>
          <w:rFonts w:eastAsia="SimHei"/>
          <w:color w:val="005172"/>
          <w:sz w:val="32"/>
          <w:szCs w:val="32"/>
        </w:rPr>
      </w:pPr>
    </w:p>
    <w:p w14:paraId="439254F3" w14:textId="77777777" w:rsidR="003525FF" w:rsidRPr="00E61FA9" w:rsidRDefault="003525FF" w:rsidP="003525FF">
      <w:pPr>
        <w:keepNext/>
        <w:spacing w:after="120"/>
        <w:rPr>
          <w:rFonts w:eastAsia="SimHei"/>
          <w:b/>
          <w:color w:val="005172"/>
          <w:sz w:val="24"/>
          <w:szCs w:val="24"/>
        </w:rPr>
      </w:pPr>
      <w:r>
        <w:rPr>
          <w:rFonts w:eastAsia="SimHei"/>
          <w:b/>
          <w:color w:val="005172"/>
          <w:sz w:val="24"/>
          <w:szCs w:val="24"/>
        </w:rPr>
        <w:t xml:space="preserve">RO/IB </w:t>
      </w:r>
      <w:r w:rsidRPr="00E61FA9">
        <w:rPr>
          <w:rFonts w:eastAsia="SimHei"/>
          <w:b/>
          <w:color w:val="005172"/>
          <w:sz w:val="24"/>
          <w:szCs w:val="24"/>
        </w:rPr>
        <w:t>Filings</w:t>
      </w:r>
    </w:p>
    <w:p w14:paraId="5FD1C9FD" w14:textId="77777777" w:rsidR="003525FF" w:rsidRPr="00E61FA9" w:rsidRDefault="003525FF" w:rsidP="003525FF">
      <w:pPr>
        <w:spacing w:after="100" w:afterAutospacing="1"/>
        <w:rPr>
          <w:rFonts w:eastAsia="Arial"/>
          <w:szCs w:val="18"/>
        </w:rPr>
      </w:pPr>
      <w:r w:rsidRPr="00E61FA9">
        <w:rPr>
          <w:rFonts w:eastAsia="Arial"/>
          <w:szCs w:val="18"/>
        </w:rPr>
        <w:t xml:space="preserve">This table presents PCT filings by the top 10 receiving Offices (by number of applications filed) </w:t>
      </w:r>
      <w:r>
        <w:rPr>
          <w:rFonts w:eastAsia="Arial"/>
          <w:szCs w:val="18"/>
        </w:rPr>
        <w:t>over the past five years to 2022</w:t>
      </w:r>
      <w:r w:rsidRPr="00E61FA9">
        <w:rPr>
          <w:rFonts w:eastAsia="Arial"/>
          <w:szCs w:val="18"/>
        </w:rPr>
        <w:t>.  PCT applications are typically filed at the national patent office of the applicant’s home country or at a regional patent office acting for the applicant’s home jurisdiction.  The IB is a competent receiving Office (RO/IB) for applicants from all PCT Contracting States.  The evolution of the filings at the RO/IB, its ranking in terms of the number of filings among other receiving Offices, as well as its market sha</w:t>
      </w:r>
      <w:r>
        <w:rPr>
          <w:rFonts w:eastAsia="Arial"/>
          <w:szCs w:val="18"/>
        </w:rPr>
        <w:t>re is</w:t>
      </w:r>
      <w:r w:rsidRPr="00E61FA9">
        <w:rPr>
          <w:rFonts w:eastAsia="Arial"/>
          <w:szCs w:val="18"/>
        </w:rPr>
        <w:t xml:space="preserve"> shown in </w:t>
      </w:r>
      <w:r>
        <w:rPr>
          <w:rFonts w:eastAsia="Arial"/>
          <w:szCs w:val="18"/>
        </w:rPr>
        <w:t xml:space="preserve">the </w:t>
      </w:r>
      <w:r w:rsidRPr="00E61FA9">
        <w:rPr>
          <w:rFonts w:eastAsia="Arial"/>
          <w:szCs w:val="18"/>
        </w:rPr>
        <w:t>table</w:t>
      </w:r>
      <w:r>
        <w:rPr>
          <w:rFonts w:eastAsia="Arial"/>
          <w:szCs w:val="18"/>
        </w:rPr>
        <w:t xml:space="preserve"> below</w:t>
      </w:r>
      <w:r w:rsidRPr="00E61FA9">
        <w:rPr>
          <w:rFonts w:eastAsia="Arial"/>
          <w:szCs w:val="18"/>
        </w:rPr>
        <w:t>.</w:t>
      </w:r>
    </w:p>
    <w:p w14:paraId="1B8B29B3" w14:textId="4E6E0F1B" w:rsidR="003525FF" w:rsidRPr="002363E7" w:rsidRDefault="003525FF" w:rsidP="002363E7">
      <w:pPr>
        <w:keepNext/>
        <w:jc w:val="center"/>
        <w:rPr>
          <w:rFonts w:eastAsia="Arial"/>
          <w:b/>
          <w:color w:val="005172"/>
          <w:szCs w:val="16"/>
        </w:rPr>
      </w:pPr>
      <w:r w:rsidRPr="00CA396B">
        <w:rPr>
          <w:rFonts w:eastAsia="Arial"/>
          <w:b/>
          <w:color w:val="005172"/>
          <w:szCs w:val="16"/>
        </w:rPr>
        <w:t>PCT applications received by the top 10 receiving Offices</w:t>
      </w:r>
    </w:p>
    <w:tbl>
      <w:tblPr>
        <w:tblW w:w="9638" w:type="dxa"/>
        <w:tblLook w:val="04A0" w:firstRow="1" w:lastRow="0" w:firstColumn="1" w:lastColumn="0" w:noHBand="0" w:noVBand="1"/>
      </w:tblPr>
      <w:tblGrid>
        <w:gridCol w:w="2385"/>
        <w:gridCol w:w="944"/>
        <w:gridCol w:w="946"/>
        <w:gridCol w:w="1188"/>
        <w:gridCol w:w="946"/>
        <w:gridCol w:w="1281"/>
        <w:gridCol w:w="954"/>
        <w:gridCol w:w="994"/>
      </w:tblGrid>
      <w:tr w:rsidR="002363E7" w:rsidRPr="002363E7" w14:paraId="016FD871" w14:textId="77777777" w:rsidTr="002356E0">
        <w:trPr>
          <w:trHeight w:val="20"/>
        </w:trPr>
        <w:tc>
          <w:tcPr>
            <w:tcW w:w="2383" w:type="dxa"/>
            <w:tcBorders>
              <w:top w:val="nil"/>
              <w:left w:val="nil"/>
              <w:bottom w:val="nil"/>
              <w:right w:val="nil"/>
            </w:tcBorders>
            <w:shd w:val="clear" w:color="000000" w:fill="CCD5DB"/>
            <w:noWrap/>
            <w:vAlign w:val="bottom"/>
            <w:hideMark/>
          </w:tcPr>
          <w:p w14:paraId="4866BFE5"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945" w:type="dxa"/>
            <w:tcBorders>
              <w:top w:val="nil"/>
              <w:left w:val="nil"/>
              <w:right w:val="nil"/>
            </w:tcBorders>
            <w:shd w:val="clear" w:color="000000" w:fill="CCD5DB"/>
            <w:noWrap/>
            <w:vAlign w:val="bottom"/>
            <w:hideMark/>
          </w:tcPr>
          <w:p w14:paraId="28DC9453"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946" w:type="dxa"/>
            <w:tcBorders>
              <w:top w:val="nil"/>
              <w:left w:val="nil"/>
              <w:right w:val="nil"/>
            </w:tcBorders>
            <w:shd w:val="clear" w:color="000000" w:fill="CCD5DB"/>
            <w:noWrap/>
            <w:vAlign w:val="bottom"/>
            <w:hideMark/>
          </w:tcPr>
          <w:p w14:paraId="31330FB7"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1188" w:type="dxa"/>
            <w:tcBorders>
              <w:top w:val="nil"/>
              <w:left w:val="nil"/>
              <w:right w:val="nil"/>
            </w:tcBorders>
            <w:shd w:val="clear" w:color="000000" w:fill="CCD5DB"/>
            <w:noWrap/>
            <w:vAlign w:val="bottom"/>
            <w:hideMark/>
          </w:tcPr>
          <w:p w14:paraId="0EEEB7F9"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xml:space="preserve"> </w:t>
            </w:r>
          </w:p>
        </w:tc>
        <w:tc>
          <w:tcPr>
            <w:tcW w:w="946" w:type="dxa"/>
            <w:tcBorders>
              <w:top w:val="nil"/>
              <w:left w:val="nil"/>
              <w:right w:val="nil"/>
            </w:tcBorders>
            <w:shd w:val="clear" w:color="000000" w:fill="CCD5DB"/>
            <w:noWrap/>
            <w:vAlign w:val="bottom"/>
            <w:hideMark/>
          </w:tcPr>
          <w:p w14:paraId="771492C9"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1282" w:type="dxa"/>
            <w:tcBorders>
              <w:top w:val="nil"/>
              <w:left w:val="nil"/>
              <w:right w:val="nil"/>
            </w:tcBorders>
            <w:shd w:val="clear" w:color="000000" w:fill="CCD5DB"/>
            <w:noWrap/>
            <w:vAlign w:val="bottom"/>
            <w:hideMark/>
          </w:tcPr>
          <w:p w14:paraId="6B502639"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954" w:type="dxa"/>
            <w:tcBorders>
              <w:top w:val="nil"/>
              <w:left w:val="nil"/>
              <w:right w:val="nil"/>
            </w:tcBorders>
            <w:shd w:val="clear" w:color="000000" w:fill="CCD5DB"/>
            <w:noWrap/>
            <w:vAlign w:val="bottom"/>
            <w:hideMark/>
          </w:tcPr>
          <w:p w14:paraId="7CD746A0"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994" w:type="dxa"/>
            <w:vMerge w:val="restart"/>
            <w:tcBorders>
              <w:top w:val="nil"/>
              <w:left w:val="nil"/>
              <w:right w:val="nil"/>
            </w:tcBorders>
            <w:shd w:val="clear" w:color="000000" w:fill="CCD5DB"/>
            <w:noWrap/>
            <w:vAlign w:val="bottom"/>
            <w:hideMark/>
          </w:tcPr>
          <w:p w14:paraId="69BD53F2"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Changed</w:t>
            </w:r>
          </w:p>
          <w:p w14:paraId="1F4A5371" w14:textId="77777777" w:rsidR="002363E7" w:rsidRPr="002363E7" w:rsidRDefault="002363E7"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Compared</w:t>
            </w:r>
          </w:p>
        </w:tc>
      </w:tr>
      <w:tr w:rsidR="00AD38CA" w:rsidRPr="002363E7" w14:paraId="3A2DF6A4" w14:textId="77777777" w:rsidTr="002356E0">
        <w:trPr>
          <w:trHeight w:val="144"/>
        </w:trPr>
        <w:tc>
          <w:tcPr>
            <w:tcW w:w="2387" w:type="dxa"/>
            <w:tcBorders>
              <w:top w:val="nil"/>
              <w:left w:val="nil"/>
              <w:right w:val="nil"/>
            </w:tcBorders>
            <w:shd w:val="clear" w:color="000000" w:fill="CCD5DB"/>
            <w:noWrap/>
            <w:vAlign w:val="bottom"/>
            <w:hideMark/>
          </w:tcPr>
          <w:p w14:paraId="3ACF17FB" w14:textId="77777777" w:rsidR="00AD38CA" w:rsidRPr="002363E7" w:rsidRDefault="00AD38CA"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 </w:t>
            </w:r>
          </w:p>
        </w:tc>
        <w:tc>
          <w:tcPr>
            <w:tcW w:w="5306" w:type="dxa"/>
            <w:gridSpan w:val="5"/>
            <w:tcBorders>
              <w:top w:val="nil"/>
              <w:left w:val="nil"/>
              <w:bottom w:val="single" w:sz="4" w:space="0" w:color="72899D" w:themeColor="accent3"/>
              <w:right w:val="nil"/>
            </w:tcBorders>
            <w:shd w:val="clear" w:color="000000" w:fill="CCD5DB"/>
            <w:noWrap/>
            <w:vAlign w:val="center"/>
            <w:hideMark/>
          </w:tcPr>
          <w:p w14:paraId="35D7C31D" w14:textId="77777777" w:rsidR="00AD38CA" w:rsidRPr="002363E7" w:rsidRDefault="00AD38CA"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International Filing Year</w:t>
            </w:r>
          </w:p>
        </w:tc>
        <w:tc>
          <w:tcPr>
            <w:tcW w:w="950" w:type="dxa"/>
            <w:vMerge w:val="restart"/>
            <w:tcBorders>
              <w:top w:val="nil"/>
              <w:left w:val="nil"/>
              <w:bottom w:val="single" w:sz="4" w:space="0" w:color="72899D" w:themeColor="accent3"/>
              <w:right w:val="nil"/>
            </w:tcBorders>
            <w:shd w:val="clear" w:color="000000" w:fill="CCD5DB"/>
            <w:noWrap/>
            <w:vAlign w:val="bottom"/>
            <w:hideMark/>
          </w:tcPr>
          <w:p w14:paraId="55892FE1" w14:textId="77777777" w:rsidR="00AD38CA" w:rsidRPr="002363E7" w:rsidRDefault="00AD38CA"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2022</w:t>
            </w:r>
          </w:p>
          <w:p w14:paraId="3165070D" w14:textId="0AFEBBF6" w:rsidR="00AD38CA" w:rsidRPr="002363E7" w:rsidRDefault="00AD38CA"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Share (%)</w:t>
            </w:r>
          </w:p>
        </w:tc>
        <w:tc>
          <w:tcPr>
            <w:tcW w:w="995" w:type="dxa"/>
            <w:vMerge/>
            <w:tcBorders>
              <w:left w:val="nil"/>
              <w:right w:val="nil"/>
            </w:tcBorders>
            <w:shd w:val="clear" w:color="000000" w:fill="CCD5DB"/>
            <w:noWrap/>
            <w:vAlign w:val="bottom"/>
            <w:hideMark/>
          </w:tcPr>
          <w:p w14:paraId="0BCC5D8F" w14:textId="77777777" w:rsidR="00AD38CA" w:rsidRPr="002363E7" w:rsidRDefault="00AD38CA" w:rsidP="002363E7">
            <w:pPr>
              <w:spacing w:after="0" w:line="240" w:lineRule="auto"/>
              <w:jc w:val="center"/>
              <w:rPr>
                <w:rFonts w:ascii="Arial Narrow" w:eastAsia="Times New Roman" w:hAnsi="Arial Narrow" w:cs="Arial"/>
                <w:b/>
                <w:bCs/>
                <w:szCs w:val="18"/>
                <w:lang w:val="en-US"/>
              </w:rPr>
            </w:pPr>
          </w:p>
        </w:tc>
      </w:tr>
      <w:tr w:rsidR="00AD38CA" w:rsidRPr="002363E7" w14:paraId="581CB564" w14:textId="77777777" w:rsidTr="002356E0">
        <w:trPr>
          <w:trHeight w:val="270"/>
        </w:trPr>
        <w:tc>
          <w:tcPr>
            <w:tcW w:w="2383" w:type="dxa"/>
            <w:tcBorders>
              <w:top w:val="nil"/>
              <w:left w:val="nil"/>
              <w:bottom w:val="single" w:sz="4" w:space="0" w:color="72899D" w:themeColor="accent3"/>
              <w:right w:val="nil"/>
            </w:tcBorders>
            <w:shd w:val="clear" w:color="000000" w:fill="CCD5DB"/>
            <w:noWrap/>
            <w:vAlign w:val="bottom"/>
            <w:hideMark/>
          </w:tcPr>
          <w:p w14:paraId="105BB431" w14:textId="77777777" w:rsidR="00AD38CA" w:rsidRPr="002363E7" w:rsidRDefault="00AD38CA" w:rsidP="002363E7">
            <w:pPr>
              <w:spacing w:after="0" w:line="240" w:lineRule="auto"/>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Receiving Offices</w:t>
            </w:r>
          </w:p>
        </w:tc>
        <w:tc>
          <w:tcPr>
            <w:tcW w:w="945" w:type="dxa"/>
            <w:tcBorders>
              <w:top w:val="single" w:sz="4" w:space="0" w:color="72899D" w:themeColor="accent3"/>
              <w:left w:val="nil"/>
              <w:bottom w:val="single" w:sz="4" w:space="0" w:color="72899D" w:themeColor="accent3"/>
              <w:right w:val="nil"/>
            </w:tcBorders>
            <w:shd w:val="clear" w:color="000000" w:fill="CCD5DB"/>
            <w:noWrap/>
            <w:vAlign w:val="bottom"/>
            <w:hideMark/>
          </w:tcPr>
          <w:p w14:paraId="291C81A3" w14:textId="77777777" w:rsidR="00AD38CA" w:rsidRPr="002363E7" w:rsidRDefault="00AD38CA" w:rsidP="002363E7">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2018</w:t>
            </w:r>
          </w:p>
        </w:tc>
        <w:tc>
          <w:tcPr>
            <w:tcW w:w="946" w:type="dxa"/>
            <w:tcBorders>
              <w:top w:val="single" w:sz="4" w:space="0" w:color="72899D" w:themeColor="accent3"/>
              <w:left w:val="nil"/>
              <w:bottom w:val="single" w:sz="4" w:space="0" w:color="72899D" w:themeColor="accent3"/>
              <w:right w:val="nil"/>
            </w:tcBorders>
            <w:shd w:val="clear" w:color="000000" w:fill="CCD5DB"/>
            <w:noWrap/>
            <w:vAlign w:val="bottom"/>
            <w:hideMark/>
          </w:tcPr>
          <w:p w14:paraId="45A608C8" w14:textId="77777777" w:rsidR="00AD38CA" w:rsidRPr="002363E7" w:rsidRDefault="00AD38CA" w:rsidP="002363E7">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2019</w:t>
            </w:r>
          </w:p>
        </w:tc>
        <w:tc>
          <w:tcPr>
            <w:tcW w:w="1188" w:type="dxa"/>
            <w:tcBorders>
              <w:top w:val="single" w:sz="4" w:space="0" w:color="72899D" w:themeColor="accent3"/>
              <w:left w:val="nil"/>
              <w:bottom w:val="single" w:sz="4" w:space="0" w:color="72899D" w:themeColor="accent3"/>
              <w:right w:val="nil"/>
            </w:tcBorders>
            <w:shd w:val="clear" w:color="000000" w:fill="CCD5DB"/>
            <w:noWrap/>
            <w:vAlign w:val="bottom"/>
            <w:hideMark/>
          </w:tcPr>
          <w:p w14:paraId="0DABADD6" w14:textId="77777777" w:rsidR="00AD38CA" w:rsidRPr="002363E7" w:rsidRDefault="00AD38CA" w:rsidP="002363E7">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2020</w:t>
            </w:r>
          </w:p>
        </w:tc>
        <w:tc>
          <w:tcPr>
            <w:tcW w:w="946" w:type="dxa"/>
            <w:tcBorders>
              <w:top w:val="single" w:sz="4" w:space="0" w:color="72899D" w:themeColor="accent3"/>
              <w:left w:val="nil"/>
              <w:bottom w:val="single" w:sz="4" w:space="0" w:color="72899D" w:themeColor="accent3"/>
              <w:right w:val="nil"/>
            </w:tcBorders>
            <w:shd w:val="clear" w:color="000000" w:fill="CCD5DB"/>
            <w:noWrap/>
            <w:vAlign w:val="bottom"/>
            <w:hideMark/>
          </w:tcPr>
          <w:p w14:paraId="0E38A1AB" w14:textId="77777777" w:rsidR="00AD38CA" w:rsidRPr="002363E7" w:rsidRDefault="00AD38CA" w:rsidP="002363E7">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2021</w:t>
            </w:r>
          </w:p>
        </w:tc>
        <w:tc>
          <w:tcPr>
            <w:tcW w:w="1282" w:type="dxa"/>
            <w:tcBorders>
              <w:top w:val="single" w:sz="4" w:space="0" w:color="72899D" w:themeColor="accent3"/>
              <w:left w:val="nil"/>
              <w:bottom w:val="single" w:sz="4" w:space="0" w:color="72899D" w:themeColor="accent3"/>
              <w:right w:val="nil"/>
            </w:tcBorders>
            <w:shd w:val="clear" w:color="000000" w:fill="CCD5DB"/>
            <w:noWrap/>
            <w:vAlign w:val="bottom"/>
            <w:hideMark/>
          </w:tcPr>
          <w:p w14:paraId="2D9ED611" w14:textId="77777777" w:rsidR="00AD38CA" w:rsidRPr="002363E7" w:rsidRDefault="00AD38CA" w:rsidP="002363E7">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2022</w:t>
            </w:r>
          </w:p>
        </w:tc>
        <w:tc>
          <w:tcPr>
            <w:tcW w:w="954" w:type="dxa"/>
            <w:vMerge/>
            <w:tcBorders>
              <w:top w:val="single" w:sz="4" w:space="0" w:color="72899D" w:themeColor="accent3"/>
              <w:left w:val="nil"/>
              <w:bottom w:val="single" w:sz="4" w:space="0" w:color="72899D" w:themeColor="accent3"/>
              <w:right w:val="nil"/>
            </w:tcBorders>
            <w:shd w:val="clear" w:color="000000" w:fill="CCD5DB"/>
            <w:noWrap/>
            <w:vAlign w:val="center"/>
            <w:hideMark/>
          </w:tcPr>
          <w:p w14:paraId="418725D0" w14:textId="00083295" w:rsidR="00AD38CA" w:rsidRPr="002363E7" w:rsidRDefault="00AD38CA" w:rsidP="002363E7">
            <w:pPr>
              <w:spacing w:after="0" w:line="240" w:lineRule="auto"/>
              <w:jc w:val="center"/>
              <w:rPr>
                <w:rFonts w:ascii="Arial Narrow" w:eastAsia="Times New Roman" w:hAnsi="Arial Narrow" w:cs="Arial"/>
                <w:b/>
                <w:bCs/>
                <w:szCs w:val="18"/>
                <w:lang w:val="en-US"/>
              </w:rPr>
            </w:pPr>
          </w:p>
        </w:tc>
        <w:tc>
          <w:tcPr>
            <w:tcW w:w="994" w:type="dxa"/>
            <w:tcBorders>
              <w:top w:val="nil"/>
              <w:left w:val="nil"/>
              <w:bottom w:val="single" w:sz="4" w:space="0" w:color="72899D" w:themeColor="accent3"/>
              <w:right w:val="nil"/>
            </w:tcBorders>
            <w:shd w:val="clear" w:color="000000" w:fill="CCD5DB"/>
            <w:noWrap/>
            <w:vAlign w:val="bottom"/>
            <w:hideMark/>
          </w:tcPr>
          <w:p w14:paraId="78C27C05" w14:textId="77777777" w:rsidR="00AD38CA" w:rsidRPr="002363E7" w:rsidRDefault="00AD38CA" w:rsidP="002363E7">
            <w:pPr>
              <w:spacing w:after="0" w:line="240" w:lineRule="auto"/>
              <w:jc w:val="center"/>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to 2021 (%)</w:t>
            </w:r>
          </w:p>
        </w:tc>
      </w:tr>
      <w:tr w:rsidR="00AD38CA" w:rsidRPr="002363E7" w14:paraId="7A1B282A" w14:textId="77777777" w:rsidTr="002356E0">
        <w:trPr>
          <w:trHeight w:val="270"/>
        </w:trPr>
        <w:tc>
          <w:tcPr>
            <w:tcW w:w="2383" w:type="dxa"/>
            <w:tcBorders>
              <w:top w:val="single" w:sz="4" w:space="0" w:color="72899D" w:themeColor="accent3"/>
              <w:left w:val="nil"/>
              <w:bottom w:val="nil"/>
              <w:right w:val="nil"/>
            </w:tcBorders>
            <w:shd w:val="clear" w:color="auto" w:fill="auto"/>
            <w:vAlign w:val="bottom"/>
            <w:hideMark/>
          </w:tcPr>
          <w:p w14:paraId="6067949E"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China</w:t>
            </w:r>
          </w:p>
        </w:tc>
        <w:tc>
          <w:tcPr>
            <w:tcW w:w="945" w:type="dxa"/>
            <w:tcBorders>
              <w:top w:val="single" w:sz="4" w:space="0" w:color="72899D" w:themeColor="accent3"/>
              <w:left w:val="nil"/>
              <w:bottom w:val="nil"/>
              <w:right w:val="nil"/>
            </w:tcBorders>
            <w:shd w:val="clear" w:color="auto" w:fill="auto"/>
            <w:vAlign w:val="bottom"/>
            <w:hideMark/>
          </w:tcPr>
          <w:p w14:paraId="00BD62B2"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55,204</w:t>
            </w:r>
          </w:p>
        </w:tc>
        <w:tc>
          <w:tcPr>
            <w:tcW w:w="946" w:type="dxa"/>
            <w:tcBorders>
              <w:top w:val="single" w:sz="4" w:space="0" w:color="72899D" w:themeColor="accent3"/>
              <w:left w:val="nil"/>
              <w:bottom w:val="nil"/>
              <w:right w:val="nil"/>
            </w:tcBorders>
            <w:shd w:val="clear" w:color="auto" w:fill="auto"/>
            <w:vAlign w:val="bottom"/>
            <w:hideMark/>
          </w:tcPr>
          <w:p w14:paraId="7C7FEC5A"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60,997</w:t>
            </w:r>
          </w:p>
        </w:tc>
        <w:tc>
          <w:tcPr>
            <w:tcW w:w="1188" w:type="dxa"/>
            <w:tcBorders>
              <w:top w:val="single" w:sz="4" w:space="0" w:color="72899D" w:themeColor="accent3"/>
              <w:left w:val="nil"/>
              <w:bottom w:val="nil"/>
              <w:right w:val="nil"/>
            </w:tcBorders>
            <w:shd w:val="clear" w:color="auto" w:fill="auto"/>
            <w:vAlign w:val="bottom"/>
            <w:hideMark/>
          </w:tcPr>
          <w:p w14:paraId="529B208C"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72,338</w:t>
            </w:r>
          </w:p>
        </w:tc>
        <w:tc>
          <w:tcPr>
            <w:tcW w:w="946" w:type="dxa"/>
            <w:tcBorders>
              <w:top w:val="single" w:sz="4" w:space="0" w:color="72899D" w:themeColor="accent3"/>
              <w:left w:val="nil"/>
              <w:bottom w:val="nil"/>
              <w:right w:val="nil"/>
            </w:tcBorders>
            <w:shd w:val="clear" w:color="auto" w:fill="auto"/>
            <w:vAlign w:val="bottom"/>
            <w:hideMark/>
          </w:tcPr>
          <w:p w14:paraId="243C76CC"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73,452</w:t>
            </w:r>
          </w:p>
        </w:tc>
        <w:tc>
          <w:tcPr>
            <w:tcW w:w="1282" w:type="dxa"/>
            <w:tcBorders>
              <w:top w:val="single" w:sz="4" w:space="0" w:color="72899D" w:themeColor="accent3"/>
              <w:left w:val="nil"/>
              <w:bottom w:val="nil"/>
              <w:right w:val="nil"/>
            </w:tcBorders>
            <w:shd w:val="clear" w:color="000000" w:fill="FFFFFF"/>
            <w:vAlign w:val="bottom"/>
            <w:hideMark/>
          </w:tcPr>
          <w:p w14:paraId="3EA64514" w14:textId="4804EC6A"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74,413</w:t>
            </w:r>
          </w:p>
        </w:tc>
        <w:tc>
          <w:tcPr>
            <w:tcW w:w="954" w:type="dxa"/>
            <w:tcBorders>
              <w:top w:val="single" w:sz="4" w:space="0" w:color="72899D" w:themeColor="accent3"/>
              <w:left w:val="nil"/>
              <w:bottom w:val="nil"/>
              <w:right w:val="nil"/>
            </w:tcBorders>
            <w:shd w:val="clear" w:color="auto" w:fill="auto"/>
            <w:noWrap/>
            <w:vAlign w:val="bottom"/>
            <w:hideMark/>
          </w:tcPr>
          <w:p w14:paraId="0BB4E95C" w14:textId="7FEE7E7D"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26.8</w:t>
            </w:r>
          </w:p>
        </w:tc>
        <w:tc>
          <w:tcPr>
            <w:tcW w:w="994" w:type="dxa"/>
            <w:tcBorders>
              <w:top w:val="single" w:sz="4" w:space="0" w:color="72899D" w:themeColor="accent3"/>
              <w:left w:val="nil"/>
              <w:bottom w:val="nil"/>
              <w:right w:val="nil"/>
            </w:tcBorders>
            <w:shd w:val="clear" w:color="auto" w:fill="auto"/>
            <w:noWrap/>
            <w:vAlign w:val="bottom"/>
            <w:hideMark/>
          </w:tcPr>
          <w:p w14:paraId="366920C6" w14:textId="7B777565"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1.3</w:t>
            </w:r>
          </w:p>
        </w:tc>
      </w:tr>
      <w:tr w:rsidR="00AD38CA" w:rsidRPr="002363E7" w14:paraId="67EB553B" w14:textId="77777777" w:rsidTr="00AD38CA">
        <w:trPr>
          <w:trHeight w:val="270"/>
        </w:trPr>
        <w:tc>
          <w:tcPr>
            <w:tcW w:w="2383" w:type="dxa"/>
            <w:tcBorders>
              <w:top w:val="nil"/>
              <w:left w:val="nil"/>
              <w:bottom w:val="nil"/>
              <w:right w:val="nil"/>
            </w:tcBorders>
            <w:shd w:val="clear" w:color="auto" w:fill="auto"/>
            <w:vAlign w:val="bottom"/>
            <w:hideMark/>
          </w:tcPr>
          <w:p w14:paraId="7EE0C419"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United States of America</w:t>
            </w:r>
          </w:p>
        </w:tc>
        <w:tc>
          <w:tcPr>
            <w:tcW w:w="945" w:type="dxa"/>
            <w:tcBorders>
              <w:top w:val="nil"/>
              <w:left w:val="nil"/>
              <w:bottom w:val="nil"/>
              <w:right w:val="nil"/>
            </w:tcBorders>
            <w:shd w:val="clear" w:color="auto" w:fill="auto"/>
            <w:vAlign w:val="bottom"/>
            <w:hideMark/>
          </w:tcPr>
          <w:p w14:paraId="0FCFE234"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55,343</w:t>
            </w:r>
          </w:p>
        </w:tc>
        <w:tc>
          <w:tcPr>
            <w:tcW w:w="946" w:type="dxa"/>
            <w:tcBorders>
              <w:top w:val="nil"/>
              <w:left w:val="nil"/>
              <w:bottom w:val="nil"/>
              <w:right w:val="nil"/>
            </w:tcBorders>
            <w:shd w:val="clear" w:color="auto" w:fill="auto"/>
            <w:vAlign w:val="bottom"/>
            <w:hideMark/>
          </w:tcPr>
          <w:p w14:paraId="3525A6C1"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56,232</w:t>
            </w:r>
          </w:p>
        </w:tc>
        <w:tc>
          <w:tcPr>
            <w:tcW w:w="1188" w:type="dxa"/>
            <w:tcBorders>
              <w:top w:val="nil"/>
              <w:left w:val="nil"/>
              <w:bottom w:val="nil"/>
              <w:right w:val="nil"/>
            </w:tcBorders>
            <w:shd w:val="clear" w:color="auto" w:fill="auto"/>
            <w:vAlign w:val="bottom"/>
            <w:hideMark/>
          </w:tcPr>
          <w:p w14:paraId="007B06FE"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55,887</w:t>
            </w:r>
          </w:p>
        </w:tc>
        <w:tc>
          <w:tcPr>
            <w:tcW w:w="946" w:type="dxa"/>
            <w:tcBorders>
              <w:top w:val="nil"/>
              <w:left w:val="nil"/>
              <w:bottom w:val="nil"/>
              <w:right w:val="nil"/>
            </w:tcBorders>
            <w:shd w:val="clear" w:color="auto" w:fill="auto"/>
            <w:vAlign w:val="bottom"/>
            <w:hideMark/>
          </w:tcPr>
          <w:p w14:paraId="0AC7FFB0"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56,454</w:t>
            </w:r>
          </w:p>
        </w:tc>
        <w:tc>
          <w:tcPr>
            <w:tcW w:w="1282" w:type="dxa"/>
            <w:tcBorders>
              <w:top w:val="nil"/>
              <w:left w:val="nil"/>
              <w:bottom w:val="nil"/>
              <w:right w:val="nil"/>
            </w:tcBorders>
            <w:shd w:val="clear" w:color="000000" w:fill="FFFFFF"/>
            <w:vAlign w:val="bottom"/>
            <w:hideMark/>
          </w:tcPr>
          <w:p w14:paraId="35A8CC5F" w14:textId="30DFAACA"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55,229</w:t>
            </w:r>
          </w:p>
        </w:tc>
        <w:tc>
          <w:tcPr>
            <w:tcW w:w="954" w:type="dxa"/>
            <w:tcBorders>
              <w:top w:val="nil"/>
              <w:left w:val="nil"/>
              <w:bottom w:val="nil"/>
              <w:right w:val="nil"/>
            </w:tcBorders>
            <w:shd w:val="clear" w:color="auto" w:fill="auto"/>
            <w:noWrap/>
            <w:vAlign w:val="bottom"/>
            <w:hideMark/>
          </w:tcPr>
          <w:p w14:paraId="27B517CA" w14:textId="0FA7CE0B"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19.9</w:t>
            </w:r>
          </w:p>
        </w:tc>
        <w:tc>
          <w:tcPr>
            <w:tcW w:w="994" w:type="dxa"/>
            <w:tcBorders>
              <w:top w:val="nil"/>
              <w:left w:val="nil"/>
              <w:bottom w:val="nil"/>
              <w:right w:val="nil"/>
            </w:tcBorders>
            <w:shd w:val="clear" w:color="auto" w:fill="auto"/>
            <w:noWrap/>
            <w:vAlign w:val="bottom"/>
            <w:hideMark/>
          </w:tcPr>
          <w:p w14:paraId="695E7640" w14:textId="33983A7D"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-2.2</w:t>
            </w:r>
          </w:p>
        </w:tc>
      </w:tr>
      <w:tr w:rsidR="00AD38CA" w:rsidRPr="002363E7" w14:paraId="066A9FB5" w14:textId="77777777" w:rsidTr="00AD38CA">
        <w:trPr>
          <w:trHeight w:val="270"/>
        </w:trPr>
        <w:tc>
          <w:tcPr>
            <w:tcW w:w="2383" w:type="dxa"/>
            <w:tcBorders>
              <w:top w:val="nil"/>
              <w:left w:val="nil"/>
              <w:bottom w:val="nil"/>
              <w:right w:val="nil"/>
            </w:tcBorders>
            <w:shd w:val="clear" w:color="auto" w:fill="auto"/>
            <w:vAlign w:val="bottom"/>
            <w:hideMark/>
          </w:tcPr>
          <w:p w14:paraId="4A31AC6C"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Japan</w:t>
            </w:r>
          </w:p>
        </w:tc>
        <w:tc>
          <w:tcPr>
            <w:tcW w:w="945" w:type="dxa"/>
            <w:tcBorders>
              <w:top w:val="nil"/>
              <w:left w:val="nil"/>
              <w:bottom w:val="nil"/>
              <w:right w:val="nil"/>
            </w:tcBorders>
            <w:shd w:val="clear" w:color="auto" w:fill="auto"/>
            <w:vAlign w:val="bottom"/>
            <w:hideMark/>
          </w:tcPr>
          <w:p w14:paraId="6EB08BF7"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48,630</w:t>
            </w:r>
          </w:p>
        </w:tc>
        <w:tc>
          <w:tcPr>
            <w:tcW w:w="946" w:type="dxa"/>
            <w:tcBorders>
              <w:top w:val="nil"/>
              <w:left w:val="nil"/>
              <w:bottom w:val="nil"/>
              <w:right w:val="nil"/>
            </w:tcBorders>
            <w:shd w:val="clear" w:color="auto" w:fill="auto"/>
            <w:vAlign w:val="bottom"/>
            <w:hideMark/>
          </w:tcPr>
          <w:p w14:paraId="05F66FAE"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51,652</w:t>
            </w:r>
          </w:p>
        </w:tc>
        <w:tc>
          <w:tcPr>
            <w:tcW w:w="1188" w:type="dxa"/>
            <w:tcBorders>
              <w:top w:val="nil"/>
              <w:left w:val="nil"/>
              <w:bottom w:val="nil"/>
              <w:right w:val="nil"/>
            </w:tcBorders>
            <w:shd w:val="clear" w:color="auto" w:fill="auto"/>
            <w:vAlign w:val="bottom"/>
            <w:hideMark/>
          </w:tcPr>
          <w:p w14:paraId="5A271DE2"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49,313</w:t>
            </w:r>
          </w:p>
        </w:tc>
        <w:tc>
          <w:tcPr>
            <w:tcW w:w="946" w:type="dxa"/>
            <w:tcBorders>
              <w:top w:val="nil"/>
              <w:left w:val="nil"/>
              <w:bottom w:val="nil"/>
              <w:right w:val="nil"/>
            </w:tcBorders>
            <w:shd w:val="clear" w:color="auto" w:fill="auto"/>
            <w:vAlign w:val="bottom"/>
            <w:hideMark/>
          </w:tcPr>
          <w:p w14:paraId="29B23F5E"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49,040</w:t>
            </w:r>
          </w:p>
        </w:tc>
        <w:tc>
          <w:tcPr>
            <w:tcW w:w="1282" w:type="dxa"/>
            <w:tcBorders>
              <w:top w:val="nil"/>
              <w:left w:val="nil"/>
              <w:bottom w:val="nil"/>
              <w:right w:val="nil"/>
            </w:tcBorders>
            <w:shd w:val="clear" w:color="000000" w:fill="FFFFFF"/>
            <w:vAlign w:val="bottom"/>
            <w:hideMark/>
          </w:tcPr>
          <w:p w14:paraId="3635D1F0" w14:textId="7208939E"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48,719</w:t>
            </w:r>
          </w:p>
        </w:tc>
        <w:tc>
          <w:tcPr>
            <w:tcW w:w="954" w:type="dxa"/>
            <w:tcBorders>
              <w:top w:val="nil"/>
              <w:left w:val="nil"/>
              <w:bottom w:val="nil"/>
              <w:right w:val="nil"/>
            </w:tcBorders>
            <w:shd w:val="clear" w:color="auto" w:fill="auto"/>
            <w:noWrap/>
            <w:vAlign w:val="bottom"/>
            <w:hideMark/>
          </w:tcPr>
          <w:p w14:paraId="49C3C764" w14:textId="4E13F5CE"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17.5</w:t>
            </w:r>
          </w:p>
        </w:tc>
        <w:tc>
          <w:tcPr>
            <w:tcW w:w="994" w:type="dxa"/>
            <w:tcBorders>
              <w:top w:val="nil"/>
              <w:left w:val="nil"/>
              <w:bottom w:val="nil"/>
              <w:right w:val="nil"/>
            </w:tcBorders>
            <w:shd w:val="clear" w:color="auto" w:fill="auto"/>
            <w:noWrap/>
            <w:vAlign w:val="bottom"/>
            <w:hideMark/>
          </w:tcPr>
          <w:p w14:paraId="76C5340C" w14:textId="6EC9BEC4"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-0.7</w:t>
            </w:r>
          </w:p>
        </w:tc>
      </w:tr>
      <w:tr w:rsidR="00AD38CA" w:rsidRPr="002363E7" w14:paraId="67C71F9D" w14:textId="77777777" w:rsidTr="00AD38CA">
        <w:trPr>
          <w:trHeight w:val="270"/>
        </w:trPr>
        <w:tc>
          <w:tcPr>
            <w:tcW w:w="2383" w:type="dxa"/>
            <w:tcBorders>
              <w:top w:val="nil"/>
              <w:left w:val="nil"/>
              <w:bottom w:val="nil"/>
              <w:right w:val="nil"/>
            </w:tcBorders>
            <w:shd w:val="clear" w:color="auto" w:fill="auto"/>
            <w:vAlign w:val="bottom"/>
            <w:hideMark/>
          </w:tcPr>
          <w:p w14:paraId="437D933C"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European Patent Office</w:t>
            </w:r>
          </w:p>
        </w:tc>
        <w:tc>
          <w:tcPr>
            <w:tcW w:w="945" w:type="dxa"/>
            <w:tcBorders>
              <w:top w:val="nil"/>
              <w:left w:val="nil"/>
              <w:bottom w:val="nil"/>
              <w:right w:val="nil"/>
            </w:tcBorders>
            <w:shd w:val="clear" w:color="auto" w:fill="auto"/>
            <w:vAlign w:val="bottom"/>
            <w:hideMark/>
          </w:tcPr>
          <w:p w14:paraId="43862C47"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37,937</w:t>
            </w:r>
          </w:p>
        </w:tc>
        <w:tc>
          <w:tcPr>
            <w:tcW w:w="946" w:type="dxa"/>
            <w:tcBorders>
              <w:top w:val="nil"/>
              <w:left w:val="nil"/>
              <w:bottom w:val="nil"/>
              <w:right w:val="nil"/>
            </w:tcBorders>
            <w:shd w:val="clear" w:color="auto" w:fill="auto"/>
            <w:vAlign w:val="bottom"/>
            <w:hideMark/>
          </w:tcPr>
          <w:p w14:paraId="0D5D8493"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37,998</w:t>
            </w:r>
          </w:p>
        </w:tc>
        <w:tc>
          <w:tcPr>
            <w:tcW w:w="1188" w:type="dxa"/>
            <w:tcBorders>
              <w:top w:val="nil"/>
              <w:left w:val="nil"/>
              <w:bottom w:val="nil"/>
              <w:right w:val="nil"/>
            </w:tcBorders>
            <w:shd w:val="clear" w:color="auto" w:fill="auto"/>
            <w:vAlign w:val="bottom"/>
            <w:hideMark/>
          </w:tcPr>
          <w:p w14:paraId="57B3BAA4"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38,872</w:t>
            </w:r>
          </w:p>
        </w:tc>
        <w:tc>
          <w:tcPr>
            <w:tcW w:w="946" w:type="dxa"/>
            <w:tcBorders>
              <w:top w:val="nil"/>
              <w:left w:val="nil"/>
              <w:bottom w:val="nil"/>
              <w:right w:val="nil"/>
            </w:tcBorders>
            <w:shd w:val="clear" w:color="auto" w:fill="auto"/>
            <w:vAlign w:val="bottom"/>
            <w:hideMark/>
          </w:tcPr>
          <w:p w14:paraId="250C0B1C"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38,322</w:t>
            </w:r>
          </w:p>
        </w:tc>
        <w:tc>
          <w:tcPr>
            <w:tcW w:w="1282" w:type="dxa"/>
            <w:tcBorders>
              <w:top w:val="nil"/>
              <w:left w:val="nil"/>
              <w:bottom w:val="nil"/>
              <w:right w:val="nil"/>
            </w:tcBorders>
            <w:shd w:val="clear" w:color="000000" w:fill="FFFFFF"/>
            <w:vAlign w:val="bottom"/>
            <w:hideMark/>
          </w:tcPr>
          <w:p w14:paraId="5A12E95E" w14:textId="4CA86ABA"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38,759</w:t>
            </w:r>
          </w:p>
        </w:tc>
        <w:tc>
          <w:tcPr>
            <w:tcW w:w="954" w:type="dxa"/>
            <w:tcBorders>
              <w:top w:val="nil"/>
              <w:left w:val="nil"/>
              <w:bottom w:val="nil"/>
              <w:right w:val="nil"/>
            </w:tcBorders>
            <w:shd w:val="clear" w:color="auto" w:fill="auto"/>
            <w:noWrap/>
            <w:vAlign w:val="bottom"/>
            <w:hideMark/>
          </w:tcPr>
          <w:p w14:paraId="228F9DD5" w14:textId="74132F6B"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14.0</w:t>
            </w:r>
          </w:p>
        </w:tc>
        <w:tc>
          <w:tcPr>
            <w:tcW w:w="994" w:type="dxa"/>
            <w:tcBorders>
              <w:top w:val="nil"/>
              <w:left w:val="nil"/>
              <w:bottom w:val="nil"/>
              <w:right w:val="nil"/>
            </w:tcBorders>
            <w:shd w:val="clear" w:color="auto" w:fill="auto"/>
            <w:noWrap/>
            <w:vAlign w:val="bottom"/>
            <w:hideMark/>
          </w:tcPr>
          <w:p w14:paraId="7AA6B051" w14:textId="1F0F1183"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1.1</w:t>
            </w:r>
          </w:p>
        </w:tc>
      </w:tr>
      <w:tr w:rsidR="00AD38CA" w:rsidRPr="002363E7" w14:paraId="37C5CF99" w14:textId="77777777" w:rsidTr="00AD38CA">
        <w:trPr>
          <w:trHeight w:val="270"/>
        </w:trPr>
        <w:tc>
          <w:tcPr>
            <w:tcW w:w="2383" w:type="dxa"/>
            <w:tcBorders>
              <w:top w:val="nil"/>
              <w:left w:val="nil"/>
              <w:bottom w:val="nil"/>
              <w:right w:val="nil"/>
            </w:tcBorders>
            <w:shd w:val="clear" w:color="auto" w:fill="auto"/>
            <w:vAlign w:val="bottom"/>
            <w:hideMark/>
          </w:tcPr>
          <w:p w14:paraId="5D14C48B"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Republic of Korea</w:t>
            </w:r>
          </w:p>
        </w:tc>
        <w:tc>
          <w:tcPr>
            <w:tcW w:w="945" w:type="dxa"/>
            <w:tcBorders>
              <w:top w:val="nil"/>
              <w:left w:val="nil"/>
              <w:bottom w:val="nil"/>
              <w:right w:val="nil"/>
            </w:tcBorders>
            <w:shd w:val="clear" w:color="auto" w:fill="auto"/>
            <w:vAlign w:val="bottom"/>
            <w:hideMark/>
          </w:tcPr>
          <w:p w14:paraId="00C4E1AA"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16,990</w:t>
            </w:r>
          </w:p>
        </w:tc>
        <w:tc>
          <w:tcPr>
            <w:tcW w:w="946" w:type="dxa"/>
            <w:tcBorders>
              <w:top w:val="nil"/>
              <w:left w:val="nil"/>
              <w:bottom w:val="nil"/>
              <w:right w:val="nil"/>
            </w:tcBorders>
            <w:shd w:val="clear" w:color="auto" w:fill="auto"/>
            <w:vAlign w:val="bottom"/>
            <w:hideMark/>
          </w:tcPr>
          <w:p w14:paraId="1C11F015"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18,885</w:t>
            </w:r>
          </w:p>
        </w:tc>
        <w:tc>
          <w:tcPr>
            <w:tcW w:w="1188" w:type="dxa"/>
            <w:tcBorders>
              <w:top w:val="nil"/>
              <w:left w:val="nil"/>
              <w:bottom w:val="nil"/>
              <w:right w:val="nil"/>
            </w:tcBorders>
            <w:shd w:val="clear" w:color="auto" w:fill="auto"/>
            <w:vAlign w:val="bottom"/>
            <w:hideMark/>
          </w:tcPr>
          <w:p w14:paraId="77340761"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19,675</w:t>
            </w:r>
          </w:p>
        </w:tc>
        <w:tc>
          <w:tcPr>
            <w:tcW w:w="946" w:type="dxa"/>
            <w:tcBorders>
              <w:top w:val="nil"/>
              <w:left w:val="nil"/>
              <w:bottom w:val="nil"/>
              <w:right w:val="nil"/>
            </w:tcBorders>
            <w:shd w:val="clear" w:color="auto" w:fill="auto"/>
            <w:vAlign w:val="bottom"/>
            <w:hideMark/>
          </w:tcPr>
          <w:p w14:paraId="220C10F5"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20,525</w:t>
            </w:r>
          </w:p>
        </w:tc>
        <w:tc>
          <w:tcPr>
            <w:tcW w:w="1282" w:type="dxa"/>
            <w:tcBorders>
              <w:top w:val="nil"/>
              <w:left w:val="nil"/>
              <w:bottom w:val="nil"/>
              <w:right w:val="nil"/>
            </w:tcBorders>
            <w:shd w:val="clear" w:color="000000" w:fill="FFFFFF"/>
            <w:vAlign w:val="bottom"/>
            <w:hideMark/>
          </w:tcPr>
          <w:p w14:paraId="43F35AD9" w14:textId="201F88F6"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21,916</w:t>
            </w:r>
          </w:p>
        </w:tc>
        <w:tc>
          <w:tcPr>
            <w:tcW w:w="954" w:type="dxa"/>
            <w:tcBorders>
              <w:top w:val="nil"/>
              <w:left w:val="nil"/>
              <w:bottom w:val="nil"/>
              <w:right w:val="nil"/>
            </w:tcBorders>
            <w:shd w:val="clear" w:color="auto" w:fill="auto"/>
            <w:noWrap/>
            <w:vAlign w:val="bottom"/>
            <w:hideMark/>
          </w:tcPr>
          <w:p w14:paraId="69F11A7C" w14:textId="74D60BF2"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7.9</w:t>
            </w:r>
          </w:p>
        </w:tc>
        <w:tc>
          <w:tcPr>
            <w:tcW w:w="994" w:type="dxa"/>
            <w:tcBorders>
              <w:top w:val="nil"/>
              <w:left w:val="nil"/>
              <w:bottom w:val="nil"/>
              <w:right w:val="nil"/>
            </w:tcBorders>
            <w:shd w:val="clear" w:color="auto" w:fill="auto"/>
            <w:noWrap/>
            <w:vAlign w:val="bottom"/>
            <w:hideMark/>
          </w:tcPr>
          <w:p w14:paraId="6191F736" w14:textId="52954729"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6.8</w:t>
            </w:r>
          </w:p>
        </w:tc>
      </w:tr>
      <w:tr w:rsidR="00AD38CA" w:rsidRPr="002363E7" w14:paraId="477D9CC6" w14:textId="77777777" w:rsidTr="00AD38CA">
        <w:trPr>
          <w:trHeight w:val="270"/>
        </w:trPr>
        <w:tc>
          <w:tcPr>
            <w:tcW w:w="2383" w:type="dxa"/>
            <w:tcBorders>
              <w:top w:val="nil"/>
              <w:left w:val="nil"/>
              <w:bottom w:val="nil"/>
              <w:right w:val="nil"/>
            </w:tcBorders>
            <w:shd w:val="clear" w:color="auto" w:fill="auto"/>
            <w:vAlign w:val="bottom"/>
            <w:hideMark/>
          </w:tcPr>
          <w:p w14:paraId="3AB9F986"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International Bureau</w:t>
            </w:r>
          </w:p>
        </w:tc>
        <w:tc>
          <w:tcPr>
            <w:tcW w:w="945" w:type="dxa"/>
            <w:tcBorders>
              <w:top w:val="nil"/>
              <w:left w:val="nil"/>
              <w:bottom w:val="nil"/>
              <w:right w:val="nil"/>
            </w:tcBorders>
            <w:shd w:val="clear" w:color="auto" w:fill="auto"/>
            <w:vAlign w:val="bottom"/>
            <w:hideMark/>
          </w:tcPr>
          <w:p w14:paraId="0BA65476"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12,239</w:t>
            </w:r>
          </w:p>
        </w:tc>
        <w:tc>
          <w:tcPr>
            <w:tcW w:w="946" w:type="dxa"/>
            <w:tcBorders>
              <w:top w:val="nil"/>
              <w:left w:val="nil"/>
              <w:bottom w:val="nil"/>
              <w:right w:val="nil"/>
            </w:tcBorders>
            <w:shd w:val="clear" w:color="auto" w:fill="auto"/>
            <w:vAlign w:val="bottom"/>
            <w:hideMark/>
          </w:tcPr>
          <w:p w14:paraId="0702F0FD"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12,901</w:t>
            </w:r>
          </w:p>
        </w:tc>
        <w:tc>
          <w:tcPr>
            <w:tcW w:w="1188" w:type="dxa"/>
            <w:tcBorders>
              <w:top w:val="nil"/>
              <w:left w:val="nil"/>
              <w:bottom w:val="nil"/>
              <w:right w:val="nil"/>
            </w:tcBorders>
            <w:shd w:val="clear" w:color="auto" w:fill="auto"/>
            <w:vAlign w:val="bottom"/>
            <w:hideMark/>
          </w:tcPr>
          <w:p w14:paraId="16E3BD47"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13,431</w:t>
            </w:r>
          </w:p>
        </w:tc>
        <w:tc>
          <w:tcPr>
            <w:tcW w:w="946" w:type="dxa"/>
            <w:tcBorders>
              <w:top w:val="nil"/>
              <w:left w:val="nil"/>
              <w:bottom w:val="nil"/>
              <w:right w:val="nil"/>
            </w:tcBorders>
            <w:shd w:val="clear" w:color="auto" w:fill="auto"/>
            <w:vAlign w:val="bottom"/>
            <w:hideMark/>
          </w:tcPr>
          <w:p w14:paraId="39E11C71"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13,506</w:t>
            </w:r>
          </w:p>
        </w:tc>
        <w:tc>
          <w:tcPr>
            <w:tcW w:w="1282" w:type="dxa"/>
            <w:tcBorders>
              <w:top w:val="nil"/>
              <w:left w:val="nil"/>
              <w:bottom w:val="nil"/>
              <w:right w:val="nil"/>
            </w:tcBorders>
            <w:shd w:val="clear" w:color="000000" w:fill="FFFFFF"/>
            <w:vAlign w:val="bottom"/>
            <w:hideMark/>
          </w:tcPr>
          <w:p w14:paraId="0C0CF81D" w14:textId="43D7E0A9"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13,691</w:t>
            </w:r>
          </w:p>
        </w:tc>
        <w:tc>
          <w:tcPr>
            <w:tcW w:w="954" w:type="dxa"/>
            <w:tcBorders>
              <w:top w:val="nil"/>
              <w:left w:val="nil"/>
              <w:bottom w:val="nil"/>
              <w:right w:val="nil"/>
            </w:tcBorders>
            <w:shd w:val="clear" w:color="auto" w:fill="auto"/>
            <w:noWrap/>
            <w:vAlign w:val="bottom"/>
            <w:hideMark/>
          </w:tcPr>
          <w:p w14:paraId="68973AF0" w14:textId="4BD29B65"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4.9</w:t>
            </w:r>
          </w:p>
        </w:tc>
        <w:tc>
          <w:tcPr>
            <w:tcW w:w="994" w:type="dxa"/>
            <w:tcBorders>
              <w:top w:val="nil"/>
              <w:left w:val="nil"/>
              <w:bottom w:val="nil"/>
              <w:right w:val="nil"/>
            </w:tcBorders>
            <w:shd w:val="clear" w:color="auto" w:fill="auto"/>
            <w:noWrap/>
            <w:vAlign w:val="bottom"/>
            <w:hideMark/>
          </w:tcPr>
          <w:p w14:paraId="0CBCF131" w14:textId="69A05006"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1.4</w:t>
            </w:r>
          </w:p>
        </w:tc>
      </w:tr>
      <w:tr w:rsidR="00AD38CA" w:rsidRPr="002363E7" w14:paraId="264D9B3E" w14:textId="77777777" w:rsidTr="00AD38CA">
        <w:trPr>
          <w:trHeight w:val="270"/>
        </w:trPr>
        <w:tc>
          <w:tcPr>
            <w:tcW w:w="2383" w:type="dxa"/>
            <w:tcBorders>
              <w:top w:val="nil"/>
              <w:left w:val="nil"/>
              <w:bottom w:val="nil"/>
              <w:right w:val="nil"/>
            </w:tcBorders>
            <w:shd w:val="clear" w:color="auto" w:fill="auto"/>
            <w:vAlign w:val="bottom"/>
            <w:hideMark/>
          </w:tcPr>
          <w:p w14:paraId="38F425B5"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United Kingdom</w:t>
            </w:r>
          </w:p>
        </w:tc>
        <w:tc>
          <w:tcPr>
            <w:tcW w:w="945" w:type="dxa"/>
            <w:tcBorders>
              <w:top w:val="nil"/>
              <w:left w:val="nil"/>
              <w:bottom w:val="nil"/>
              <w:right w:val="nil"/>
            </w:tcBorders>
            <w:shd w:val="clear" w:color="auto" w:fill="auto"/>
            <w:vAlign w:val="bottom"/>
            <w:hideMark/>
          </w:tcPr>
          <w:p w14:paraId="09575910"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3,885</w:t>
            </w:r>
          </w:p>
        </w:tc>
        <w:tc>
          <w:tcPr>
            <w:tcW w:w="946" w:type="dxa"/>
            <w:tcBorders>
              <w:top w:val="nil"/>
              <w:left w:val="nil"/>
              <w:bottom w:val="nil"/>
              <w:right w:val="nil"/>
            </w:tcBorders>
            <w:shd w:val="clear" w:color="auto" w:fill="auto"/>
            <w:vAlign w:val="bottom"/>
            <w:hideMark/>
          </w:tcPr>
          <w:p w14:paraId="77007926"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3,827</w:t>
            </w:r>
          </w:p>
        </w:tc>
        <w:tc>
          <w:tcPr>
            <w:tcW w:w="1188" w:type="dxa"/>
            <w:tcBorders>
              <w:top w:val="nil"/>
              <w:left w:val="nil"/>
              <w:bottom w:val="nil"/>
              <w:right w:val="nil"/>
            </w:tcBorders>
            <w:shd w:val="clear" w:color="auto" w:fill="auto"/>
            <w:vAlign w:val="bottom"/>
            <w:hideMark/>
          </w:tcPr>
          <w:p w14:paraId="6834ABCD"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3,446</w:t>
            </w:r>
          </w:p>
        </w:tc>
        <w:tc>
          <w:tcPr>
            <w:tcW w:w="946" w:type="dxa"/>
            <w:tcBorders>
              <w:top w:val="nil"/>
              <w:left w:val="nil"/>
              <w:bottom w:val="nil"/>
              <w:right w:val="nil"/>
            </w:tcBorders>
            <w:shd w:val="clear" w:color="auto" w:fill="auto"/>
            <w:vAlign w:val="bottom"/>
            <w:hideMark/>
          </w:tcPr>
          <w:p w14:paraId="47AFC132"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3,530</w:t>
            </w:r>
          </w:p>
        </w:tc>
        <w:tc>
          <w:tcPr>
            <w:tcW w:w="1282" w:type="dxa"/>
            <w:tcBorders>
              <w:top w:val="nil"/>
              <w:left w:val="nil"/>
              <w:bottom w:val="nil"/>
              <w:right w:val="nil"/>
            </w:tcBorders>
            <w:shd w:val="clear" w:color="000000" w:fill="FFFFFF"/>
            <w:vAlign w:val="bottom"/>
            <w:hideMark/>
          </w:tcPr>
          <w:p w14:paraId="3C938051" w14:textId="462AEA52"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3,363</w:t>
            </w:r>
          </w:p>
        </w:tc>
        <w:tc>
          <w:tcPr>
            <w:tcW w:w="954" w:type="dxa"/>
            <w:tcBorders>
              <w:top w:val="nil"/>
              <w:left w:val="nil"/>
              <w:bottom w:val="nil"/>
              <w:right w:val="nil"/>
            </w:tcBorders>
            <w:shd w:val="clear" w:color="auto" w:fill="auto"/>
            <w:noWrap/>
            <w:vAlign w:val="bottom"/>
            <w:hideMark/>
          </w:tcPr>
          <w:p w14:paraId="01AE8583" w14:textId="776C1418"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1.2</w:t>
            </w:r>
          </w:p>
        </w:tc>
        <w:tc>
          <w:tcPr>
            <w:tcW w:w="994" w:type="dxa"/>
            <w:tcBorders>
              <w:top w:val="nil"/>
              <w:left w:val="nil"/>
              <w:bottom w:val="nil"/>
              <w:right w:val="nil"/>
            </w:tcBorders>
            <w:shd w:val="clear" w:color="auto" w:fill="auto"/>
            <w:noWrap/>
            <w:vAlign w:val="bottom"/>
            <w:hideMark/>
          </w:tcPr>
          <w:p w14:paraId="1F449D27" w14:textId="084BC16D"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-4.7</w:t>
            </w:r>
          </w:p>
        </w:tc>
      </w:tr>
      <w:tr w:rsidR="00AD38CA" w:rsidRPr="002363E7" w14:paraId="190EBF04" w14:textId="77777777" w:rsidTr="00AD38CA">
        <w:trPr>
          <w:trHeight w:val="270"/>
        </w:trPr>
        <w:tc>
          <w:tcPr>
            <w:tcW w:w="2383" w:type="dxa"/>
            <w:tcBorders>
              <w:top w:val="nil"/>
              <w:left w:val="nil"/>
              <w:bottom w:val="nil"/>
              <w:right w:val="nil"/>
            </w:tcBorders>
            <w:shd w:val="clear" w:color="auto" w:fill="auto"/>
            <w:vAlign w:val="bottom"/>
            <w:hideMark/>
          </w:tcPr>
          <w:p w14:paraId="0A495B3D"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France</w:t>
            </w:r>
          </w:p>
        </w:tc>
        <w:tc>
          <w:tcPr>
            <w:tcW w:w="945" w:type="dxa"/>
            <w:tcBorders>
              <w:top w:val="nil"/>
              <w:left w:val="nil"/>
              <w:bottom w:val="nil"/>
              <w:right w:val="nil"/>
            </w:tcBorders>
            <w:shd w:val="clear" w:color="auto" w:fill="auto"/>
            <w:vAlign w:val="bottom"/>
            <w:hideMark/>
          </w:tcPr>
          <w:p w14:paraId="3B3DF21A"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3,539</w:t>
            </w:r>
          </w:p>
        </w:tc>
        <w:tc>
          <w:tcPr>
            <w:tcW w:w="946" w:type="dxa"/>
            <w:tcBorders>
              <w:top w:val="nil"/>
              <w:left w:val="nil"/>
              <w:bottom w:val="nil"/>
              <w:right w:val="nil"/>
            </w:tcBorders>
            <w:shd w:val="clear" w:color="auto" w:fill="auto"/>
            <w:vAlign w:val="bottom"/>
            <w:hideMark/>
          </w:tcPr>
          <w:p w14:paraId="527D9919"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3,206</w:t>
            </w:r>
          </w:p>
        </w:tc>
        <w:tc>
          <w:tcPr>
            <w:tcW w:w="1188" w:type="dxa"/>
            <w:tcBorders>
              <w:top w:val="nil"/>
              <w:left w:val="nil"/>
              <w:bottom w:val="nil"/>
              <w:right w:val="nil"/>
            </w:tcBorders>
            <w:shd w:val="clear" w:color="auto" w:fill="auto"/>
            <w:vAlign w:val="bottom"/>
            <w:hideMark/>
          </w:tcPr>
          <w:p w14:paraId="37674320"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2,536</w:t>
            </w:r>
          </w:p>
        </w:tc>
        <w:tc>
          <w:tcPr>
            <w:tcW w:w="946" w:type="dxa"/>
            <w:tcBorders>
              <w:top w:val="nil"/>
              <w:left w:val="nil"/>
              <w:bottom w:val="nil"/>
              <w:right w:val="nil"/>
            </w:tcBorders>
            <w:shd w:val="clear" w:color="auto" w:fill="auto"/>
            <w:vAlign w:val="bottom"/>
            <w:hideMark/>
          </w:tcPr>
          <w:p w14:paraId="0F8703CF"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2,362</w:t>
            </w:r>
          </w:p>
        </w:tc>
        <w:tc>
          <w:tcPr>
            <w:tcW w:w="1282" w:type="dxa"/>
            <w:tcBorders>
              <w:top w:val="nil"/>
              <w:left w:val="nil"/>
              <w:bottom w:val="nil"/>
              <w:right w:val="nil"/>
            </w:tcBorders>
            <w:shd w:val="clear" w:color="000000" w:fill="FFFFFF"/>
            <w:vAlign w:val="bottom"/>
            <w:hideMark/>
          </w:tcPr>
          <w:p w14:paraId="49A9E63A" w14:textId="5D482ADE"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2,421</w:t>
            </w:r>
          </w:p>
        </w:tc>
        <w:tc>
          <w:tcPr>
            <w:tcW w:w="954" w:type="dxa"/>
            <w:tcBorders>
              <w:top w:val="nil"/>
              <w:left w:val="nil"/>
              <w:bottom w:val="nil"/>
              <w:right w:val="nil"/>
            </w:tcBorders>
            <w:shd w:val="clear" w:color="auto" w:fill="auto"/>
            <w:noWrap/>
            <w:vAlign w:val="bottom"/>
            <w:hideMark/>
          </w:tcPr>
          <w:p w14:paraId="15F22A98" w14:textId="34A1704C"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0.9</w:t>
            </w:r>
          </w:p>
        </w:tc>
        <w:tc>
          <w:tcPr>
            <w:tcW w:w="994" w:type="dxa"/>
            <w:tcBorders>
              <w:top w:val="nil"/>
              <w:left w:val="nil"/>
              <w:bottom w:val="nil"/>
              <w:right w:val="nil"/>
            </w:tcBorders>
            <w:shd w:val="clear" w:color="auto" w:fill="auto"/>
            <w:noWrap/>
            <w:vAlign w:val="bottom"/>
            <w:hideMark/>
          </w:tcPr>
          <w:p w14:paraId="0658D5CD" w14:textId="305DF1CC"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2.5</w:t>
            </w:r>
          </w:p>
        </w:tc>
      </w:tr>
      <w:tr w:rsidR="00AD38CA" w:rsidRPr="002363E7" w14:paraId="56D3A4B7" w14:textId="77777777" w:rsidTr="00AD38CA">
        <w:trPr>
          <w:trHeight w:val="270"/>
        </w:trPr>
        <w:tc>
          <w:tcPr>
            <w:tcW w:w="2383" w:type="dxa"/>
            <w:tcBorders>
              <w:top w:val="nil"/>
              <w:left w:val="nil"/>
              <w:bottom w:val="nil"/>
              <w:right w:val="nil"/>
            </w:tcBorders>
            <w:shd w:val="clear" w:color="auto" w:fill="auto"/>
            <w:vAlign w:val="bottom"/>
            <w:hideMark/>
          </w:tcPr>
          <w:p w14:paraId="65C2B000"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Türkiye</w:t>
            </w:r>
          </w:p>
        </w:tc>
        <w:tc>
          <w:tcPr>
            <w:tcW w:w="945" w:type="dxa"/>
            <w:tcBorders>
              <w:top w:val="nil"/>
              <w:left w:val="nil"/>
              <w:bottom w:val="nil"/>
              <w:right w:val="nil"/>
            </w:tcBorders>
            <w:shd w:val="clear" w:color="auto" w:fill="auto"/>
            <w:vAlign w:val="bottom"/>
            <w:hideMark/>
          </w:tcPr>
          <w:p w14:paraId="78E6EF00"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1,088</w:t>
            </w:r>
          </w:p>
        </w:tc>
        <w:tc>
          <w:tcPr>
            <w:tcW w:w="946" w:type="dxa"/>
            <w:tcBorders>
              <w:top w:val="nil"/>
              <w:left w:val="nil"/>
              <w:bottom w:val="nil"/>
              <w:right w:val="nil"/>
            </w:tcBorders>
            <w:shd w:val="clear" w:color="auto" w:fill="auto"/>
            <w:vAlign w:val="bottom"/>
            <w:hideMark/>
          </w:tcPr>
          <w:p w14:paraId="4E6BCEA2"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1,374</w:t>
            </w:r>
          </w:p>
        </w:tc>
        <w:tc>
          <w:tcPr>
            <w:tcW w:w="1188" w:type="dxa"/>
            <w:tcBorders>
              <w:top w:val="nil"/>
              <w:left w:val="nil"/>
              <w:bottom w:val="nil"/>
              <w:right w:val="nil"/>
            </w:tcBorders>
            <w:shd w:val="clear" w:color="auto" w:fill="auto"/>
            <w:vAlign w:val="bottom"/>
            <w:hideMark/>
          </w:tcPr>
          <w:p w14:paraId="18E2EB9B"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1,520</w:t>
            </w:r>
          </w:p>
        </w:tc>
        <w:tc>
          <w:tcPr>
            <w:tcW w:w="946" w:type="dxa"/>
            <w:tcBorders>
              <w:top w:val="nil"/>
              <w:left w:val="nil"/>
              <w:bottom w:val="nil"/>
              <w:right w:val="nil"/>
            </w:tcBorders>
            <w:shd w:val="clear" w:color="auto" w:fill="auto"/>
            <w:vAlign w:val="bottom"/>
            <w:hideMark/>
          </w:tcPr>
          <w:p w14:paraId="5475491D"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1,710</w:t>
            </w:r>
          </w:p>
        </w:tc>
        <w:tc>
          <w:tcPr>
            <w:tcW w:w="1282" w:type="dxa"/>
            <w:tcBorders>
              <w:top w:val="nil"/>
              <w:left w:val="nil"/>
              <w:bottom w:val="nil"/>
              <w:right w:val="nil"/>
            </w:tcBorders>
            <w:shd w:val="clear" w:color="000000" w:fill="FFFFFF"/>
            <w:vAlign w:val="bottom"/>
            <w:hideMark/>
          </w:tcPr>
          <w:p w14:paraId="3282B308" w14:textId="1F11DEF3"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1,953</w:t>
            </w:r>
          </w:p>
        </w:tc>
        <w:tc>
          <w:tcPr>
            <w:tcW w:w="954" w:type="dxa"/>
            <w:tcBorders>
              <w:top w:val="nil"/>
              <w:left w:val="nil"/>
              <w:bottom w:val="nil"/>
              <w:right w:val="nil"/>
            </w:tcBorders>
            <w:shd w:val="clear" w:color="auto" w:fill="auto"/>
            <w:noWrap/>
            <w:vAlign w:val="bottom"/>
            <w:hideMark/>
          </w:tcPr>
          <w:p w14:paraId="5B1AF70C" w14:textId="0BA2E0D4"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0.7</w:t>
            </w:r>
          </w:p>
        </w:tc>
        <w:tc>
          <w:tcPr>
            <w:tcW w:w="994" w:type="dxa"/>
            <w:tcBorders>
              <w:top w:val="nil"/>
              <w:left w:val="nil"/>
              <w:bottom w:val="nil"/>
              <w:right w:val="nil"/>
            </w:tcBorders>
            <w:shd w:val="clear" w:color="auto" w:fill="auto"/>
            <w:noWrap/>
            <w:vAlign w:val="bottom"/>
            <w:hideMark/>
          </w:tcPr>
          <w:p w14:paraId="34846997" w14:textId="0297E29C"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-2.1</w:t>
            </w:r>
          </w:p>
        </w:tc>
      </w:tr>
      <w:tr w:rsidR="00AD38CA" w:rsidRPr="002363E7" w14:paraId="60F18271" w14:textId="77777777" w:rsidTr="00AD38CA">
        <w:trPr>
          <w:trHeight w:val="270"/>
        </w:trPr>
        <w:tc>
          <w:tcPr>
            <w:tcW w:w="2383" w:type="dxa"/>
            <w:tcBorders>
              <w:top w:val="nil"/>
              <w:left w:val="nil"/>
              <w:bottom w:val="nil"/>
              <w:right w:val="nil"/>
            </w:tcBorders>
            <w:shd w:val="clear" w:color="auto" w:fill="auto"/>
            <w:vAlign w:val="bottom"/>
            <w:hideMark/>
          </w:tcPr>
          <w:p w14:paraId="1062D8AD"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Canada</w:t>
            </w:r>
          </w:p>
        </w:tc>
        <w:tc>
          <w:tcPr>
            <w:tcW w:w="945" w:type="dxa"/>
            <w:tcBorders>
              <w:top w:val="nil"/>
              <w:left w:val="nil"/>
              <w:bottom w:val="nil"/>
              <w:right w:val="nil"/>
            </w:tcBorders>
            <w:shd w:val="clear" w:color="auto" w:fill="auto"/>
            <w:vAlign w:val="bottom"/>
            <w:hideMark/>
          </w:tcPr>
          <w:p w14:paraId="3B1F104F"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1,913</w:t>
            </w:r>
          </w:p>
        </w:tc>
        <w:tc>
          <w:tcPr>
            <w:tcW w:w="946" w:type="dxa"/>
            <w:tcBorders>
              <w:top w:val="nil"/>
              <w:left w:val="nil"/>
              <w:bottom w:val="nil"/>
              <w:right w:val="nil"/>
            </w:tcBorders>
            <w:shd w:val="clear" w:color="auto" w:fill="auto"/>
            <w:vAlign w:val="bottom"/>
            <w:hideMark/>
          </w:tcPr>
          <w:p w14:paraId="31C167AA"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2,067</w:t>
            </w:r>
          </w:p>
        </w:tc>
        <w:tc>
          <w:tcPr>
            <w:tcW w:w="1188" w:type="dxa"/>
            <w:tcBorders>
              <w:top w:val="nil"/>
              <w:left w:val="nil"/>
              <w:bottom w:val="nil"/>
              <w:right w:val="nil"/>
            </w:tcBorders>
            <w:shd w:val="clear" w:color="auto" w:fill="auto"/>
            <w:vAlign w:val="bottom"/>
            <w:hideMark/>
          </w:tcPr>
          <w:p w14:paraId="63B2AABD"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1,927</w:t>
            </w:r>
          </w:p>
        </w:tc>
        <w:tc>
          <w:tcPr>
            <w:tcW w:w="946" w:type="dxa"/>
            <w:tcBorders>
              <w:top w:val="nil"/>
              <w:left w:val="nil"/>
              <w:bottom w:val="nil"/>
              <w:right w:val="nil"/>
            </w:tcBorders>
            <w:shd w:val="clear" w:color="auto" w:fill="auto"/>
            <w:vAlign w:val="bottom"/>
            <w:hideMark/>
          </w:tcPr>
          <w:p w14:paraId="584D0786" w14:textId="77777777" w:rsidR="00AD38CA" w:rsidRPr="002363E7" w:rsidRDefault="00AD38CA" w:rsidP="00AD38CA">
            <w:pPr>
              <w:spacing w:after="0" w:line="240" w:lineRule="auto"/>
              <w:jc w:val="right"/>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1,995</w:t>
            </w:r>
          </w:p>
        </w:tc>
        <w:tc>
          <w:tcPr>
            <w:tcW w:w="1282" w:type="dxa"/>
            <w:tcBorders>
              <w:top w:val="nil"/>
              <w:left w:val="nil"/>
              <w:bottom w:val="nil"/>
              <w:right w:val="nil"/>
            </w:tcBorders>
            <w:shd w:val="clear" w:color="000000" w:fill="FFFFFF"/>
            <w:vAlign w:val="bottom"/>
            <w:hideMark/>
          </w:tcPr>
          <w:p w14:paraId="1E268AFB" w14:textId="17DD39FD"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1,759</w:t>
            </w:r>
          </w:p>
        </w:tc>
        <w:tc>
          <w:tcPr>
            <w:tcW w:w="954" w:type="dxa"/>
            <w:tcBorders>
              <w:top w:val="nil"/>
              <w:left w:val="nil"/>
              <w:bottom w:val="nil"/>
              <w:right w:val="nil"/>
            </w:tcBorders>
            <w:shd w:val="clear" w:color="auto" w:fill="auto"/>
            <w:noWrap/>
            <w:vAlign w:val="bottom"/>
            <w:hideMark/>
          </w:tcPr>
          <w:p w14:paraId="47AE76DB" w14:textId="1D06650C"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0.6</w:t>
            </w:r>
          </w:p>
        </w:tc>
        <w:tc>
          <w:tcPr>
            <w:tcW w:w="994" w:type="dxa"/>
            <w:tcBorders>
              <w:top w:val="nil"/>
              <w:left w:val="nil"/>
              <w:bottom w:val="nil"/>
              <w:right w:val="nil"/>
            </w:tcBorders>
            <w:shd w:val="clear" w:color="auto" w:fill="auto"/>
            <w:noWrap/>
            <w:vAlign w:val="bottom"/>
            <w:hideMark/>
          </w:tcPr>
          <w:p w14:paraId="0B1287D4" w14:textId="195F4871"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2.9</w:t>
            </w:r>
          </w:p>
        </w:tc>
      </w:tr>
      <w:tr w:rsidR="00AD38CA" w:rsidRPr="002363E7" w14:paraId="47032A8B" w14:textId="77777777" w:rsidTr="002356E0">
        <w:trPr>
          <w:trHeight w:val="270"/>
        </w:trPr>
        <w:tc>
          <w:tcPr>
            <w:tcW w:w="2383" w:type="dxa"/>
            <w:tcBorders>
              <w:top w:val="nil"/>
              <w:left w:val="nil"/>
              <w:bottom w:val="single" w:sz="4" w:space="0" w:color="BFBFBF"/>
              <w:right w:val="nil"/>
            </w:tcBorders>
            <w:shd w:val="clear" w:color="auto" w:fill="auto"/>
            <w:vAlign w:val="bottom"/>
            <w:hideMark/>
          </w:tcPr>
          <w:p w14:paraId="2C260C42" w14:textId="77777777" w:rsidR="00AD38CA" w:rsidRPr="002363E7" w:rsidRDefault="00AD38CA" w:rsidP="00AD38CA">
            <w:pPr>
              <w:spacing w:after="0" w:line="240" w:lineRule="auto"/>
              <w:rPr>
                <w:rFonts w:ascii="Arial Narrow" w:eastAsia="Times New Roman" w:hAnsi="Arial Narrow" w:cs="Arial"/>
                <w:color w:val="000000"/>
                <w:szCs w:val="18"/>
                <w:lang w:val="en-US"/>
              </w:rPr>
            </w:pPr>
            <w:r w:rsidRPr="002363E7">
              <w:rPr>
                <w:rFonts w:ascii="Arial Narrow" w:eastAsia="Times New Roman" w:hAnsi="Arial Narrow" w:cs="Arial"/>
                <w:color w:val="000000"/>
                <w:szCs w:val="18"/>
                <w:lang w:val="en-US"/>
              </w:rPr>
              <w:t>Others</w:t>
            </w:r>
          </w:p>
        </w:tc>
        <w:tc>
          <w:tcPr>
            <w:tcW w:w="945" w:type="dxa"/>
            <w:tcBorders>
              <w:top w:val="nil"/>
              <w:left w:val="nil"/>
              <w:bottom w:val="single" w:sz="4" w:space="0" w:color="BFBFBF"/>
              <w:right w:val="nil"/>
            </w:tcBorders>
            <w:shd w:val="clear" w:color="auto" w:fill="auto"/>
            <w:noWrap/>
            <w:vAlign w:val="bottom"/>
            <w:hideMark/>
          </w:tcPr>
          <w:p w14:paraId="4AB10655" w14:textId="77777777" w:rsidR="00AD38CA" w:rsidRPr="002363E7" w:rsidRDefault="00AD38CA" w:rsidP="00AD38CA">
            <w:pPr>
              <w:spacing w:after="0" w:line="240" w:lineRule="auto"/>
              <w:jc w:val="right"/>
              <w:rPr>
                <w:rFonts w:ascii="Arial Narrow" w:eastAsia="Times New Roman" w:hAnsi="Arial Narrow" w:cs="Arial"/>
                <w:szCs w:val="18"/>
                <w:lang w:val="en-US"/>
              </w:rPr>
            </w:pPr>
            <w:r w:rsidRPr="002363E7">
              <w:rPr>
                <w:rFonts w:ascii="Arial Narrow" w:eastAsia="Times New Roman" w:hAnsi="Arial Narrow" w:cs="Arial"/>
                <w:szCs w:val="18"/>
                <w:lang w:val="en-US"/>
              </w:rPr>
              <w:t>16,010</w:t>
            </w:r>
          </w:p>
        </w:tc>
        <w:tc>
          <w:tcPr>
            <w:tcW w:w="946" w:type="dxa"/>
            <w:tcBorders>
              <w:top w:val="nil"/>
              <w:left w:val="nil"/>
              <w:bottom w:val="single" w:sz="4" w:space="0" w:color="BFBFBF"/>
              <w:right w:val="nil"/>
            </w:tcBorders>
            <w:shd w:val="clear" w:color="auto" w:fill="auto"/>
            <w:noWrap/>
            <w:vAlign w:val="bottom"/>
            <w:hideMark/>
          </w:tcPr>
          <w:p w14:paraId="044CDA3A" w14:textId="77777777" w:rsidR="00AD38CA" w:rsidRPr="002363E7" w:rsidRDefault="00AD38CA" w:rsidP="00AD38CA">
            <w:pPr>
              <w:spacing w:after="0" w:line="240" w:lineRule="auto"/>
              <w:jc w:val="right"/>
              <w:rPr>
                <w:rFonts w:ascii="Arial Narrow" w:eastAsia="Times New Roman" w:hAnsi="Arial Narrow" w:cs="Arial"/>
                <w:szCs w:val="18"/>
                <w:lang w:val="en-US"/>
              </w:rPr>
            </w:pPr>
            <w:r w:rsidRPr="002363E7">
              <w:rPr>
                <w:rFonts w:ascii="Arial Narrow" w:eastAsia="Times New Roman" w:hAnsi="Arial Narrow" w:cs="Arial"/>
                <w:szCs w:val="18"/>
                <w:lang w:val="en-US"/>
              </w:rPr>
              <w:t>16,244</w:t>
            </w:r>
          </w:p>
        </w:tc>
        <w:tc>
          <w:tcPr>
            <w:tcW w:w="1188" w:type="dxa"/>
            <w:tcBorders>
              <w:top w:val="nil"/>
              <w:left w:val="nil"/>
              <w:bottom w:val="single" w:sz="4" w:space="0" w:color="BFBFBF"/>
              <w:right w:val="nil"/>
            </w:tcBorders>
            <w:shd w:val="clear" w:color="auto" w:fill="auto"/>
            <w:noWrap/>
            <w:vAlign w:val="bottom"/>
            <w:hideMark/>
          </w:tcPr>
          <w:p w14:paraId="135C9367" w14:textId="77777777" w:rsidR="00AD38CA" w:rsidRPr="002363E7" w:rsidRDefault="00AD38CA" w:rsidP="00AD38CA">
            <w:pPr>
              <w:spacing w:after="0" w:line="240" w:lineRule="auto"/>
              <w:jc w:val="right"/>
              <w:rPr>
                <w:rFonts w:ascii="Arial Narrow" w:eastAsia="Times New Roman" w:hAnsi="Arial Narrow" w:cs="Arial"/>
                <w:szCs w:val="18"/>
                <w:lang w:val="en-US"/>
              </w:rPr>
            </w:pPr>
            <w:r w:rsidRPr="002363E7">
              <w:rPr>
                <w:rFonts w:ascii="Arial Narrow" w:eastAsia="Times New Roman" w:hAnsi="Arial Narrow" w:cs="Arial"/>
                <w:szCs w:val="18"/>
                <w:lang w:val="en-US"/>
              </w:rPr>
              <w:t>15,944</w:t>
            </w:r>
          </w:p>
        </w:tc>
        <w:tc>
          <w:tcPr>
            <w:tcW w:w="946" w:type="dxa"/>
            <w:tcBorders>
              <w:top w:val="nil"/>
              <w:left w:val="nil"/>
              <w:bottom w:val="single" w:sz="4" w:space="0" w:color="BFBFBF"/>
              <w:right w:val="nil"/>
            </w:tcBorders>
            <w:shd w:val="clear" w:color="auto" w:fill="auto"/>
            <w:noWrap/>
            <w:vAlign w:val="bottom"/>
            <w:hideMark/>
          </w:tcPr>
          <w:p w14:paraId="618F8FF6" w14:textId="77777777" w:rsidR="00AD38CA" w:rsidRPr="002363E7" w:rsidRDefault="00AD38CA" w:rsidP="00AD38CA">
            <w:pPr>
              <w:spacing w:after="0" w:line="240" w:lineRule="auto"/>
              <w:jc w:val="right"/>
              <w:rPr>
                <w:rFonts w:ascii="Arial Narrow" w:eastAsia="Times New Roman" w:hAnsi="Arial Narrow" w:cs="Arial"/>
                <w:szCs w:val="18"/>
                <w:lang w:val="en-US"/>
              </w:rPr>
            </w:pPr>
            <w:r w:rsidRPr="002363E7">
              <w:rPr>
                <w:rFonts w:ascii="Arial Narrow" w:eastAsia="Times New Roman" w:hAnsi="Arial Narrow" w:cs="Arial"/>
                <w:szCs w:val="18"/>
                <w:lang w:val="en-US"/>
              </w:rPr>
              <w:t>16,286</w:t>
            </w:r>
          </w:p>
        </w:tc>
        <w:tc>
          <w:tcPr>
            <w:tcW w:w="1282" w:type="dxa"/>
            <w:tcBorders>
              <w:top w:val="nil"/>
              <w:left w:val="nil"/>
              <w:bottom w:val="single" w:sz="4" w:space="0" w:color="BFBFBF"/>
              <w:right w:val="nil"/>
            </w:tcBorders>
            <w:shd w:val="clear" w:color="000000" w:fill="FFFFFF"/>
            <w:noWrap/>
            <w:vAlign w:val="bottom"/>
            <w:hideMark/>
          </w:tcPr>
          <w:p w14:paraId="5B92BD63" w14:textId="776ACAAC"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15,477</w:t>
            </w:r>
          </w:p>
        </w:tc>
        <w:tc>
          <w:tcPr>
            <w:tcW w:w="954" w:type="dxa"/>
            <w:tcBorders>
              <w:top w:val="nil"/>
              <w:left w:val="nil"/>
              <w:bottom w:val="nil"/>
              <w:right w:val="nil"/>
            </w:tcBorders>
            <w:shd w:val="clear" w:color="auto" w:fill="auto"/>
            <w:noWrap/>
            <w:vAlign w:val="bottom"/>
            <w:hideMark/>
          </w:tcPr>
          <w:p w14:paraId="277863D2" w14:textId="56EE2E75"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5.6</w:t>
            </w:r>
          </w:p>
        </w:tc>
        <w:tc>
          <w:tcPr>
            <w:tcW w:w="994" w:type="dxa"/>
            <w:tcBorders>
              <w:top w:val="nil"/>
              <w:left w:val="nil"/>
              <w:bottom w:val="single" w:sz="4" w:space="0" w:color="BFBFBF"/>
              <w:right w:val="nil"/>
            </w:tcBorders>
            <w:shd w:val="clear" w:color="auto" w:fill="auto"/>
            <w:noWrap/>
            <w:vAlign w:val="bottom"/>
            <w:hideMark/>
          </w:tcPr>
          <w:p w14:paraId="509A357F" w14:textId="0A790FA8" w:rsidR="00AD38CA" w:rsidRPr="002356E0" w:rsidRDefault="00AD38CA" w:rsidP="00AD38CA">
            <w:pPr>
              <w:spacing w:after="0" w:line="240" w:lineRule="auto"/>
              <w:jc w:val="right"/>
              <w:rPr>
                <w:rFonts w:ascii="Arial Narrow" w:eastAsia="Times New Roman" w:hAnsi="Arial Narrow" w:cs="Arial"/>
                <w:szCs w:val="18"/>
                <w:highlight w:val="yellow"/>
                <w:lang w:val="en-US"/>
              </w:rPr>
            </w:pPr>
            <w:r w:rsidRPr="002356E0">
              <w:rPr>
                <w:rFonts w:ascii="Arial Narrow" w:hAnsi="Arial Narrow" w:cs="Arial"/>
                <w:szCs w:val="18"/>
              </w:rPr>
              <w:t>-5.0</w:t>
            </w:r>
          </w:p>
        </w:tc>
      </w:tr>
      <w:tr w:rsidR="00AD38CA" w:rsidRPr="002363E7" w14:paraId="436084C3" w14:textId="77777777" w:rsidTr="002356E0">
        <w:trPr>
          <w:trHeight w:val="285"/>
        </w:trPr>
        <w:tc>
          <w:tcPr>
            <w:tcW w:w="2383" w:type="dxa"/>
            <w:tcBorders>
              <w:top w:val="nil"/>
              <w:left w:val="nil"/>
              <w:bottom w:val="single" w:sz="8" w:space="0" w:color="BFBFBF"/>
              <w:right w:val="nil"/>
            </w:tcBorders>
            <w:shd w:val="clear" w:color="auto" w:fill="auto"/>
            <w:vAlign w:val="bottom"/>
            <w:hideMark/>
          </w:tcPr>
          <w:p w14:paraId="5F83F56E" w14:textId="77777777" w:rsidR="00AD38CA" w:rsidRPr="002363E7" w:rsidRDefault="00AD38CA" w:rsidP="00AD38CA">
            <w:pPr>
              <w:spacing w:after="0" w:line="240" w:lineRule="auto"/>
              <w:rPr>
                <w:rFonts w:ascii="Arial Narrow" w:eastAsia="Times New Roman" w:hAnsi="Arial Narrow" w:cs="Arial"/>
                <w:b/>
                <w:bCs/>
                <w:color w:val="000000"/>
                <w:szCs w:val="18"/>
                <w:lang w:val="en-US"/>
              </w:rPr>
            </w:pPr>
            <w:r w:rsidRPr="002363E7">
              <w:rPr>
                <w:rFonts w:ascii="Arial Narrow" w:eastAsia="Times New Roman" w:hAnsi="Arial Narrow" w:cs="Arial"/>
                <w:b/>
                <w:bCs/>
                <w:color w:val="000000"/>
                <w:szCs w:val="18"/>
                <w:lang w:val="en-US"/>
              </w:rPr>
              <w:t>Total</w:t>
            </w:r>
          </w:p>
        </w:tc>
        <w:tc>
          <w:tcPr>
            <w:tcW w:w="945" w:type="dxa"/>
            <w:tcBorders>
              <w:top w:val="nil"/>
              <w:left w:val="nil"/>
              <w:bottom w:val="single" w:sz="8" w:space="0" w:color="BFBFBF"/>
              <w:right w:val="nil"/>
            </w:tcBorders>
            <w:shd w:val="clear" w:color="auto" w:fill="auto"/>
            <w:noWrap/>
            <w:vAlign w:val="bottom"/>
            <w:hideMark/>
          </w:tcPr>
          <w:p w14:paraId="646B5C1E" w14:textId="77777777" w:rsidR="00AD38CA" w:rsidRPr="002363E7" w:rsidRDefault="00AD38CA" w:rsidP="00AD38CA">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252,778</w:t>
            </w:r>
          </w:p>
        </w:tc>
        <w:tc>
          <w:tcPr>
            <w:tcW w:w="946" w:type="dxa"/>
            <w:tcBorders>
              <w:top w:val="nil"/>
              <w:left w:val="nil"/>
              <w:bottom w:val="single" w:sz="8" w:space="0" w:color="BFBFBF"/>
              <w:right w:val="nil"/>
            </w:tcBorders>
            <w:shd w:val="clear" w:color="auto" w:fill="auto"/>
            <w:noWrap/>
            <w:vAlign w:val="bottom"/>
            <w:hideMark/>
          </w:tcPr>
          <w:p w14:paraId="05B9DEF7" w14:textId="77777777" w:rsidR="00AD38CA" w:rsidRPr="002363E7" w:rsidRDefault="00AD38CA" w:rsidP="00AD38CA">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265,383</w:t>
            </w:r>
          </w:p>
        </w:tc>
        <w:tc>
          <w:tcPr>
            <w:tcW w:w="1188" w:type="dxa"/>
            <w:tcBorders>
              <w:top w:val="nil"/>
              <w:left w:val="nil"/>
              <w:bottom w:val="single" w:sz="8" w:space="0" w:color="BFBFBF"/>
              <w:right w:val="nil"/>
            </w:tcBorders>
            <w:shd w:val="clear" w:color="auto" w:fill="auto"/>
            <w:noWrap/>
            <w:vAlign w:val="bottom"/>
            <w:hideMark/>
          </w:tcPr>
          <w:p w14:paraId="46AB6B11" w14:textId="77777777" w:rsidR="00AD38CA" w:rsidRPr="002363E7" w:rsidRDefault="00AD38CA" w:rsidP="00AD38CA">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274,889</w:t>
            </w:r>
          </w:p>
        </w:tc>
        <w:tc>
          <w:tcPr>
            <w:tcW w:w="946" w:type="dxa"/>
            <w:tcBorders>
              <w:top w:val="nil"/>
              <w:left w:val="nil"/>
              <w:bottom w:val="single" w:sz="8" w:space="0" w:color="BFBFBF"/>
              <w:right w:val="nil"/>
            </w:tcBorders>
            <w:shd w:val="clear" w:color="auto" w:fill="auto"/>
            <w:noWrap/>
            <w:vAlign w:val="bottom"/>
            <w:hideMark/>
          </w:tcPr>
          <w:p w14:paraId="39375400" w14:textId="77777777" w:rsidR="00AD38CA" w:rsidRPr="002363E7" w:rsidRDefault="00AD38CA" w:rsidP="00AD38CA">
            <w:pPr>
              <w:spacing w:after="0" w:line="240" w:lineRule="auto"/>
              <w:jc w:val="right"/>
              <w:rPr>
                <w:rFonts w:ascii="Arial Narrow" w:eastAsia="Times New Roman" w:hAnsi="Arial Narrow" w:cs="Arial"/>
                <w:b/>
                <w:bCs/>
                <w:szCs w:val="18"/>
                <w:lang w:val="en-US"/>
              </w:rPr>
            </w:pPr>
            <w:r w:rsidRPr="002363E7">
              <w:rPr>
                <w:rFonts w:ascii="Arial Narrow" w:eastAsia="Times New Roman" w:hAnsi="Arial Narrow" w:cs="Arial"/>
                <w:b/>
                <w:bCs/>
                <w:szCs w:val="18"/>
                <w:lang w:val="en-US"/>
              </w:rPr>
              <w:t>277,182</w:t>
            </w:r>
          </w:p>
        </w:tc>
        <w:tc>
          <w:tcPr>
            <w:tcW w:w="1282" w:type="dxa"/>
            <w:tcBorders>
              <w:top w:val="nil"/>
              <w:left w:val="nil"/>
              <w:bottom w:val="single" w:sz="8" w:space="0" w:color="BFBFBF"/>
              <w:right w:val="nil"/>
            </w:tcBorders>
            <w:shd w:val="clear" w:color="000000" w:fill="FFFFFF"/>
            <w:noWrap/>
            <w:vAlign w:val="bottom"/>
            <w:hideMark/>
          </w:tcPr>
          <w:p w14:paraId="1A9E6243" w14:textId="615A48A4" w:rsidR="00AD38CA" w:rsidRPr="002356E0" w:rsidRDefault="00AD38CA" w:rsidP="00AD38CA">
            <w:pPr>
              <w:spacing w:after="0" w:line="240" w:lineRule="auto"/>
              <w:jc w:val="right"/>
              <w:rPr>
                <w:rFonts w:ascii="Arial Narrow" w:eastAsia="Times New Roman" w:hAnsi="Arial Narrow" w:cs="Arial"/>
                <w:b/>
                <w:bCs/>
                <w:szCs w:val="18"/>
                <w:highlight w:val="yellow"/>
                <w:lang w:val="en-US"/>
              </w:rPr>
            </w:pPr>
            <w:r w:rsidRPr="002356E0">
              <w:rPr>
                <w:rFonts w:ascii="Arial Narrow" w:hAnsi="Arial Narrow" w:cs="Arial"/>
                <w:b/>
                <w:bCs/>
                <w:szCs w:val="18"/>
              </w:rPr>
              <w:t>277,700</w:t>
            </w:r>
          </w:p>
        </w:tc>
        <w:tc>
          <w:tcPr>
            <w:tcW w:w="954" w:type="dxa"/>
            <w:tcBorders>
              <w:top w:val="single" w:sz="4" w:space="0" w:color="BFBFBF"/>
              <w:left w:val="nil"/>
              <w:bottom w:val="single" w:sz="8" w:space="0" w:color="BFBFBF"/>
              <w:right w:val="nil"/>
            </w:tcBorders>
            <w:shd w:val="clear" w:color="auto" w:fill="auto"/>
            <w:noWrap/>
            <w:vAlign w:val="bottom"/>
            <w:hideMark/>
          </w:tcPr>
          <w:p w14:paraId="492C6B26" w14:textId="5FA1A6A6" w:rsidR="00AD38CA" w:rsidRPr="002356E0" w:rsidRDefault="00AD38CA" w:rsidP="00AD38CA">
            <w:pPr>
              <w:spacing w:after="0" w:line="240" w:lineRule="auto"/>
              <w:jc w:val="right"/>
              <w:rPr>
                <w:rFonts w:ascii="Arial Narrow" w:eastAsia="Times New Roman" w:hAnsi="Arial Narrow" w:cs="Arial"/>
                <w:b/>
                <w:bCs/>
                <w:szCs w:val="18"/>
                <w:highlight w:val="yellow"/>
                <w:lang w:val="en-US"/>
              </w:rPr>
            </w:pPr>
            <w:r w:rsidRPr="002356E0">
              <w:rPr>
                <w:rFonts w:ascii="Arial Narrow" w:hAnsi="Arial Narrow" w:cs="Arial"/>
                <w:b/>
                <w:bCs/>
                <w:szCs w:val="18"/>
              </w:rPr>
              <w:t>100.0</w:t>
            </w:r>
          </w:p>
        </w:tc>
        <w:tc>
          <w:tcPr>
            <w:tcW w:w="994" w:type="dxa"/>
            <w:tcBorders>
              <w:top w:val="nil"/>
              <w:left w:val="nil"/>
              <w:bottom w:val="single" w:sz="8" w:space="0" w:color="BFBFBF"/>
              <w:right w:val="nil"/>
            </w:tcBorders>
            <w:shd w:val="clear" w:color="auto" w:fill="auto"/>
            <w:noWrap/>
            <w:vAlign w:val="bottom"/>
            <w:hideMark/>
          </w:tcPr>
          <w:p w14:paraId="48175D3B" w14:textId="57831DCC" w:rsidR="00AD38CA" w:rsidRPr="002356E0" w:rsidRDefault="00AD38CA" w:rsidP="00AD38CA">
            <w:pPr>
              <w:spacing w:after="0" w:line="240" w:lineRule="auto"/>
              <w:jc w:val="right"/>
              <w:rPr>
                <w:rFonts w:ascii="Arial Narrow" w:eastAsia="Times New Roman" w:hAnsi="Arial Narrow" w:cs="Arial"/>
                <w:b/>
                <w:bCs/>
                <w:szCs w:val="18"/>
                <w:highlight w:val="yellow"/>
                <w:lang w:val="en-US"/>
              </w:rPr>
            </w:pPr>
            <w:r w:rsidRPr="002356E0">
              <w:rPr>
                <w:rFonts w:ascii="Arial Narrow" w:hAnsi="Arial Narrow" w:cs="Arial"/>
                <w:b/>
                <w:bCs/>
                <w:szCs w:val="18"/>
              </w:rPr>
              <w:t>0.2</w:t>
            </w:r>
          </w:p>
        </w:tc>
      </w:tr>
    </w:tbl>
    <w:p w14:paraId="0218C521" w14:textId="50F26AE3" w:rsidR="003525FF" w:rsidRPr="00D65028" w:rsidRDefault="003525FF" w:rsidP="003525FF">
      <w:pPr>
        <w:keepNext/>
        <w:rPr>
          <w:rFonts w:eastAsia="Arial"/>
          <w:b/>
          <w:color w:val="005172"/>
          <w:sz w:val="32"/>
        </w:rPr>
      </w:pPr>
      <w:r w:rsidRPr="00E61FA9">
        <w:rPr>
          <w:rFonts w:eastAsia="Arial"/>
          <w:sz w:val="15"/>
          <w:szCs w:val="15"/>
        </w:rPr>
        <w:t xml:space="preserve">Source: WIPO Statistics Database, </w:t>
      </w:r>
      <w:bookmarkEnd w:id="41"/>
      <w:r w:rsidR="0075425B">
        <w:rPr>
          <w:rFonts w:eastAsia="Arial"/>
          <w:sz w:val="15"/>
          <w:szCs w:val="15"/>
        </w:rPr>
        <w:t>April</w:t>
      </w:r>
      <w:r>
        <w:rPr>
          <w:rFonts w:eastAsia="Arial"/>
          <w:sz w:val="15"/>
          <w:szCs w:val="15"/>
        </w:rPr>
        <w:t xml:space="preserve"> 2023</w:t>
      </w:r>
    </w:p>
    <w:p w14:paraId="5E02D012" w14:textId="6BEBF36F" w:rsidR="002363E7" w:rsidRDefault="002363E7">
      <w:pPr>
        <w:spacing w:after="200" w:line="276" w:lineRule="auto"/>
        <w:rPr>
          <w:b/>
          <w:color w:val="005172" w:themeColor="text2"/>
          <w:sz w:val="32"/>
          <w:szCs w:val="32"/>
          <w:lang w:val="en-US"/>
        </w:rPr>
      </w:pPr>
      <w:r>
        <w:rPr>
          <w:b/>
          <w:color w:val="005172" w:themeColor="text2"/>
          <w:sz w:val="32"/>
          <w:szCs w:val="32"/>
          <w:lang w:val="en-US"/>
        </w:rPr>
        <w:br w:type="page"/>
      </w:r>
    </w:p>
    <w:p w14:paraId="461DFD65" w14:textId="77777777" w:rsidR="002363E7" w:rsidRPr="005162F7" w:rsidRDefault="002363E7" w:rsidP="002363E7">
      <w:pPr>
        <w:keepNext/>
        <w:spacing w:before="320" w:after="240"/>
        <w:outlineLvl w:val="2"/>
        <w:rPr>
          <w:rFonts w:eastAsia="Arial"/>
          <w:b/>
          <w:color w:val="005172"/>
          <w:sz w:val="32"/>
        </w:rPr>
      </w:pPr>
      <w:bookmarkStart w:id="42" w:name="_Toc293334847"/>
      <w:bookmarkStart w:id="43" w:name="_Toc298920429"/>
      <w:bookmarkStart w:id="44" w:name="_Toc356567794"/>
      <w:bookmarkStart w:id="45" w:name="_Toc367350620"/>
      <w:bookmarkStart w:id="46" w:name="_Toc482096040"/>
      <w:bookmarkStart w:id="47" w:name="_Toc482096589"/>
      <w:bookmarkStart w:id="48" w:name="_Toc482096869"/>
      <w:bookmarkStart w:id="49" w:name="_Toc482097142"/>
      <w:bookmarkStart w:id="50" w:name="_Toc494100270"/>
      <w:r w:rsidRPr="005162F7">
        <w:rPr>
          <w:rFonts w:eastAsia="Arial"/>
          <w:b/>
          <w:color w:val="005172"/>
          <w:sz w:val="32"/>
        </w:rPr>
        <w:t>Indicators of Madrid Operations</w:t>
      </w:r>
    </w:p>
    <w:p w14:paraId="078ED75F" w14:textId="77777777" w:rsidR="002363E7" w:rsidRPr="005162F7" w:rsidRDefault="002363E7" w:rsidP="002363E7">
      <w:pPr>
        <w:keepNext/>
        <w:spacing w:before="320" w:after="240"/>
        <w:rPr>
          <w:rFonts w:eastAsia="Arial"/>
          <w:b/>
          <w:color w:val="005172"/>
          <w:sz w:val="24"/>
        </w:rPr>
      </w:pPr>
      <w:r w:rsidRPr="005162F7">
        <w:rPr>
          <w:rFonts w:eastAsia="Arial"/>
          <w:b/>
          <w:color w:val="005172"/>
          <w:sz w:val="24"/>
        </w:rPr>
        <w:t>General</w:t>
      </w:r>
    </w:p>
    <w:p w14:paraId="0DE91C86" w14:textId="77777777" w:rsidR="002363E7" w:rsidRPr="005162F7" w:rsidRDefault="002363E7" w:rsidP="002363E7">
      <w:pPr>
        <w:tabs>
          <w:tab w:val="left" w:pos="567"/>
        </w:tabs>
        <w:rPr>
          <w:rFonts w:eastAsia="Arial"/>
        </w:rPr>
      </w:pPr>
      <w:r w:rsidRPr="005162F7">
        <w:rPr>
          <w:rFonts w:eastAsia="Arial"/>
        </w:rPr>
        <w:t>This annex provides an overview of the following indicators for Madrid Operations:</w:t>
      </w:r>
    </w:p>
    <w:p w14:paraId="42F7FF52" w14:textId="77777777" w:rsidR="002363E7" w:rsidRPr="005162F7" w:rsidRDefault="002363E7" w:rsidP="008407D7">
      <w:pPr>
        <w:numPr>
          <w:ilvl w:val="0"/>
          <w:numId w:val="34"/>
        </w:numPr>
        <w:tabs>
          <w:tab w:val="num" w:pos="1134"/>
        </w:tabs>
        <w:spacing w:after="60"/>
        <w:ind w:left="908" w:hanging="346"/>
        <w:rPr>
          <w:rFonts w:eastAsia="Arial"/>
        </w:rPr>
      </w:pPr>
      <w:r w:rsidRPr="005162F7">
        <w:rPr>
          <w:rFonts w:eastAsia="Arial"/>
        </w:rPr>
        <w:t>Incoming workload;</w:t>
      </w:r>
    </w:p>
    <w:p w14:paraId="3F0AC0EF"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Total processed workload;</w:t>
      </w:r>
    </w:p>
    <w:p w14:paraId="1A9869FE"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Level of automation;</w:t>
      </w:r>
    </w:p>
    <w:p w14:paraId="6426EE97"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Unit cost;</w:t>
      </w:r>
    </w:p>
    <w:p w14:paraId="449C1556"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Productivity;</w:t>
      </w:r>
    </w:p>
    <w:p w14:paraId="32EB4F19"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Pendency; and</w:t>
      </w:r>
    </w:p>
    <w:p w14:paraId="0846372B" w14:textId="77777777" w:rsidR="002363E7" w:rsidRPr="005162F7" w:rsidRDefault="002363E7" w:rsidP="008407D7">
      <w:pPr>
        <w:numPr>
          <w:ilvl w:val="0"/>
          <w:numId w:val="34"/>
        </w:numPr>
        <w:tabs>
          <w:tab w:val="num" w:pos="1134"/>
        </w:tabs>
        <w:spacing w:after="60"/>
        <w:ind w:left="907" w:hanging="340"/>
        <w:rPr>
          <w:rFonts w:eastAsia="Arial"/>
        </w:rPr>
      </w:pPr>
      <w:r w:rsidRPr="005162F7">
        <w:rPr>
          <w:rFonts w:eastAsia="Arial"/>
        </w:rPr>
        <w:t xml:space="preserve">Quality of examination. </w:t>
      </w:r>
    </w:p>
    <w:p w14:paraId="08BF323C" w14:textId="77777777" w:rsidR="002363E7" w:rsidRPr="005162F7" w:rsidRDefault="002363E7" w:rsidP="002363E7">
      <w:pPr>
        <w:keepNext/>
        <w:spacing w:before="320" w:after="240"/>
        <w:rPr>
          <w:rFonts w:eastAsia="Arial"/>
          <w:b/>
          <w:color w:val="005172"/>
          <w:sz w:val="24"/>
        </w:rPr>
      </w:pPr>
      <w:r w:rsidRPr="005162F7">
        <w:rPr>
          <w:rFonts w:eastAsia="Arial"/>
          <w:b/>
          <w:color w:val="005172"/>
          <w:sz w:val="24"/>
        </w:rPr>
        <w:t>Incoming Documents</w:t>
      </w:r>
    </w:p>
    <w:p w14:paraId="29F6D175" w14:textId="77777777" w:rsidR="002363E7" w:rsidRPr="005162F7" w:rsidRDefault="002363E7" w:rsidP="002363E7">
      <w:pPr>
        <w:tabs>
          <w:tab w:val="left" w:pos="142"/>
          <w:tab w:val="left" w:pos="567"/>
          <w:tab w:val="left" w:pos="851"/>
        </w:tabs>
        <w:rPr>
          <w:rFonts w:eastAsia="Times New Roman" w:cs="Times New Roman"/>
          <w:i/>
          <w:noProof/>
          <w:sz w:val="20"/>
        </w:rPr>
      </w:pPr>
      <w:r w:rsidRPr="005162F7">
        <w:rPr>
          <w:rFonts w:eastAsia="Arial"/>
        </w:rPr>
        <w:t xml:space="preserve">The International Bureau (IB) receives six different categories of documents, namely international applications, renewals, subsequent designations, modifications, decisions and corrections.  The latest trend for international applications and renewals received by the IB is presented below.  Information on other categories can be found in the </w:t>
      </w:r>
      <w:r w:rsidRPr="005162F7">
        <w:rPr>
          <w:rFonts w:eastAsia="Arial"/>
          <w:i/>
        </w:rPr>
        <w:t xml:space="preserve">Madrid Yearly Review.  </w:t>
      </w:r>
    </w:p>
    <w:p w14:paraId="11BB3529" w14:textId="77777777" w:rsidR="002363E7" w:rsidRPr="005162F7" w:rsidRDefault="002363E7" w:rsidP="002363E7">
      <w:pPr>
        <w:keepNext/>
        <w:jc w:val="center"/>
        <w:rPr>
          <w:rFonts w:eastAsia="Calibri"/>
          <w:b/>
          <w:color w:val="005172"/>
          <w:szCs w:val="16"/>
        </w:rPr>
      </w:pPr>
      <w:r w:rsidRPr="005162F7">
        <w:rPr>
          <w:rFonts w:eastAsia="Calibri"/>
          <w:b/>
          <w:color w:val="005172"/>
          <w:szCs w:val="16"/>
        </w:rPr>
        <w:t>International Applications</w:t>
      </w:r>
    </w:p>
    <w:p w14:paraId="55F3298E" w14:textId="77777777" w:rsidR="002363E7" w:rsidRPr="005162F7" w:rsidRDefault="002363E7" w:rsidP="002363E7">
      <w:pPr>
        <w:jc w:val="center"/>
      </w:pPr>
      <w:r>
        <w:rPr>
          <w:noProof/>
          <w:lang w:val="en-US"/>
        </w:rPr>
        <w:drawing>
          <wp:inline distT="0" distB="0" distL="0" distR="0" wp14:anchorId="318D4C9E" wp14:editId="14C1086B">
            <wp:extent cx="5394960" cy="274320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156F9E55" w14:textId="6A167F22" w:rsidR="002363E7" w:rsidRPr="005162F7" w:rsidRDefault="002363E7" w:rsidP="002363E7">
      <w:pPr>
        <w:ind w:left="1138"/>
        <w:rPr>
          <w:sz w:val="15"/>
          <w:szCs w:val="15"/>
        </w:rPr>
      </w:pPr>
      <w:r w:rsidRPr="005162F7">
        <w:rPr>
          <w:sz w:val="15"/>
          <w:szCs w:val="15"/>
        </w:rPr>
        <w:t xml:space="preserve">Source:  WIPO IP Statistics Database, </w:t>
      </w:r>
      <w:r w:rsidR="0075425B">
        <w:rPr>
          <w:sz w:val="15"/>
          <w:szCs w:val="15"/>
        </w:rPr>
        <w:t>April</w:t>
      </w:r>
      <w:r>
        <w:rPr>
          <w:sz w:val="15"/>
          <w:szCs w:val="15"/>
        </w:rPr>
        <w:t xml:space="preserve"> 2023</w:t>
      </w:r>
      <w:r w:rsidRPr="005162F7">
        <w:rPr>
          <w:sz w:val="15"/>
          <w:szCs w:val="15"/>
        </w:rPr>
        <w:t>.</w:t>
      </w:r>
    </w:p>
    <w:p w14:paraId="7619D5D4" w14:textId="0AB2ED25" w:rsidR="002363E7" w:rsidRPr="005162F7" w:rsidRDefault="003E325C" w:rsidP="008407D7">
      <w:pPr>
        <w:numPr>
          <w:ilvl w:val="0"/>
          <w:numId w:val="34"/>
        </w:numPr>
        <w:tabs>
          <w:tab w:val="num" w:pos="1134"/>
        </w:tabs>
        <w:spacing w:before="260" w:after="120"/>
        <w:rPr>
          <w:rFonts w:eastAsia="Calibri"/>
          <w:szCs w:val="18"/>
        </w:rPr>
      </w:pPr>
      <w:r>
        <w:rPr>
          <w:rFonts w:eastAsia="Calibri"/>
          <w:szCs w:val="18"/>
        </w:rPr>
        <w:t xml:space="preserve">In 2022, </w:t>
      </w:r>
      <w:r w:rsidR="002363E7" w:rsidRPr="005162F7">
        <w:rPr>
          <w:rFonts w:eastAsia="Calibri"/>
          <w:szCs w:val="18"/>
        </w:rPr>
        <w:t>69,000 applications were filed, representing a drop of 6.1 per cent compared to 2021.</w:t>
      </w:r>
    </w:p>
    <w:p w14:paraId="582D13A2" w14:textId="38B8D0EC" w:rsidR="002363E7" w:rsidRPr="005162F7" w:rsidRDefault="002363E7" w:rsidP="008407D7">
      <w:pPr>
        <w:numPr>
          <w:ilvl w:val="0"/>
          <w:numId w:val="34"/>
        </w:numPr>
        <w:tabs>
          <w:tab w:val="left" w:pos="8505"/>
        </w:tabs>
        <w:spacing w:after="200" w:line="276" w:lineRule="auto"/>
        <w:rPr>
          <w:rFonts w:eastAsia="Calibri"/>
          <w:szCs w:val="18"/>
        </w:rPr>
      </w:pPr>
      <w:r>
        <w:rPr>
          <w:rFonts w:eastAsia="Calibri"/>
          <w:szCs w:val="18"/>
        </w:rPr>
        <w:t>In 2021, the number of applications filed grew sharply</w:t>
      </w:r>
      <w:r w:rsidRPr="005162F7">
        <w:rPr>
          <w:rFonts w:eastAsia="Calibri"/>
          <w:szCs w:val="18"/>
        </w:rPr>
        <w:t xml:space="preserve"> </w:t>
      </w:r>
      <w:r>
        <w:rPr>
          <w:rFonts w:eastAsia="Calibri"/>
          <w:szCs w:val="18"/>
        </w:rPr>
        <w:t>by</w:t>
      </w:r>
      <w:r w:rsidR="003E325C">
        <w:rPr>
          <w:rFonts w:eastAsia="Calibri"/>
          <w:szCs w:val="18"/>
        </w:rPr>
        <w:t xml:space="preserve"> 15 per cent</w:t>
      </w:r>
      <w:r>
        <w:rPr>
          <w:rFonts w:eastAsia="Calibri"/>
          <w:szCs w:val="18"/>
        </w:rPr>
        <w:t xml:space="preserve"> over</w:t>
      </w:r>
      <w:r w:rsidRPr="005162F7">
        <w:rPr>
          <w:rFonts w:eastAsia="Calibri"/>
          <w:szCs w:val="18"/>
        </w:rPr>
        <w:t xml:space="preserve"> the </w:t>
      </w:r>
      <w:r>
        <w:rPr>
          <w:rFonts w:eastAsia="Calibri"/>
          <w:szCs w:val="18"/>
        </w:rPr>
        <w:t>preceding</w:t>
      </w:r>
      <w:r w:rsidRPr="005162F7">
        <w:rPr>
          <w:rFonts w:eastAsia="Calibri"/>
          <w:szCs w:val="18"/>
        </w:rPr>
        <w:t xml:space="preserve"> year.</w:t>
      </w:r>
    </w:p>
    <w:p w14:paraId="5457242A" w14:textId="77777777" w:rsidR="002363E7" w:rsidRPr="00C61950" w:rsidRDefault="002363E7" w:rsidP="00E83D48">
      <w:pPr>
        <w:keepNext/>
        <w:spacing w:after="120"/>
        <w:jc w:val="center"/>
        <w:rPr>
          <w:rFonts w:eastAsia="Calibri"/>
          <w:b/>
          <w:color w:val="005172"/>
          <w:szCs w:val="16"/>
        </w:rPr>
      </w:pPr>
      <w:r w:rsidRPr="00C61950">
        <w:rPr>
          <w:rFonts w:eastAsia="Calibri"/>
          <w:b/>
          <w:color w:val="005172"/>
          <w:szCs w:val="16"/>
        </w:rPr>
        <w:t>Distribution of Applications by Language of Filing</w:t>
      </w:r>
    </w:p>
    <w:p w14:paraId="2E1331D5" w14:textId="77777777" w:rsidR="002363E7" w:rsidRPr="00C61950" w:rsidRDefault="002363E7" w:rsidP="002363E7">
      <w:pPr>
        <w:jc w:val="center"/>
        <w:rPr>
          <w:rFonts w:eastAsia="Calibri"/>
          <w:szCs w:val="18"/>
        </w:rPr>
      </w:pPr>
      <w:r>
        <w:rPr>
          <w:noProof/>
          <w:lang w:val="en-US"/>
        </w:rPr>
        <w:drawing>
          <wp:inline distT="0" distB="0" distL="0" distR="0" wp14:anchorId="4C6C9B21" wp14:editId="7D882BE8">
            <wp:extent cx="5486400" cy="265176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16B724D" w14:textId="77777777" w:rsidR="002363E7" w:rsidRPr="00C61950" w:rsidRDefault="002363E7" w:rsidP="002363E7">
      <w:pPr>
        <w:spacing w:before="120"/>
        <w:ind w:left="1134"/>
        <w:rPr>
          <w:sz w:val="15"/>
          <w:szCs w:val="15"/>
        </w:rPr>
      </w:pPr>
      <w:r w:rsidRPr="00C61950">
        <w:rPr>
          <w:sz w:val="15"/>
          <w:szCs w:val="15"/>
        </w:rPr>
        <w:t xml:space="preserve">Source:  WIPO IP Statistics Database, </w:t>
      </w:r>
      <w:r>
        <w:rPr>
          <w:sz w:val="15"/>
          <w:szCs w:val="15"/>
        </w:rPr>
        <w:t>March 2023</w:t>
      </w:r>
      <w:r w:rsidRPr="00C61950">
        <w:rPr>
          <w:sz w:val="15"/>
          <w:szCs w:val="15"/>
        </w:rPr>
        <w:t>.</w:t>
      </w:r>
    </w:p>
    <w:p w14:paraId="3CD97D6C" w14:textId="64C167DC" w:rsidR="002363E7" w:rsidRPr="001E3780" w:rsidRDefault="002363E7" w:rsidP="008407D7">
      <w:pPr>
        <w:numPr>
          <w:ilvl w:val="0"/>
          <w:numId w:val="34"/>
        </w:numPr>
        <w:tabs>
          <w:tab w:val="num" w:pos="1134"/>
          <w:tab w:val="left" w:pos="8505"/>
        </w:tabs>
        <w:spacing w:after="240"/>
        <w:rPr>
          <w:noProof/>
        </w:rPr>
      </w:pPr>
      <w:r w:rsidRPr="00C61950">
        <w:rPr>
          <w:rFonts w:eastAsia="Calibri"/>
          <w:szCs w:val="18"/>
        </w:rPr>
        <w:t xml:space="preserve">In </w:t>
      </w:r>
      <w:r w:rsidRPr="00C61950">
        <w:rPr>
          <w:rFonts w:eastAsia="Arial"/>
        </w:rPr>
        <w:t>2022</w:t>
      </w:r>
      <w:r w:rsidRPr="00C61950">
        <w:rPr>
          <w:rFonts w:eastAsia="Calibri"/>
          <w:szCs w:val="18"/>
        </w:rPr>
        <w:t xml:space="preserve">, 85 per cent of all applications were filed in English.  This share has remained </w:t>
      </w:r>
      <w:r>
        <w:rPr>
          <w:rFonts w:eastAsia="Calibri"/>
          <w:szCs w:val="18"/>
        </w:rPr>
        <w:t>stable</w:t>
      </w:r>
      <w:r w:rsidRPr="00C61950">
        <w:rPr>
          <w:rFonts w:eastAsia="Calibri"/>
          <w:szCs w:val="18"/>
        </w:rPr>
        <w:t xml:space="preserve"> since 2020.</w:t>
      </w:r>
      <w:r w:rsidRPr="00C61950">
        <w:rPr>
          <w:noProof/>
        </w:rPr>
        <w:t xml:space="preserve"> </w:t>
      </w:r>
    </w:p>
    <w:p w14:paraId="7EAD6050" w14:textId="77777777" w:rsidR="002363E7" w:rsidRPr="001E3780" w:rsidRDefault="002363E7" w:rsidP="002363E7">
      <w:pPr>
        <w:keepNext/>
        <w:tabs>
          <w:tab w:val="left" w:pos="8505"/>
        </w:tabs>
        <w:spacing w:line="221" w:lineRule="auto"/>
        <w:ind w:left="357"/>
        <w:jc w:val="center"/>
        <w:rPr>
          <w:rFonts w:eastAsia="Arial"/>
          <w:b/>
          <w:color w:val="005172"/>
        </w:rPr>
      </w:pPr>
      <w:r w:rsidRPr="001E3780">
        <w:rPr>
          <w:rFonts w:eastAsia="Arial"/>
          <w:b/>
          <w:color w:val="005172"/>
        </w:rPr>
        <w:t>Renewals of International Registrations</w:t>
      </w:r>
    </w:p>
    <w:p w14:paraId="5C54EA3A" w14:textId="77777777" w:rsidR="002363E7" w:rsidRPr="001E3780" w:rsidRDefault="002363E7" w:rsidP="002363E7">
      <w:pPr>
        <w:spacing w:after="0"/>
        <w:jc w:val="center"/>
      </w:pPr>
      <w:r>
        <w:rPr>
          <w:noProof/>
          <w:lang w:val="en-US"/>
        </w:rPr>
        <w:drawing>
          <wp:inline distT="0" distB="0" distL="0" distR="0" wp14:anchorId="6C096B33" wp14:editId="4062708C">
            <wp:extent cx="5577840" cy="2834640"/>
            <wp:effectExtent l="0" t="0" r="3810" b="381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B230A59" w14:textId="4727B9FA" w:rsidR="002363E7" w:rsidRPr="002363E7" w:rsidRDefault="002363E7" w:rsidP="002363E7">
      <w:pPr>
        <w:keepNext/>
        <w:keepLines/>
        <w:spacing w:after="240"/>
        <w:ind w:left="1138"/>
        <w:rPr>
          <w:sz w:val="15"/>
          <w:szCs w:val="15"/>
        </w:rPr>
      </w:pPr>
      <w:r w:rsidRPr="001E3780">
        <w:rPr>
          <w:sz w:val="15"/>
          <w:szCs w:val="15"/>
        </w:rPr>
        <w:t xml:space="preserve">Source:  WIPO IP Statistics Database, </w:t>
      </w:r>
      <w:r w:rsidR="00EC0EE5">
        <w:rPr>
          <w:sz w:val="15"/>
          <w:szCs w:val="15"/>
        </w:rPr>
        <w:t xml:space="preserve">April </w:t>
      </w:r>
      <w:r>
        <w:rPr>
          <w:sz w:val="15"/>
          <w:szCs w:val="15"/>
        </w:rPr>
        <w:t>2023</w:t>
      </w:r>
      <w:r w:rsidRPr="001E3780">
        <w:rPr>
          <w:sz w:val="15"/>
          <w:szCs w:val="15"/>
        </w:rPr>
        <w:t>.</w:t>
      </w:r>
    </w:p>
    <w:p w14:paraId="3A50E102" w14:textId="77777777" w:rsidR="002363E7" w:rsidRPr="00B5409C" w:rsidRDefault="002363E7" w:rsidP="008407D7">
      <w:pPr>
        <w:numPr>
          <w:ilvl w:val="0"/>
          <w:numId w:val="34"/>
        </w:numPr>
        <w:tabs>
          <w:tab w:val="left" w:pos="8505"/>
        </w:tabs>
        <w:spacing w:after="200" w:line="276" w:lineRule="auto"/>
        <w:rPr>
          <w:rFonts w:eastAsia="Calibri"/>
          <w:szCs w:val="18"/>
        </w:rPr>
      </w:pPr>
      <w:r w:rsidRPr="00B5409C">
        <w:rPr>
          <w:rFonts w:eastAsia="Calibri"/>
          <w:szCs w:val="18"/>
        </w:rPr>
        <w:t xml:space="preserve">In 2022, the IB received 38,265 renewals, up 11.8 per cent from 2021. </w:t>
      </w:r>
    </w:p>
    <w:p w14:paraId="4BD4DA20" w14:textId="77777777" w:rsidR="002363E7" w:rsidRPr="00B5409C" w:rsidRDefault="002363E7" w:rsidP="008407D7">
      <w:pPr>
        <w:numPr>
          <w:ilvl w:val="0"/>
          <w:numId w:val="34"/>
        </w:numPr>
        <w:tabs>
          <w:tab w:val="left" w:pos="8505"/>
        </w:tabs>
        <w:spacing w:after="120" w:line="276" w:lineRule="auto"/>
        <w:rPr>
          <w:rFonts w:eastAsia="Calibri"/>
          <w:szCs w:val="18"/>
        </w:rPr>
      </w:pPr>
      <w:r w:rsidRPr="00B5409C">
        <w:rPr>
          <w:rFonts w:eastAsia="Calibri"/>
          <w:szCs w:val="18"/>
        </w:rPr>
        <w:t>The decrease observed in 2019 was a consequence of the decline in applications in 2009, due to the financial crisis.</w:t>
      </w:r>
    </w:p>
    <w:p w14:paraId="3FC0D3A5" w14:textId="77777777" w:rsidR="002363E7" w:rsidRPr="00F70678" w:rsidRDefault="002363E7" w:rsidP="002363E7">
      <w:pPr>
        <w:keepNext/>
        <w:spacing w:before="320" w:after="240"/>
        <w:rPr>
          <w:rFonts w:eastAsia="Arial"/>
          <w:b/>
          <w:color w:val="005172"/>
          <w:sz w:val="24"/>
        </w:rPr>
      </w:pPr>
      <w:r w:rsidRPr="00F70678">
        <w:rPr>
          <w:rFonts w:eastAsia="Arial"/>
          <w:b/>
          <w:color w:val="005172"/>
          <w:sz w:val="24"/>
        </w:rPr>
        <w:t>Total Processed Workload</w:t>
      </w:r>
    </w:p>
    <w:p w14:paraId="6384287F" w14:textId="77777777" w:rsidR="002363E7" w:rsidRPr="00F70678" w:rsidRDefault="002363E7" w:rsidP="002363E7">
      <w:pPr>
        <w:tabs>
          <w:tab w:val="num" w:pos="1134"/>
          <w:tab w:val="left" w:pos="8505"/>
        </w:tabs>
        <w:spacing w:after="120"/>
        <w:rPr>
          <w:rFonts w:eastAsia="Arial"/>
        </w:rPr>
      </w:pPr>
      <w:r w:rsidRPr="00F70678">
        <w:rPr>
          <w:rFonts w:eastAsia="Arial"/>
        </w:rPr>
        <w:t>The total processed workload represents the weighted total number of documents processed by the IB, including applications, renewals, subsequent designations, modifications, decisions and corrections.</w:t>
      </w:r>
    </w:p>
    <w:p w14:paraId="60127BE2" w14:textId="5A167A6B" w:rsidR="002363E7" w:rsidRPr="00F70678" w:rsidRDefault="002363E7" w:rsidP="002363E7">
      <w:pPr>
        <w:tabs>
          <w:tab w:val="left" w:pos="8505"/>
        </w:tabs>
        <w:spacing w:after="240"/>
        <w:rPr>
          <w:rFonts w:eastAsia="Arial"/>
        </w:rPr>
      </w:pPr>
      <w:r w:rsidRPr="00F70678">
        <w:rPr>
          <w:rFonts w:eastAsia="Arial"/>
        </w:rPr>
        <w:t>As the processing of each type of document does not require an equal amount of resources, they are each weighted differently.  According to the current weighting, during the time required to process one international application, a full time equivalent (FTE) examiner can process 1.6 renewals, 1.8 subsequent designations, 1.8 modifications or 10</w:t>
      </w:r>
      <w:r w:rsidR="00EC0EE5">
        <w:rPr>
          <w:rFonts w:eastAsia="Arial"/>
        </w:rPr>
        <w:t> </w:t>
      </w:r>
      <w:r w:rsidRPr="00F70678">
        <w:rPr>
          <w:rFonts w:eastAsia="Arial"/>
        </w:rPr>
        <w:t>decisions</w:t>
      </w:r>
      <w:r>
        <w:rPr>
          <w:rFonts w:eastAsia="Arial"/>
        </w:rPr>
        <w:t xml:space="preserve"> </w:t>
      </w:r>
      <w:r w:rsidRPr="008B7371">
        <w:rPr>
          <w:szCs w:val="18"/>
        </w:rPr>
        <w:t>(a 1:</w:t>
      </w:r>
      <w:r>
        <w:rPr>
          <w:szCs w:val="18"/>
        </w:rPr>
        <w:t>1.6</w:t>
      </w:r>
      <w:r w:rsidRPr="008B7371">
        <w:rPr>
          <w:szCs w:val="18"/>
        </w:rPr>
        <w:t>:</w:t>
      </w:r>
      <w:r>
        <w:rPr>
          <w:szCs w:val="18"/>
        </w:rPr>
        <w:t>1.8</w:t>
      </w:r>
      <w:r w:rsidRPr="008B7371">
        <w:rPr>
          <w:szCs w:val="18"/>
        </w:rPr>
        <w:t>:</w:t>
      </w:r>
      <w:r>
        <w:rPr>
          <w:szCs w:val="18"/>
        </w:rPr>
        <w:t>1.8:10</w:t>
      </w:r>
      <w:r w:rsidRPr="008B7371">
        <w:rPr>
          <w:szCs w:val="18"/>
        </w:rPr>
        <w:t xml:space="preserve"> workload ratio)</w:t>
      </w:r>
      <w:r w:rsidRPr="00F70678">
        <w:rPr>
          <w:rFonts w:eastAsia="Arial"/>
        </w:rPr>
        <w:t xml:space="preserve">.  Similarly, for documents processed automatically, one IT system support FTE is required to process 17 documents.  </w:t>
      </w:r>
    </w:p>
    <w:p w14:paraId="40276E95" w14:textId="77777777" w:rsidR="002363E7" w:rsidRPr="00F70678" w:rsidRDefault="002363E7" w:rsidP="002363E7">
      <w:pPr>
        <w:keepNext/>
        <w:spacing w:after="120" w:line="276" w:lineRule="auto"/>
        <w:jc w:val="center"/>
        <w:rPr>
          <w:rFonts w:eastAsia="Calibri"/>
          <w:b/>
          <w:color w:val="005172"/>
          <w:szCs w:val="16"/>
        </w:rPr>
      </w:pPr>
      <w:r w:rsidRPr="00F70678">
        <w:rPr>
          <w:rFonts w:eastAsia="Calibri"/>
          <w:b/>
          <w:color w:val="005172"/>
          <w:szCs w:val="16"/>
        </w:rPr>
        <w:t>Total Processed Workload</w:t>
      </w:r>
    </w:p>
    <w:p w14:paraId="43CA3008" w14:textId="77777777" w:rsidR="002363E7" w:rsidRPr="00F70678" w:rsidRDefault="002363E7" w:rsidP="002363E7">
      <w:pPr>
        <w:tabs>
          <w:tab w:val="left" w:pos="8505"/>
        </w:tabs>
        <w:spacing w:after="120" w:line="220" w:lineRule="auto"/>
        <w:jc w:val="center"/>
        <w:rPr>
          <w:rFonts w:eastAsia="Calibri"/>
          <w:b/>
          <w:color w:val="005172"/>
          <w:sz w:val="16"/>
          <w:szCs w:val="16"/>
        </w:rPr>
      </w:pPr>
      <w:r>
        <w:rPr>
          <w:noProof/>
          <w:lang w:val="en-US"/>
        </w:rPr>
        <w:drawing>
          <wp:inline distT="0" distB="0" distL="0" distR="0" wp14:anchorId="1B848FCA" wp14:editId="478D058F">
            <wp:extent cx="5212080" cy="2834640"/>
            <wp:effectExtent l="0" t="0" r="7620" b="381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4697AFD" w14:textId="4135BD7A" w:rsidR="002363E7" w:rsidRPr="00F70678" w:rsidRDefault="002363E7" w:rsidP="002363E7">
      <w:pPr>
        <w:keepNext/>
        <w:keepLines/>
        <w:spacing w:after="240"/>
        <w:ind w:left="1138" w:firstLine="302"/>
        <w:rPr>
          <w:sz w:val="15"/>
          <w:szCs w:val="15"/>
        </w:rPr>
      </w:pPr>
      <w:r w:rsidRPr="00F70678">
        <w:rPr>
          <w:sz w:val="15"/>
          <w:szCs w:val="15"/>
        </w:rPr>
        <w:t xml:space="preserve">Source:  Madrid Registry and WIPO IP Statistics Database, </w:t>
      </w:r>
      <w:r>
        <w:rPr>
          <w:sz w:val="15"/>
          <w:szCs w:val="15"/>
        </w:rPr>
        <w:t>March 2023</w:t>
      </w:r>
      <w:r w:rsidRPr="00F70678">
        <w:rPr>
          <w:sz w:val="15"/>
          <w:szCs w:val="15"/>
        </w:rPr>
        <w:t>.</w:t>
      </w:r>
    </w:p>
    <w:p w14:paraId="6DA02016" w14:textId="77777777" w:rsidR="002363E7" w:rsidRPr="00F70678" w:rsidRDefault="002363E7" w:rsidP="008407D7">
      <w:pPr>
        <w:numPr>
          <w:ilvl w:val="0"/>
          <w:numId w:val="34"/>
        </w:numPr>
        <w:tabs>
          <w:tab w:val="left" w:pos="8505"/>
        </w:tabs>
        <w:spacing w:after="200" w:line="276" w:lineRule="auto"/>
        <w:rPr>
          <w:rFonts w:eastAsia="Calibri"/>
          <w:szCs w:val="18"/>
        </w:rPr>
      </w:pPr>
      <w:r w:rsidRPr="00F70678">
        <w:rPr>
          <w:rFonts w:eastAsia="Calibri"/>
          <w:szCs w:val="18"/>
        </w:rPr>
        <w:t>In</w:t>
      </w:r>
      <w:r w:rsidRPr="00E83D48">
        <w:rPr>
          <w:rFonts w:eastAsia="Calibri"/>
          <w:szCs w:val="18"/>
        </w:rPr>
        <w:t xml:space="preserve"> 2022</w:t>
      </w:r>
      <w:r w:rsidRPr="00F70678">
        <w:rPr>
          <w:rFonts w:eastAsia="Calibri"/>
          <w:szCs w:val="18"/>
        </w:rPr>
        <w:t>, the total pro</w:t>
      </w:r>
      <w:r>
        <w:rPr>
          <w:rFonts w:eastAsia="Calibri"/>
          <w:szCs w:val="18"/>
        </w:rPr>
        <w:t>cessed workload increased by 5.8 per cent compared to 2021</w:t>
      </w:r>
    </w:p>
    <w:p w14:paraId="32FBE693" w14:textId="77777777" w:rsidR="002363E7" w:rsidRPr="00BD0A43" w:rsidRDefault="002363E7" w:rsidP="002363E7">
      <w:pPr>
        <w:keepNext/>
        <w:spacing w:before="320" w:after="240"/>
        <w:rPr>
          <w:rFonts w:eastAsia="Arial"/>
          <w:b/>
          <w:color w:val="005172"/>
          <w:sz w:val="24"/>
        </w:rPr>
      </w:pPr>
      <w:r w:rsidRPr="00F70678">
        <w:rPr>
          <w:rFonts w:eastAsia="Arial"/>
          <w:b/>
          <w:color w:val="005172"/>
          <w:sz w:val="24"/>
        </w:rPr>
        <w:t>Medium of Transmission of Incoming Documents</w:t>
      </w:r>
      <w:r w:rsidRPr="00BD0A43">
        <w:rPr>
          <w:rFonts w:eastAsia="Arial"/>
          <w:b/>
          <w:color w:val="005172"/>
          <w:sz w:val="24"/>
        </w:rPr>
        <w:t xml:space="preserve"> </w:t>
      </w:r>
    </w:p>
    <w:p w14:paraId="04C9758A" w14:textId="77777777" w:rsidR="002363E7" w:rsidRPr="00BD0A43" w:rsidRDefault="002363E7" w:rsidP="002363E7">
      <w:pPr>
        <w:tabs>
          <w:tab w:val="left" w:pos="8505"/>
        </w:tabs>
        <w:rPr>
          <w:rFonts w:eastAsia="Calibri"/>
          <w:szCs w:val="18"/>
        </w:rPr>
      </w:pPr>
      <w:r w:rsidRPr="00BD0A43">
        <w:rPr>
          <w:rFonts w:eastAsia="Calibri"/>
          <w:szCs w:val="18"/>
        </w:rPr>
        <w:t>Documents transmitted electronically refer to documents received in XML format.</w:t>
      </w:r>
      <w:r w:rsidRPr="00BD0A43">
        <w:rPr>
          <w:rFonts w:eastAsia="Arial"/>
        </w:rPr>
        <w:t xml:space="preserve"> </w:t>
      </w:r>
      <w:r w:rsidRPr="00BD0A43">
        <w:rPr>
          <w:rFonts w:eastAsia="Calibri"/>
          <w:szCs w:val="18"/>
        </w:rPr>
        <w:t xml:space="preserve">Documents received in PDF format are recorded as received on paper.  </w:t>
      </w:r>
    </w:p>
    <w:p w14:paraId="3FAEE455" w14:textId="77777777" w:rsidR="002363E7" w:rsidRPr="00BD0A43" w:rsidRDefault="002363E7" w:rsidP="002363E7">
      <w:pPr>
        <w:keepNext/>
        <w:tabs>
          <w:tab w:val="left" w:pos="567"/>
        </w:tabs>
        <w:spacing w:after="360"/>
        <w:contextualSpacing/>
        <w:rPr>
          <w:rFonts w:eastAsia="Arial"/>
        </w:rPr>
      </w:pPr>
    </w:p>
    <w:p w14:paraId="337A695F" w14:textId="77777777" w:rsidR="002363E7" w:rsidRPr="00BD0A43" w:rsidRDefault="002363E7" w:rsidP="002363E7">
      <w:pPr>
        <w:keepNext/>
        <w:tabs>
          <w:tab w:val="left" w:pos="8505"/>
        </w:tabs>
        <w:spacing w:after="120" w:line="221" w:lineRule="auto"/>
        <w:ind w:left="284"/>
        <w:jc w:val="center"/>
        <w:rPr>
          <w:rFonts w:eastAsia="Calibri"/>
          <w:b/>
          <w:color w:val="005172"/>
          <w:szCs w:val="16"/>
        </w:rPr>
      </w:pPr>
      <w:r w:rsidRPr="00BD0A43">
        <w:rPr>
          <w:rFonts w:eastAsia="Calibri"/>
          <w:b/>
          <w:color w:val="005172"/>
          <w:szCs w:val="16"/>
        </w:rPr>
        <w:t xml:space="preserve">Distribution of </w:t>
      </w:r>
      <w:r>
        <w:rPr>
          <w:rFonts w:eastAsia="Calibri"/>
          <w:b/>
          <w:color w:val="005172"/>
          <w:szCs w:val="16"/>
        </w:rPr>
        <w:t>I</w:t>
      </w:r>
      <w:r w:rsidRPr="00BD0A43">
        <w:rPr>
          <w:rFonts w:eastAsia="Calibri"/>
          <w:b/>
          <w:color w:val="005172"/>
          <w:szCs w:val="16"/>
        </w:rPr>
        <w:t xml:space="preserve">ncoming </w:t>
      </w:r>
      <w:r>
        <w:rPr>
          <w:rFonts w:eastAsia="Calibri"/>
          <w:b/>
          <w:color w:val="005172"/>
          <w:szCs w:val="16"/>
        </w:rPr>
        <w:t>D</w:t>
      </w:r>
      <w:r w:rsidRPr="00BD0A43">
        <w:rPr>
          <w:rFonts w:eastAsia="Calibri"/>
          <w:b/>
          <w:color w:val="005172"/>
          <w:szCs w:val="16"/>
        </w:rPr>
        <w:t xml:space="preserve">ocuments by </w:t>
      </w:r>
      <w:r>
        <w:rPr>
          <w:rFonts w:eastAsia="Calibri"/>
          <w:b/>
          <w:color w:val="005172"/>
          <w:szCs w:val="16"/>
        </w:rPr>
        <w:t>M</w:t>
      </w:r>
      <w:r w:rsidRPr="00BD0A43">
        <w:rPr>
          <w:rFonts w:eastAsia="Calibri"/>
          <w:b/>
          <w:color w:val="005172"/>
          <w:szCs w:val="16"/>
        </w:rPr>
        <w:t xml:space="preserve">edium of </w:t>
      </w:r>
      <w:r>
        <w:rPr>
          <w:rFonts w:eastAsia="Calibri"/>
          <w:b/>
          <w:color w:val="005172"/>
          <w:szCs w:val="16"/>
        </w:rPr>
        <w:t>T</w:t>
      </w:r>
      <w:r w:rsidRPr="00BD0A43">
        <w:rPr>
          <w:rFonts w:eastAsia="Calibri"/>
          <w:b/>
          <w:color w:val="005172"/>
          <w:szCs w:val="16"/>
        </w:rPr>
        <w:t>ransmission</w:t>
      </w:r>
    </w:p>
    <w:p w14:paraId="7A2928D7" w14:textId="77777777" w:rsidR="002363E7" w:rsidRPr="00BD0A43" w:rsidRDefault="002363E7" w:rsidP="002363E7">
      <w:pPr>
        <w:tabs>
          <w:tab w:val="left" w:pos="8505"/>
        </w:tabs>
        <w:spacing w:after="120" w:line="220" w:lineRule="auto"/>
        <w:ind w:left="907" w:hanging="907"/>
        <w:jc w:val="center"/>
        <w:rPr>
          <w:rFonts w:eastAsia="Calibri"/>
          <w:b/>
          <w:color w:val="005172"/>
          <w:sz w:val="16"/>
          <w:szCs w:val="16"/>
        </w:rPr>
      </w:pPr>
      <w:r>
        <w:rPr>
          <w:noProof/>
          <w:lang w:val="en-US"/>
        </w:rPr>
        <w:drawing>
          <wp:inline distT="0" distB="0" distL="0" distR="0" wp14:anchorId="081B1C3D" wp14:editId="1317091C">
            <wp:extent cx="4962525" cy="2800351"/>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810BD50" w14:textId="77777777" w:rsidR="002363E7" w:rsidRPr="00BD0A43" w:rsidRDefault="002363E7" w:rsidP="00127C1E">
      <w:pPr>
        <w:keepNext/>
        <w:keepLines/>
        <w:spacing w:after="240"/>
        <w:ind w:left="1440" w:firstLine="720"/>
        <w:rPr>
          <w:sz w:val="15"/>
          <w:szCs w:val="15"/>
        </w:rPr>
      </w:pPr>
      <w:r w:rsidRPr="00BD0A43">
        <w:rPr>
          <w:sz w:val="15"/>
          <w:szCs w:val="15"/>
        </w:rPr>
        <w:t>Sour</w:t>
      </w:r>
      <w:r>
        <w:rPr>
          <w:sz w:val="15"/>
          <w:szCs w:val="15"/>
        </w:rPr>
        <w:t>ce:  Madrid Registry, March 2023</w:t>
      </w:r>
      <w:r w:rsidRPr="00BD0A43">
        <w:rPr>
          <w:sz w:val="15"/>
          <w:szCs w:val="15"/>
        </w:rPr>
        <w:t>.</w:t>
      </w:r>
    </w:p>
    <w:p w14:paraId="553B6D9E" w14:textId="77777777" w:rsidR="002363E7" w:rsidRPr="00BD0A43" w:rsidRDefault="002363E7" w:rsidP="008407D7">
      <w:pPr>
        <w:numPr>
          <w:ilvl w:val="0"/>
          <w:numId w:val="34"/>
        </w:numPr>
        <w:tabs>
          <w:tab w:val="left" w:pos="8505"/>
        </w:tabs>
        <w:spacing w:after="200" w:line="276" w:lineRule="auto"/>
        <w:rPr>
          <w:rFonts w:eastAsia="Calibri"/>
          <w:szCs w:val="18"/>
        </w:rPr>
      </w:pPr>
      <w:r>
        <w:rPr>
          <w:rFonts w:eastAsia="Calibri"/>
          <w:szCs w:val="18"/>
        </w:rPr>
        <w:t>In 2022, 85</w:t>
      </w:r>
      <w:r w:rsidRPr="00BD0A43">
        <w:rPr>
          <w:rFonts w:eastAsia="Calibri"/>
          <w:szCs w:val="18"/>
        </w:rPr>
        <w:t xml:space="preserve"> per cent of all incoming documents were transmitted electronically to the IB.</w:t>
      </w:r>
    </w:p>
    <w:p w14:paraId="63E93225" w14:textId="77777777" w:rsidR="002363E7" w:rsidRPr="00BE46EB" w:rsidRDefault="002363E7" w:rsidP="002363E7">
      <w:pPr>
        <w:keepNext/>
        <w:spacing w:before="320" w:after="240"/>
        <w:rPr>
          <w:rFonts w:eastAsia="Arial"/>
          <w:b/>
          <w:color w:val="005172"/>
          <w:sz w:val="24"/>
        </w:rPr>
      </w:pPr>
      <w:r w:rsidRPr="00BE46EB">
        <w:rPr>
          <w:rFonts w:eastAsia="Arial"/>
          <w:b/>
          <w:color w:val="005172"/>
          <w:sz w:val="24"/>
        </w:rPr>
        <w:t>Unit Cost of Processing</w:t>
      </w:r>
    </w:p>
    <w:p w14:paraId="16EBC1A4" w14:textId="152BD3FA" w:rsidR="002363E7" w:rsidRPr="00BE46EB" w:rsidRDefault="002363E7" w:rsidP="002363E7">
      <w:pPr>
        <w:tabs>
          <w:tab w:val="num" w:pos="1134"/>
          <w:tab w:val="left" w:pos="8505"/>
        </w:tabs>
        <w:rPr>
          <w:rFonts w:eastAsia="Calibri"/>
          <w:szCs w:val="18"/>
        </w:rPr>
      </w:pPr>
      <w:r w:rsidRPr="00BE46EB">
        <w:rPr>
          <w:rFonts w:eastAsia="Calibri"/>
          <w:szCs w:val="18"/>
        </w:rPr>
        <w:t>The IB’s efficiency in processing transactions can be measured by the unit cost, defined as the average cost of producing one unit of output.</w:t>
      </w:r>
      <w:r w:rsidRPr="00D344CC">
        <w:rPr>
          <w:rFonts w:eastAsia="Calibri"/>
          <w:szCs w:val="18"/>
        </w:rPr>
        <w:t xml:space="preserve">  </w:t>
      </w:r>
    </w:p>
    <w:p w14:paraId="0BE93CB1" w14:textId="4BB1460F" w:rsidR="002363E7" w:rsidRPr="00BE46EB" w:rsidRDefault="002363E7" w:rsidP="002363E7">
      <w:pPr>
        <w:tabs>
          <w:tab w:val="num" w:pos="1134"/>
          <w:tab w:val="left" w:pos="8505"/>
        </w:tabs>
        <w:rPr>
          <w:rFonts w:eastAsia="Calibri"/>
          <w:szCs w:val="18"/>
        </w:rPr>
      </w:pPr>
      <w:r w:rsidRPr="00BE46EB">
        <w:rPr>
          <w:rFonts w:eastAsia="Calibri"/>
          <w:szCs w:val="18"/>
        </w:rPr>
        <w:t>As the IB registers new applications and maintains existing registrations, it is relevant to have a unit of output</w:t>
      </w:r>
      <w:r>
        <w:rPr>
          <w:rFonts w:eastAsia="Calibri"/>
          <w:szCs w:val="18"/>
        </w:rPr>
        <w:t>,</w:t>
      </w:r>
      <w:r w:rsidRPr="00BE46EB">
        <w:rPr>
          <w:rFonts w:eastAsia="Calibri"/>
          <w:szCs w:val="18"/>
        </w:rPr>
        <w:t xml:space="preserve"> which includes a set of transactions.  Two unit cost indicators are presented below </w:t>
      </w:r>
      <w:r>
        <w:rPr>
          <w:rFonts w:eastAsia="Calibri"/>
          <w:szCs w:val="18"/>
        </w:rPr>
        <w:t>for</w:t>
      </w:r>
      <w:r w:rsidRPr="00BE46EB">
        <w:rPr>
          <w:rFonts w:eastAsia="Calibri"/>
          <w:szCs w:val="18"/>
        </w:rPr>
        <w:t xml:space="preserve"> two different units of output</w:t>
      </w:r>
      <w:r>
        <w:rPr>
          <w:rFonts w:eastAsia="Calibri"/>
          <w:szCs w:val="18"/>
        </w:rPr>
        <w:t xml:space="preserve">, with a breakdown of direct and indirect cost. </w:t>
      </w:r>
    </w:p>
    <w:p w14:paraId="1BDEE2DD" w14:textId="38CA80E7" w:rsidR="002363E7" w:rsidRPr="00BE46EB" w:rsidDel="00D344CC" w:rsidRDefault="002363E7" w:rsidP="002363E7">
      <w:pPr>
        <w:tabs>
          <w:tab w:val="num" w:pos="1134"/>
          <w:tab w:val="left" w:pos="8505"/>
        </w:tabs>
        <w:rPr>
          <w:rFonts w:eastAsia="Calibri"/>
          <w:szCs w:val="18"/>
        </w:rPr>
      </w:pPr>
      <w:r w:rsidRPr="00BE46EB" w:rsidDel="00D344CC">
        <w:rPr>
          <w:rFonts w:eastAsia="Calibri"/>
          <w:szCs w:val="18"/>
        </w:rPr>
        <w:t xml:space="preserve">The methodology for calculating direct and indirect Madrid costs are aligned with the methodologies for calculating PCT and the Hague unit costs. </w:t>
      </w:r>
      <w:r>
        <w:rPr>
          <w:rFonts w:eastAsia="Calibri"/>
          <w:szCs w:val="18"/>
        </w:rPr>
        <w:t xml:space="preserve"> </w:t>
      </w:r>
      <w:r w:rsidRPr="00BE46EB" w:rsidDel="00D344CC">
        <w:rPr>
          <w:rFonts w:eastAsia="Calibri"/>
          <w:szCs w:val="18"/>
        </w:rPr>
        <w:t>The headcount calculation used to estimate the indirect costs include personnel working as fixed term staff, temporary staff, fellows and agency workers supporting operations.</w:t>
      </w:r>
    </w:p>
    <w:p w14:paraId="5463ACE0" w14:textId="47B00C07" w:rsidR="002363E7" w:rsidRPr="00BE46EB" w:rsidRDefault="002363E7" w:rsidP="002363E7">
      <w:pPr>
        <w:tabs>
          <w:tab w:val="num" w:pos="1134"/>
          <w:tab w:val="left" w:pos="8505"/>
        </w:tabs>
        <w:rPr>
          <w:rFonts w:eastAsia="Calibri"/>
          <w:szCs w:val="18"/>
        </w:rPr>
      </w:pPr>
      <w:r w:rsidRPr="00BE46EB">
        <w:rPr>
          <w:rFonts w:eastAsia="Calibri"/>
          <w:szCs w:val="18"/>
        </w:rPr>
        <w:t xml:space="preserve">The weighted system, described </w:t>
      </w:r>
      <w:r>
        <w:rPr>
          <w:rFonts w:eastAsia="Calibri"/>
          <w:szCs w:val="18"/>
        </w:rPr>
        <w:t>above under processed workload</w:t>
      </w:r>
      <w:r>
        <w:rPr>
          <w:rStyle w:val="FootnoteReference"/>
          <w:rFonts w:eastAsia="Calibri"/>
          <w:szCs w:val="18"/>
        </w:rPr>
        <w:footnoteReference w:id="20"/>
      </w:r>
      <w:r w:rsidRPr="00BE46EB">
        <w:rPr>
          <w:rFonts w:eastAsia="Calibri"/>
          <w:szCs w:val="18"/>
        </w:rPr>
        <w:t>, is used to better approximate the actual work required to process the six categories of documents, taking into account that some of these documents are mo</w:t>
      </w:r>
      <w:r w:rsidR="00127C1E">
        <w:rPr>
          <w:rFonts w:eastAsia="Calibri"/>
          <w:szCs w:val="18"/>
        </w:rPr>
        <w:t>re labor-intensive than others.</w:t>
      </w:r>
    </w:p>
    <w:p w14:paraId="0EEBDED3" w14:textId="77777777" w:rsidR="002363E7" w:rsidRPr="00BE46EB" w:rsidRDefault="002363E7" w:rsidP="002363E7">
      <w:pPr>
        <w:keepNext/>
        <w:spacing w:before="240" w:after="240"/>
        <w:rPr>
          <w:rFonts w:eastAsia="Arial"/>
          <w:color w:val="005172"/>
          <w:sz w:val="20"/>
          <w:u w:val="single"/>
        </w:rPr>
      </w:pPr>
      <w:r w:rsidRPr="00BE46EB">
        <w:rPr>
          <w:rFonts w:eastAsia="Arial"/>
          <w:color w:val="005172"/>
          <w:sz w:val="20"/>
          <w:u w:val="single"/>
        </w:rPr>
        <w:t>Unit Cost per New/Renewed International Registration</w:t>
      </w:r>
    </w:p>
    <w:p w14:paraId="09D00924" w14:textId="77777777" w:rsidR="002363E7" w:rsidRPr="002F00A8" w:rsidRDefault="002363E7" w:rsidP="002363E7">
      <w:pPr>
        <w:tabs>
          <w:tab w:val="num" w:pos="1134"/>
          <w:tab w:val="left" w:pos="8505"/>
        </w:tabs>
        <w:rPr>
          <w:rFonts w:eastAsia="Calibri"/>
          <w:szCs w:val="18"/>
        </w:rPr>
      </w:pPr>
      <w:r w:rsidRPr="00BE46EB">
        <w:rPr>
          <w:rFonts w:eastAsia="Calibri"/>
          <w:szCs w:val="18"/>
        </w:rPr>
        <w:t xml:space="preserve">New international registrations consist of applications that are registered within a given year, and renewed international registrations consist of existing registrations that are renewed within a given year.  Combined, these two types of </w:t>
      </w:r>
      <w:r w:rsidRPr="002F00A8">
        <w:rPr>
          <w:rFonts w:eastAsia="Calibri"/>
          <w:szCs w:val="18"/>
        </w:rPr>
        <w:t>transactions reflect the core business of the IB.</w:t>
      </w:r>
    </w:p>
    <w:p w14:paraId="0CFB5E4E" w14:textId="77777777" w:rsidR="002363E7" w:rsidRPr="002F00A8" w:rsidRDefault="002363E7" w:rsidP="00C85F36">
      <w:pPr>
        <w:keepNext/>
        <w:keepLines/>
        <w:spacing w:before="120" w:after="0" w:line="240" w:lineRule="auto"/>
        <w:ind w:left="562"/>
        <w:jc w:val="center"/>
        <w:rPr>
          <w:rFonts w:eastAsia="Arial"/>
          <w:b/>
          <w:color w:val="005172"/>
        </w:rPr>
      </w:pPr>
      <w:r w:rsidRPr="002F00A8">
        <w:rPr>
          <w:rFonts w:eastAsia="Arial"/>
          <w:b/>
          <w:color w:val="005172"/>
        </w:rPr>
        <w:t>Unit Cost per New/Renewed International Registration</w:t>
      </w:r>
    </w:p>
    <w:p w14:paraId="225DA0F7" w14:textId="77777777" w:rsidR="002363E7" w:rsidRPr="002F00A8" w:rsidRDefault="002363E7" w:rsidP="00127C1E">
      <w:pPr>
        <w:keepNext/>
        <w:keepLines/>
        <w:spacing w:after="0"/>
        <w:ind w:left="567"/>
        <w:jc w:val="center"/>
        <w:rPr>
          <w:rFonts w:eastAsia="Arial"/>
          <w:b/>
          <w:color w:val="005172"/>
        </w:rPr>
      </w:pPr>
      <w:r w:rsidRPr="002F00A8">
        <w:rPr>
          <w:rFonts w:eastAsia="SimHei"/>
          <w:i/>
          <w:sz w:val="16"/>
          <w:szCs w:val="16"/>
        </w:rPr>
        <w:t>(in Swiss francs)</w:t>
      </w:r>
    </w:p>
    <w:p w14:paraId="7CF4FA45" w14:textId="77777777" w:rsidR="002363E7" w:rsidRPr="002F00A8" w:rsidRDefault="002363E7" w:rsidP="002363E7">
      <w:pPr>
        <w:keepNext/>
        <w:keepLines/>
        <w:jc w:val="center"/>
        <w:rPr>
          <w:sz w:val="15"/>
          <w:szCs w:val="15"/>
        </w:rPr>
      </w:pPr>
      <w:r>
        <w:rPr>
          <w:noProof/>
          <w:lang w:val="en-US"/>
        </w:rPr>
        <w:drawing>
          <wp:inline distT="0" distB="0" distL="0" distR="0" wp14:anchorId="75C52C71" wp14:editId="578E05D3">
            <wp:extent cx="4937760" cy="261302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67383B77" w14:textId="764F7973" w:rsidR="002363E7" w:rsidRPr="00127C1E" w:rsidRDefault="002363E7" w:rsidP="00127C1E">
      <w:pPr>
        <w:keepNext/>
        <w:keepLines/>
        <w:spacing w:after="240"/>
        <w:ind w:left="1138"/>
        <w:rPr>
          <w:sz w:val="15"/>
          <w:szCs w:val="15"/>
        </w:rPr>
      </w:pPr>
      <w:r w:rsidRPr="002F00A8">
        <w:rPr>
          <w:sz w:val="15"/>
          <w:szCs w:val="15"/>
        </w:rPr>
        <w:t>Source:  Madrid Registry, ERP systems and WIPO IP S</w:t>
      </w:r>
      <w:r w:rsidR="00127C1E">
        <w:rPr>
          <w:sz w:val="15"/>
          <w:szCs w:val="15"/>
        </w:rPr>
        <w:t>tatistics Database, March 2023.</w:t>
      </w:r>
    </w:p>
    <w:p w14:paraId="734E3645" w14:textId="4CC7C582" w:rsidR="002363E7" w:rsidRPr="002F00A8" w:rsidRDefault="002363E7" w:rsidP="008407D7">
      <w:pPr>
        <w:numPr>
          <w:ilvl w:val="0"/>
          <w:numId w:val="34"/>
        </w:numPr>
        <w:tabs>
          <w:tab w:val="left" w:pos="8505"/>
        </w:tabs>
        <w:spacing w:after="200" w:line="276" w:lineRule="auto"/>
        <w:rPr>
          <w:rFonts w:eastAsia="Calibri"/>
          <w:szCs w:val="18"/>
        </w:rPr>
      </w:pPr>
      <w:r w:rsidRPr="002F00A8">
        <w:rPr>
          <w:rFonts w:eastAsia="Calibri"/>
          <w:szCs w:val="18"/>
        </w:rPr>
        <w:t>The average cost of processing a new/renewed international registratio</w:t>
      </w:r>
      <w:r w:rsidR="00040069">
        <w:rPr>
          <w:rFonts w:eastAsia="Calibri"/>
          <w:szCs w:val="18"/>
        </w:rPr>
        <w:t>n dropped by 5.9 per cent to 562</w:t>
      </w:r>
      <w:r w:rsidRPr="002F00A8">
        <w:rPr>
          <w:rFonts w:eastAsia="Calibri"/>
          <w:szCs w:val="18"/>
        </w:rPr>
        <w:t xml:space="preserve"> Swiss francs in 2022 as a result of an increase </w:t>
      </w:r>
      <w:r>
        <w:rPr>
          <w:rFonts w:eastAsia="Calibri"/>
          <w:szCs w:val="18"/>
        </w:rPr>
        <w:t>in</w:t>
      </w:r>
      <w:r w:rsidRPr="002F00A8">
        <w:rPr>
          <w:rFonts w:eastAsia="Calibri"/>
          <w:szCs w:val="18"/>
        </w:rPr>
        <w:t xml:space="preserve"> new and renewed registrations, </w:t>
      </w:r>
      <w:r w:rsidRPr="00E83D48">
        <w:rPr>
          <w:rFonts w:eastAsia="Calibri"/>
          <w:szCs w:val="18"/>
        </w:rPr>
        <w:t>combined with a decrease in the resources required to process them</w:t>
      </w:r>
      <w:r w:rsidRPr="002F00A8">
        <w:rPr>
          <w:rFonts w:eastAsia="Calibri"/>
          <w:szCs w:val="18"/>
        </w:rPr>
        <w:t xml:space="preserve">. </w:t>
      </w:r>
    </w:p>
    <w:p w14:paraId="1A84E071" w14:textId="77777777" w:rsidR="002363E7" w:rsidRPr="00B13A2B" w:rsidRDefault="002363E7" w:rsidP="002363E7">
      <w:pPr>
        <w:keepNext/>
        <w:spacing w:before="360" w:after="240"/>
        <w:rPr>
          <w:rFonts w:eastAsia="Arial"/>
          <w:color w:val="005172"/>
          <w:sz w:val="20"/>
          <w:u w:val="single"/>
        </w:rPr>
      </w:pPr>
      <w:r w:rsidRPr="00B13A2B">
        <w:rPr>
          <w:rFonts w:eastAsia="Arial"/>
          <w:color w:val="005172"/>
          <w:sz w:val="20"/>
          <w:u w:val="single"/>
        </w:rPr>
        <w:t>Unit Cost per Document Inscribed in the Register</w:t>
      </w:r>
    </w:p>
    <w:p w14:paraId="76A30DC3" w14:textId="77777777" w:rsidR="002363E7" w:rsidRPr="002F00A8" w:rsidRDefault="002363E7" w:rsidP="002363E7">
      <w:pPr>
        <w:tabs>
          <w:tab w:val="num" w:pos="1134"/>
          <w:tab w:val="left" w:pos="8505"/>
        </w:tabs>
        <w:spacing w:after="100" w:line="221" w:lineRule="auto"/>
        <w:rPr>
          <w:rFonts w:eastAsia="Calibri"/>
          <w:szCs w:val="18"/>
        </w:rPr>
      </w:pPr>
      <w:r w:rsidRPr="00BE46EB">
        <w:rPr>
          <w:rFonts w:eastAsia="Calibri"/>
          <w:szCs w:val="18"/>
        </w:rPr>
        <w:t xml:space="preserve">The documents inscribed in the register correspond to the total volume of </w:t>
      </w:r>
      <w:r>
        <w:rPr>
          <w:rFonts w:eastAsia="Calibri"/>
          <w:szCs w:val="18"/>
        </w:rPr>
        <w:t xml:space="preserve">processed </w:t>
      </w:r>
      <w:r w:rsidRPr="00BE46EB">
        <w:rPr>
          <w:rFonts w:eastAsia="Calibri"/>
          <w:szCs w:val="18"/>
        </w:rPr>
        <w:t xml:space="preserve">workload (see “Total </w:t>
      </w:r>
      <w:r>
        <w:rPr>
          <w:rFonts w:eastAsia="Calibri"/>
          <w:szCs w:val="18"/>
        </w:rPr>
        <w:t>Processed W</w:t>
      </w:r>
      <w:r w:rsidRPr="002F00A8">
        <w:rPr>
          <w:rFonts w:eastAsia="Calibri"/>
          <w:szCs w:val="18"/>
        </w:rPr>
        <w:t>orkload” above).</w:t>
      </w:r>
    </w:p>
    <w:p w14:paraId="6853F350" w14:textId="77777777" w:rsidR="002363E7" w:rsidRPr="002F00A8" w:rsidRDefault="002363E7" w:rsidP="00C85F36">
      <w:pPr>
        <w:keepNext/>
        <w:tabs>
          <w:tab w:val="left" w:pos="8505"/>
        </w:tabs>
        <w:spacing w:after="60" w:line="240" w:lineRule="auto"/>
        <w:ind w:left="562"/>
        <w:jc w:val="center"/>
        <w:rPr>
          <w:rFonts w:eastAsia="Arial"/>
          <w:b/>
          <w:color w:val="005172"/>
        </w:rPr>
      </w:pPr>
      <w:r w:rsidRPr="002F00A8">
        <w:rPr>
          <w:rFonts w:eastAsia="Arial"/>
          <w:b/>
          <w:color w:val="005172"/>
        </w:rPr>
        <w:t>Unit Cost per Document Inscribed in the Register</w:t>
      </w:r>
    </w:p>
    <w:p w14:paraId="77AA3F77" w14:textId="77777777" w:rsidR="002363E7" w:rsidRPr="002F00A8" w:rsidRDefault="002363E7" w:rsidP="00127C1E">
      <w:pPr>
        <w:keepNext/>
        <w:tabs>
          <w:tab w:val="left" w:pos="8505"/>
        </w:tabs>
        <w:spacing w:after="0" w:line="221" w:lineRule="auto"/>
        <w:ind w:left="567"/>
        <w:jc w:val="center"/>
        <w:rPr>
          <w:rFonts w:eastAsia="Arial"/>
          <w:b/>
          <w:color w:val="005172"/>
        </w:rPr>
      </w:pPr>
      <w:r w:rsidRPr="002F00A8">
        <w:rPr>
          <w:rFonts w:eastAsia="SimHei"/>
          <w:i/>
          <w:sz w:val="16"/>
          <w:szCs w:val="16"/>
        </w:rPr>
        <w:t>(in Swiss francs)</w:t>
      </w:r>
    </w:p>
    <w:p w14:paraId="5951BEA7" w14:textId="77777777" w:rsidR="002363E7" w:rsidRPr="002F00A8" w:rsidRDefault="002363E7" w:rsidP="002363E7">
      <w:pPr>
        <w:tabs>
          <w:tab w:val="left" w:pos="8505"/>
        </w:tabs>
        <w:spacing w:after="120" w:line="221" w:lineRule="auto"/>
        <w:ind w:left="567"/>
        <w:jc w:val="center"/>
        <w:rPr>
          <w:rFonts w:eastAsia="Arial"/>
        </w:rPr>
      </w:pPr>
      <w:r>
        <w:rPr>
          <w:noProof/>
          <w:lang w:val="en-US"/>
        </w:rPr>
        <w:drawing>
          <wp:inline distT="0" distB="0" distL="0" distR="0" wp14:anchorId="449384BC" wp14:editId="6A580573">
            <wp:extent cx="4937760" cy="256032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2D363B1" w14:textId="0FB07820" w:rsidR="002363E7" w:rsidRPr="00127C1E" w:rsidRDefault="002363E7" w:rsidP="00127C1E">
      <w:pPr>
        <w:keepNext/>
        <w:keepLines/>
        <w:spacing w:after="240"/>
        <w:ind w:left="1138"/>
        <w:jc w:val="both"/>
        <w:rPr>
          <w:sz w:val="15"/>
          <w:szCs w:val="15"/>
        </w:rPr>
      </w:pPr>
      <w:r w:rsidRPr="002F00A8">
        <w:rPr>
          <w:sz w:val="15"/>
          <w:szCs w:val="15"/>
        </w:rPr>
        <w:t>Source:  Madrid Registry, ERP systems and WIPO IP S</w:t>
      </w:r>
      <w:r w:rsidR="00127C1E">
        <w:rPr>
          <w:sz w:val="15"/>
          <w:szCs w:val="15"/>
        </w:rPr>
        <w:t>tatistics Database, March 2023.</w:t>
      </w:r>
    </w:p>
    <w:p w14:paraId="12A46262" w14:textId="77777777" w:rsidR="002363E7" w:rsidRPr="00B13A2B" w:rsidRDefault="002363E7" w:rsidP="008407D7">
      <w:pPr>
        <w:numPr>
          <w:ilvl w:val="0"/>
          <w:numId w:val="34"/>
        </w:numPr>
        <w:tabs>
          <w:tab w:val="left" w:pos="8505"/>
        </w:tabs>
        <w:spacing w:after="200" w:line="276" w:lineRule="auto"/>
        <w:rPr>
          <w:rFonts w:eastAsia="Calibri"/>
          <w:szCs w:val="18"/>
        </w:rPr>
      </w:pPr>
      <w:r w:rsidRPr="002F00A8">
        <w:rPr>
          <w:rFonts w:eastAsia="Calibri"/>
          <w:szCs w:val="18"/>
        </w:rPr>
        <w:t xml:space="preserve">The average cost of inscribing a document dropped by 8.2 per cent to 239 Swiss francs in 2022 as a result of an increase </w:t>
      </w:r>
      <w:r>
        <w:rPr>
          <w:rFonts w:eastAsia="Calibri"/>
          <w:szCs w:val="18"/>
        </w:rPr>
        <w:t>in</w:t>
      </w:r>
      <w:r w:rsidRPr="002F00A8">
        <w:rPr>
          <w:rFonts w:eastAsia="Calibri"/>
          <w:szCs w:val="18"/>
        </w:rPr>
        <w:t xml:space="preserve"> the number of documents inscribed in the registry, </w:t>
      </w:r>
      <w:r w:rsidRPr="00E83D48">
        <w:rPr>
          <w:rFonts w:eastAsia="Calibri"/>
          <w:szCs w:val="18"/>
        </w:rPr>
        <w:t>combined with a decrease in the resources required to process them</w:t>
      </w:r>
      <w:r w:rsidRPr="00B13A2B">
        <w:rPr>
          <w:rFonts w:eastAsia="Calibri"/>
          <w:szCs w:val="18"/>
        </w:rPr>
        <w:t xml:space="preserve">. </w:t>
      </w:r>
    </w:p>
    <w:p w14:paraId="475EFE5A" w14:textId="77777777" w:rsidR="002363E7" w:rsidRPr="00B13A2B" w:rsidRDefault="002363E7" w:rsidP="002363E7">
      <w:pPr>
        <w:tabs>
          <w:tab w:val="num" w:pos="1134"/>
          <w:tab w:val="left" w:pos="8505"/>
        </w:tabs>
        <w:spacing w:before="320" w:after="240"/>
        <w:rPr>
          <w:rFonts w:eastAsia="Arial"/>
          <w:b/>
          <w:color w:val="005172"/>
          <w:sz w:val="24"/>
        </w:rPr>
      </w:pPr>
      <w:r w:rsidRPr="00B13A2B">
        <w:rPr>
          <w:rFonts w:eastAsia="Arial"/>
          <w:b/>
          <w:color w:val="005172"/>
          <w:sz w:val="24"/>
        </w:rPr>
        <w:t>Productivity of Examination</w:t>
      </w:r>
    </w:p>
    <w:p w14:paraId="225097BE" w14:textId="77777777" w:rsidR="002363E7" w:rsidRPr="00BE46EB" w:rsidRDefault="002363E7" w:rsidP="002363E7">
      <w:pPr>
        <w:tabs>
          <w:tab w:val="num" w:pos="1134"/>
          <w:tab w:val="left" w:pos="8505"/>
        </w:tabs>
        <w:rPr>
          <w:rFonts w:eastAsia="Calibri"/>
          <w:szCs w:val="18"/>
        </w:rPr>
      </w:pPr>
      <w:r w:rsidRPr="00BE46EB">
        <w:rPr>
          <w:rFonts w:eastAsia="Calibri"/>
          <w:szCs w:val="18"/>
        </w:rPr>
        <w:t>The definition of examination productivity is the number of new/renewed international registrations processed by examiners, divided by the number of personnel involved in examination.  The number of personnel includes fixed term staff, temporary staff, fellows and agency workers supporting operations.</w:t>
      </w:r>
    </w:p>
    <w:p w14:paraId="08DA0DB9" w14:textId="77777777" w:rsidR="002363E7" w:rsidRPr="00BE46EB" w:rsidRDefault="002363E7" w:rsidP="002363E7">
      <w:pPr>
        <w:keepNext/>
        <w:tabs>
          <w:tab w:val="num" w:pos="1134"/>
          <w:tab w:val="left" w:pos="8505"/>
        </w:tabs>
        <w:spacing w:before="180" w:after="120" w:line="221" w:lineRule="auto"/>
        <w:ind w:left="907"/>
        <w:jc w:val="center"/>
        <w:rPr>
          <w:rFonts w:eastAsia="Calibri"/>
          <w:b/>
          <w:color w:val="005172"/>
          <w:szCs w:val="16"/>
        </w:rPr>
      </w:pPr>
      <w:r w:rsidRPr="00BE46EB">
        <w:rPr>
          <w:rFonts w:eastAsia="Calibri"/>
          <w:b/>
          <w:color w:val="005172"/>
          <w:szCs w:val="16"/>
        </w:rPr>
        <w:t>Productivity of Examination</w:t>
      </w:r>
    </w:p>
    <w:p w14:paraId="304D2070" w14:textId="77777777" w:rsidR="002363E7" w:rsidRPr="00BE46EB" w:rsidRDefault="002363E7" w:rsidP="002363E7">
      <w:pPr>
        <w:keepNext/>
        <w:tabs>
          <w:tab w:val="num" w:pos="1134"/>
          <w:tab w:val="left" w:pos="8505"/>
        </w:tabs>
        <w:spacing w:before="120" w:after="120" w:line="221" w:lineRule="auto"/>
        <w:jc w:val="center"/>
        <w:rPr>
          <w:rFonts w:eastAsia="Calibri"/>
          <w:b/>
          <w:color w:val="005172"/>
          <w:sz w:val="16"/>
          <w:szCs w:val="16"/>
        </w:rPr>
      </w:pPr>
      <w:r>
        <w:rPr>
          <w:noProof/>
          <w:lang w:val="en-US"/>
        </w:rPr>
        <w:drawing>
          <wp:inline distT="0" distB="0" distL="0" distR="0" wp14:anchorId="4DD5EEDC" wp14:editId="23393ED9">
            <wp:extent cx="5591177" cy="262890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9E2454D" w14:textId="77777777" w:rsidR="002363E7" w:rsidRPr="00BE46EB" w:rsidRDefault="002363E7" w:rsidP="00127C1E">
      <w:pPr>
        <w:keepNext/>
        <w:keepLines/>
        <w:spacing w:after="240"/>
        <w:ind w:left="1138"/>
        <w:rPr>
          <w:sz w:val="15"/>
          <w:szCs w:val="15"/>
        </w:rPr>
      </w:pPr>
      <w:r w:rsidRPr="00BE46EB">
        <w:rPr>
          <w:sz w:val="15"/>
          <w:szCs w:val="15"/>
        </w:rPr>
        <w:t>Source:  ERP systems and WIPO IP</w:t>
      </w:r>
      <w:r>
        <w:rPr>
          <w:sz w:val="15"/>
          <w:szCs w:val="15"/>
        </w:rPr>
        <w:t xml:space="preserve"> Statistics Database, March 2023</w:t>
      </w:r>
      <w:r w:rsidRPr="00BE46EB">
        <w:rPr>
          <w:sz w:val="15"/>
          <w:szCs w:val="15"/>
        </w:rPr>
        <w:t>.</w:t>
      </w:r>
    </w:p>
    <w:p w14:paraId="188961EF" w14:textId="77777777" w:rsidR="002363E7" w:rsidRPr="008457CD" w:rsidRDefault="002363E7" w:rsidP="008407D7">
      <w:pPr>
        <w:numPr>
          <w:ilvl w:val="0"/>
          <w:numId w:val="34"/>
        </w:numPr>
        <w:tabs>
          <w:tab w:val="num" w:pos="1134"/>
          <w:tab w:val="left" w:pos="8505"/>
        </w:tabs>
        <w:rPr>
          <w:rFonts w:eastAsia="Calibri"/>
          <w:szCs w:val="18"/>
        </w:rPr>
      </w:pPr>
      <w:r w:rsidRPr="008457CD">
        <w:rPr>
          <w:rFonts w:eastAsia="Calibri"/>
          <w:szCs w:val="18"/>
        </w:rPr>
        <w:t xml:space="preserve">In 2022, the productivity of examination </w:t>
      </w:r>
      <w:r>
        <w:rPr>
          <w:rFonts w:eastAsia="Calibri"/>
          <w:szCs w:val="18"/>
        </w:rPr>
        <w:t>remained relatively stable as</w:t>
      </w:r>
      <w:r w:rsidRPr="008457CD">
        <w:rPr>
          <w:rFonts w:eastAsia="Calibri"/>
          <w:szCs w:val="18"/>
        </w:rPr>
        <w:t xml:space="preserve"> compared to 2021.</w:t>
      </w:r>
    </w:p>
    <w:p w14:paraId="697EC1D2" w14:textId="77777777" w:rsidR="002363E7" w:rsidRPr="00BD0A43" w:rsidRDefault="002363E7" w:rsidP="002363E7">
      <w:pPr>
        <w:keepNext/>
        <w:spacing w:before="320" w:after="240"/>
        <w:rPr>
          <w:rFonts w:eastAsia="Arial"/>
          <w:b/>
          <w:color w:val="005172"/>
          <w:sz w:val="24"/>
        </w:rPr>
      </w:pPr>
      <w:r w:rsidRPr="00BD0A43">
        <w:rPr>
          <w:rFonts w:eastAsia="Arial"/>
          <w:b/>
          <w:color w:val="005172"/>
          <w:sz w:val="24"/>
        </w:rPr>
        <w:t>Pendency</w:t>
      </w:r>
    </w:p>
    <w:p w14:paraId="3EDE97BD" w14:textId="77777777" w:rsidR="002363E7" w:rsidRPr="00BD0A43" w:rsidRDefault="002363E7" w:rsidP="002363E7">
      <w:pPr>
        <w:tabs>
          <w:tab w:val="left" w:pos="426"/>
        </w:tabs>
        <w:rPr>
          <w:rFonts w:eastAsia="Arial"/>
        </w:rPr>
      </w:pPr>
      <w:r w:rsidRPr="00BD0A43">
        <w:rPr>
          <w:rFonts w:eastAsia="Arial"/>
        </w:rPr>
        <w:t>The average pendency for each of the six transactions performed by the IB is shown below.  The pendency is calculated from the date a document is received to the date it is inscribed.</w:t>
      </w:r>
    </w:p>
    <w:tbl>
      <w:tblPr>
        <w:tblStyle w:val="TableGrid8"/>
        <w:tblW w:w="96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0"/>
        <w:gridCol w:w="4418"/>
      </w:tblGrid>
      <w:tr w:rsidR="002363E7" w:rsidRPr="00BD0A43" w14:paraId="19802027" w14:textId="77777777" w:rsidTr="002363E7">
        <w:trPr>
          <w:trHeight w:val="3136"/>
          <w:jc w:val="center"/>
        </w:trPr>
        <w:tc>
          <w:tcPr>
            <w:tcW w:w="4866" w:type="dxa"/>
          </w:tcPr>
          <w:p w14:paraId="72385B85" w14:textId="77777777" w:rsidR="002363E7" w:rsidRPr="00BD0A43" w:rsidRDefault="002363E7" w:rsidP="002363E7">
            <w:pPr>
              <w:tabs>
                <w:tab w:val="left" w:pos="567"/>
              </w:tabs>
              <w:ind w:left="604" w:hanging="425"/>
              <w:jc w:val="center"/>
              <w:rPr>
                <w:rFonts w:eastAsia="Calibri"/>
                <w:color w:val="005172"/>
                <w:sz w:val="16"/>
                <w:szCs w:val="16"/>
              </w:rPr>
            </w:pPr>
            <w:r w:rsidRPr="00BD0A43">
              <w:rPr>
                <w:rFonts w:eastAsia="Calibri"/>
                <w:color w:val="005172"/>
                <w:sz w:val="16"/>
                <w:szCs w:val="16"/>
              </w:rPr>
              <w:t>Average Pendency of Applications</w:t>
            </w:r>
          </w:p>
          <w:p w14:paraId="771BFD37" w14:textId="77777777" w:rsidR="002363E7" w:rsidRPr="00BD0A43" w:rsidRDefault="002363E7" w:rsidP="002363E7">
            <w:pPr>
              <w:tabs>
                <w:tab w:val="left" w:pos="0"/>
              </w:tabs>
              <w:ind w:hanging="113"/>
              <w:jc w:val="center"/>
              <w:rPr>
                <w:rFonts w:ascii="Arial Narrow" w:hAnsi="Arial Narrow"/>
                <w:szCs w:val="18"/>
              </w:rPr>
            </w:pPr>
            <w:r>
              <w:rPr>
                <w:noProof/>
              </w:rPr>
              <w:drawing>
                <wp:inline distT="0" distB="0" distL="0" distR="0" wp14:anchorId="662CC4E6" wp14:editId="5E8AA2FD">
                  <wp:extent cx="2651760" cy="1920240"/>
                  <wp:effectExtent l="0" t="0" r="0" b="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c>
          <w:tcPr>
            <w:tcW w:w="4772" w:type="dxa"/>
          </w:tcPr>
          <w:p w14:paraId="07CE2996" w14:textId="77777777" w:rsidR="002363E7" w:rsidRDefault="002363E7" w:rsidP="002363E7">
            <w:pPr>
              <w:tabs>
                <w:tab w:val="left" w:pos="567"/>
              </w:tabs>
              <w:jc w:val="center"/>
              <w:rPr>
                <w:rFonts w:eastAsia="Calibri"/>
                <w:color w:val="005172"/>
                <w:sz w:val="16"/>
                <w:szCs w:val="16"/>
              </w:rPr>
            </w:pPr>
            <w:r w:rsidRPr="00BD0A43">
              <w:rPr>
                <w:rFonts w:eastAsia="Calibri"/>
                <w:color w:val="005172"/>
                <w:sz w:val="16"/>
                <w:szCs w:val="16"/>
              </w:rPr>
              <w:t>Average Pendency of Corrections</w:t>
            </w:r>
          </w:p>
          <w:p w14:paraId="0B1E03B0" w14:textId="77777777" w:rsidR="002363E7" w:rsidRPr="00BD0A43" w:rsidRDefault="002363E7" w:rsidP="002363E7">
            <w:pPr>
              <w:tabs>
                <w:tab w:val="left" w:pos="567"/>
              </w:tabs>
              <w:jc w:val="center"/>
              <w:rPr>
                <w:rFonts w:eastAsia="Calibri"/>
                <w:color w:val="005172"/>
                <w:sz w:val="16"/>
                <w:szCs w:val="16"/>
              </w:rPr>
            </w:pPr>
            <w:r>
              <w:rPr>
                <w:noProof/>
              </w:rPr>
              <w:drawing>
                <wp:inline distT="0" distB="0" distL="0" distR="0" wp14:anchorId="079BB249" wp14:editId="7B133CFC">
                  <wp:extent cx="2651760" cy="1920240"/>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2363E7" w:rsidRPr="00BD0A43" w14:paraId="177B42F5" w14:textId="77777777" w:rsidTr="002363E7">
        <w:trPr>
          <w:trHeight w:val="3136"/>
          <w:jc w:val="center"/>
        </w:trPr>
        <w:tc>
          <w:tcPr>
            <w:tcW w:w="4866" w:type="dxa"/>
          </w:tcPr>
          <w:p w14:paraId="635E27E5" w14:textId="77777777" w:rsidR="002363E7" w:rsidRDefault="002363E7" w:rsidP="002363E7">
            <w:pPr>
              <w:tabs>
                <w:tab w:val="left" w:pos="567"/>
              </w:tabs>
              <w:ind w:left="604" w:hanging="425"/>
              <w:jc w:val="center"/>
              <w:rPr>
                <w:rFonts w:eastAsia="Calibri"/>
                <w:color w:val="005172"/>
                <w:sz w:val="16"/>
                <w:szCs w:val="16"/>
              </w:rPr>
            </w:pPr>
            <w:r w:rsidRPr="00BD0A43">
              <w:rPr>
                <w:rFonts w:eastAsia="Calibri"/>
                <w:color w:val="005172"/>
                <w:sz w:val="16"/>
                <w:szCs w:val="16"/>
              </w:rPr>
              <w:t>Average Pendency of Decisions</w:t>
            </w:r>
          </w:p>
          <w:p w14:paraId="2E2D7115" w14:textId="77777777" w:rsidR="002363E7" w:rsidRPr="00BD0A43" w:rsidRDefault="002363E7" w:rsidP="002363E7">
            <w:pPr>
              <w:tabs>
                <w:tab w:val="left" w:pos="567"/>
              </w:tabs>
              <w:ind w:left="604" w:hanging="425"/>
              <w:jc w:val="center"/>
              <w:rPr>
                <w:rFonts w:eastAsia="Calibri"/>
                <w:color w:val="005172"/>
                <w:sz w:val="16"/>
                <w:szCs w:val="16"/>
              </w:rPr>
            </w:pPr>
            <w:r>
              <w:rPr>
                <w:noProof/>
              </w:rPr>
              <w:drawing>
                <wp:inline distT="0" distB="0" distL="0" distR="0" wp14:anchorId="2C177EAB" wp14:editId="5ED0DEA9">
                  <wp:extent cx="3064344" cy="1852295"/>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c>
          <w:tcPr>
            <w:tcW w:w="4772" w:type="dxa"/>
          </w:tcPr>
          <w:p w14:paraId="2057F3E5" w14:textId="77777777" w:rsidR="002363E7" w:rsidRDefault="002363E7" w:rsidP="002363E7">
            <w:pPr>
              <w:tabs>
                <w:tab w:val="left" w:pos="567"/>
              </w:tabs>
              <w:jc w:val="center"/>
              <w:rPr>
                <w:rFonts w:eastAsia="Calibri"/>
                <w:color w:val="005172"/>
                <w:sz w:val="16"/>
                <w:szCs w:val="16"/>
              </w:rPr>
            </w:pPr>
            <w:r w:rsidRPr="00BD0A43">
              <w:rPr>
                <w:rFonts w:eastAsia="Calibri"/>
                <w:color w:val="005172"/>
                <w:sz w:val="16"/>
                <w:szCs w:val="16"/>
              </w:rPr>
              <w:t>Average Pendency of Modifications</w:t>
            </w:r>
          </w:p>
          <w:p w14:paraId="693453AF" w14:textId="77777777" w:rsidR="002363E7" w:rsidRPr="00BD0A43" w:rsidRDefault="002363E7" w:rsidP="002363E7">
            <w:pPr>
              <w:tabs>
                <w:tab w:val="left" w:pos="567"/>
              </w:tabs>
              <w:jc w:val="center"/>
              <w:rPr>
                <w:rFonts w:eastAsia="Calibri"/>
                <w:color w:val="005172"/>
                <w:sz w:val="16"/>
                <w:szCs w:val="16"/>
              </w:rPr>
            </w:pPr>
            <w:r>
              <w:rPr>
                <w:noProof/>
              </w:rPr>
              <w:drawing>
                <wp:inline distT="0" distB="0" distL="0" distR="0" wp14:anchorId="2301BB6D" wp14:editId="14800603">
                  <wp:extent cx="2651760" cy="1920240"/>
                  <wp:effectExtent l="0" t="0" r="0" b="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2363E7" w:rsidRPr="00BD0A43" w14:paraId="63332D5D" w14:textId="77777777" w:rsidTr="002363E7">
        <w:trPr>
          <w:trHeight w:val="3136"/>
          <w:jc w:val="center"/>
        </w:trPr>
        <w:tc>
          <w:tcPr>
            <w:tcW w:w="4866" w:type="dxa"/>
          </w:tcPr>
          <w:p w14:paraId="6EC4776F" w14:textId="77777777" w:rsidR="002363E7" w:rsidRDefault="002363E7" w:rsidP="002363E7">
            <w:pPr>
              <w:tabs>
                <w:tab w:val="left" w:pos="567"/>
              </w:tabs>
              <w:ind w:left="604" w:hanging="425"/>
              <w:jc w:val="center"/>
              <w:rPr>
                <w:rFonts w:eastAsia="Calibri"/>
                <w:color w:val="005172"/>
                <w:sz w:val="16"/>
                <w:szCs w:val="16"/>
              </w:rPr>
            </w:pPr>
            <w:r w:rsidRPr="00BD0A43">
              <w:rPr>
                <w:rFonts w:eastAsia="Calibri"/>
                <w:color w:val="005172"/>
                <w:sz w:val="16"/>
                <w:szCs w:val="16"/>
              </w:rPr>
              <w:t>Average Pendency of Renewals</w:t>
            </w:r>
          </w:p>
          <w:p w14:paraId="0226D3A4" w14:textId="77777777" w:rsidR="002363E7" w:rsidRPr="00BD0A43" w:rsidRDefault="002363E7" w:rsidP="002363E7">
            <w:pPr>
              <w:tabs>
                <w:tab w:val="left" w:pos="567"/>
              </w:tabs>
              <w:ind w:left="604" w:hanging="425"/>
              <w:jc w:val="center"/>
              <w:rPr>
                <w:rFonts w:eastAsia="Calibri"/>
                <w:color w:val="005172"/>
                <w:sz w:val="16"/>
                <w:szCs w:val="16"/>
              </w:rPr>
            </w:pPr>
            <w:r>
              <w:rPr>
                <w:noProof/>
              </w:rPr>
              <w:drawing>
                <wp:inline distT="0" distB="0" distL="0" distR="0" wp14:anchorId="0E736A86" wp14:editId="52B680BB">
                  <wp:extent cx="2794883" cy="1920240"/>
                  <wp:effectExtent l="0" t="0" r="0"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c>
          <w:tcPr>
            <w:tcW w:w="4772" w:type="dxa"/>
          </w:tcPr>
          <w:p w14:paraId="2691E6DD" w14:textId="77777777" w:rsidR="002363E7" w:rsidRDefault="002363E7" w:rsidP="002363E7">
            <w:pPr>
              <w:tabs>
                <w:tab w:val="left" w:pos="567"/>
              </w:tabs>
              <w:jc w:val="center"/>
              <w:rPr>
                <w:rFonts w:eastAsia="Calibri"/>
                <w:color w:val="005172"/>
                <w:sz w:val="16"/>
                <w:szCs w:val="16"/>
              </w:rPr>
            </w:pPr>
            <w:r w:rsidRPr="00BD0A43">
              <w:rPr>
                <w:rFonts w:eastAsia="Calibri"/>
                <w:color w:val="005172"/>
                <w:sz w:val="16"/>
                <w:szCs w:val="16"/>
              </w:rPr>
              <w:t>Average Pendency of Subsequent Designations</w:t>
            </w:r>
          </w:p>
          <w:p w14:paraId="46526D2D" w14:textId="77777777" w:rsidR="002363E7" w:rsidRPr="00BD0A43" w:rsidRDefault="002363E7" w:rsidP="002363E7">
            <w:pPr>
              <w:tabs>
                <w:tab w:val="left" w:pos="567"/>
              </w:tabs>
              <w:jc w:val="center"/>
              <w:rPr>
                <w:rFonts w:eastAsia="Calibri"/>
                <w:color w:val="005172"/>
                <w:sz w:val="16"/>
                <w:szCs w:val="16"/>
              </w:rPr>
            </w:pPr>
            <w:r>
              <w:rPr>
                <w:noProof/>
              </w:rPr>
              <w:drawing>
                <wp:inline distT="0" distB="0" distL="0" distR="0" wp14:anchorId="779731AF" wp14:editId="7E59F5FD">
                  <wp:extent cx="2651760" cy="1920240"/>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bl>
    <w:p w14:paraId="2F1F8324" w14:textId="79101235" w:rsidR="002363E7" w:rsidRPr="00127C1E" w:rsidRDefault="002363E7" w:rsidP="00127C1E">
      <w:pPr>
        <w:keepNext/>
        <w:keepLines/>
        <w:spacing w:after="240"/>
        <w:ind w:left="1134"/>
        <w:rPr>
          <w:sz w:val="15"/>
          <w:szCs w:val="15"/>
        </w:rPr>
      </w:pPr>
      <w:r w:rsidRPr="00BD0A43">
        <w:rPr>
          <w:sz w:val="15"/>
          <w:szCs w:val="15"/>
        </w:rPr>
        <w:t xml:space="preserve">Source:  Madrid Registry, </w:t>
      </w:r>
      <w:r>
        <w:rPr>
          <w:sz w:val="15"/>
          <w:szCs w:val="15"/>
        </w:rPr>
        <w:t>March 2023</w:t>
      </w:r>
      <w:r w:rsidR="00127C1E">
        <w:rPr>
          <w:sz w:val="15"/>
          <w:szCs w:val="15"/>
        </w:rPr>
        <w:t>.</w:t>
      </w:r>
    </w:p>
    <w:p w14:paraId="66F6B732" w14:textId="77777777" w:rsidR="002363E7" w:rsidRPr="003A5C2F" w:rsidRDefault="002363E7" w:rsidP="008407D7">
      <w:pPr>
        <w:numPr>
          <w:ilvl w:val="0"/>
          <w:numId w:val="34"/>
        </w:numPr>
        <w:tabs>
          <w:tab w:val="num" w:pos="1134"/>
          <w:tab w:val="left" w:pos="8505"/>
        </w:tabs>
        <w:ind w:hanging="158"/>
        <w:rPr>
          <w:rFonts w:eastAsia="Calibri"/>
          <w:szCs w:val="18"/>
        </w:rPr>
      </w:pPr>
      <w:r w:rsidRPr="003A5C2F">
        <w:rPr>
          <w:rFonts w:eastAsia="Calibri"/>
          <w:szCs w:val="18"/>
        </w:rPr>
        <w:t xml:space="preserve">In 2022, the average pendency time improved for four of the six transactions, with those for modifications and registrations decreasing </w:t>
      </w:r>
      <w:r>
        <w:rPr>
          <w:rFonts w:eastAsia="Calibri"/>
          <w:szCs w:val="18"/>
        </w:rPr>
        <w:t>the most</w:t>
      </w:r>
      <w:r w:rsidRPr="003A5C2F">
        <w:rPr>
          <w:rFonts w:eastAsia="Calibri"/>
          <w:szCs w:val="18"/>
        </w:rPr>
        <w:t xml:space="preserve">. </w:t>
      </w:r>
      <w:r>
        <w:rPr>
          <w:rFonts w:eastAsia="Calibri"/>
          <w:szCs w:val="18"/>
        </w:rPr>
        <w:t xml:space="preserve"> </w:t>
      </w:r>
      <w:r w:rsidRPr="003A5C2F">
        <w:rPr>
          <w:rFonts w:eastAsia="Calibri"/>
          <w:szCs w:val="18"/>
        </w:rPr>
        <w:t>In contrast, the average pendency of processing correction</w:t>
      </w:r>
      <w:r>
        <w:rPr>
          <w:rFonts w:eastAsia="Calibri"/>
          <w:szCs w:val="18"/>
        </w:rPr>
        <w:t>s</w:t>
      </w:r>
      <w:r w:rsidRPr="003A5C2F">
        <w:rPr>
          <w:rFonts w:eastAsia="Calibri"/>
          <w:szCs w:val="18"/>
        </w:rPr>
        <w:t xml:space="preserve"> increased </w:t>
      </w:r>
      <w:r>
        <w:rPr>
          <w:rFonts w:eastAsia="Calibri"/>
          <w:szCs w:val="18"/>
        </w:rPr>
        <w:t>in 2022</w:t>
      </w:r>
      <w:r w:rsidRPr="003A5C2F">
        <w:rPr>
          <w:rFonts w:eastAsia="Calibri"/>
          <w:szCs w:val="18"/>
        </w:rPr>
        <w:t xml:space="preserve"> as compared to 2021</w:t>
      </w:r>
      <w:r>
        <w:rPr>
          <w:rFonts w:eastAsia="Calibri"/>
          <w:szCs w:val="18"/>
        </w:rPr>
        <w:t>.</w:t>
      </w:r>
    </w:p>
    <w:p w14:paraId="21DEDF12" w14:textId="77777777" w:rsidR="002363E7" w:rsidRPr="0099217B" w:rsidRDefault="002363E7" w:rsidP="002363E7">
      <w:pPr>
        <w:keepNext/>
        <w:spacing w:before="320" w:after="240"/>
        <w:rPr>
          <w:rFonts w:eastAsia="Arial"/>
          <w:b/>
          <w:color w:val="005172"/>
          <w:sz w:val="24"/>
        </w:rPr>
      </w:pPr>
      <w:r w:rsidRPr="0099217B">
        <w:rPr>
          <w:rFonts w:eastAsia="Arial"/>
          <w:b/>
          <w:color w:val="005172"/>
          <w:sz w:val="24"/>
        </w:rPr>
        <w:t>Quality of Examination</w:t>
      </w:r>
    </w:p>
    <w:p w14:paraId="3C978E0E" w14:textId="0D007818" w:rsidR="002363E7" w:rsidRPr="00127C1E" w:rsidRDefault="002363E7" w:rsidP="002363E7">
      <w:pPr>
        <w:tabs>
          <w:tab w:val="left" w:pos="567"/>
        </w:tabs>
        <w:rPr>
          <w:rFonts w:eastAsia="Arial"/>
          <w:sz w:val="20"/>
        </w:rPr>
      </w:pPr>
      <w:r w:rsidRPr="0099217B">
        <w:rPr>
          <w:rFonts w:eastAsia="Arial"/>
        </w:rPr>
        <w:t>The overall quality of trademark examination is monitored on a regular basis following the implementation of the Madrid Registry Quality Management Framework (QMF) in 2015, in compliance with ISO 9001:2015 and ISO 2859 guidance</w:t>
      </w:r>
      <w:r w:rsidRPr="0099217B">
        <w:rPr>
          <w:rFonts w:eastAsia="Arial"/>
          <w:vertAlign w:val="superscript"/>
        </w:rPr>
        <w:footnoteReference w:id="21"/>
      </w:r>
      <w:r w:rsidRPr="0099217B">
        <w:rPr>
          <w:rFonts w:eastAsia="Arial"/>
          <w:sz w:val="20"/>
        </w:rPr>
        <w:t>.</w:t>
      </w:r>
    </w:p>
    <w:p w14:paraId="11F12BAB" w14:textId="53874C9B" w:rsidR="002363E7" w:rsidRPr="0099217B" w:rsidRDefault="002363E7" w:rsidP="002363E7">
      <w:pPr>
        <w:tabs>
          <w:tab w:val="left" w:pos="567"/>
        </w:tabs>
        <w:rPr>
          <w:rFonts w:eastAsia="Arial"/>
        </w:rPr>
      </w:pPr>
      <w:r w:rsidRPr="0099217B">
        <w:rPr>
          <w:rFonts w:eastAsia="Arial"/>
        </w:rPr>
        <w:t>Two sources of information on the quality of the examination work pr</w:t>
      </w:r>
      <w:r w:rsidR="00127C1E">
        <w:rPr>
          <w:rFonts w:eastAsia="Arial"/>
        </w:rPr>
        <w:t>oduced by the IB are presented:</w:t>
      </w:r>
    </w:p>
    <w:p w14:paraId="6C24F0A5" w14:textId="77777777" w:rsidR="002363E7" w:rsidRPr="0099217B" w:rsidRDefault="002363E7" w:rsidP="008407D7">
      <w:pPr>
        <w:keepNext/>
        <w:keepLines/>
        <w:numPr>
          <w:ilvl w:val="1"/>
          <w:numId w:val="35"/>
        </w:numPr>
        <w:tabs>
          <w:tab w:val="left" w:pos="567"/>
          <w:tab w:val="left" w:pos="1134"/>
        </w:tabs>
        <w:ind w:left="567" w:firstLine="0"/>
        <w:rPr>
          <w:rFonts w:eastAsia="Arial"/>
        </w:rPr>
      </w:pPr>
      <w:r w:rsidRPr="0099217B">
        <w:rPr>
          <w:rFonts w:eastAsia="Arial"/>
        </w:rPr>
        <w:t>The results of the internal review of Nice classification work; and</w:t>
      </w:r>
    </w:p>
    <w:p w14:paraId="6030EC9D" w14:textId="77777777" w:rsidR="002363E7" w:rsidRPr="0099217B" w:rsidRDefault="002363E7" w:rsidP="008407D7">
      <w:pPr>
        <w:keepNext/>
        <w:keepLines/>
        <w:numPr>
          <w:ilvl w:val="1"/>
          <w:numId w:val="35"/>
        </w:numPr>
        <w:tabs>
          <w:tab w:val="left" w:pos="1134"/>
        </w:tabs>
        <w:ind w:left="1134" w:hanging="567"/>
        <w:rPr>
          <w:rFonts w:eastAsia="Arial"/>
        </w:rPr>
      </w:pPr>
      <w:r w:rsidRPr="0099217B">
        <w:rPr>
          <w:rFonts w:eastAsia="Arial"/>
        </w:rPr>
        <w:t>Classification errors made by the IB following the receipt of correction requests under Rule 28 of the Common Regulations.</w:t>
      </w:r>
    </w:p>
    <w:p w14:paraId="1AC85B52" w14:textId="585DDE28" w:rsidR="002363E7" w:rsidRPr="00127C1E" w:rsidRDefault="002363E7" w:rsidP="002363E7">
      <w:pPr>
        <w:tabs>
          <w:tab w:val="left" w:pos="8505"/>
        </w:tabs>
        <w:rPr>
          <w:rFonts w:eastAsia="Arial"/>
        </w:rPr>
      </w:pPr>
      <w:r w:rsidRPr="0099217B">
        <w:rPr>
          <w:rFonts w:eastAsia="Arial"/>
        </w:rPr>
        <w:t xml:space="preserve">Quality control of Nice classifications was carried out based on a sample of applications. </w:t>
      </w:r>
      <w:r>
        <w:rPr>
          <w:rFonts w:eastAsia="Arial"/>
        </w:rPr>
        <w:t xml:space="preserve"> </w:t>
      </w:r>
      <w:r w:rsidRPr="0099217B">
        <w:rPr>
          <w:rFonts w:eastAsia="Arial"/>
        </w:rPr>
        <w:t>The qualitative performance results, therefore, do not take into account potential quality issues in the automated processing of Nice classifications (pre-valida</w:t>
      </w:r>
      <w:r w:rsidR="00127C1E">
        <w:rPr>
          <w:rFonts w:eastAsia="Arial"/>
        </w:rPr>
        <w:t xml:space="preserve">ted terms). </w:t>
      </w:r>
    </w:p>
    <w:p w14:paraId="00541D16" w14:textId="6A3C424A" w:rsidR="002363E7" w:rsidRPr="00127C1E" w:rsidRDefault="002363E7" w:rsidP="00CC0822">
      <w:pPr>
        <w:tabs>
          <w:tab w:val="left" w:pos="567"/>
        </w:tabs>
        <w:spacing w:after="0"/>
        <w:rPr>
          <w:rFonts w:eastAsia="Arial"/>
        </w:rPr>
      </w:pPr>
      <w:r w:rsidRPr="0099217B">
        <w:rPr>
          <w:rFonts w:eastAsia="Arial"/>
        </w:rPr>
        <w:t>An Acceptable Quality Level (AQL) is set and is the criterion against which the quality of tra</w:t>
      </w:r>
      <w:r w:rsidR="00127C1E">
        <w:rPr>
          <w:rFonts w:eastAsia="Arial"/>
        </w:rPr>
        <w:t>demark examination is measured.</w:t>
      </w:r>
    </w:p>
    <w:p w14:paraId="35EC852C" w14:textId="77777777" w:rsidR="002363E7" w:rsidRPr="0099217B" w:rsidRDefault="002363E7" w:rsidP="002363E7">
      <w:pPr>
        <w:tabs>
          <w:tab w:val="left" w:pos="0"/>
          <w:tab w:val="left" w:pos="2835"/>
        </w:tabs>
        <w:ind w:firstLine="284"/>
        <w:jc w:val="center"/>
        <w:rPr>
          <w:rFonts w:eastAsia="Arial"/>
          <w:b/>
          <w:color w:val="005172"/>
          <w:sz w:val="16"/>
        </w:rPr>
      </w:pPr>
      <w:r w:rsidRPr="0099217B">
        <w:rPr>
          <w:rFonts w:eastAsia="Arial"/>
          <w:b/>
          <w:color w:val="005172"/>
          <w:sz w:val="16"/>
        </w:rPr>
        <w:t>Quality Performance:  Nice Classification</w:t>
      </w:r>
    </w:p>
    <w:p w14:paraId="4DBDBAF5" w14:textId="77777777" w:rsidR="002363E7" w:rsidRPr="0099217B" w:rsidRDefault="002363E7" w:rsidP="00127C1E">
      <w:pPr>
        <w:tabs>
          <w:tab w:val="left" w:pos="0"/>
          <w:tab w:val="left" w:pos="2835"/>
        </w:tabs>
        <w:spacing w:after="0"/>
        <w:jc w:val="center"/>
        <w:rPr>
          <w:rFonts w:eastAsia="Arial"/>
          <w:b/>
          <w:color w:val="005172"/>
          <w:sz w:val="16"/>
        </w:rPr>
      </w:pPr>
      <w:r>
        <w:rPr>
          <w:noProof/>
          <w:lang w:val="en-US"/>
        </w:rPr>
        <w:drawing>
          <wp:inline distT="0" distB="0" distL="0" distR="0" wp14:anchorId="5C3EEF02" wp14:editId="635E3649">
            <wp:extent cx="4572000" cy="2294627"/>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02BA264B" w14:textId="77777777" w:rsidR="002363E7" w:rsidRPr="0099217B" w:rsidRDefault="002363E7" w:rsidP="00127C1E">
      <w:pPr>
        <w:spacing w:after="240"/>
        <w:ind w:left="754" w:firstLine="686"/>
        <w:rPr>
          <w:sz w:val="15"/>
          <w:szCs w:val="15"/>
        </w:rPr>
      </w:pPr>
      <w:r w:rsidRPr="0099217B">
        <w:rPr>
          <w:sz w:val="15"/>
          <w:szCs w:val="15"/>
        </w:rPr>
        <w:t>Sour</w:t>
      </w:r>
      <w:r>
        <w:rPr>
          <w:sz w:val="15"/>
          <w:szCs w:val="15"/>
        </w:rPr>
        <w:t>ce:  Madrid Registry, March 2023</w:t>
      </w:r>
      <w:r w:rsidRPr="0099217B">
        <w:rPr>
          <w:sz w:val="15"/>
          <w:szCs w:val="15"/>
        </w:rPr>
        <w:t>.</w:t>
      </w:r>
    </w:p>
    <w:p w14:paraId="3A5BC431" w14:textId="77777777" w:rsidR="002363E7" w:rsidRPr="0099217B" w:rsidRDefault="002363E7" w:rsidP="008407D7">
      <w:pPr>
        <w:numPr>
          <w:ilvl w:val="0"/>
          <w:numId w:val="34"/>
        </w:numPr>
        <w:tabs>
          <w:tab w:val="left" w:pos="567"/>
          <w:tab w:val="num" w:pos="1134"/>
          <w:tab w:val="left" w:pos="1418"/>
          <w:tab w:val="left" w:pos="1560"/>
          <w:tab w:val="left" w:pos="3969"/>
          <w:tab w:val="left" w:pos="8505"/>
          <w:tab w:val="left" w:pos="8647"/>
          <w:tab w:val="left" w:pos="9072"/>
        </w:tabs>
        <w:spacing w:after="120" w:line="221" w:lineRule="auto"/>
        <w:ind w:left="907" w:hanging="340"/>
        <w:rPr>
          <w:rFonts w:eastAsia="Calibri"/>
          <w:szCs w:val="18"/>
        </w:rPr>
      </w:pPr>
      <w:r w:rsidRPr="0099217B">
        <w:rPr>
          <w:rFonts w:eastAsia="Calibri"/>
          <w:szCs w:val="18"/>
        </w:rPr>
        <w:t>The overall qualitative performance for Nice classification was at 91 per cent in 2022.</w:t>
      </w:r>
    </w:p>
    <w:p w14:paraId="6D826770" w14:textId="77777777" w:rsidR="002363E7" w:rsidRPr="0099217B" w:rsidRDefault="002363E7" w:rsidP="00CC0822">
      <w:pPr>
        <w:keepNext/>
        <w:spacing w:before="320" w:after="120"/>
        <w:rPr>
          <w:rFonts w:eastAsia="Arial"/>
          <w:b/>
          <w:color w:val="005172"/>
          <w:sz w:val="24"/>
        </w:rPr>
      </w:pPr>
      <w:r w:rsidRPr="0099217B">
        <w:rPr>
          <w:rFonts w:eastAsia="Arial"/>
          <w:b/>
          <w:color w:val="005172"/>
          <w:sz w:val="24"/>
        </w:rPr>
        <w:t>Errors Made by the IB</w:t>
      </w:r>
    </w:p>
    <w:p w14:paraId="3EC72A26" w14:textId="77777777" w:rsidR="002363E7" w:rsidRPr="0099217B" w:rsidRDefault="002363E7" w:rsidP="00CC0822">
      <w:pPr>
        <w:tabs>
          <w:tab w:val="left" w:pos="567"/>
        </w:tabs>
        <w:spacing w:after="0"/>
        <w:rPr>
          <w:rFonts w:eastAsia="Arial"/>
        </w:rPr>
      </w:pPr>
      <w:r w:rsidRPr="0099217B">
        <w:rPr>
          <w:rFonts w:eastAsia="Arial"/>
        </w:rPr>
        <w:t>The distribution of errors presented in the chart below is based on a sample of classifications</w:t>
      </w:r>
      <w:r w:rsidRPr="0099217B">
        <w:rPr>
          <w:rFonts w:eastAsia="Arial"/>
          <w:vertAlign w:val="superscript"/>
        </w:rPr>
        <w:footnoteReference w:id="22"/>
      </w:r>
      <w:r w:rsidRPr="0099217B">
        <w:rPr>
          <w:rFonts w:eastAsia="Arial"/>
        </w:rPr>
        <w:t>.</w:t>
      </w:r>
      <w:r w:rsidRPr="0099217B">
        <w:rPr>
          <w:rFonts w:eastAsia="Arial"/>
          <w:vertAlign w:val="superscript"/>
        </w:rPr>
        <w:t xml:space="preserve"> </w:t>
      </w:r>
      <w:r w:rsidRPr="0099217B">
        <w:rPr>
          <w:rFonts w:eastAsia="Arial"/>
        </w:rPr>
        <w:t xml:space="preserve">  The sample include</w:t>
      </w:r>
      <w:r>
        <w:rPr>
          <w:rFonts w:eastAsia="Arial"/>
        </w:rPr>
        <w:t>s</w:t>
      </w:r>
      <w:r w:rsidRPr="0099217B">
        <w:rPr>
          <w:rFonts w:eastAsia="Arial"/>
        </w:rPr>
        <w:t xml:space="preserve"> transactions that were processed both manually and in an automated way. </w:t>
      </w:r>
    </w:p>
    <w:p w14:paraId="79A8D462" w14:textId="77777777" w:rsidR="002363E7" w:rsidRPr="0099217B" w:rsidRDefault="002363E7" w:rsidP="002363E7">
      <w:pPr>
        <w:keepNext/>
        <w:jc w:val="center"/>
        <w:rPr>
          <w:rFonts w:eastAsia="Arial"/>
          <w:b/>
          <w:color w:val="005172"/>
          <w:sz w:val="16"/>
        </w:rPr>
      </w:pPr>
      <w:r w:rsidRPr="0099217B">
        <w:rPr>
          <w:rFonts w:eastAsia="Arial"/>
          <w:b/>
          <w:color w:val="005172"/>
          <w:sz w:val="16"/>
        </w:rPr>
        <w:t>Distribution by Type of Error in Classification</w:t>
      </w:r>
    </w:p>
    <w:p w14:paraId="5CE8B8F9" w14:textId="77777777" w:rsidR="002363E7" w:rsidRPr="0099217B" w:rsidRDefault="002363E7" w:rsidP="00127C1E">
      <w:pPr>
        <w:keepNext/>
        <w:spacing w:after="0"/>
        <w:jc w:val="center"/>
        <w:rPr>
          <w:rFonts w:eastAsia="Arial"/>
          <w:b/>
          <w:color w:val="005172"/>
          <w:sz w:val="16"/>
        </w:rPr>
      </w:pPr>
      <w:r>
        <w:rPr>
          <w:noProof/>
          <w:lang w:val="en-US"/>
        </w:rPr>
        <w:drawing>
          <wp:inline distT="0" distB="0" distL="0" distR="0" wp14:anchorId="18C2F1D5" wp14:editId="36E12D9B">
            <wp:extent cx="5495027" cy="2337758"/>
            <wp:effectExtent l="0" t="0" r="0" b="5715"/>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670D0E95" w14:textId="77777777" w:rsidR="002363E7" w:rsidRPr="0099217B" w:rsidRDefault="002363E7" w:rsidP="00127C1E">
      <w:pPr>
        <w:keepNext/>
        <w:keepLines/>
        <w:spacing w:before="120" w:after="240"/>
        <w:ind w:firstLine="720"/>
        <w:rPr>
          <w:sz w:val="15"/>
          <w:szCs w:val="15"/>
        </w:rPr>
      </w:pPr>
      <w:r w:rsidRPr="0099217B">
        <w:rPr>
          <w:sz w:val="15"/>
          <w:szCs w:val="15"/>
        </w:rPr>
        <w:t>Sour</w:t>
      </w:r>
      <w:r>
        <w:rPr>
          <w:sz w:val="15"/>
          <w:szCs w:val="15"/>
        </w:rPr>
        <w:t>ce:  Madrid Registry, March 2023</w:t>
      </w:r>
      <w:r w:rsidRPr="0099217B">
        <w:rPr>
          <w:sz w:val="15"/>
          <w:szCs w:val="15"/>
        </w:rPr>
        <w:t>.</w:t>
      </w:r>
    </w:p>
    <w:p w14:paraId="55E6D811" w14:textId="55353CF8" w:rsidR="00127C1E" w:rsidRPr="00CC0822" w:rsidRDefault="002363E7" w:rsidP="008407D7">
      <w:pPr>
        <w:numPr>
          <w:ilvl w:val="0"/>
          <w:numId w:val="34"/>
        </w:numPr>
        <w:tabs>
          <w:tab w:val="left" w:pos="8505"/>
        </w:tabs>
        <w:spacing w:after="200" w:line="276" w:lineRule="auto"/>
        <w:rPr>
          <w:b/>
          <w:color w:val="005172" w:themeColor="text2"/>
          <w:sz w:val="32"/>
          <w:szCs w:val="32"/>
          <w:lang w:val="en-US"/>
        </w:rPr>
      </w:pPr>
      <w:r w:rsidRPr="00CC0822">
        <w:rPr>
          <w:rFonts w:eastAsia="Calibri"/>
          <w:szCs w:val="18"/>
        </w:rPr>
        <w:t xml:space="preserve">Misclassification, typo/punctuation and </w:t>
      </w:r>
      <w:r w:rsidR="0026419C" w:rsidRPr="00CC0822">
        <w:rPr>
          <w:rFonts w:eastAsia="Calibri"/>
          <w:szCs w:val="18"/>
        </w:rPr>
        <w:t>re-examination</w:t>
      </w:r>
      <w:r w:rsidRPr="00CC0822">
        <w:rPr>
          <w:rFonts w:eastAsia="Calibri"/>
          <w:szCs w:val="18"/>
        </w:rPr>
        <w:t xml:space="preserve"> following irregularities accounted for 75 per cent of total errors in 2022.</w:t>
      </w:r>
      <w:bookmarkEnd w:id="42"/>
      <w:bookmarkEnd w:id="43"/>
      <w:bookmarkEnd w:id="44"/>
      <w:bookmarkEnd w:id="45"/>
      <w:bookmarkEnd w:id="46"/>
      <w:bookmarkEnd w:id="47"/>
      <w:bookmarkEnd w:id="48"/>
      <w:bookmarkEnd w:id="49"/>
      <w:bookmarkEnd w:id="50"/>
      <w:r w:rsidR="00CC0822" w:rsidRPr="00CC0822">
        <w:rPr>
          <w:rFonts w:eastAsia="Calibri"/>
          <w:szCs w:val="18"/>
        </w:rPr>
        <w:t xml:space="preserve"> </w:t>
      </w:r>
      <w:r w:rsidR="00127C1E" w:rsidRPr="00CC0822">
        <w:rPr>
          <w:b/>
          <w:color w:val="005172" w:themeColor="text2"/>
          <w:sz w:val="32"/>
          <w:szCs w:val="32"/>
          <w:lang w:val="en-US"/>
        </w:rPr>
        <w:br w:type="page"/>
      </w:r>
    </w:p>
    <w:p w14:paraId="436B990B" w14:textId="77777777" w:rsidR="001C4D24" w:rsidRPr="00192099" w:rsidRDefault="001C4D24" w:rsidP="001C4D24">
      <w:pPr>
        <w:keepNext/>
        <w:spacing w:before="320" w:after="240"/>
        <w:outlineLvl w:val="2"/>
        <w:rPr>
          <w:rFonts w:eastAsia="Arial"/>
          <w:b/>
          <w:color w:val="005172"/>
          <w:sz w:val="32"/>
        </w:rPr>
      </w:pPr>
      <w:r w:rsidRPr="00192099">
        <w:rPr>
          <w:rFonts w:eastAsia="Arial"/>
          <w:b/>
          <w:color w:val="005172"/>
          <w:sz w:val="32"/>
        </w:rPr>
        <w:t>Indicators of the Hague Operations</w:t>
      </w:r>
    </w:p>
    <w:p w14:paraId="11DB0E3F" w14:textId="77777777" w:rsidR="001C4D24" w:rsidRPr="00192099" w:rsidRDefault="001C4D24" w:rsidP="001C4D24">
      <w:pPr>
        <w:keepNext/>
        <w:spacing w:before="320" w:after="240"/>
        <w:rPr>
          <w:rFonts w:eastAsia="SimHei"/>
          <w:b/>
          <w:color w:val="005172"/>
          <w:sz w:val="28"/>
          <w:szCs w:val="28"/>
        </w:rPr>
      </w:pPr>
      <w:r w:rsidRPr="00192099">
        <w:rPr>
          <w:rFonts w:eastAsia="SimHei"/>
          <w:b/>
          <w:color w:val="005172"/>
          <w:sz w:val="28"/>
          <w:szCs w:val="28"/>
        </w:rPr>
        <w:t>General</w:t>
      </w:r>
    </w:p>
    <w:p w14:paraId="6AAF8084" w14:textId="7F299CBB" w:rsidR="001C4D24" w:rsidRPr="00192099" w:rsidRDefault="001C4D24" w:rsidP="001C4D24">
      <w:pPr>
        <w:ind w:left="340" w:hanging="340"/>
        <w:rPr>
          <w:rFonts w:eastAsia="Arial"/>
        </w:rPr>
      </w:pPr>
      <w:r w:rsidRPr="00192099">
        <w:rPr>
          <w:rFonts w:eastAsia="Arial"/>
        </w:rPr>
        <w:t>This annex provides an overview of the following indicators for Hague Operations:</w:t>
      </w:r>
    </w:p>
    <w:p w14:paraId="69E241EF" w14:textId="77777777" w:rsidR="001C4D24" w:rsidRPr="001C4D24" w:rsidRDefault="001C4D24" w:rsidP="008407D7">
      <w:pPr>
        <w:pStyle w:val="ListParagraph"/>
        <w:numPr>
          <w:ilvl w:val="0"/>
          <w:numId w:val="36"/>
        </w:numPr>
        <w:tabs>
          <w:tab w:val="num" w:pos="680"/>
        </w:tabs>
        <w:spacing w:after="60"/>
        <w:contextualSpacing w:val="0"/>
        <w:rPr>
          <w:rFonts w:asciiTheme="majorHAnsi" w:eastAsia="Arial" w:hAnsiTheme="majorHAnsi" w:cstheme="majorHAnsi"/>
          <w:sz w:val="18"/>
          <w:lang w:val="en-GB"/>
        </w:rPr>
      </w:pPr>
      <w:r w:rsidRPr="001C4D24">
        <w:rPr>
          <w:rFonts w:asciiTheme="majorHAnsi" w:eastAsia="Arial" w:hAnsiTheme="majorHAnsi" w:cstheme="majorHAnsi"/>
          <w:sz w:val="18"/>
          <w:lang w:val="en-GB"/>
        </w:rPr>
        <w:t>The Hague System workloads;</w:t>
      </w:r>
    </w:p>
    <w:p w14:paraId="280862F0" w14:textId="77777777" w:rsidR="001C4D24" w:rsidRPr="001C4D24" w:rsidRDefault="001C4D24" w:rsidP="008407D7">
      <w:pPr>
        <w:pStyle w:val="ListParagraph"/>
        <w:numPr>
          <w:ilvl w:val="0"/>
          <w:numId w:val="36"/>
        </w:numPr>
        <w:tabs>
          <w:tab w:val="num" w:pos="680"/>
        </w:tabs>
        <w:spacing w:after="60"/>
        <w:contextualSpacing w:val="0"/>
        <w:rPr>
          <w:rFonts w:asciiTheme="majorHAnsi" w:eastAsia="Arial" w:hAnsiTheme="majorHAnsi" w:cstheme="majorHAnsi"/>
          <w:sz w:val="18"/>
          <w:lang w:val="en-GB"/>
        </w:rPr>
      </w:pPr>
      <w:r w:rsidRPr="001C4D24">
        <w:rPr>
          <w:rFonts w:asciiTheme="majorHAnsi" w:eastAsia="Arial" w:hAnsiTheme="majorHAnsi" w:cstheme="majorHAnsi"/>
          <w:sz w:val="18"/>
          <w:lang w:val="en-GB"/>
        </w:rPr>
        <w:t>Total processed workload;</w:t>
      </w:r>
    </w:p>
    <w:p w14:paraId="64C8675A" w14:textId="77777777" w:rsidR="001C4D24" w:rsidRPr="001C4D24" w:rsidRDefault="001C4D24" w:rsidP="008407D7">
      <w:pPr>
        <w:pStyle w:val="ListParagraph"/>
        <w:numPr>
          <w:ilvl w:val="0"/>
          <w:numId w:val="36"/>
        </w:numPr>
        <w:tabs>
          <w:tab w:val="num" w:pos="680"/>
        </w:tabs>
        <w:spacing w:after="60"/>
        <w:contextualSpacing w:val="0"/>
        <w:rPr>
          <w:rFonts w:asciiTheme="majorHAnsi" w:eastAsia="Arial" w:hAnsiTheme="majorHAnsi" w:cstheme="majorHAnsi"/>
          <w:sz w:val="18"/>
          <w:lang w:val="en-GB"/>
        </w:rPr>
      </w:pPr>
      <w:r w:rsidRPr="001C4D24">
        <w:rPr>
          <w:rFonts w:asciiTheme="majorHAnsi" w:eastAsia="Arial" w:hAnsiTheme="majorHAnsi" w:cstheme="majorHAnsi"/>
          <w:sz w:val="18"/>
          <w:lang w:val="en-GB"/>
        </w:rPr>
        <w:t xml:space="preserve">Unit cost; and </w:t>
      </w:r>
    </w:p>
    <w:p w14:paraId="7731E38C" w14:textId="77777777" w:rsidR="001C4D24" w:rsidRPr="001C4D24" w:rsidRDefault="001C4D24" w:rsidP="008407D7">
      <w:pPr>
        <w:pStyle w:val="ListParagraph"/>
        <w:numPr>
          <w:ilvl w:val="0"/>
          <w:numId w:val="36"/>
        </w:numPr>
        <w:tabs>
          <w:tab w:val="num" w:pos="680"/>
        </w:tabs>
        <w:spacing w:after="60"/>
        <w:contextualSpacing w:val="0"/>
        <w:rPr>
          <w:rFonts w:asciiTheme="majorHAnsi" w:eastAsia="Arial" w:hAnsiTheme="majorHAnsi" w:cstheme="majorHAnsi"/>
          <w:sz w:val="18"/>
          <w:lang w:val="en-GB"/>
        </w:rPr>
      </w:pPr>
      <w:r w:rsidRPr="001C4D24">
        <w:rPr>
          <w:rFonts w:asciiTheme="majorHAnsi" w:eastAsia="Arial" w:hAnsiTheme="majorHAnsi" w:cstheme="majorHAnsi"/>
          <w:sz w:val="18"/>
          <w:lang w:val="en-GB"/>
        </w:rPr>
        <w:t xml:space="preserve">Pendency. </w:t>
      </w:r>
    </w:p>
    <w:p w14:paraId="4FF37BBA" w14:textId="77777777" w:rsidR="001C4D24" w:rsidRPr="00192099" w:rsidRDefault="001C4D24" w:rsidP="001C4D24">
      <w:pPr>
        <w:keepNext/>
        <w:spacing w:before="320" w:after="240"/>
        <w:rPr>
          <w:rFonts w:eastAsia="SimHei"/>
          <w:b/>
          <w:color w:val="005172"/>
          <w:sz w:val="28"/>
          <w:szCs w:val="28"/>
        </w:rPr>
      </w:pPr>
      <w:r w:rsidRPr="00192099">
        <w:rPr>
          <w:rFonts w:eastAsia="SimHei"/>
          <w:b/>
          <w:color w:val="005172"/>
          <w:sz w:val="28"/>
          <w:szCs w:val="28"/>
        </w:rPr>
        <w:t>Incoming Documents</w:t>
      </w:r>
    </w:p>
    <w:p w14:paraId="529A4755" w14:textId="38EF9DF0" w:rsidR="001C4D24" w:rsidRPr="00192099" w:rsidRDefault="001C4D24" w:rsidP="001C4D24">
      <w:pPr>
        <w:rPr>
          <w:rFonts w:eastAsia="Arial"/>
        </w:rPr>
      </w:pPr>
      <w:r w:rsidRPr="00192099">
        <w:rPr>
          <w:rFonts w:eastAsia="Arial"/>
        </w:rPr>
        <w:t xml:space="preserve">The International Bureau (IB) receives four main types of documents, namely international applications, renewals, changes and decisions.  The trend </w:t>
      </w:r>
      <w:r>
        <w:rPr>
          <w:rFonts w:eastAsia="Arial"/>
        </w:rPr>
        <w:t xml:space="preserve">of the past ten years </w:t>
      </w:r>
      <w:r w:rsidRPr="00192099">
        <w:rPr>
          <w:rFonts w:eastAsia="Arial"/>
        </w:rPr>
        <w:t>for international applications and renewals received by the IB is presented below.  Information on other types of documents can be found in the Hague Yearly Review.</w:t>
      </w:r>
    </w:p>
    <w:p w14:paraId="03AF6013" w14:textId="77777777" w:rsidR="001C4D24" w:rsidRPr="00192099" w:rsidRDefault="001C4D24" w:rsidP="001C4D24">
      <w:pPr>
        <w:keepNext/>
        <w:spacing w:after="0"/>
        <w:jc w:val="center"/>
        <w:rPr>
          <w:b/>
          <w:bCs/>
          <w:color w:val="005172"/>
          <w:szCs w:val="16"/>
        </w:rPr>
      </w:pPr>
      <w:r w:rsidRPr="00192099">
        <w:rPr>
          <w:b/>
          <w:bCs/>
          <w:color w:val="005172"/>
          <w:szCs w:val="16"/>
        </w:rPr>
        <w:t>International Applications Filed</w:t>
      </w:r>
    </w:p>
    <w:p w14:paraId="7A05645C" w14:textId="77777777" w:rsidR="001C4D24" w:rsidRPr="00326F30" w:rsidRDefault="001C4D24" w:rsidP="001C4D24">
      <w:pPr>
        <w:keepNext/>
        <w:spacing w:after="0"/>
        <w:jc w:val="center"/>
        <w:rPr>
          <w:rFonts w:eastAsia="Calibri"/>
        </w:rPr>
      </w:pPr>
      <w:r>
        <w:rPr>
          <w:noProof/>
          <w:lang w:val="en-US"/>
        </w:rPr>
        <w:drawing>
          <wp:inline distT="0" distB="0" distL="0" distR="0" wp14:anchorId="3E35664A" wp14:editId="21A1EEC4">
            <wp:extent cx="5394960" cy="2743200"/>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3BE804C0" w14:textId="088E1714" w:rsidR="001C4D24" w:rsidRPr="0018218C" w:rsidRDefault="001C4D24" w:rsidP="001C4D24">
      <w:pPr>
        <w:spacing w:after="240"/>
        <w:ind w:left="1134"/>
        <w:rPr>
          <w:sz w:val="15"/>
          <w:szCs w:val="15"/>
        </w:rPr>
      </w:pPr>
      <w:r w:rsidRPr="0018218C">
        <w:rPr>
          <w:sz w:val="15"/>
          <w:szCs w:val="15"/>
        </w:rPr>
        <w:t xml:space="preserve">Source:  WIPO IP Statistics Database, </w:t>
      </w:r>
      <w:r w:rsidR="00EC0EE5">
        <w:rPr>
          <w:sz w:val="15"/>
          <w:szCs w:val="15"/>
        </w:rPr>
        <w:t>April</w:t>
      </w:r>
      <w:r>
        <w:rPr>
          <w:sz w:val="15"/>
          <w:szCs w:val="15"/>
        </w:rPr>
        <w:t xml:space="preserve"> 2023</w:t>
      </w:r>
      <w:r w:rsidRPr="0018218C">
        <w:rPr>
          <w:sz w:val="15"/>
          <w:szCs w:val="15"/>
        </w:rPr>
        <w:t>.</w:t>
      </w:r>
    </w:p>
    <w:p w14:paraId="4F0AFFCF" w14:textId="4E17FDEE" w:rsidR="001C4D24" w:rsidRPr="0018218C" w:rsidRDefault="001C4D24" w:rsidP="008407D7">
      <w:pPr>
        <w:numPr>
          <w:ilvl w:val="0"/>
          <w:numId w:val="34"/>
        </w:numPr>
        <w:tabs>
          <w:tab w:val="left" w:pos="8505"/>
        </w:tabs>
        <w:spacing w:after="200" w:line="276" w:lineRule="auto"/>
        <w:rPr>
          <w:rFonts w:eastAsia="Calibri"/>
          <w:szCs w:val="18"/>
        </w:rPr>
      </w:pPr>
      <w:r>
        <w:rPr>
          <w:rFonts w:eastAsia="Calibri"/>
          <w:szCs w:val="18"/>
        </w:rPr>
        <w:t>In 2022, applicants filed 7,97</w:t>
      </w:r>
      <w:r w:rsidR="00511ECB">
        <w:rPr>
          <w:rFonts w:eastAsia="Calibri"/>
          <w:szCs w:val="18"/>
        </w:rPr>
        <w:t>7</w:t>
      </w:r>
      <w:r w:rsidRPr="0018218C">
        <w:rPr>
          <w:rFonts w:eastAsia="Calibri"/>
          <w:szCs w:val="18"/>
        </w:rPr>
        <w:t xml:space="preserve"> int</w:t>
      </w:r>
      <w:r>
        <w:rPr>
          <w:rFonts w:eastAsia="Calibri"/>
          <w:szCs w:val="18"/>
        </w:rPr>
        <w:t>ernational applications, up 18.8% from 2021</w:t>
      </w:r>
      <w:r w:rsidRPr="0018218C">
        <w:rPr>
          <w:rFonts w:eastAsia="Calibri"/>
          <w:szCs w:val="18"/>
        </w:rPr>
        <w:t xml:space="preserve">.  </w:t>
      </w:r>
    </w:p>
    <w:p w14:paraId="74047BAB" w14:textId="5498E47C" w:rsidR="001C4D24" w:rsidRPr="007037C8" w:rsidRDefault="001C4D24" w:rsidP="008407D7">
      <w:pPr>
        <w:numPr>
          <w:ilvl w:val="0"/>
          <w:numId w:val="34"/>
        </w:numPr>
        <w:tabs>
          <w:tab w:val="left" w:pos="8505"/>
        </w:tabs>
        <w:spacing w:after="200" w:line="276" w:lineRule="auto"/>
        <w:rPr>
          <w:rFonts w:eastAsia="Calibri"/>
          <w:szCs w:val="18"/>
        </w:rPr>
      </w:pPr>
      <w:r>
        <w:rPr>
          <w:rFonts w:eastAsia="Calibri"/>
          <w:szCs w:val="18"/>
        </w:rPr>
        <w:t>In 2022, 99.9</w:t>
      </w:r>
      <w:r w:rsidR="00C85F36" w:rsidRPr="00E83D48">
        <w:rPr>
          <w:rFonts w:eastAsia="Calibri"/>
          <w:szCs w:val="18"/>
        </w:rPr>
        <w:t xml:space="preserve"> per cent</w:t>
      </w:r>
      <w:r w:rsidRPr="0018218C">
        <w:rPr>
          <w:rFonts w:eastAsia="Calibri"/>
          <w:szCs w:val="18"/>
        </w:rPr>
        <w:t xml:space="preserve"> of applications were filed ele</w:t>
      </w:r>
      <w:r>
        <w:rPr>
          <w:rFonts w:eastAsia="Calibri"/>
          <w:szCs w:val="18"/>
        </w:rPr>
        <w:t>ctronically, representing an 11.1</w:t>
      </w:r>
      <w:r w:rsidRPr="007037C8">
        <w:rPr>
          <w:rFonts w:eastAsia="Calibri"/>
          <w:szCs w:val="18"/>
        </w:rPr>
        <w:t xml:space="preserve"> percentage point</w:t>
      </w:r>
      <w:r>
        <w:rPr>
          <w:rFonts w:eastAsia="Calibri"/>
          <w:szCs w:val="18"/>
        </w:rPr>
        <w:t xml:space="preserve"> increase over 2013</w:t>
      </w:r>
      <w:r w:rsidRPr="007037C8">
        <w:rPr>
          <w:rFonts w:eastAsia="Calibri"/>
          <w:szCs w:val="18"/>
        </w:rPr>
        <w:t xml:space="preserve">.  </w:t>
      </w:r>
    </w:p>
    <w:p w14:paraId="6B09364C" w14:textId="5BA80F3F" w:rsidR="001C4D24" w:rsidRPr="006B598F" w:rsidRDefault="001C4D24" w:rsidP="008407D7">
      <w:pPr>
        <w:numPr>
          <w:ilvl w:val="0"/>
          <w:numId w:val="34"/>
        </w:numPr>
        <w:tabs>
          <w:tab w:val="left" w:pos="8505"/>
        </w:tabs>
        <w:spacing w:after="200" w:line="276" w:lineRule="auto"/>
        <w:rPr>
          <w:rFonts w:eastAsia="Calibri"/>
          <w:szCs w:val="18"/>
        </w:rPr>
      </w:pPr>
      <w:r w:rsidRPr="00E83D48">
        <w:rPr>
          <w:rFonts w:eastAsia="Calibri"/>
          <w:szCs w:val="18"/>
        </w:rPr>
        <w:t xml:space="preserve">In </w:t>
      </w:r>
      <w:r w:rsidRPr="006B598F">
        <w:rPr>
          <w:rFonts w:eastAsia="Calibri"/>
          <w:szCs w:val="18"/>
        </w:rPr>
        <w:t>2022</w:t>
      </w:r>
      <w:r w:rsidRPr="00E83D48">
        <w:rPr>
          <w:rFonts w:eastAsia="Calibri"/>
          <w:szCs w:val="18"/>
        </w:rPr>
        <w:t>, 94.2</w:t>
      </w:r>
      <w:r w:rsidR="00C85F36" w:rsidRPr="00E83D48">
        <w:rPr>
          <w:rFonts w:eastAsia="Calibri"/>
          <w:szCs w:val="18"/>
        </w:rPr>
        <w:t xml:space="preserve"> per cent</w:t>
      </w:r>
      <w:r w:rsidRPr="00E83D48">
        <w:rPr>
          <w:rFonts w:eastAsia="Calibri"/>
          <w:szCs w:val="18"/>
        </w:rPr>
        <w:t xml:space="preserve"> of applications were filed directly with the IB and the remaining 5.8</w:t>
      </w:r>
      <w:r w:rsidR="00C85F36" w:rsidRPr="00E83D48">
        <w:rPr>
          <w:rFonts w:eastAsia="Calibri"/>
          <w:szCs w:val="18"/>
        </w:rPr>
        <w:t xml:space="preserve"> per cent</w:t>
      </w:r>
      <w:r w:rsidRPr="00E83D48">
        <w:rPr>
          <w:rFonts w:eastAsia="Calibri"/>
          <w:szCs w:val="18"/>
        </w:rPr>
        <w:t xml:space="preserve"> indirectly with Offices.</w:t>
      </w:r>
    </w:p>
    <w:p w14:paraId="19764643" w14:textId="2AACB0E0" w:rsidR="001C4D24" w:rsidRDefault="001C4D24" w:rsidP="001C4D24">
      <w:pPr>
        <w:rPr>
          <w:b/>
          <w:bCs/>
          <w:color w:val="005172"/>
          <w:szCs w:val="16"/>
        </w:rPr>
      </w:pPr>
      <w:r>
        <w:rPr>
          <w:b/>
          <w:bCs/>
          <w:color w:val="005172"/>
          <w:szCs w:val="16"/>
        </w:rPr>
        <w:br w:type="page"/>
      </w:r>
    </w:p>
    <w:p w14:paraId="6972334E" w14:textId="77777777" w:rsidR="001C4D24" w:rsidRPr="0018218C" w:rsidRDefault="001C4D24" w:rsidP="001C4D24">
      <w:pPr>
        <w:spacing w:after="0"/>
        <w:jc w:val="center"/>
        <w:rPr>
          <w:b/>
          <w:bCs/>
          <w:color w:val="005172"/>
          <w:szCs w:val="16"/>
        </w:rPr>
      </w:pPr>
      <w:r w:rsidRPr="0018218C">
        <w:rPr>
          <w:b/>
          <w:bCs/>
          <w:color w:val="005172"/>
          <w:szCs w:val="16"/>
        </w:rPr>
        <w:t>Average Number of Designs per Application</w:t>
      </w:r>
    </w:p>
    <w:p w14:paraId="5D2735AA" w14:textId="77777777" w:rsidR="001C4D24" w:rsidRPr="006763DD" w:rsidRDefault="001C4D24" w:rsidP="001C4D24">
      <w:pPr>
        <w:jc w:val="center"/>
        <w:rPr>
          <w:b/>
          <w:bCs/>
          <w:color w:val="005172"/>
          <w:sz w:val="16"/>
          <w:szCs w:val="16"/>
        </w:rPr>
      </w:pPr>
      <w:r>
        <w:rPr>
          <w:noProof/>
          <w:lang w:val="en-US"/>
        </w:rPr>
        <w:drawing>
          <wp:inline distT="0" distB="0" distL="0" distR="0" wp14:anchorId="5C518C6D" wp14:editId="3F85066B">
            <wp:extent cx="5394960" cy="2743200"/>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44429E0A" w14:textId="77777777" w:rsidR="001C4D24" w:rsidRPr="00C06BC5" w:rsidRDefault="001C4D24" w:rsidP="001C4D24">
      <w:pPr>
        <w:spacing w:after="240"/>
        <w:ind w:left="1134"/>
      </w:pPr>
      <w:r w:rsidRPr="00C06BC5">
        <w:rPr>
          <w:sz w:val="15"/>
          <w:szCs w:val="15"/>
        </w:rPr>
        <w:t xml:space="preserve">Source:  WIPO IP Statistics Database, </w:t>
      </w:r>
      <w:r>
        <w:rPr>
          <w:sz w:val="15"/>
          <w:szCs w:val="15"/>
        </w:rPr>
        <w:t>March 2023</w:t>
      </w:r>
      <w:r w:rsidRPr="00C06BC5">
        <w:rPr>
          <w:sz w:val="15"/>
          <w:szCs w:val="15"/>
        </w:rPr>
        <w:t>.</w:t>
      </w:r>
      <w:r w:rsidRPr="00C06BC5">
        <w:rPr>
          <w:noProof/>
        </w:rPr>
        <w:t xml:space="preserve"> </w:t>
      </w:r>
    </w:p>
    <w:p w14:paraId="4AB5B2F5" w14:textId="77777777" w:rsidR="001C4D24" w:rsidRPr="00C06BC5" w:rsidRDefault="001C4D24" w:rsidP="008407D7">
      <w:pPr>
        <w:numPr>
          <w:ilvl w:val="0"/>
          <w:numId w:val="34"/>
        </w:numPr>
        <w:tabs>
          <w:tab w:val="left" w:pos="8505"/>
        </w:tabs>
        <w:spacing w:after="200" w:line="276" w:lineRule="auto"/>
        <w:rPr>
          <w:rFonts w:eastAsia="Calibri"/>
          <w:szCs w:val="18"/>
        </w:rPr>
      </w:pPr>
      <w:r w:rsidRPr="00C06BC5">
        <w:rPr>
          <w:rFonts w:eastAsia="Calibri"/>
          <w:szCs w:val="18"/>
        </w:rPr>
        <w:t>An application filed in 2022 contained, on average, 3.1 designs.</w:t>
      </w:r>
    </w:p>
    <w:p w14:paraId="379F4C3A" w14:textId="77777777" w:rsidR="001C4D24" w:rsidRPr="0027575E" w:rsidRDefault="001C4D24" w:rsidP="001C4D24">
      <w:pPr>
        <w:keepNext/>
        <w:spacing w:before="320" w:after="120"/>
        <w:rPr>
          <w:rFonts w:eastAsia="Arial"/>
          <w:b/>
          <w:color w:val="005172"/>
          <w:sz w:val="24"/>
        </w:rPr>
      </w:pPr>
      <w:r w:rsidRPr="0027575E">
        <w:rPr>
          <w:rFonts w:eastAsia="Arial"/>
          <w:b/>
          <w:color w:val="005172"/>
          <w:sz w:val="24"/>
        </w:rPr>
        <w:t>Renewals</w:t>
      </w:r>
    </w:p>
    <w:p w14:paraId="753C2422" w14:textId="77777777" w:rsidR="001C4D24" w:rsidRPr="0027575E" w:rsidRDefault="001C4D24" w:rsidP="001C4D24">
      <w:pPr>
        <w:keepNext/>
        <w:tabs>
          <w:tab w:val="left" w:pos="8505"/>
        </w:tabs>
        <w:spacing w:line="221" w:lineRule="auto"/>
        <w:jc w:val="center"/>
        <w:rPr>
          <w:rFonts w:eastAsia="Calibri"/>
          <w:b/>
          <w:color w:val="005172"/>
          <w:szCs w:val="16"/>
        </w:rPr>
      </w:pPr>
      <w:r w:rsidRPr="0027575E">
        <w:rPr>
          <w:rFonts w:eastAsia="Calibri"/>
          <w:b/>
          <w:color w:val="005172"/>
          <w:szCs w:val="16"/>
        </w:rPr>
        <w:t>Renewals of International Registrations</w:t>
      </w:r>
    </w:p>
    <w:p w14:paraId="1F432F1B" w14:textId="77777777" w:rsidR="001C4D24" w:rsidRPr="0027575E" w:rsidRDefault="001C4D24" w:rsidP="001C4D24">
      <w:pPr>
        <w:keepNext/>
        <w:tabs>
          <w:tab w:val="left" w:pos="8505"/>
        </w:tabs>
        <w:spacing w:line="221" w:lineRule="auto"/>
        <w:jc w:val="center"/>
      </w:pPr>
      <w:r>
        <w:rPr>
          <w:noProof/>
          <w:lang w:val="en-US"/>
        </w:rPr>
        <w:drawing>
          <wp:inline distT="0" distB="0" distL="0" distR="0" wp14:anchorId="6D540206" wp14:editId="4ADE8123">
            <wp:extent cx="5394960" cy="274320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6F72D0EF" w14:textId="09757EFD" w:rsidR="001C4D24" w:rsidRPr="0027575E" w:rsidRDefault="001C4D24" w:rsidP="001C4D24">
      <w:pPr>
        <w:keepNext/>
        <w:keepLines/>
        <w:spacing w:after="240"/>
        <w:ind w:firstLine="567"/>
        <w:rPr>
          <w:sz w:val="15"/>
          <w:szCs w:val="15"/>
        </w:rPr>
      </w:pPr>
      <w:r w:rsidRPr="0027575E">
        <w:rPr>
          <w:sz w:val="15"/>
          <w:szCs w:val="15"/>
        </w:rPr>
        <w:t>Source</w:t>
      </w:r>
      <w:r>
        <w:rPr>
          <w:sz w:val="15"/>
          <w:szCs w:val="15"/>
        </w:rPr>
        <w:t xml:space="preserve">:  Hague Registry, </w:t>
      </w:r>
      <w:r w:rsidR="00EC0EE5">
        <w:rPr>
          <w:sz w:val="15"/>
          <w:szCs w:val="15"/>
        </w:rPr>
        <w:t xml:space="preserve">April </w:t>
      </w:r>
      <w:r>
        <w:rPr>
          <w:sz w:val="15"/>
          <w:szCs w:val="15"/>
        </w:rPr>
        <w:t>2023</w:t>
      </w:r>
      <w:r w:rsidRPr="0027575E">
        <w:rPr>
          <w:sz w:val="15"/>
          <w:szCs w:val="15"/>
        </w:rPr>
        <w:t>.</w:t>
      </w:r>
    </w:p>
    <w:p w14:paraId="22C64E85" w14:textId="6164BC60" w:rsidR="001C4D24" w:rsidRPr="0027575E" w:rsidRDefault="001C4D24" w:rsidP="008407D7">
      <w:pPr>
        <w:numPr>
          <w:ilvl w:val="0"/>
          <w:numId w:val="34"/>
        </w:numPr>
        <w:tabs>
          <w:tab w:val="left" w:pos="8505"/>
        </w:tabs>
        <w:spacing w:after="200" w:line="276" w:lineRule="auto"/>
        <w:rPr>
          <w:rFonts w:eastAsia="Calibri"/>
          <w:szCs w:val="18"/>
        </w:rPr>
      </w:pPr>
      <w:r w:rsidRPr="0027575E">
        <w:rPr>
          <w:rFonts w:eastAsia="Calibri"/>
          <w:szCs w:val="18"/>
        </w:rPr>
        <w:t>In 2022, the number of renewals recorded decreased by 3.</w:t>
      </w:r>
      <w:r>
        <w:rPr>
          <w:rFonts w:eastAsia="Calibri"/>
          <w:szCs w:val="18"/>
        </w:rPr>
        <w:t>2</w:t>
      </w:r>
      <w:r w:rsidR="00C85F36">
        <w:rPr>
          <w:rFonts w:eastAsia="Calibri"/>
          <w:szCs w:val="18"/>
        </w:rPr>
        <w:t xml:space="preserve"> </w:t>
      </w:r>
      <w:r w:rsidR="00C85F36" w:rsidRPr="00E83D48">
        <w:rPr>
          <w:rFonts w:eastAsia="Calibri"/>
          <w:szCs w:val="18"/>
        </w:rPr>
        <w:t>per cent</w:t>
      </w:r>
      <w:r>
        <w:rPr>
          <w:rFonts w:eastAsia="Calibri"/>
          <w:szCs w:val="18"/>
        </w:rPr>
        <w:t xml:space="preserve"> as compared to 2021</w:t>
      </w:r>
      <w:r w:rsidRPr="0027575E">
        <w:rPr>
          <w:rFonts w:eastAsia="Calibri"/>
          <w:szCs w:val="18"/>
        </w:rPr>
        <w:t>, to</w:t>
      </w:r>
      <w:r>
        <w:rPr>
          <w:rFonts w:eastAsia="Calibri"/>
          <w:szCs w:val="18"/>
        </w:rPr>
        <w:t>taling</w:t>
      </w:r>
      <w:r w:rsidRPr="0027575E">
        <w:rPr>
          <w:rFonts w:eastAsia="Calibri"/>
          <w:szCs w:val="18"/>
        </w:rPr>
        <w:t xml:space="preserve"> 5,28</w:t>
      </w:r>
      <w:r>
        <w:rPr>
          <w:rFonts w:eastAsia="Calibri"/>
          <w:szCs w:val="18"/>
        </w:rPr>
        <w:t>4</w:t>
      </w:r>
      <w:r w:rsidRPr="0027575E">
        <w:rPr>
          <w:rFonts w:eastAsia="Calibri"/>
          <w:szCs w:val="18"/>
        </w:rPr>
        <w:t xml:space="preserve"> renewals.  </w:t>
      </w:r>
      <w:r>
        <w:rPr>
          <w:rFonts w:eastAsia="Calibri"/>
          <w:szCs w:val="18"/>
        </w:rPr>
        <w:t>Compared to the PoW&amp;B 2022/23, the number of renewals increased by 19</w:t>
      </w:r>
      <w:r w:rsidR="00C85F36">
        <w:rPr>
          <w:rFonts w:eastAsia="Calibri"/>
          <w:szCs w:val="18"/>
        </w:rPr>
        <w:t xml:space="preserve"> </w:t>
      </w:r>
      <w:r w:rsidR="00C85F36" w:rsidRPr="00E83D48">
        <w:rPr>
          <w:rFonts w:eastAsia="Calibri"/>
          <w:szCs w:val="18"/>
        </w:rPr>
        <w:t>per cent</w:t>
      </w:r>
      <w:r>
        <w:rPr>
          <w:rFonts w:eastAsia="Calibri"/>
          <w:szCs w:val="18"/>
        </w:rPr>
        <w:t>.</w:t>
      </w:r>
    </w:p>
    <w:p w14:paraId="2CBF1B29" w14:textId="77777777" w:rsidR="001C4D24" w:rsidRPr="008B7371" w:rsidRDefault="001C4D24" w:rsidP="001C4D24">
      <w:pPr>
        <w:keepNext/>
        <w:spacing w:before="320" w:after="240"/>
        <w:rPr>
          <w:rFonts w:eastAsia="Arial"/>
          <w:b/>
          <w:color w:val="005172"/>
          <w:sz w:val="24"/>
        </w:rPr>
      </w:pPr>
      <w:r w:rsidRPr="008B7371">
        <w:rPr>
          <w:rFonts w:eastAsia="Arial"/>
          <w:b/>
          <w:color w:val="005172"/>
          <w:sz w:val="24"/>
        </w:rPr>
        <w:t xml:space="preserve">Total Processed Workload </w:t>
      </w:r>
    </w:p>
    <w:p w14:paraId="3A81BB60" w14:textId="77777777" w:rsidR="001C4D24" w:rsidRPr="008B7371" w:rsidRDefault="001C4D24" w:rsidP="001C4D24">
      <w:pPr>
        <w:rPr>
          <w:szCs w:val="18"/>
        </w:rPr>
      </w:pPr>
      <w:r w:rsidRPr="008B7371">
        <w:rPr>
          <w:szCs w:val="18"/>
        </w:rPr>
        <w:t>The total workload represents the weighted total number of documents received at the IB.  All four categories of documents are included (applications, renewals, changes and decisions).</w:t>
      </w:r>
    </w:p>
    <w:p w14:paraId="3C838A45" w14:textId="02936799" w:rsidR="001C4D24" w:rsidRPr="001C4D24" w:rsidRDefault="001C4D24" w:rsidP="001C4D24">
      <w:pPr>
        <w:tabs>
          <w:tab w:val="num" w:pos="1134"/>
          <w:tab w:val="left" w:pos="8505"/>
        </w:tabs>
        <w:spacing w:before="240" w:after="240"/>
        <w:rPr>
          <w:rFonts w:eastAsia="Arial"/>
        </w:rPr>
      </w:pPr>
      <w:r w:rsidRPr="008B7371">
        <w:rPr>
          <w:szCs w:val="18"/>
        </w:rPr>
        <w:t>As the processing of these types of documents does not require the equal amount of resources, they are each weighted differently.  According to the current weighting, during the time required to process</w:t>
      </w:r>
      <w:r>
        <w:rPr>
          <w:szCs w:val="18"/>
        </w:rPr>
        <w:t xml:space="preserve"> </w:t>
      </w:r>
      <w:r w:rsidRPr="008B7371">
        <w:rPr>
          <w:szCs w:val="18"/>
        </w:rPr>
        <w:t>one international application, the IB can process</w:t>
      </w:r>
      <w:r>
        <w:rPr>
          <w:szCs w:val="18"/>
        </w:rPr>
        <w:t xml:space="preserve"> manually</w:t>
      </w:r>
      <w:r w:rsidRPr="008B7371">
        <w:rPr>
          <w:szCs w:val="18"/>
        </w:rPr>
        <w:t xml:space="preserve"> </w:t>
      </w:r>
      <w:r>
        <w:rPr>
          <w:szCs w:val="18"/>
        </w:rPr>
        <w:t>1.9</w:t>
      </w:r>
      <w:r w:rsidRPr="008B7371">
        <w:rPr>
          <w:szCs w:val="18"/>
        </w:rPr>
        <w:t xml:space="preserve"> renewals, </w:t>
      </w:r>
      <w:r>
        <w:rPr>
          <w:szCs w:val="18"/>
        </w:rPr>
        <w:t>1.7</w:t>
      </w:r>
      <w:r w:rsidRPr="008B7371">
        <w:rPr>
          <w:szCs w:val="18"/>
        </w:rPr>
        <w:t xml:space="preserve"> changes or </w:t>
      </w:r>
      <w:r>
        <w:rPr>
          <w:szCs w:val="18"/>
        </w:rPr>
        <w:t>9.6</w:t>
      </w:r>
      <w:r w:rsidRPr="008B7371">
        <w:rPr>
          <w:szCs w:val="18"/>
        </w:rPr>
        <w:t xml:space="preserve"> decisions (a 1:</w:t>
      </w:r>
      <w:r>
        <w:rPr>
          <w:szCs w:val="18"/>
        </w:rPr>
        <w:t>1.9</w:t>
      </w:r>
      <w:r w:rsidRPr="008B7371">
        <w:rPr>
          <w:szCs w:val="18"/>
        </w:rPr>
        <w:t>:</w:t>
      </w:r>
      <w:r>
        <w:rPr>
          <w:szCs w:val="18"/>
        </w:rPr>
        <w:t>1.7</w:t>
      </w:r>
      <w:r w:rsidRPr="008B7371">
        <w:rPr>
          <w:szCs w:val="18"/>
        </w:rPr>
        <w:t>:</w:t>
      </w:r>
      <w:r>
        <w:rPr>
          <w:szCs w:val="18"/>
        </w:rPr>
        <w:t>9.6</w:t>
      </w:r>
      <w:r w:rsidRPr="008B7371">
        <w:rPr>
          <w:szCs w:val="18"/>
        </w:rPr>
        <w:t xml:space="preserve"> workload ratio)</w:t>
      </w:r>
      <w:r>
        <w:rPr>
          <w:szCs w:val="18"/>
        </w:rPr>
        <w:t xml:space="preserve"> and process automatically 25 renewals and 13.4 decisions (a 1:25:13.4 workload ratio)</w:t>
      </w:r>
      <w:r w:rsidRPr="008B7371">
        <w:rPr>
          <w:szCs w:val="18"/>
        </w:rPr>
        <w:t xml:space="preserve">.  </w:t>
      </w:r>
      <w:r>
        <w:rPr>
          <w:szCs w:val="18"/>
        </w:rPr>
        <w:t xml:space="preserve"> These ratios </w:t>
      </w:r>
      <w:r>
        <w:rPr>
          <w:rFonts w:eastAsia="Arial"/>
        </w:rPr>
        <w:t xml:space="preserve">take into account improvements in productivity, resulting from the </w:t>
      </w:r>
      <w:r w:rsidRPr="0027575E">
        <w:rPr>
          <w:rFonts w:eastAsia="Arial"/>
        </w:rPr>
        <w:t xml:space="preserve">introduction of timeliness standards, </w:t>
      </w:r>
      <w:r>
        <w:rPr>
          <w:rFonts w:eastAsia="Arial"/>
        </w:rPr>
        <w:t xml:space="preserve">implementation of the new </w:t>
      </w:r>
      <w:r w:rsidRPr="0027575E">
        <w:rPr>
          <w:rFonts w:eastAsia="Arial"/>
        </w:rPr>
        <w:t xml:space="preserve">the IT system </w:t>
      </w:r>
      <w:r>
        <w:rPr>
          <w:rFonts w:eastAsia="Arial"/>
        </w:rPr>
        <w:t>(</w:t>
      </w:r>
      <w:r w:rsidRPr="0027575E">
        <w:rPr>
          <w:rFonts w:eastAsia="Arial"/>
        </w:rPr>
        <w:t>after the 2018 transition</w:t>
      </w:r>
      <w:r>
        <w:rPr>
          <w:rFonts w:eastAsia="Arial"/>
        </w:rPr>
        <w:t>)</w:t>
      </w:r>
      <w:r w:rsidRPr="0027575E">
        <w:rPr>
          <w:rFonts w:eastAsia="Arial"/>
        </w:rPr>
        <w:t xml:space="preserve"> and revised production targets for examiners</w:t>
      </w:r>
      <w:r w:rsidR="009D2FE8">
        <w:rPr>
          <w:rFonts w:eastAsia="Arial"/>
        </w:rPr>
        <w:t>.</w:t>
      </w:r>
    </w:p>
    <w:p w14:paraId="1D5C5E99" w14:textId="77777777" w:rsidR="001C4D24" w:rsidRPr="008B7371" w:rsidRDefault="001C4D24" w:rsidP="001C4D24">
      <w:pPr>
        <w:keepNext/>
        <w:tabs>
          <w:tab w:val="left" w:pos="8505"/>
        </w:tabs>
        <w:spacing w:before="240" w:line="221" w:lineRule="auto"/>
        <w:jc w:val="center"/>
        <w:rPr>
          <w:rFonts w:eastAsia="Calibri"/>
          <w:b/>
          <w:color w:val="005172"/>
          <w:szCs w:val="16"/>
        </w:rPr>
      </w:pPr>
      <w:r w:rsidRPr="008B7371">
        <w:rPr>
          <w:rFonts w:eastAsia="Calibri"/>
          <w:b/>
          <w:color w:val="005172"/>
          <w:szCs w:val="16"/>
        </w:rPr>
        <w:t>Total Processed Workload</w:t>
      </w:r>
    </w:p>
    <w:p w14:paraId="7BA5CBC6" w14:textId="77777777" w:rsidR="001C4D24" w:rsidRPr="00B70CFE" w:rsidRDefault="001C4D24" w:rsidP="001C4D24">
      <w:pPr>
        <w:keepNext/>
        <w:tabs>
          <w:tab w:val="left" w:pos="8505"/>
        </w:tabs>
        <w:spacing w:line="221" w:lineRule="auto"/>
        <w:jc w:val="center"/>
        <w:rPr>
          <w:rFonts w:eastAsia="Calibri"/>
          <w:b/>
          <w:color w:val="005172"/>
          <w:sz w:val="16"/>
          <w:szCs w:val="16"/>
        </w:rPr>
      </w:pPr>
      <w:r>
        <w:rPr>
          <w:noProof/>
          <w:lang w:val="en-US"/>
        </w:rPr>
        <w:drawing>
          <wp:inline distT="0" distB="0" distL="0" distR="0" wp14:anchorId="550CF75A" wp14:editId="6D7A1727">
            <wp:extent cx="5394960" cy="2743200"/>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28773FA" w14:textId="77777777" w:rsidR="001C4D24" w:rsidRPr="00B70CFE" w:rsidRDefault="001C4D24" w:rsidP="001C4D24">
      <w:pPr>
        <w:spacing w:before="120" w:after="240"/>
        <w:ind w:firstLine="567"/>
        <w:rPr>
          <w:sz w:val="15"/>
          <w:szCs w:val="15"/>
        </w:rPr>
      </w:pPr>
      <w:r w:rsidRPr="00B70CFE">
        <w:rPr>
          <w:sz w:val="15"/>
          <w:szCs w:val="15"/>
        </w:rPr>
        <w:t>Source:  Hague Registry and WIPO IP S</w:t>
      </w:r>
      <w:r>
        <w:rPr>
          <w:sz w:val="15"/>
          <w:szCs w:val="15"/>
        </w:rPr>
        <w:t>tatistics Database March 2023</w:t>
      </w:r>
      <w:r w:rsidRPr="00B70CFE">
        <w:rPr>
          <w:sz w:val="15"/>
          <w:szCs w:val="15"/>
        </w:rPr>
        <w:t>.</w:t>
      </w:r>
    </w:p>
    <w:p w14:paraId="4178F9D7" w14:textId="0D587E95" w:rsidR="001C4D24" w:rsidRPr="00B70CFE" w:rsidRDefault="001C4D24" w:rsidP="008407D7">
      <w:pPr>
        <w:numPr>
          <w:ilvl w:val="0"/>
          <w:numId w:val="34"/>
        </w:numPr>
        <w:tabs>
          <w:tab w:val="left" w:pos="8505"/>
        </w:tabs>
        <w:spacing w:after="200" w:line="276" w:lineRule="auto"/>
        <w:rPr>
          <w:rFonts w:eastAsia="Calibri"/>
          <w:szCs w:val="18"/>
        </w:rPr>
      </w:pPr>
      <w:r>
        <w:rPr>
          <w:rFonts w:eastAsia="Calibri"/>
          <w:szCs w:val="18"/>
        </w:rPr>
        <w:t xml:space="preserve">The increase in </w:t>
      </w:r>
      <w:r w:rsidRPr="00B70CFE">
        <w:rPr>
          <w:rFonts w:eastAsia="Calibri"/>
          <w:szCs w:val="18"/>
        </w:rPr>
        <w:t>the total proc</w:t>
      </w:r>
      <w:r>
        <w:rPr>
          <w:rFonts w:eastAsia="Calibri"/>
          <w:szCs w:val="18"/>
        </w:rPr>
        <w:t>essed workload amounted to 15.4</w:t>
      </w:r>
      <w:r w:rsidR="00C85F36">
        <w:rPr>
          <w:rFonts w:eastAsia="Calibri"/>
          <w:szCs w:val="18"/>
        </w:rPr>
        <w:t xml:space="preserve"> </w:t>
      </w:r>
      <w:r w:rsidR="00C85F36" w:rsidRPr="00E83D48">
        <w:rPr>
          <w:rFonts w:eastAsia="Calibri"/>
          <w:szCs w:val="18"/>
        </w:rPr>
        <w:t>per cent</w:t>
      </w:r>
      <w:r>
        <w:rPr>
          <w:rFonts w:eastAsia="Calibri"/>
          <w:szCs w:val="18"/>
        </w:rPr>
        <w:t xml:space="preserve"> in 2021 compared to 2020.</w:t>
      </w:r>
      <w:r w:rsidRPr="00B70CFE">
        <w:rPr>
          <w:rFonts w:eastAsia="Calibri"/>
          <w:szCs w:val="18"/>
        </w:rPr>
        <w:t xml:space="preserve"> </w:t>
      </w:r>
      <w:r>
        <w:rPr>
          <w:rFonts w:eastAsia="Calibri"/>
          <w:szCs w:val="18"/>
        </w:rPr>
        <w:t>The increase in 2022 compared to 2021 amounted to 0.9</w:t>
      </w:r>
      <w:r w:rsidR="00C85F36">
        <w:rPr>
          <w:rFonts w:eastAsia="Calibri"/>
          <w:szCs w:val="18"/>
        </w:rPr>
        <w:t xml:space="preserve"> </w:t>
      </w:r>
      <w:r w:rsidR="00C85F36" w:rsidRPr="00E83D48">
        <w:rPr>
          <w:rFonts w:eastAsia="Calibri"/>
          <w:szCs w:val="18"/>
        </w:rPr>
        <w:t>per cent</w:t>
      </w:r>
      <w:r w:rsidRPr="00B70CFE">
        <w:rPr>
          <w:rFonts w:eastAsia="Calibri"/>
          <w:szCs w:val="18"/>
        </w:rPr>
        <w:t xml:space="preserve">.  </w:t>
      </w:r>
    </w:p>
    <w:p w14:paraId="59157389" w14:textId="77777777" w:rsidR="001C4D24" w:rsidRPr="00B70CFE" w:rsidRDefault="001C4D24" w:rsidP="008407D7">
      <w:pPr>
        <w:numPr>
          <w:ilvl w:val="0"/>
          <w:numId w:val="34"/>
        </w:numPr>
        <w:tabs>
          <w:tab w:val="left" w:pos="8505"/>
        </w:tabs>
        <w:spacing w:after="200" w:line="276" w:lineRule="auto"/>
        <w:rPr>
          <w:rFonts w:eastAsia="Calibri"/>
          <w:szCs w:val="18"/>
        </w:rPr>
      </w:pPr>
      <w:r>
        <w:rPr>
          <w:rFonts w:eastAsia="Calibri"/>
          <w:szCs w:val="18"/>
        </w:rPr>
        <w:t>The increase in workload in 2021 and 2022</w:t>
      </w:r>
      <w:r w:rsidRPr="00B70CFE">
        <w:rPr>
          <w:rFonts w:eastAsia="Calibri"/>
          <w:szCs w:val="18"/>
        </w:rPr>
        <w:t xml:space="preserve"> was mainly due to the increase in the number of applications</w:t>
      </w:r>
      <w:r>
        <w:rPr>
          <w:rFonts w:eastAsia="Calibri"/>
          <w:szCs w:val="18"/>
        </w:rPr>
        <w:t>,</w:t>
      </w:r>
      <w:r w:rsidRPr="00B70CFE">
        <w:rPr>
          <w:rFonts w:eastAsia="Calibri"/>
          <w:szCs w:val="18"/>
        </w:rPr>
        <w:t xml:space="preserve"> </w:t>
      </w:r>
      <w:r>
        <w:rPr>
          <w:rFonts w:eastAsia="Calibri"/>
          <w:szCs w:val="18"/>
        </w:rPr>
        <w:t xml:space="preserve">decisions and renewals </w:t>
      </w:r>
      <w:r w:rsidRPr="00B70CFE">
        <w:rPr>
          <w:rFonts w:eastAsia="Calibri"/>
          <w:szCs w:val="18"/>
        </w:rPr>
        <w:t>received</w:t>
      </w:r>
      <w:r>
        <w:rPr>
          <w:rFonts w:eastAsia="Calibri"/>
          <w:szCs w:val="18"/>
        </w:rPr>
        <w:t>.</w:t>
      </w:r>
    </w:p>
    <w:p w14:paraId="26FE4515" w14:textId="77777777" w:rsidR="001C4D24" w:rsidRPr="006B598F" w:rsidRDefault="001C4D24" w:rsidP="001C4D24">
      <w:pPr>
        <w:keepNext/>
        <w:spacing w:before="320" w:after="240"/>
        <w:rPr>
          <w:rFonts w:eastAsia="Arial"/>
          <w:b/>
          <w:color w:val="005172"/>
          <w:sz w:val="24"/>
        </w:rPr>
      </w:pPr>
      <w:r w:rsidRPr="006B598F">
        <w:rPr>
          <w:rFonts w:eastAsia="Arial"/>
          <w:b/>
          <w:color w:val="005172"/>
          <w:sz w:val="24"/>
        </w:rPr>
        <w:t xml:space="preserve">Unit Cost </w:t>
      </w:r>
    </w:p>
    <w:p w14:paraId="2046C9D0" w14:textId="795BAF4F" w:rsidR="001C4D24" w:rsidRPr="006B598F" w:rsidRDefault="001C4D24" w:rsidP="001C4D24">
      <w:pPr>
        <w:rPr>
          <w:szCs w:val="18"/>
        </w:rPr>
      </w:pPr>
      <w:r w:rsidRPr="006B598F">
        <w:rPr>
          <w:szCs w:val="18"/>
        </w:rPr>
        <w:t>The IB’s efficiency in processing transactions can be measured by the unit cost, defined as the average cost of producing one unit of output.</w:t>
      </w:r>
      <w:r>
        <w:rPr>
          <w:szCs w:val="18"/>
        </w:rPr>
        <w:t xml:space="preserve"> </w:t>
      </w:r>
    </w:p>
    <w:p w14:paraId="1069EA47" w14:textId="065C2200" w:rsidR="001C4D24" w:rsidRDefault="001C4D24" w:rsidP="001C4D24">
      <w:pPr>
        <w:rPr>
          <w:szCs w:val="18"/>
        </w:rPr>
      </w:pPr>
      <w:r w:rsidRPr="006B598F">
        <w:rPr>
          <w:szCs w:val="18"/>
        </w:rPr>
        <w:t xml:space="preserve">As the IB registers new applications and maintains existing registrations, it is relevant to have a unit of output, which includes a set of transactions.  Two unit cost indicators are presented below </w:t>
      </w:r>
      <w:r>
        <w:rPr>
          <w:szCs w:val="18"/>
        </w:rPr>
        <w:t>for</w:t>
      </w:r>
      <w:r w:rsidRPr="006B598F">
        <w:rPr>
          <w:szCs w:val="18"/>
        </w:rPr>
        <w:t xml:space="preserve"> two different units of output</w:t>
      </w:r>
      <w:r>
        <w:rPr>
          <w:szCs w:val="18"/>
        </w:rPr>
        <w:t>, with a breakdown of direct costs and indirect costs</w:t>
      </w:r>
      <w:r w:rsidRPr="006B598F">
        <w:rPr>
          <w:szCs w:val="18"/>
        </w:rPr>
        <w:t xml:space="preserve">.  </w:t>
      </w:r>
    </w:p>
    <w:p w14:paraId="177CFA2D" w14:textId="6699AFDA" w:rsidR="001C4D24" w:rsidRDefault="001C4D24" w:rsidP="001C4D24">
      <w:pPr>
        <w:tabs>
          <w:tab w:val="num" w:pos="1134"/>
          <w:tab w:val="left" w:pos="8505"/>
        </w:tabs>
        <w:rPr>
          <w:rFonts w:eastAsia="Calibri"/>
          <w:szCs w:val="18"/>
        </w:rPr>
      </w:pPr>
      <w:r>
        <w:rPr>
          <w:szCs w:val="18"/>
        </w:rPr>
        <w:t>The methodology for calculating direct and indirect Hague costs are aligned with the methodologies for calculating PCT and Madrid unit costs. The headcount used to estimate the indirect cost include personnel working as fixed term staff, temporary staff, fellows and agency workers supporting operations.</w:t>
      </w:r>
    </w:p>
    <w:p w14:paraId="309654FC" w14:textId="77777777" w:rsidR="001C4D24" w:rsidRPr="00BE46EB" w:rsidRDefault="001C4D24" w:rsidP="001C4D24">
      <w:pPr>
        <w:tabs>
          <w:tab w:val="num" w:pos="1134"/>
          <w:tab w:val="left" w:pos="8505"/>
        </w:tabs>
        <w:rPr>
          <w:rFonts w:eastAsia="Calibri"/>
          <w:szCs w:val="18"/>
        </w:rPr>
      </w:pPr>
      <w:r w:rsidRPr="00BE46EB">
        <w:rPr>
          <w:rFonts w:eastAsia="Calibri"/>
          <w:szCs w:val="18"/>
        </w:rPr>
        <w:t xml:space="preserve">The weighted system, described </w:t>
      </w:r>
      <w:r>
        <w:rPr>
          <w:rFonts w:eastAsia="Calibri"/>
          <w:szCs w:val="18"/>
        </w:rPr>
        <w:t>above under processed workload</w:t>
      </w:r>
      <w:r>
        <w:rPr>
          <w:rStyle w:val="FootnoteReference"/>
          <w:rFonts w:eastAsia="Calibri"/>
          <w:szCs w:val="18"/>
        </w:rPr>
        <w:footnoteReference w:id="23"/>
      </w:r>
      <w:r w:rsidRPr="00BE46EB">
        <w:rPr>
          <w:rFonts w:eastAsia="Calibri"/>
          <w:szCs w:val="18"/>
        </w:rPr>
        <w:t xml:space="preserve">, is used to better approximate the actual work required to process the </w:t>
      </w:r>
      <w:r>
        <w:rPr>
          <w:rFonts w:eastAsia="Calibri"/>
          <w:szCs w:val="18"/>
        </w:rPr>
        <w:t>four</w:t>
      </w:r>
      <w:r w:rsidRPr="00BE46EB">
        <w:rPr>
          <w:rFonts w:eastAsia="Calibri"/>
          <w:szCs w:val="18"/>
        </w:rPr>
        <w:t xml:space="preserve"> categories of documents, taking into account that some of these documents are more labor-intensive than others.</w:t>
      </w:r>
    </w:p>
    <w:p w14:paraId="124709B6" w14:textId="77777777" w:rsidR="001C4D24" w:rsidRPr="006B598F" w:rsidRDefault="001C4D24" w:rsidP="001C4D24">
      <w:pPr>
        <w:keepNext/>
        <w:spacing w:before="320" w:after="240"/>
        <w:rPr>
          <w:rFonts w:eastAsia="Arial"/>
          <w:b/>
          <w:color w:val="005172"/>
          <w:sz w:val="24"/>
        </w:rPr>
      </w:pPr>
      <w:r w:rsidRPr="006B598F">
        <w:rPr>
          <w:rFonts w:eastAsia="Arial"/>
          <w:b/>
          <w:color w:val="005172"/>
          <w:sz w:val="24"/>
        </w:rPr>
        <w:t>Unit Cost per New/Renewed Design</w:t>
      </w:r>
    </w:p>
    <w:p w14:paraId="4A4C4D81" w14:textId="77777777" w:rsidR="001C4D24" w:rsidRPr="006B598F" w:rsidRDefault="001C4D24" w:rsidP="001C4D24">
      <w:pPr>
        <w:rPr>
          <w:szCs w:val="18"/>
        </w:rPr>
      </w:pPr>
      <w:r w:rsidRPr="006B598F">
        <w:rPr>
          <w:szCs w:val="18"/>
        </w:rPr>
        <w:t>New designs consist of designs in international applications that are registered within a given year. Renewed designs consist of existing designs in international registrations that are renewed within a given year.  Combined, designs contained in these two types of transactions reflect the core business of the IB.</w:t>
      </w:r>
    </w:p>
    <w:p w14:paraId="6C462527" w14:textId="77777777" w:rsidR="001C4D24" w:rsidRPr="006B598F" w:rsidRDefault="001C4D24" w:rsidP="001C4D24">
      <w:pPr>
        <w:spacing w:after="120"/>
        <w:rPr>
          <w:szCs w:val="18"/>
        </w:rPr>
      </w:pPr>
      <w:r w:rsidRPr="006B598F">
        <w:rPr>
          <w:szCs w:val="18"/>
        </w:rPr>
        <w:t xml:space="preserve">The unit cost is calculated by dividing the total cost of production by the number of new/renewed designs. </w:t>
      </w:r>
    </w:p>
    <w:p w14:paraId="5A0C3A75" w14:textId="77777777" w:rsidR="001C4D24" w:rsidRPr="0062086B" w:rsidRDefault="001C4D24" w:rsidP="001C4D24">
      <w:pPr>
        <w:keepNext/>
        <w:spacing w:after="0"/>
        <w:jc w:val="center"/>
        <w:rPr>
          <w:rFonts w:eastAsia="Arial"/>
          <w:b/>
          <w:color w:val="005172"/>
        </w:rPr>
      </w:pPr>
      <w:r w:rsidRPr="0062086B">
        <w:rPr>
          <w:rFonts w:eastAsia="Arial"/>
          <w:b/>
          <w:color w:val="005172"/>
        </w:rPr>
        <w:t>Unit Cost per New/Renewed Design</w:t>
      </w:r>
    </w:p>
    <w:p w14:paraId="222B8CEC" w14:textId="77777777" w:rsidR="001C4D24" w:rsidRPr="006325C8" w:rsidRDefault="001C4D24" w:rsidP="001C4D24">
      <w:pPr>
        <w:keepNext/>
        <w:jc w:val="center"/>
        <w:rPr>
          <w:rFonts w:eastAsia="Arial"/>
          <w:b/>
          <w:color w:val="005172"/>
        </w:rPr>
      </w:pPr>
      <w:r w:rsidRPr="006325C8">
        <w:rPr>
          <w:rFonts w:eastAsia="SimHei"/>
          <w:i/>
          <w:sz w:val="16"/>
          <w:szCs w:val="16"/>
        </w:rPr>
        <w:t>(in Swiss francs)</w:t>
      </w:r>
    </w:p>
    <w:p w14:paraId="7BC9FB38" w14:textId="77777777" w:rsidR="001C4D24" w:rsidRPr="006325C8" w:rsidRDefault="001C4D24" w:rsidP="001C4D24">
      <w:pPr>
        <w:jc w:val="center"/>
        <w:rPr>
          <w:rFonts w:eastAsia="Arial"/>
          <w:color w:val="005172"/>
          <w:sz w:val="16"/>
        </w:rPr>
      </w:pPr>
      <w:r>
        <w:rPr>
          <w:noProof/>
          <w:lang w:val="en-US"/>
        </w:rPr>
        <w:drawing>
          <wp:inline distT="0" distB="0" distL="0" distR="0" wp14:anchorId="7FD71CBD" wp14:editId="7A767C50">
            <wp:extent cx="5394960" cy="2743200"/>
            <wp:effectExtent l="0" t="0" r="0" b="0"/>
            <wp:docPr id="58" name="Chart 58">
              <a:extLst xmlns:a="http://schemas.openxmlformats.org/drawingml/2006/main">
                <a:ext uri="{FF2B5EF4-FFF2-40B4-BE49-F238E27FC236}">
                  <a16:creationId xmlns:a16="http://schemas.microsoft.com/office/drawing/2014/main" id="{00000000-0008-0000-0A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0EB78A1C" w14:textId="77777777" w:rsidR="001C4D24" w:rsidRPr="006325C8" w:rsidRDefault="001C4D24" w:rsidP="001C4D24">
      <w:pPr>
        <w:keepNext/>
        <w:keepLines/>
        <w:spacing w:before="120" w:after="240"/>
        <w:ind w:firstLine="567"/>
        <w:rPr>
          <w:sz w:val="15"/>
          <w:szCs w:val="15"/>
        </w:rPr>
      </w:pPr>
      <w:r w:rsidRPr="006325C8">
        <w:rPr>
          <w:sz w:val="15"/>
          <w:szCs w:val="15"/>
        </w:rPr>
        <w:t xml:space="preserve">Source:  </w:t>
      </w:r>
      <w:r w:rsidRPr="006325C8">
        <w:rPr>
          <w:rFonts w:eastAsia="Arial"/>
          <w:sz w:val="15"/>
          <w:szCs w:val="15"/>
        </w:rPr>
        <w:t>Hague Registry ERP systems and WIPO IP Statistics Database</w:t>
      </w:r>
      <w:r w:rsidRPr="006325C8">
        <w:rPr>
          <w:sz w:val="15"/>
          <w:szCs w:val="15"/>
        </w:rPr>
        <w:t>, March 2023.</w:t>
      </w:r>
    </w:p>
    <w:p w14:paraId="323A03E7" w14:textId="54B0739B" w:rsidR="001C4D24" w:rsidRPr="00E83D48" w:rsidRDefault="001C4D24" w:rsidP="008407D7">
      <w:pPr>
        <w:numPr>
          <w:ilvl w:val="0"/>
          <w:numId w:val="34"/>
        </w:numPr>
        <w:tabs>
          <w:tab w:val="left" w:pos="8505"/>
        </w:tabs>
        <w:spacing w:after="200" w:line="276" w:lineRule="auto"/>
        <w:rPr>
          <w:rFonts w:eastAsia="Calibri"/>
          <w:szCs w:val="18"/>
        </w:rPr>
      </w:pPr>
      <w:r w:rsidRPr="006325C8">
        <w:rPr>
          <w:rFonts w:eastAsia="Calibri"/>
          <w:szCs w:val="18"/>
        </w:rPr>
        <w:t>The average cost of processing a new/renewed design was 45</w:t>
      </w:r>
      <w:r>
        <w:rPr>
          <w:rFonts w:eastAsia="Calibri"/>
          <w:szCs w:val="18"/>
        </w:rPr>
        <w:t>5</w:t>
      </w:r>
      <w:r w:rsidRPr="006325C8">
        <w:rPr>
          <w:rFonts w:eastAsia="Calibri"/>
          <w:szCs w:val="18"/>
        </w:rPr>
        <w:t> Swiss francs in 2022</w:t>
      </w:r>
      <w:r>
        <w:rPr>
          <w:rFonts w:eastAsia="Calibri"/>
          <w:szCs w:val="18"/>
        </w:rPr>
        <w:t>, representing a decrease of 16</w:t>
      </w:r>
      <w:r w:rsidR="00C85F36">
        <w:rPr>
          <w:rFonts w:eastAsia="Calibri"/>
          <w:szCs w:val="18"/>
        </w:rPr>
        <w:t xml:space="preserve"> </w:t>
      </w:r>
      <w:r w:rsidR="00C85F36" w:rsidRPr="00E83D48">
        <w:rPr>
          <w:rFonts w:eastAsia="Calibri"/>
          <w:szCs w:val="18"/>
        </w:rPr>
        <w:t>per cent</w:t>
      </w:r>
      <w:r w:rsidRPr="006325C8">
        <w:rPr>
          <w:rFonts w:eastAsia="Calibri"/>
          <w:szCs w:val="18"/>
        </w:rPr>
        <w:t xml:space="preserve"> as compared to 2021. </w:t>
      </w:r>
      <w:r>
        <w:rPr>
          <w:rFonts w:eastAsia="Calibri"/>
          <w:szCs w:val="18"/>
        </w:rPr>
        <w:t xml:space="preserve"> </w:t>
      </w:r>
      <w:r w:rsidRPr="00E83D48">
        <w:rPr>
          <w:rFonts w:eastAsia="Calibri"/>
          <w:szCs w:val="18"/>
        </w:rPr>
        <w:t>The unit cost in 2022 decreased as a result of a 9.6</w:t>
      </w:r>
      <w:r w:rsidR="00C85F36" w:rsidRPr="00E83D48">
        <w:rPr>
          <w:rFonts w:eastAsia="Calibri"/>
          <w:szCs w:val="18"/>
        </w:rPr>
        <w:t xml:space="preserve"> per cent</w:t>
      </w:r>
      <w:r w:rsidRPr="00E83D48">
        <w:rPr>
          <w:rFonts w:eastAsia="Calibri"/>
          <w:szCs w:val="18"/>
        </w:rPr>
        <w:t xml:space="preserve"> increase in the number of </w:t>
      </w:r>
      <w:r w:rsidRPr="006325C8">
        <w:rPr>
          <w:rFonts w:eastAsia="Calibri"/>
          <w:szCs w:val="18"/>
        </w:rPr>
        <w:t xml:space="preserve">new/renewed designs </w:t>
      </w:r>
      <w:r w:rsidRPr="00E83D48">
        <w:rPr>
          <w:rFonts w:eastAsia="Calibri"/>
          <w:szCs w:val="18"/>
        </w:rPr>
        <w:t>combined with a 7.7% decrease in total costs as compared to 2021.</w:t>
      </w:r>
    </w:p>
    <w:p w14:paraId="76B48371" w14:textId="77777777" w:rsidR="001C4D24" w:rsidRPr="006B598F" w:rsidRDefault="001C4D24" w:rsidP="001C4D24">
      <w:pPr>
        <w:tabs>
          <w:tab w:val="num" w:pos="1134"/>
          <w:tab w:val="left" w:pos="8505"/>
        </w:tabs>
        <w:ind w:left="720"/>
        <w:rPr>
          <w:rFonts w:eastAsia="Arial"/>
          <w:b/>
          <w:color w:val="005172"/>
          <w:sz w:val="24"/>
        </w:rPr>
      </w:pPr>
    </w:p>
    <w:p w14:paraId="06236DAE" w14:textId="77777777" w:rsidR="001C4D24" w:rsidRPr="0060082C" w:rsidRDefault="001C4D24" w:rsidP="001C4D24">
      <w:pPr>
        <w:keepNext/>
        <w:spacing w:before="240" w:after="240"/>
        <w:rPr>
          <w:rFonts w:eastAsia="Arial"/>
          <w:b/>
          <w:color w:val="005172"/>
          <w:sz w:val="24"/>
        </w:rPr>
      </w:pPr>
      <w:r w:rsidRPr="0060082C">
        <w:rPr>
          <w:rFonts w:eastAsia="Arial"/>
          <w:b/>
          <w:color w:val="005172"/>
          <w:sz w:val="24"/>
        </w:rPr>
        <w:t>Unit Cost per Document Recorded in the Register</w:t>
      </w:r>
    </w:p>
    <w:p w14:paraId="183367C8" w14:textId="77777777" w:rsidR="001C4D24" w:rsidRPr="0060082C" w:rsidRDefault="001C4D24" w:rsidP="001C4D24">
      <w:pPr>
        <w:rPr>
          <w:rFonts w:eastAsia="Arial"/>
        </w:rPr>
      </w:pPr>
      <w:r w:rsidRPr="0060082C">
        <w:rPr>
          <w:rFonts w:eastAsia="Arial"/>
        </w:rPr>
        <w:t xml:space="preserve">The documents recorded in the Register correspond to the total workload (see “Total Processed Workload” above). </w:t>
      </w:r>
    </w:p>
    <w:p w14:paraId="072126A5" w14:textId="77777777" w:rsidR="001C4D24" w:rsidRPr="0060082C" w:rsidRDefault="001C4D24" w:rsidP="001C4D24">
      <w:pPr>
        <w:keepNext/>
        <w:spacing w:after="0"/>
        <w:jc w:val="center"/>
        <w:rPr>
          <w:rFonts w:eastAsia="Arial"/>
          <w:b/>
          <w:color w:val="005172"/>
        </w:rPr>
      </w:pPr>
      <w:r w:rsidRPr="0060082C">
        <w:rPr>
          <w:rFonts w:eastAsia="Arial"/>
          <w:b/>
          <w:color w:val="005172"/>
        </w:rPr>
        <w:t>Unit Cost per Recorded Documents</w:t>
      </w:r>
    </w:p>
    <w:p w14:paraId="1DD44A41" w14:textId="77777777" w:rsidR="001C4D24" w:rsidRPr="006325C8" w:rsidRDefault="001C4D24" w:rsidP="000304FA">
      <w:pPr>
        <w:keepNext/>
        <w:spacing w:after="120"/>
        <w:jc w:val="center"/>
        <w:rPr>
          <w:rFonts w:eastAsia="Arial"/>
          <w:b/>
          <w:color w:val="005172"/>
        </w:rPr>
      </w:pPr>
      <w:r w:rsidRPr="006325C8">
        <w:rPr>
          <w:rFonts w:eastAsia="SimHei"/>
          <w:i/>
          <w:sz w:val="16"/>
          <w:szCs w:val="16"/>
        </w:rPr>
        <w:t>(in Swiss francs)</w:t>
      </w:r>
    </w:p>
    <w:p w14:paraId="74316FEF" w14:textId="77777777" w:rsidR="001C4D24" w:rsidRPr="006325C8" w:rsidRDefault="001C4D24" w:rsidP="001C4D24">
      <w:pPr>
        <w:jc w:val="center"/>
        <w:rPr>
          <w:rFonts w:eastAsia="Arial"/>
          <w:color w:val="005172"/>
          <w:sz w:val="16"/>
        </w:rPr>
      </w:pPr>
      <w:r>
        <w:rPr>
          <w:noProof/>
          <w:lang w:val="en-US"/>
        </w:rPr>
        <w:drawing>
          <wp:inline distT="0" distB="0" distL="0" distR="0" wp14:anchorId="2E8BFA6E" wp14:editId="4B13210E">
            <wp:extent cx="5394960" cy="2743200"/>
            <wp:effectExtent l="0" t="0" r="0" b="0"/>
            <wp:docPr id="59" name="Chart 59">
              <a:extLst xmlns:a="http://schemas.openxmlformats.org/drawingml/2006/main">
                <a:ext uri="{FF2B5EF4-FFF2-40B4-BE49-F238E27FC236}">
                  <a16:creationId xmlns:a16="http://schemas.microsoft.com/office/drawing/2014/main" id="{00000000-0008-0000-0A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43F504EA" w14:textId="5ED493CD" w:rsidR="001C4D24" w:rsidRPr="000304FA" w:rsidRDefault="001C4D24" w:rsidP="000304FA">
      <w:pPr>
        <w:spacing w:after="240"/>
        <w:ind w:firstLine="567"/>
        <w:rPr>
          <w:rFonts w:eastAsia="Arial"/>
          <w:sz w:val="15"/>
          <w:szCs w:val="15"/>
        </w:rPr>
      </w:pPr>
      <w:r w:rsidRPr="006325C8">
        <w:rPr>
          <w:rFonts w:eastAsia="Arial"/>
          <w:sz w:val="15"/>
          <w:szCs w:val="15"/>
        </w:rPr>
        <w:t>Source: Hague Registry, ERP systems and WIPO IP Statistics Database, March 2023.</w:t>
      </w:r>
    </w:p>
    <w:p w14:paraId="29CA50FD" w14:textId="4E6B465A" w:rsidR="001C4D24" w:rsidRPr="00E83D48" w:rsidRDefault="001C4D24" w:rsidP="008407D7">
      <w:pPr>
        <w:numPr>
          <w:ilvl w:val="0"/>
          <w:numId w:val="34"/>
        </w:numPr>
        <w:tabs>
          <w:tab w:val="left" w:pos="8505"/>
        </w:tabs>
        <w:spacing w:after="200" w:line="276" w:lineRule="auto"/>
        <w:rPr>
          <w:rFonts w:eastAsia="Calibri"/>
          <w:szCs w:val="18"/>
        </w:rPr>
      </w:pPr>
      <w:r w:rsidRPr="00E83D48">
        <w:rPr>
          <w:rFonts w:eastAsia="Calibri"/>
          <w:szCs w:val="18"/>
        </w:rPr>
        <w:t xml:space="preserve">The </w:t>
      </w:r>
      <w:r w:rsidRPr="006325C8">
        <w:rPr>
          <w:rFonts w:eastAsia="Calibri"/>
          <w:szCs w:val="18"/>
        </w:rPr>
        <w:t>average</w:t>
      </w:r>
      <w:r w:rsidRPr="00E83D48">
        <w:rPr>
          <w:rFonts w:eastAsia="Calibri"/>
          <w:szCs w:val="18"/>
        </w:rPr>
        <w:t xml:space="preserve"> cost of recording a document in the Register amounted to 1,072 Swiss francs in 2022, representing a decrease of 8.6</w:t>
      </w:r>
      <w:r w:rsidR="00C85F36" w:rsidRPr="00E83D48">
        <w:rPr>
          <w:rFonts w:eastAsia="Calibri"/>
          <w:szCs w:val="18"/>
        </w:rPr>
        <w:t xml:space="preserve"> per cent</w:t>
      </w:r>
      <w:r w:rsidRPr="00E83D48">
        <w:rPr>
          <w:rFonts w:eastAsia="Calibri"/>
          <w:szCs w:val="18"/>
        </w:rPr>
        <w:t xml:space="preserve"> compared to 2021.  This is due </w:t>
      </w:r>
      <w:r w:rsidRPr="006325C8">
        <w:rPr>
          <w:rFonts w:eastAsia="Calibri"/>
          <w:szCs w:val="18"/>
        </w:rPr>
        <w:t>to an increase of 0.9</w:t>
      </w:r>
      <w:r w:rsidR="00C85F36">
        <w:rPr>
          <w:rFonts w:eastAsia="Calibri"/>
          <w:szCs w:val="18"/>
        </w:rPr>
        <w:t xml:space="preserve"> </w:t>
      </w:r>
      <w:r w:rsidR="00C85F36" w:rsidRPr="00E83D48">
        <w:rPr>
          <w:rFonts w:eastAsia="Calibri"/>
          <w:szCs w:val="18"/>
        </w:rPr>
        <w:t>per cent</w:t>
      </w:r>
      <w:r w:rsidRPr="006325C8">
        <w:rPr>
          <w:rFonts w:eastAsia="Calibri"/>
          <w:szCs w:val="18"/>
        </w:rPr>
        <w:t xml:space="preserve"> of total recorded documents on the one hand, combined with a decrease of 7.</w:t>
      </w:r>
      <w:r>
        <w:rPr>
          <w:rFonts w:eastAsia="Calibri"/>
          <w:szCs w:val="18"/>
        </w:rPr>
        <w:t>7</w:t>
      </w:r>
      <w:r w:rsidR="00C85F36">
        <w:rPr>
          <w:rFonts w:eastAsia="Calibri"/>
          <w:szCs w:val="18"/>
        </w:rPr>
        <w:t xml:space="preserve"> </w:t>
      </w:r>
      <w:r w:rsidR="00C85F36" w:rsidRPr="00E83D48">
        <w:rPr>
          <w:rFonts w:eastAsia="Calibri"/>
          <w:szCs w:val="18"/>
        </w:rPr>
        <w:t>per cent</w:t>
      </w:r>
      <w:r w:rsidRPr="006325C8">
        <w:rPr>
          <w:rFonts w:eastAsia="Calibri"/>
          <w:szCs w:val="18"/>
        </w:rPr>
        <w:t xml:space="preserve"> of </w:t>
      </w:r>
      <w:r w:rsidRPr="00472B5B">
        <w:rPr>
          <w:rFonts w:eastAsia="Calibri"/>
          <w:szCs w:val="18"/>
        </w:rPr>
        <w:t>total</w:t>
      </w:r>
      <w:r w:rsidRPr="00E83D48">
        <w:rPr>
          <w:rFonts w:eastAsia="Calibri"/>
          <w:szCs w:val="18"/>
        </w:rPr>
        <w:t xml:space="preserve"> </w:t>
      </w:r>
      <w:r w:rsidRPr="00472B5B">
        <w:rPr>
          <w:rFonts w:eastAsia="Calibri"/>
          <w:szCs w:val="18"/>
        </w:rPr>
        <w:t xml:space="preserve">costs </w:t>
      </w:r>
      <w:r w:rsidRPr="0060082C">
        <w:rPr>
          <w:rFonts w:eastAsia="Calibri"/>
          <w:szCs w:val="18"/>
        </w:rPr>
        <w:t>on the other hand.</w:t>
      </w:r>
      <w:r w:rsidRPr="00E83D48">
        <w:rPr>
          <w:rFonts w:eastAsia="Calibri"/>
          <w:szCs w:val="18"/>
        </w:rPr>
        <w:t xml:space="preserve">  </w:t>
      </w:r>
    </w:p>
    <w:p w14:paraId="5191B46E" w14:textId="77777777" w:rsidR="001C4D24" w:rsidRPr="0027575E" w:rsidRDefault="001C4D24" w:rsidP="001C4D24">
      <w:pPr>
        <w:keepNext/>
        <w:spacing w:before="320" w:after="240"/>
        <w:rPr>
          <w:rFonts w:eastAsia="Arial"/>
          <w:b/>
          <w:color w:val="005172"/>
          <w:sz w:val="24"/>
        </w:rPr>
      </w:pPr>
      <w:r w:rsidRPr="0027575E">
        <w:rPr>
          <w:rFonts w:eastAsia="Arial"/>
          <w:b/>
          <w:color w:val="005172"/>
          <w:sz w:val="24"/>
        </w:rPr>
        <w:t>Pendency</w:t>
      </w:r>
    </w:p>
    <w:p w14:paraId="69F4C635" w14:textId="4994D864" w:rsidR="001C4D24" w:rsidRPr="001C4D24" w:rsidRDefault="001C4D24" w:rsidP="001C4D24">
      <w:pPr>
        <w:spacing w:after="240"/>
        <w:rPr>
          <w:rFonts w:eastAsia="Arial"/>
        </w:rPr>
      </w:pPr>
      <w:r w:rsidRPr="0027575E">
        <w:rPr>
          <w:rFonts w:eastAsia="Arial"/>
        </w:rPr>
        <w:t xml:space="preserve">This indicator reflects the time required by the IB to process regular applications since the new IT System became </w:t>
      </w:r>
      <w:r w:rsidRPr="00AA0E72">
        <w:rPr>
          <w:rFonts w:eastAsia="Arial"/>
        </w:rPr>
        <w:t>operational</w:t>
      </w:r>
      <w:r w:rsidRPr="0027575E">
        <w:rPr>
          <w:rFonts w:eastAsia="Arial"/>
        </w:rPr>
        <w:t>.  The timeliness is calculated between the time elapsed between the date of receipt of an application and the date it was registered.</w:t>
      </w:r>
      <w:r w:rsidRPr="0027575E">
        <w:rPr>
          <w:rFonts w:eastAsia="Arial"/>
          <w:noProof/>
        </w:rPr>
        <w:t xml:space="preserve"> </w:t>
      </w:r>
    </w:p>
    <w:p w14:paraId="6E64BEDC" w14:textId="77777777" w:rsidR="001C4D24" w:rsidRPr="0027575E" w:rsidRDefault="001C4D24" w:rsidP="001C4D24">
      <w:pPr>
        <w:keepNext/>
        <w:tabs>
          <w:tab w:val="left" w:pos="8505"/>
        </w:tabs>
        <w:spacing w:line="221" w:lineRule="auto"/>
        <w:jc w:val="center"/>
        <w:rPr>
          <w:rFonts w:eastAsia="Calibri"/>
          <w:b/>
          <w:color w:val="005172"/>
          <w:szCs w:val="16"/>
        </w:rPr>
      </w:pPr>
      <w:r w:rsidRPr="0027575E">
        <w:rPr>
          <w:rFonts w:eastAsia="Calibri"/>
          <w:b/>
          <w:color w:val="005172"/>
          <w:szCs w:val="16"/>
        </w:rPr>
        <w:t>Timeliness to Process Regular International Applications</w:t>
      </w:r>
    </w:p>
    <w:p w14:paraId="1DB19AD7" w14:textId="4D486948" w:rsidR="001C4D24" w:rsidRPr="001C4D24" w:rsidRDefault="001C4D24" w:rsidP="001C4D24">
      <w:pPr>
        <w:keepNext/>
        <w:tabs>
          <w:tab w:val="left" w:pos="8505"/>
        </w:tabs>
        <w:spacing w:after="0" w:line="221" w:lineRule="auto"/>
        <w:jc w:val="center"/>
        <w:rPr>
          <w:rFonts w:eastAsia="Calibri"/>
          <w:b/>
          <w:color w:val="005172"/>
          <w:sz w:val="16"/>
          <w:szCs w:val="16"/>
        </w:rPr>
      </w:pPr>
      <w:r>
        <w:rPr>
          <w:noProof/>
          <w:lang w:val="en-US"/>
        </w:rPr>
        <w:drawing>
          <wp:inline distT="0" distB="0" distL="0" distR="0" wp14:anchorId="37E800C9" wp14:editId="5A72EBAB">
            <wp:extent cx="5394960" cy="2743200"/>
            <wp:effectExtent l="0" t="0" r="0" b="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418DE0A7" w14:textId="77777777" w:rsidR="001C4D24" w:rsidRDefault="001C4D24" w:rsidP="001C4D24">
      <w:pPr>
        <w:keepNext/>
        <w:keepLines/>
        <w:spacing w:before="180" w:after="240"/>
        <w:ind w:left="720" w:firstLine="180"/>
        <w:contextualSpacing/>
        <w:rPr>
          <w:rFonts w:eastAsia="Times New Roman"/>
          <w:sz w:val="15"/>
          <w:szCs w:val="15"/>
          <w:lang w:eastAsia="ja-JP"/>
        </w:rPr>
      </w:pPr>
      <w:r w:rsidRPr="0027575E">
        <w:rPr>
          <w:rFonts w:eastAsia="Times New Roman"/>
          <w:sz w:val="15"/>
          <w:szCs w:val="15"/>
          <w:lang w:eastAsia="ja-JP"/>
        </w:rPr>
        <w:t xml:space="preserve">Source: Hague Registry, </w:t>
      </w:r>
      <w:r>
        <w:rPr>
          <w:rFonts w:eastAsia="Times New Roman"/>
          <w:sz w:val="15"/>
          <w:szCs w:val="15"/>
          <w:lang w:eastAsia="ja-JP"/>
        </w:rPr>
        <w:t>March 2023</w:t>
      </w:r>
    </w:p>
    <w:p w14:paraId="6F407D60" w14:textId="2F36D8BE" w:rsidR="001C4D24" w:rsidRPr="0027575E" w:rsidRDefault="001C4D24" w:rsidP="001C4D24">
      <w:pPr>
        <w:keepNext/>
        <w:keepLines/>
        <w:spacing w:before="180" w:after="240"/>
        <w:contextualSpacing/>
        <w:rPr>
          <w:rFonts w:ascii="Calibri" w:eastAsia="Times New Roman" w:hAnsi="Calibri"/>
          <w:sz w:val="15"/>
          <w:szCs w:val="15"/>
          <w:lang w:eastAsia="ja-JP"/>
        </w:rPr>
      </w:pPr>
    </w:p>
    <w:p w14:paraId="1816CFFA" w14:textId="4DA81858" w:rsidR="001C4D24" w:rsidRPr="00E83D48" w:rsidRDefault="001C4D24" w:rsidP="008407D7">
      <w:pPr>
        <w:numPr>
          <w:ilvl w:val="0"/>
          <w:numId w:val="34"/>
        </w:numPr>
        <w:tabs>
          <w:tab w:val="left" w:pos="8505"/>
        </w:tabs>
        <w:spacing w:after="200" w:line="276" w:lineRule="auto"/>
        <w:rPr>
          <w:rFonts w:eastAsia="Calibri"/>
          <w:szCs w:val="18"/>
        </w:rPr>
      </w:pPr>
      <w:r w:rsidRPr="00E83D48">
        <w:rPr>
          <w:rFonts w:eastAsia="Calibri"/>
          <w:szCs w:val="18"/>
        </w:rPr>
        <w:t>In 2022, the share of regular applications processed within one month was 93.5</w:t>
      </w:r>
      <w:r w:rsidR="00C85F36" w:rsidRPr="00E83D48">
        <w:rPr>
          <w:rFonts w:eastAsia="Calibri"/>
          <w:szCs w:val="18"/>
        </w:rPr>
        <w:t xml:space="preserve"> per cent</w:t>
      </w:r>
      <w:r w:rsidRPr="00E83D48">
        <w:rPr>
          <w:rFonts w:eastAsia="Calibri"/>
          <w:szCs w:val="18"/>
        </w:rPr>
        <w:t>. 43.3</w:t>
      </w:r>
      <w:r w:rsidR="00C85F36" w:rsidRPr="00E83D48">
        <w:rPr>
          <w:rFonts w:eastAsia="Calibri"/>
          <w:szCs w:val="18"/>
        </w:rPr>
        <w:t xml:space="preserve"> per cent</w:t>
      </w:r>
      <w:r w:rsidRPr="00E83D48">
        <w:rPr>
          <w:rFonts w:eastAsia="Calibri"/>
          <w:szCs w:val="18"/>
        </w:rPr>
        <w:t xml:space="preserve"> of total processed applications were regular, as compared to 41.4</w:t>
      </w:r>
      <w:r w:rsidR="00C85F36" w:rsidRPr="00E83D48">
        <w:rPr>
          <w:rFonts w:eastAsia="Calibri"/>
          <w:szCs w:val="18"/>
        </w:rPr>
        <w:t xml:space="preserve"> per cent</w:t>
      </w:r>
      <w:r w:rsidRPr="00E83D48">
        <w:rPr>
          <w:rFonts w:eastAsia="Calibri"/>
          <w:szCs w:val="18"/>
        </w:rPr>
        <w:t xml:space="preserve"> in 2021.</w:t>
      </w:r>
    </w:p>
    <w:p w14:paraId="0B4C8CA9" w14:textId="77777777" w:rsidR="003525FF" w:rsidRDefault="003525FF">
      <w:pPr>
        <w:spacing w:after="200" w:line="276" w:lineRule="auto"/>
        <w:rPr>
          <w:b/>
          <w:color w:val="005172" w:themeColor="text2"/>
          <w:sz w:val="32"/>
          <w:szCs w:val="32"/>
          <w:lang w:val="en-US"/>
        </w:rPr>
      </w:pPr>
    </w:p>
    <w:p w14:paraId="5F9CCC53" w14:textId="6787C0F8" w:rsidR="00D45109" w:rsidRDefault="00D45109">
      <w:pPr>
        <w:spacing w:after="200" w:line="276" w:lineRule="auto"/>
        <w:rPr>
          <w:b/>
          <w:color w:val="005172" w:themeColor="text2"/>
          <w:sz w:val="32"/>
          <w:szCs w:val="32"/>
          <w:lang w:val="en-US"/>
        </w:rPr>
      </w:pPr>
      <w:r>
        <w:rPr>
          <w:b/>
          <w:color w:val="005172" w:themeColor="text2"/>
          <w:sz w:val="32"/>
          <w:szCs w:val="32"/>
          <w:lang w:val="en-US"/>
        </w:rPr>
        <w:br w:type="page"/>
      </w:r>
    </w:p>
    <w:p w14:paraId="6F2F65B2" w14:textId="06D26DA4" w:rsidR="006C6030" w:rsidRDefault="006C6030" w:rsidP="008407D7">
      <w:pPr>
        <w:pStyle w:val="AnnexTitle2"/>
        <w:numPr>
          <w:ilvl w:val="0"/>
          <w:numId w:val="25"/>
        </w:numPr>
        <w:rPr>
          <w:lang w:val="en-US"/>
        </w:rPr>
      </w:pPr>
      <w:bookmarkStart w:id="51" w:name="_Toc131175998"/>
      <w:r w:rsidRPr="00D350B5">
        <w:rPr>
          <w:lang w:val="en-US"/>
        </w:rPr>
        <w:t xml:space="preserve">Funds in </w:t>
      </w:r>
      <w:r w:rsidR="003F272C" w:rsidRPr="00D350B5">
        <w:rPr>
          <w:lang w:val="en-US"/>
        </w:rPr>
        <w:t>T</w:t>
      </w:r>
      <w:r w:rsidRPr="00D350B5">
        <w:rPr>
          <w:lang w:val="en-US"/>
        </w:rPr>
        <w:t xml:space="preserve">rust </w:t>
      </w:r>
      <w:r w:rsidR="003F272C" w:rsidRPr="00D350B5">
        <w:rPr>
          <w:lang w:val="en-US"/>
        </w:rPr>
        <w:t>R</w:t>
      </w:r>
      <w:r w:rsidRPr="00D350B5">
        <w:rPr>
          <w:lang w:val="en-US"/>
        </w:rPr>
        <w:t xml:space="preserve">esources </w:t>
      </w:r>
      <w:r w:rsidR="003F272C" w:rsidRPr="00D350B5">
        <w:rPr>
          <w:lang w:val="en-US"/>
        </w:rPr>
        <w:t>P</w:t>
      </w:r>
      <w:r w:rsidRPr="00D350B5">
        <w:rPr>
          <w:lang w:val="en-US"/>
        </w:rPr>
        <w:t xml:space="preserve">otentially </w:t>
      </w:r>
      <w:r w:rsidR="003F272C" w:rsidRPr="00D350B5">
        <w:rPr>
          <w:lang w:val="en-US"/>
        </w:rPr>
        <w:t>A</w:t>
      </w:r>
      <w:r w:rsidRPr="00D350B5">
        <w:rPr>
          <w:lang w:val="en-US"/>
        </w:rPr>
        <w:t xml:space="preserve">vailable for </w:t>
      </w:r>
      <w:r w:rsidR="003F272C" w:rsidRPr="00D350B5">
        <w:rPr>
          <w:lang w:val="en-US"/>
        </w:rPr>
        <w:t>P</w:t>
      </w:r>
      <w:r w:rsidRPr="00D350B5">
        <w:rPr>
          <w:lang w:val="en-US"/>
        </w:rPr>
        <w:t>rogramming</w:t>
      </w:r>
      <w:r w:rsidR="00040069" w:rsidRPr="00040069">
        <w:rPr>
          <w:vertAlign w:val="superscript"/>
          <w:lang w:val="en-US"/>
        </w:rPr>
        <w:t>1</w:t>
      </w:r>
      <w:bookmarkEnd w:id="51"/>
    </w:p>
    <w:p w14:paraId="760B5782" w14:textId="61E92341" w:rsidR="004D67F9" w:rsidRPr="004D67F9" w:rsidRDefault="005E444F" w:rsidP="004D67F9">
      <w:pPr>
        <w:spacing w:after="120" w:line="240" w:lineRule="auto"/>
        <w:jc w:val="center"/>
        <w:rPr>
          <w:rFonts w:ascii="Arial Narrow" w:eastAsia="Times New Roman" w:hAnsi="Arial Narrow" w:cs="Arial"/>
          <w:i/>
          <w:iCs/>
          <w:sz w:val="16"/>
          <w:szCs w:val="16"/>
          <w:lang w:val="en-US"/>
        </w:rPr>
      </w:pPr>
      <w:r>
        <w:rPr>
          <w:rFonts w:ascii="Arial Narrow" w:eastAsia="Times New Roman" w:hAnsi="Arial Narrow" w:cs="Arial"/>
          <w:i/>
          <w:iCs/>
          <w:sz w:val="16"/>
          <w:szCs w:val="16"/>
          <w:lang w:val="en-US"/>
        </w:rPr>
        <w:t>(in thousands of Swiss francs)</w:t>
      </w:r>
    </w:p>
    <w:tbl>
      <w:tblPr>
        <w:tblW w:w="9620" w:type="dxa"/>
        <w:tblLook w:val="04A0" w:firstRow="1" w:lastRow="0" w:firstColumn="1" w:lastColumn="0" w:noHBand="0" w:noVBand="1"/>
      </w:tblPr>
      <w:tblGrid>
        <w:gridCol w:w="643"/>
        <w:gridCol w:w="2553"/>
        <w:gridCol w:w="1054"/>
        <w:gridCol w:w="1067"/>
        <w:gridCol w:w="1061"/>
        <w:gridCol w:w="1051"/>
        <w:gridCol w:w="1067"/>
        <w:gridCol w:w="1124"/>
      </w:tblGrid>
      <w:tr w:rsidR="004D67F9" w:rsidRPr="004D67F9" w14:paraId="0DCB1479" w14:textId="77777777" w:rsidTr="004D67F9">
        <w:trPr>
          <w:divId w:val="106513985"/>
          <w:trHeight w:val="1005"/>
        </w:trPr>
        <w:tc>
          <w:tcPr>
            <w:tcW w:w="643" w:type="dxa"/>
            <w:tcBorders>
              <w:top w:val="nil"/>
              <w:left w:val="nil"/>
              <w:bottom w:val="nil"/>
              <w:right w:val="nil"/>
            </w:tcBorders>
            <w:shd w:val="clear" w:color="000000" w:fill="C7CFD8"/>
            <w:vAlign w:val="center"/>
            <w:hideMark/>
          </w:tcPr>
          <w:p w14:paraId="5242363D" w14:textId="468BA37A" w:rsidR="004D67F9" w:rsidRPr="004D67F9" w:rsidRDefault="004D67F9" w:rsidP="004D67F9">
            <w:pPr>
              <w:spacing w:after="0" w:line="240" w:lineRule="auto"/>
              <w:jc w:val="center"/>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Sector</w:t>
            </w:r>
          </w:p>
        </w:tc>
        <w:tc>
          <w:tcPr>
            <w:tcW w:w="2553" w:type="dxa"/>
            <w:tcBorders>
              <w:top w:val="nil"/>
              <w:left w:val="nil"/>
              <w:bottom w:val="nil"/>
              <w:right w:val="nil"/>
            </w:tcBorders>
            <w:shd w:val="clear" w:color="000000" w:fill="C7CFD8"/>
            <w:vAlign w:val="center"/>
            <w:hideMark/>
          </w:tcPr>
          <w:p w14:paraId="51279E3F" w14:textId="77777777" w:rsidR="004D67F9" w:rsidRPr="004D67F9" w:rsidRDefault="004D67F9" w:rsidP="004D67F9">
            <w:pPr>
              <w:spacing w:after="0" w:line="240" w:lineRule="auto"/>
              <w:ind w:firstLineChars="100" w:firstLine="160"/>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Fund-in-Trust (FIT)</w:t>
            </w:r>
          </w:p>
        </w:tc>
        <w:tc>
          <w:tcPr>
            <w:tcW w:w="1054" w:type="dxa"/>
            <w:tcBorders>
              <w:top w:val="nil"/>
              <w:left w:val="nil"/>
              <w:bottom w:val="nil"/>
              <w:right w:val="nil"/>
            </w:tcBorders>
            <w:shd w:val="clear" w:color="000000" w:fill="C7CFD8"/>
            <w:vAlign w:val="center"/>
            <w:hideMark/>
          </w:tcPr>
          <w:p w14:paraId="77EEB9CA"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Balance as of December 31, 2022</w:t>
            </w:r>
          </w:p>
        </w:tc>
        <w:tc>
          <w:tcPr>
            <w:tcW w:w="1067" w:type="dxa"/>
            <w:tcBorders>
              <w:top w:val="nil"/>
              <w:left w:val="nil"/>
              <w:bottom w:val="nil"/>
              <w:right w:val="nil"/>
            </w:tcBorders>
            <w:shd w:val="clear" w:color="000000" w:fill="C7CFD8"/>
            <w:vAlign w:val="center"/>
            <w:hideMark/>
          </w:tcPr>
          <w:p w14:paraId="1C5A7199"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contributions </w:t>
            </w:r>
            <w:r w:rsidRPr="004D67F9">
              <w:rPr>
                <w:rFonts w:ascii="Arial Narrow" w:eastAsia="Times New Roman" w:hAnsi="Arial Narrow" w:cs="Times New Roman"/>
                <w:b/>
                <w:bCs/>
                <w:sz w:val="16"/>
                <w:szCs w:val="16"/>
                <w:lang w:val="en-US"/>
              </w:rPr>
              <w:br/>
              <w:t xml:space="preserve">2023 </w:t>
            </w:r>
            <w:r w:rsidRPr="004D67F9">
              <w:rPr>
                <w:rFonts w:ascii="Arial Narrow" w:eastAsia="Times New Roman" w:hAnsi="Arial Narrow" w:cs="Times New Roman"/>
                <w:b/>
                <w:bCs/>
                <w:sz w:val="16"/>
                <w:szCs w:val="16"/>
                <w:vertAlign w:val="superscript"/>
                <w:lang w:val="en-US"/>
              </w:rPr>
              <w:t>2</w:t>
            </w:r>
          </w:p>
        </w:tc>
        <w:tc>
          <w:tcPr>
            <w:tcW w:w="1061" w:type="dxa"/>
            <w:tcBorders>
              <w:top w:val="nil"/>
              <w:left w:val="nil"/>
              <w:bottom w:val="nil"/>
              <w:right w:val="nil"/>
            </w:tcBorders>
            <w:shd w:val="clear" w:color="000000" w:fill="C7CFD8"/>
            <w:vAlign w:val="center"/>
            <w:hideMark/>
          </w:tcPr>
          <w:p w14:paraId="54C4ADC2"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expenditure end 2023 </w:t>
            </w:r>
            <w:r w:rsidRPr="004D67F9">
              <w:rPr>
                <w:rFonts w:ascii="Arial Narrow" w:eastAsia="Times New Roman" w:hAnsi="Arial Narrow" w:cs="Times New Roman"/>
                <w:b/>
                <w:bCs/>
                <w:sz w:val="16"/>
                <w:szCs w:val="16"/>
                <w:vertAlign w:val="superscript"/>
                <w:lang w:val="en-US"/>
              </w:rPr>
              <w:t xml:space="preserve">3 </w:t>
            </w:r>
          </w:p>
        </w:tc>
        <w:tc>
          <w:tcPr>
            <w:tcW w:w="1051" w:type="dxa"/>
            <w:tcBorders>
              <w:top w:val="nil"/>
              <w:left w:val="nil"/>
              <w:bottom w:val="nil"/>
              <w:right w:val="nil"/>
            </w:tcBorders>
            <w:shd w:val="clear" w:color="000000" w:fill="C7CFD8"/>
            <w:vAlign w:val="center"/>
            <w:hideMark/>
          </w:tcPr>
          <w:p w14:paraId="184AC7A4"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Expected balance end 2023 </w:t>
            </w:r>
          </w:p>
        </w:tc>
        <w:tc>
          <w:tcPr>
            <w:tcW w:w="1067" w:type="dxa"/>
            <w:tcBorders>
              <w:top w:val="nil"/>
              <w:left w:val="nil"/>
              <w:bottom w:val="nil"/>
              <w:right w:val="nil"/>
            </w:tcBorders>
            <w:shd w:val="clear" w:color="000000" w:fill="C7CFD8"/>
            <w:vAlign w:val="center"/>
            <w:hideMark/>
          </w:tcPr>
          <w:p w14:paraId="07D9A218"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Estimated contributions 2024/25 </w:t>
            </w:r>
            <w:r w:rsidRPr="004D67F9">
              <w:rPr>
                <w:rFonts w:ascii="Arial Narrow" w:eastAsia="Times New Roman" w:hAnsi="Arial Narrow" w:cs="Times New Roman"/>
                <w:b/>
                <w:bCs/>
                <w:sz w:val="16"/>
                <w:szCs w:val="16"/>
                <w:vertAlign w:val="superscript"/>
                <w:lang w:val="en-US"/>
              </w:rPr>
              <w:t xml:space="preserve">2 </w:t>
            </w:r>
          </w:p>
        </w:tc>
        <w:tc>
          <w:tcPr>
            <w:tcW w:w="1124" w:type="dxa"/>
            <w:tcBorders>
              <w:top w:val="nil"/>
              <w:left w:val="nil"/>
              <w:bottom w:val="nil"/>
              <w:right w:val="nil"/>
            </w:tcBorders>
            <w:shd w:val="clear" w:color="000000" w:fill="C7CFD8"/>
            <w:vAlign w:val="center"/>
            <w:hideMark/>
          </w:tcPr>
          <w:p w14:paraId="432C1915" w14:textId="77777777" w:rsidR="004D67F9" w:rsidRPr="004D67F9" w:rsidRDefault="004D67F9" w:rsidP="004D67F9">
            <w:pPr>
              <w:spacing w:after="0" w:line="240" w:lineRule="auto"/>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xml:space="preserve"> Estimated amount available for programming in 2024/25 </w:t>
            </w:r>
          </w:p>
        </w:tc>
      </w:tr>
      <w:tr w:rsidR="004D67F9" w:rsidRPr="004D67F9" w14:paraId="71969344" w14:textId="77777777" w:rsidTr="004816E7">
        <w:trPr>
          <w:divId w:val="106513985"/>
          <w:trHeight w:hRule="exact" w:val="216"/>
        </w:trPr>
        <w:tc>
          <w:tcPr>
            <w:tcW w:w="643" w:type="dxa"/>
            <w:tcBorders>
              <w:top w:val="nil"/>
              <w:left w:val="nil"/>
              <w:bottom w:val="nil"/>
              <w:right w:val="nil"/>
            </w:tcBorders>
            <w:shd w:val="clear" w:color="000000" w:fill="FFFFFF"/>
            <w:hideMark/>
          </w:tcPr>
          <w:p w14:paraId="42DD1144"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BD</w:t>
            </w:r>
          </w:p>
        </w:tc>
        <w:tc>
          <w:tcPr>
            <w:tcW w:w="2553" w:type="dxa"/>
            <w:tcBorders>
              <w:top w:val="nil"/>
              <w:left w:val="nil"/>
              <w:bottom w:val="nil"/>
              <w:right w:val="nil"/>
            </w:tcBorders>
            <w:shd w:val="clear" w:color="000000" w:fill="FFFFFF"/>
            <w:noWrap/>
            <w:hideMark/>
          </w:tcPr>
          <w:p w14:paraId="35EC3718"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China</w:t>
            </w:r>
          </w:p>
        </w:tc>
        <w:tc>
          <w:tcPr>
            <w:tcW w:w="1054" w:type="dxa"/>
            <w:tcBorders>
              <w:top w:val="nil"/>
              <w:left w:val="nil"/>
              <w:bottom w:val="nil"/>
              <w:right w:val="nil"/>
            </w:tcBorders>
            <w:shd w:val="clear" w:color="000000" w:fill="FFFFFF"/>
            <w:noWrap/>
            <w:hideMark/>
          </w:tcPr>
          <w:p w14:paraId="420A61F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557</w:t>
            </w:r>
          </w:p>
        </w:tc>
        <w:tc>
          <w:tcPr>
            <w:tcW w:w="1067" w:type="dxa"/>
            <w:tcBorders>
              <w:top w:val="nil"/>
              <w:left w:val="nil"/>
              <w:bottom w:val="nil"/>
              <w:right w:val="nil"/>
            </w:tcBorders>
            <w:shd w:val="clear" w:color="000000" w:fill="FFFFFF"/>
            <w:noWrap/>
            <w:hideMark/>
          </w:tcPr>
          <w:p w14:paraId="235C4CA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279</w:t>
            </w:r>
          </w:p>
        </w:tc>
        <w:tc>
          <w:tcPr>
            <w:tcW w:w="1061" w:type="dxa"/>
            <w:tcBorders>
              <w:top w:val="nil"/>
              <w:left w:val="nil"/>
              <w:bottom w:val="nil"/>
              <w:right w:val="nil"/>
            </w:tcBorders>
            <w:shd w:val="clear" w:color="000000" w:fill="FFFFFF"/>
            <w:noWrap/>
            <w:hideMark/>
          </w:tcPr>
          <w:p w14:paraId="26F6081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223</w:t>
            </w:r>
          </w:p>
        </w:tc>
        <w:tc>
          <w:tcPr>
            <w:tcW w:w="1051" w:type="dxa"/>
            <w:tcBorders>
              <w:top w:val="nil"/>
              <w:left w:val="nil"/>
              <w:bottom w:val="nil"/>
              <w:right w:val="nil"/>
            </w:tcBorders>
            <w:shd w:val="clear" w:color="000000" w:fill="FFFFFF"/>
            <w:noWrap/>
            <w:hideMark/>
          </w:tcPr>
          <w:p w14:paraId="47A187F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614</w:t>
            </w:r>
          </w:p>
        </w:tc>
        <w:tc>
          <w:tcPr>
            <w:tcW w:w="1067" w:type="dxa"/>
            <w:tcBorders>
              <w:top w:val="nil"/>
              <w:left w:val="nil"/>
              <w:bottom w:val="nil"/>
              <w:right w:val="nil"/>
            </w:tcBorders>
            <w:shd w:val="clear" w:color="000000" w:fill="FFFFFF"/>
            <w:noWrap/>
            <w:hideMark/>
          </w:tcPr>
          <w:p w14:paraId="1AE9E34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558</w:t>
            </w:r>
          </w:p>
        </w:tc>
        <w:tc>
          <w:tcPr>
            <w:tcW w:w="1124" w:type="dxa"/>
            <w:tcBorders>
              <w:top w:val="nil"/>
              <w:left w:val="nil"/>
              <w:bottom w:val="nil"/>
              <w:right w:val="nil"/>
            </w:tcBorders>
            <w:shd w:val="clear" w:color="000000" w:fill="FFFFFF"/>
            <w:noWrap/>
            <w:hideMark/>
          </w:tcPr>
          <w:p w14:paraId="19BFE3E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1,172</w:t>
            </w:r>
          </w:p>
        </w:tc>
      </w:tr>
      <w:tr w:rsidR="004D67F9" w:rsidRPr="004D67F9" w14:paraId="0C2385ED" w14:textId="77777777" w:rsidTr="004816E7">
        <w:trPr>
          <w:divId w:val="106513985"/>
          <w:trHeight w:hRule="exact" w:val="216"/>
        </w:trPr>
        <w:tc>
          <w:tcPr>
            <w:tcW w:w="643" w:type="dxa"/>
            <w:tcBorders>
              <w:top w:val="nil"/>
              <w:left w:val="nil"/>
              <w:bottom w:val="nil"/>
              <w:right w:val="nil"/>
            </w:tcBorders>
            <w:shd w:val="clear" w:color="000000" w:fill="FFFFFF"/>
            <w:hideMark/>
          </w:tcPr>
          <w:p w14:paraId="389C980E"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noWrap/>
            <w:hideMark/>
          </w:tcPr>
          <w:p w14:paraId="6A8230C4"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China (HR)</w:t>
            </w:r>
          </w:p>
        </w:tc>
        <w:tc>
          <w:tcPr>
            <w:tcW w:w="1054" w:type="dxa"/>
            <w:tcBorders>
              <w:top w:val="nil"/>
              <w:left w:val="nil"/>
              <w:bottom w:val="nil"/>
              <w:right w:val="nil"/>
            </w:tcBorders>
            <w:shd w:val="clear" w:color="000000" w:fill="FFFFFF"/>
            <w:noWrap/>
            <w:hideMark/>
          </w:tcPr>
          <w:p w14:paraId="1F95CDA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411</w:t>
            </w:r>
          </w:p>
        </w:tc>
        <w:tc>
          <w:tcPr>
            <w:tcW w:w="1067" w:type="dxa"/>
            <w:tcBorders>
              <w:top w:val="nil"/>
              <w:left w:val="nil"/>
              <w:bottom w:val="nil"/>
              <w:right w:val="nil"/>
            </w:tcBorders>
            <w:shd w:val="clear" w:color="000000" w:fill="FFFFFF"/>
            <w:noWrap/>
            <w:hideMark/>
          </w:tcPr>
          <w:p w14:paraId="51007D6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833</w:t>
            </w:r>
          </w:p>
        </w:tc>
        <w:tc>
          <w:tcPr>
            <w:tcW w:w="1061" w:type="dxa"/>
            <w:tcBorders>
              <w:top w:val="nil"/>
              <w:left w:val="nil"/>
              <w:bottom w:val="nil"/>
              <w:right w:val="nil"/>
            </w:tcBorders>
            <w:shd w:val="clear" w:color="000000" w:fill="FFFFFF"/>
            <w:noWrap/>
            <w:hideMark/>
          </w:tcPr>
          <w:p w14:paraId="1AD8AA0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567</w:t>
            </w:r>
          </w:p>
        </w:tc>
        <w:tc>
          <w:tcPr>
            <w:tcW w:w="1051" w:type="dxa"/>
            <w:tcBorders>
              <w:top w:val="nil"/>
              <w:left w:val="nil"/>
              <w:bottom w:val="nil"/>
              <w:right w:val="nil"/>
            </w:tcBorders>
            <w:shd w:val="clear" w:color="000000" w:fill="FFFFFF"/>
            <w:noWrap/>
            <w:hideMark/>
          </w:tcPr>
          <w:p w14:paraId="050053F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676</w:t>
            </w:r>
          </w:p>
        </w:tc>
        <w:tc>
          <w:tcPr>
            <w:tcW w:w="1067" w:type="dxa"/>
            <w:tcBorders>
              <w:top w:val="nil"/>
              <w:left w:val="nil"/>
              <w:bottom w:val="nil"/>
              <w:right w:val="nil"/>
            </w:tcBorders>
            <w:shd w:val="clear" w:color="000000" w:fill="FFFFFF"/>
            <w:noWrap/>
            <w:hideMark/>
          </w:tcPr>
          <w:p w14:paraId="78A2211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1,665</w:t>
            </w:r>
          </w:p>
        </w:tc>
        <w:tc>
          <w:tcPr>
            <w:tcW w:w="1124" w:type="dxa"/>
            <w:tcBorders>
              <w:top w:val="nil"/>
              <w:left w:val="nil"/>
              <w:bottom w:val="nil"/>
              <w:right w:val="nil"/>
            </w:tcBorders>
            <w:shd w:val="clear" w:color="000000" w:fill="FFFFFF"/>
            <w:noWrap/>
            <w:hideMark/>
          </w:tcPr>
          <w:p w14:paraId="7EDD556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2,342</w:t>
            </w:r>
          </w:p>
        </w:tc>
      </w:tr>
      <w:tr w:rsidR="004D67F9" w:rsidRPr="004D67F9" w14:paraId="7CFDFE62"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49D59FA7"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235A993E"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65B5B59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968</w:t>
            </w:r>
          </w:p>
        </w:tc>
        <w:tc>
          <w:tcPr>
            <w:tcW w:w="1067" w:type="dxa"/>
            <w:tcBorders>
              <w:top w:val="single" w:sz="4" w:space="0" w:color="BFBFBF"/>
              <w:left w:val="nil"/>
              <w:bottom w:val="single" w:sz="4" w:space="0" w:color="BFBFBF"/>
              <w:right w:val="nil"/>
            </w:tcBorders>
            <w:shd w:val="clear" w:color="000000" w:fill="FFFFFF"/>
            <w:vAlign w:val="center"/>
            <w:hideMark/>
          </w:tcPr>
          <w:p w14:paraId="07053CE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1,112</w:t>
            </w:r>
          </w:p>
        </w:tc>
        <w:tc>
          <w:tcPr>
            <w:tcW w:w="1061" w:type="dxa"/>
            <w:tcBorders>
              <w:top w:val="single" w:sz="4" w:space="0" w:color="BFBFBF"/>
              <w:left w:val="nil"/>
              <w:bottom w:val="single" w:sz="4" w:space="0" w:color="BFBFBF"/>
              <w:right w:val="nil"/>
            </w:tcBorders>
            <w:shd w:val="clear" w:color="000000" w:fill="FFFFFF"/>
            <w:vAlign w:val="center"/>
            <w:hideMark/>
          </w:tcPr>
          <w:p w14:paraId="6EFF115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789</w:t>
            </w:r>
          </w:p>
        </w:tc>
        <w:tc>
          <w:tcPr>
            <w:tcW w:w="1051" w:type="dxa"/>
            <w:tcBorders>
              <w:top w:val="single" w:sz="4" w:space="0" w:color="BFBFBF"/>
              <w:left w:val="nil"/>
              <w:bottom w:val="single" w:sz="4" w:space="0" w:color="BFBFBF"/>
              <w:right w:val="nil"/>
            </w:tcBorders>
            <w:shd w:val="clear" w:color="000000" w:fill="FFFFFF"/>
            <w:vAlign w:val="center"/>
            <w:hideMark/>
          </w:tcPr>
          <w:p w14:paraId="4A49D84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1,290</w:t>
            </w:r>
          </w:p>
        </w:tc>
        <w:tc>
          <w:tcPr>
            <w:tcW w:w="1067" w:type="dxa"/>
            <w:tcBorders>
              <w:top w:val="single" w:sz="4" w:space="0" w:color="BFBFBF"/>
              <w:left w:val="nil"/>
              <w:bottom w:val="single" w:sz="4" w:space="0" w:color="BFBFBF"/>
              <w:right w:val="nil"/>
            </w:tcBorders>
            <w:shd w:val="clear" w:color="000000" w:fill="FFFFFF"/>
            <w:vAlign w:val="center"/>
            <w:hideMark/>
          </w:tcPr>
          <w:p w14:paraId="0DFAFE5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2,223</w:t>
            </w:r>
          </w:p>
        </w:tc>
        <w:tc>
          <w:tcPr>
            <w:tcW w:w="1124" w:type="dxa"/>
            <w:tcBorders>
              <w:top w:val="single" w:sz="4" w:space="0" w:color="BFBFBF"/>
              <w:left w:val="nil"/>
              <w:bottom w:val="single" w:sz="4" w:space="0" w:color="BFBFBF"/>
              <w:right w:val="nil"/>
            </w:tcBorders>
            <w:shd w:val="clear" w:color="000000" w:fill="FFFFFF"/>
            <w:vAlign w:val="center"/>
            <w:hideMark/>
          </w:tcPr>
          <w:p w14:paraId="70FB8A8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3,514</w:t>
            </w:r>
          </w:p>
        </w:tc>
      </w:tr>
      <w:tr w:rsidR="004D67F9" w:rsidRPr="004D67F9" w14:paraId="4AB87CA8" w14:textId="77777777" w:rsidTr="004816E7">
        <w:trPr>
          <w:divId w:val="106513985"/>
          <w:trHeight w:hRule="exact" w:val="216"/>
        </w:trPr>
        <w:tc>
          <w:tcPr>
            <w:tcW w:w="643" w:type="dxa"/>
            <w:tcBorders>
              <w:top w:val="nil"/>
              <w:left w:val="nil"/>
              <w:bottom w:val="nil"/>
              <w:right w:val="nil"/>
            </w:tcBorders>
            <w:shd w:val="clear" w:color="000000" w:fill="FFFFFF"/>
            <w:hideMark/>
          </w:tcPr>
          <w:p w14:paraId="3714EF5C"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CCI</w:t>
            </w:r>
          </w:p>
        </w:tc>
        <w:tc>
          <w:tcPr>
            <w:tcW w:w="2553" w:type="dxa"/>
            <w:tcBorders>
              <w:top w:val="nil"/>
              <w:left w:val="nil"/>
              <w:bottom w:val="nil"/>
              <w:right w:val="nil"/>
            </w:tcBorders>
            <w:shd w:val="clear" w:color="000000" w:fill="FFFFFF"/>
            <w:hideMark/>
          </w:tcPr>
          <w:p w14:paraId="392F7CB5"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Japan (Copyright)</w:t>
            </w:r>
          </w:p>
        </w:tc>
        <w:tc>
          <w:tcPr>
            <w:tcW w:w="1054" w:type="dxa"/>
            <w:tcBorders>
              <w:top w:val="nil"/>
              <w:left w:val="nil"/>
              <w:bottom w:val="nil"/>
              <w:right w:val="nil"/>
            </w:tcBorders>
            <w:shd w:val="clear" w:color="000000" w:fill="FFFFFF"/>
            <w:noWrap/>
            <w:hideMark/>
          </w:tcPr>
          <w:p w14:paraId="6DCFEEE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1,050</w:t>
            </w:r>
          </w:p>
        </w:tc>
        <w:tc>
          <w:tcPr>
            <w:tcW w:w="1067" w:type="dxa"/>
            <w:tcBorders>
              <w:top w:val="nil"/>
              <w:left w:val="nil"/>
              <w:bottom w:val="nil"/>
              <w:right w:val="nil"/>
            </w:tcBorders>
            <w:shd w:val="clear" w:color="000000" w:fill="FFFFFF"/>
            <w:noWrap/>
            <w:hideMark/>
          </w:tcPr>
          <w:p w14:paraId="5D0C711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469</w:t>
            </w:r>
          </w:p>
        </w:tc>
        <w:tc>
          <w:tcPr>
            <w:tcW w:w="1061" w:type="dxa"/>
            <w:tcBorders>
              <w:top w:val="nil"/>
              <w:left w:val="nil"/>
              <w:bottom w:val="nil"/>
              <w:right w:val="nil"/>
            </w:tcBorders>
            <w:shd w:val="clear" w:color="000000" w:fill="FFFFFF"/>
            <w:noWrap/>
            <w:hideMark/>
          </w:tcPr>
          <w:p w14:paraId="415AD46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269</w:t>
            </w:r>
          </w:p>
        </w:tc>
        <w:tc>
          <w:tcPr>
            <w:tcW w:w="1051" w:type="dxa"/>
            <w:tcBorders>
              <w:top w:val="nil"/>
              <w:left w:val="nil"/>
              <w:bottom w:val="nil"/>
              <w:right w:val="nil"/>
            </w:tcBorders>
            <w:shd w:val="clear" w:color="000000" w:fill="FFFFFF"/>
            <w:noWrap/>
            <w:hideMark/>
          </w:tcPr>
          <w:p w14:paraId="54940A0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1,250</w:t>
            </w:r>
          </w:p>
        </w:tc>
        <w:tc>
          <w:tcPr>
            <w:tcW w:w="1067" w:type="dxa"/>
            <w:tcBorders>
              <w:top w:val="nil"/>
              <w:left w:val="nil"/>
              <w:bottom w:val="nil"/>
              <w:right w:val="nil"/>
            </w:tcBorders>
            <w:shd w:val="clear" w:color="000000" w:fill="FFFFFF"/>
            <w:noWrap/>
            <w:hideMark/>
          </w:tcPr>
          <w:p w14:paraId="4E5088E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937</w:t>
            </w:r>
          </w:p>
        </w:tc>
        <w:tc>
          <w:tcPr>
            <w:tcW w:w="1124" w:type="dxa"/>
            <w:tcBorders>
              <w:top w:val="nil"/>
              <w:left w:val="nil"/>
              <w:bottom w:val="nil"/>
              <w:right w:val="nil"/>
            </w:tcBorders>
            <w:shd w:val="clear" w:color="000000" w:fill="FFFFFF"/>
            <w:noWrap/>
            <w:hideMark/>
          </w:tcPr>
          <w:p w14:paraId="029FE24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2,187</w:t>
            </w:r>
          </w:p>
        </w:tc>
      </w:tr>
      <w:tr w:rsidR="004D67F9" w:rsidRPr="004D67F9" w14:paraId="03C1C5A2" w14:textId="77777777" w:rsidTr="004816E7">
        <w:trPr>
          <w:divId w:val="106513985"/>
          <w:trHeight w:hRule="exact" w:val="216"/>
        </w:trPr>
        <w:tc>
          <w:tcPr>
            <w:tcW w:w="643" w:type="dxa"/>
            <w:tcBorders>
              <w:top w:val="nil"/>
              <w:left w:val="nil"/>
              <w:bottom w:val="nil"/>
              <w:right w:val="nil"/>
            </w:tcBorders>
            <w:shd w:val="clear" w:color="000000" w:fill="FFFFFF"/>
            <w:hideMark/>
          </w:tcPr>
          <w:p w14:paraId="22932216"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018F6370"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Japan (Junior Professional Officers)</w:t>
            </w:r>
          </w:p>
        </w:tc>
        <w:tc>
          <w:tcPr>
            <w:tcW w:w="1054" w:type="dxa"/>
            <w:tcBorders>
              <w:top w:val="nil"/>
              <w:left w:val="nil"/>
              <w:bottom w:val="nil"/>
              <w:right w:val="nil"/>
            </w:tcBorders>
            <w:shd w:val="clear" w:color="000000" w:fill="FFFFFF"/>
            <w:noWrap/>
            <w:hideMark/>
          </w:tcPr>
          <w:p w14:paraId="74E6711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169</w:t>
            </w:r>
          </w:p>
        </w:tc>
        <w:tc>
          <w:tcPr>
            <w:tcW w:w="1067" w:type="dxa"/>
            <w:tcBorders>
              <w:top w:val="nil"/>
              <w:left w:val="nil"/>
              <w:bottom w:val="nil"/>
              <w:right w:val="nil"/>
            </w:tcBorders>
            <w:shd w:val="clear" w:color="000000" w:fill="FFFFFF"/>
            <w:noWrap/>
            <w:hideMark/>
          </w:tcPr>
          <w:p w14:paraId="478C678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706D717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51" w:type="dxa"/>
            <w:tcBorders>
              <w:top w:val="nil"/>
              <w:left w:val="nil"/>
              <w:bottom w:val="nil"/>
              <w:right w:val="nil"/>
            </w:tcBorders>
            <w:shd w:val="clear" w:color="000000" w:fill="FFFFFF"/>
            <w:noWrap/>
            <w:hideMark/>
          </w:tcPr>
          <w:p w14:paraId="31A631D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169</w:t>
            </w:r>
          </w:p>
        </w:tc>
        <w:tc>
          <w:tcPr>
            <w:tcW w:w="1067" w:type="dxa"/>
            <w:tcBorders>
              <w:top w:val="nil"/>
              <w:left w:val="nil"/>
              <w:bottom w:val="nil"/>
              <w:right w:val="nil"/>
            </w:tcBorders>
            <w:shd w:val="clear" w:color="000000" w:fill="FFFFFF"/>
            <w:noWrap/>
            <w:hideMark/>
          </w:tcPr>
          <w:p w14:paraId="4FD25EF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54921879"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169</w:t>
            </w:r>
          </w:p>
        </w:tc>
      </w:tr>
      <w:tr w:rsidR="004D67F9" w:rsidRPr="004D67F9" w14:paraId="6C5CDE3E" w14:textId="77777777" w:rsidTr="004816E7">
        <w:trPr>
          <w:divId w:val="106513985"/>
          <w:trHeight w:hRule="exact" w:val="216"/>
        </w:trPr>
        <w:tc>
          <w:tcPr>
            <w:tcW w:w="643" w:type="dxa"/>
            <w:tcBorders>
              <w:top w:val="nil"/>
              <w:left w:val="nil"/>
              <w:bottom w:val="nil"/>
              <w:right w:val="nil"/>
            </w:tcBorders>
            <w:shd w:val="clear" w:color="000000" w:fill="FFFFFF"/>
            <w:hideMark/>
          </w:tcPr>
          <w:p w14:paraId="3BC78C01"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7152C605"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(Copyright)</w:t>
            </w:r>
          </w:p>
        </w:tc>
        <w:tc>
          <w:tcPr>
            <w:tcW w:w="1054" w:type="dxa"/>
            <w:tcBorders>
              <w:top w:val="nil"/>
              <w:left w:val="nil"/>
              <w:bottom w:val="nil"/>
              <w:right w:val="nil"/>
            </w:tcBorders>
            <w:shd w:val="clear" w:color="000000" w:fill="FFFFFF"/>
            <w:noWrap/>
            <w:hideMark/>
          </w:tcPr>
          <w:p w14:paraId="0F83AED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1,248</w:t>
            </w:r>
          </w:p>
        </w:tc>
        <w:tc>
          <w:tcPr>
            <w:tcW w:w="1067" w:type="dxa"/>
            <w:tcBorders>
              <w:top w:val="nil"/>
              <w:left w:val="nil"/>
              <w:bottom w:val="nil"/>
              <w:right w:val="nil"/>
            </w:tcBorders>
            <w:shd w:val="clear" w:color="000000" w:fill="FFFFFF"/>
            <w:noWrap/>
            <w:hideMark/>
          </w:tcPr>
          <w:p w14:paraId="49D7663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322</w:t>
            </w:r>
          </w:p>
        </w:tc>
        <w:tc>
          <w:tcPr>
            <w:tcW w:w="1061" w:type="dxa"/>
            <w:tcBorders>
              <w:top w:val="nil"/>
              <w:left w:val="nil"/>
              <w:bottom w:val="nil"/>
              <w:right w:val="nil"/>
            </w:tcBorders>
            <w:shd w:val="clear" w:color="000000" w:fill="FFFFFF"/>
            <w:noWrap/>
            <w:hideMark/>
          </w:tcPr>
          <w:p w14:paraId="67792C5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228</w:t>
            </w:r>
          </w:p>
        </w:tc>
        <w:tc>
          <w:tcPr>
            <w:tcW w:w="1051" w:type="dxa"/>
            <w:tcBorders>
              <w:top w:val="nil"/>
              <w:left w:val="nil"/>
              <w:bottom w:val="nil"/>
              <w:right w:val="nil"/>
            </w:tcBorders>
            <w:shd w:val="clear" w:color="000000" w:fill="FFFFFF"/>
            <w:noWrap/>
            <w:hideMark/>
          </w:tcPr>
          <w:p w14:paraId="2EA6CFB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1,341</w:t>
            </w:r>
          </w:p>
        </w:tc>
        <w:tc>
          <w:tcPr>
            <w:tcW w:w="1067" w:type="dxa"/>
            <w:tcBorders>
              <w:top w:val="nil"/>
              <w:left w:val="nil"/>
              <w:bottom w:val="nil"/>
              <w:right w:val="nil"/>
            </w:tcBorders>
            <w:shd w:val="clear" w:color="000000" w:fill="FFFFFF"/>
            <w:noWrap/>
            <w:hideMark/>
          </w:tcPr>
          <w:p w14:paraId="507B453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644</w:t>
            </w:r>
          </w:p>
        </w:tc>
        <w:tc>
          <w:tcPr>
            <w:tcW w:w="1124" w:type="dxa"/>
            <w:tcBorders>
              <w:top w:val="nil"/>
              <w:left w:val="nil"/>
              <w:bottom w:val="nil"/>
              <w:right w:val="nil"/>
            </w:tcBorders>
            <w:shd w:val="clear" w:color="000000" w:fill="FFFFFF"/>
            <w:noWrap/>
            <w:hideMark/>
          </w:tcPr>
          <w:p w14:paraId="241C4A5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1,985</w:t>
            </w:r>
          </w:p>
        </w:tc>
      </w:tr>
      <w:tr w:rsidR="004D67F9" w:rsidRPr="004D67F9" w14:paraId="06BE7810" w14:textId="77777777" w:rsidTr="004816E7">
        <w:trPr>
          <w:divId w:val="106513985"/>
          <w:trHeight w:hRule="exact" w:val="216"/>
        </w:trPr>
        <w:tc>
          <w:tcPr>
            <w:tcW w:w="643" w:type="dxa"/>
            <w:tcBorders>
              <w:top w:val="nil"/>
              <w:left w:val="nil"/>
              <w:bottom w:val="nil"/>
              <w:right w:val="nil"/>
            </w:tcBorders>
            <w:shd w:val="clear" w:color="000000" w:fill="FFFFFF"/>
            <w:hideMark/>
          </w:tcPr>
          <w:p w14:paraId="41C6ED47"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0789A745"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(Copyright/Professional Officers)</w:t>
            </w:r>
          </w:p>
        </w:tc>
        <w:tc>
          <w:tcPr>
            <w:tcW w:w="1054" w:type="dxa"/>
            <w:tcBorders>
              <w:top w:val="nil"/>
              <w:left w:val="nil"/>
              <w:bottom w:val="nil"/>
              <w:right w:val="nil"/>
            </w:tcBorders>
            <w:shd w:val="clear" w:color="000000" w:fill="FFFFFF"/>
            <w:noWrap/>
            <w:hideMark/>
          </w:tcPr>
          <w:p w14:paraId="46E2B9D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175</w:t>
            </w:r>
          </w:p>
        </w:tc>
        <w:tc>
          <w:tcPr>
            <w:tcW w:w="1067" w:type="dxa"/>
            <w:tcBorders>
              <w:top w:val="nil"/>
              <w:left w:val="nil"/>
              <w:bottom w:val="nil"/>
              <w:right w:val="nil"/>
            </w:tcBorders>
            <w:shd w:val="clear" w:color="000000" w:fill="FFFFFF"/>
            <w:noWrap/>
            <w:hideMark/>
          </w:tcPr>
          <w:p w14:paraId="02FF3FC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239</w:t>
            </w:r>
          </w:p>
        </w:tc>
        <w:tc>
          <w:tcPr>
            <w:tcW w:w="1061" w:type="dxa"/>
            <w:tcBorders>
              <w:top w:val="nil"/>
              <w:left w:val="nil"/>
              <w:bottom w:val="nil"/>
              <w:right w:val="nil"/>
            </w:tcBorders>
            <w:shd w:val="clear" w:color="000000" w:fill="FFFFFF"/>
            <w:noWrap/>
            <w:hideMark/>
          </w:tcPr>
          <w:p w14:paraId="153F49C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208</w:t>
            </w:r>
          </w:p>
        </w:tc>
        <w:tc>
          <w:tcPr>
            <w:tcW w:w="1051" w:type="dxa"/>
            <w:tcBorders>
              <w:top w:val="nil"/>
              <w:left w:val="nil"/>
              <w:bottom w:val="nil"/>
              <w:right w:val="nil"/>
            </w:tcBorders>
            <w:shd w:val="clear" w:color="000000" w:fill="FFFFFF"/>
            <w:noWrap/>
            <w:hideMark/>
          </w:tcPr>
          <w:p w14:paraId="37FE3AE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206</w:t>
            </w:r>
          </w:p>
        </w:tc>
        <w:tc>
          <w:tcPr>
            <w:tcW w:w="1067" w:type="dxa"/>
            <w:tcBorders>
              <w:top w:val="nil"/>
              <w:left w:val="nil"/>
              <w:bottom w:val="nil"/>
              <w:right w:val="nil"/>
            </w:tcBorders>
            <w:shd w:val="clear" w:color="000000" w:fill="FFFFFF"/>
            <w:noWrap/>
            <w:hideMark/>
          </w:tcPr>
          <w:p w14:paraId="2F257D3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478</w:t>
            </w:r>
          </w:p>
        </w:tc>
        <w:tc>
          <w:tcPr>
            <w:tcW w:w="1124" w:type="dxa"/>
            <w:tcBorders>
              <w:top w:val="nil"/>
              <w:left w:val="nil"/>
              <w:bottom w:val="nil"/>
              <w:right w:val="nil"/>
            </w:tcBorders>
            <w:shd w:val="clear" w:color="000000" w:fill="FFFFFF"/>
            <w:noWrap/>
            <w:hideMark/>
          </w:tcPr>
          <w:p w14:paraId="4C4178A7" w14:textId="77777777" w:rsidR="004D67F9" w:rsidRPr="004D67F9" w:rsidRDefault="004D67F9" w:rsidP="004D67F9">
            <w:pPr>
              <w:spacing w:after="0" w:line="240" w:lineRule="auto"/>
              <w:jc w:val="right"/>
              <w:rPr>
                <w:rFonts w:ascii="Arial Narrow" w:eastAsia="Times New Roman" w:hAnsi="Arial Narrow" w:cs="Times New Roman"/>
                <w:color w:val="000000"/>
                <w:sz w:val="16"/>
                <w:szCs w:val="16"/>
                <w:lang w:val="en-US"/>
              </w:rPr>
            </w:pPr>
            <w:r w:rsidRPr="004D67F9">
              <w:rPr>
                <w:rFonts w:ascii="Arial Narrow" w:eastAsia="Times New Roman" w:hAnsi="Arial Narrow" w:cs="Times New Roman"/>
                <w:color w:val="000000"/>
                <w:sz w:val="16"/>
                <w:szCs w:val="16"/>
                <w:lang w:val="en-US"/>
              </w:rPr>
              <w:t>684</w:t>
            </w:r>
          </w:p>
        </w:tc>
      </w:tr>
      <w:tr w:rsidR="004D67F9" w:rsidRPr="004D67F9" w14:paraId="3A9B9160" w14:textId="77777777" w:rsidTr="004816E7">
        <w:trPr>
          <w:divId w:val="106513985"/>
          <w:trHeight w:hRule="exact" w:val="216"/>
        </w:trPr>
        <w:tc>
          <w:tcPr>
            <w:tcW w:w="643" w:type="dxa"/>
            <w:tcBorders>
              <w:top w:val="nil"/>
              <w:left w:val="nil"/>
              <w:bottom w:val="nil"/>
              <w:right w:val="nil"/>
            </w:tcBorders>
            <w:shd w:val="clear" w:color="000000" w:fill="FFFFFF"/>
            <w:hideMark/>
          </w:tcPr>
          <w:p w14:paraId="5410A5AC"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1DB0A99A"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WIPO for Creators</w:t>
            </w:r>
          </w:p>
        </w:tc>
        <w:tc>
          <w:tcPr>
            <w:tcW w:w="1054" w:type="dxa"/>
            <w:tcBorders>
              <w:top w:val="nil"/>
              <w:left w:val="nil"/>
              <w:bottom w:val="nil"/>
              <w:right w:val="nil"/>
            </w:tcBorders>
            <w:shd w:val="clear" w:color="000000" w:fill="FFFFFF"/>
            <w:noWrap/>
            <w:hideMark/>
          </w:tcPr>
          <w:p w14:paraId="1D6744E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105</w:t>
            </w:r>
          </w:p>
        </w:tc>
        <w:tc>
          <w:tcPr>
            <w:tcW w:w="1067" w:type="dxa"/>
            <w:tcBorders>
              <w:top w:val="nil"/>
              <w:left w:val="nil"/>
              <w:bottom w:val="nil"/>
              <w:right w:val="nil"/>
            </w:tcBorders>
            <w:shd w:val="clear" w:color="000000" w:fill="FFFFFF"/>
            <w:noWrap/>
            <w:hideMark/>
          </w:tcPr>
          <w:p w14:paraId="1DCBF29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w:t>
            </w:r>
          </w:p>
        </w:tc>
        <w:tc>
          <w:tcPr>
            <w:tcW w:w="1061" w:type="dxa"/>
            <w:tcBorders>
              <w:top w:val="nil"/>
              <w:left w:val="nil"/>
              <w:bottom w:val="nil"/>
              <w:right w:val="nil"/>
            </w:tcBorders>
            <w:shd w:val="clear" w:color="000000" w:fill="FFFFFF"/>
            <w:noWrap/>
            <w:hideMark/>
          </w:tcPr>
          <w:p w14:paraId="34276BE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51" w:type="dxa"/>
            <w:tcBorders>
              <w:top w:val="nil"/>
              <w:left w:val="nil"/>
              <w:bottom w:val="nil"/>
              <w:right w:val="nil"/>
            </w:tcBorders>
            <w:shd w:val="clear" w:color="000000" w:fill="FFFFFF"/>
            <w:noWrap/>
            <w:hideMark/>
          </w:tcPr>
          <w:p w14:paraId="6763EC0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132</w:t>
            </w:r>
          </w:p>
        </w:tc>
        <w:tc>
          <w:tcPr>
            <w:tcW w:w="1067" w:type="dxa"/>
            <w:tcBorders>
              <w:top w:val="nil"/>
              <w:left w:val="nil"/>
              <w:bottom w:val="nil"/>
              <w:right w:val="nil"/>
            </w:tcBorders>
            <w:shd w:val="clear" w:color="000000" w:fill="FFFFFF"/>
            <w:noWrap/>
            <w:hideMark/>
          </w:tcPr>
          <w:p w14:paraId="7F62208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54</w:t>
            </w:r>
          </w:p>
        </w:tc>
        <w:tc>
          <w:tcPr>
            <w:tcW w:w="1124" w:type="dxa"/>
            <w:tcBorders>
              <w:top w:val="nil"/>
              <w:left w:val="nil"/>
              <w:bottom w:val="nil"/>
              <w:right w:val="nil"/>
            </w:tcBorders>
            <w:shd w:val="clear" w:color="000000" w:fill="FFFFFF"/>
            <w:noWrap/>
            <w:hideMark/>
          </w:tcPr>
          <w:p w14:paraId="7286DB6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187</w:t>
            </w:r>
          </w:p>
        </w:tc>
      </w:tr>
      <w:tr w:rsidR="004D67F9" w:rsidRPr="004D67F9" w14:paraId="191A48D6"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7D24E810"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0BE7A600"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50D80EF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2,746</w:t>
            </w:r>
          </w:p>
        </w:tc>
        <w:tc>
          <w:tcPr>
            <w:tcW w:w="1067" w:type="dxa"/>
            <w:tcBorders>
              <w:top w:val="single" w:sz="4" w:space="0" w:color="BFBFBF"/>
              <w:left w:val="nil"/>
              <w:bottom w:val="single" w:sz="4" w:space="0" w:color="BFBFBF"/>
              <w:right w:val="nil"/>
            </w:tcBorders>
            <w:shd w:val="clear" w:color="000000" w:fill="FFFFFF"/>
            <w:vAlign w:val="center"/>
            <w:hideMark/>
          </w:tcPr>
          <w:p w14:paraId="0BC2DFB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1,057</w:t>
            </w:r>
          </w:p>
        </w:tc>
        <w:tc>
          <w:tcPr>
            <w:tcW w:w="1061" w:type="dxa"/>
            <w:tcBorders>
              <w:top w:val="single" w:sz="4" w:space="0" w:color="BFBFBF"/>
              <w:left w:val="nil"/>
              <w:bottom w:val="single" w:sz="4" w:space="0" w:color="BFBFBF"/>
              <w:right w:val="nil"/>
            </w:tcBorders>
            <w:shd w:val="clear" w:color="000000" w:fill="FFFFFF"/>
            <w:vAlign w:val="center"/>
            <w:hideMark/>
          </w:tcPr>
          <w:p w14:paraId="4E0D3BF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705</w:t>
            </w:r>
          </w:p>
        </w:tc>
        <w:tc>
          <w:tcPr>
            <w:tcW w:w="1051" w:type="dxa"/>
            <w:tcBorders>
              <w:top w:val="single" w:sz="4" w:space="0" w:color="BFBFBF"/>
              <w:left w:val="nil"/>
              <w:bottom w:val="single" w:sz="4" w:space="0" w:color="BFBFBF"/>
              <w:right w:val="nil"/>
            </w:tcBorders>
            <w:shd w:val="clear" w:color="000000" w:fill="FFFFFF"/>
            <w:vAlign w:val="center"/>
            <w:hideMark/>
          </w:tcPr>
          <w:p w14:paraId="6CC2F77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3,098</w:t>
            </w:r>
          </w:p>
        </w:tc>
        <w:tc>
          <w:tcPr>
            <w:tcW w:w="1067" w:type="dxa"/>
            <w:tcBorders>
              <w:top w:val="single" w:sz="4" w:space="0" w:color="BFBFBF"/>
              <w:left w:val="nil"/>
              <w:bottom w:val="single" w:sz="4" w:space="0" w:color="BFBFBF"/>
              <w:right w:val="nil"/>
            </w:tcBorders>
            <w:shd w:val="clear" w:color="000000" w:fill="FFFFFF"/>
            <w:vAlign w:val="center"/>
            <w:hideMark/>
          </w:tcPr>
          <w:p w14:paraId="0E9D07B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2,113</w:t>
            </w:r>
          </w:p>
        </w:tc>
        <w:tc>
          <w:tcPr>
            <w:tcW w:w="1124" w:type="dxa"/>
            <w:tcBorders>
              <w:top w:val="single" w:sz="4" w:space="0" w:color="BFBFBF"/>
              <w:left w:val="nil"/>
              <w:bottom w:val="single" w:sz="4" w:space="0" w:color="BFBFBF"/>
              <w:right w:val="nil"/>
            </w:tcBorders>
            <w:shd w:val="clear" w:color="000000" w:fill="FFFFFF"/>
            <w:vAlign w:val="center"/>
            <w:hideMark/>
          </w:tcPr>
          <w:p w14:paraId="393DF62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5,211</w:t>
            </w:r>
          </w:p>
        </w:tc>
      </w:tr>
      <w:tr w:rsidR="004D67F9" w:rsidRPr="004D67F9" w14:paraId="146174F9" w14:textId="77777777" w:rsidTr="004816E7">
        <w:trPr>
          <w:divId w:val="106513985"/>
          <w:trHeight w:hRule="exact" w:val="216"/>
        </w:trPr>
        <w:tc>
          <w:tcPr>
            <w:tcW w:w="643" w:type="dxa"/>
            <w:tcBorders>
              <w:top w:val="nil"/>
              <w:left w:val="nil"/>
              <w:bottom w:val="nil"/>
              <w:right w:val="nil"/>
            </w:tcBorders>
            <w:shd w:val="clear" w:color="000000" w:fill="FFFFFF"/>
            <w:hideMark/>
          </w:tcPr>
          <w:p w14:paraId="2068F277"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RND</w:t>
            </w:r>
          </w:p>
        </w:tc>
        <w:tc>
          <w:tcPr>
            <w:tcW w:w="2553" w:type="dxa"/>
            <w:tcBorders>
              <w:top w:val="nil"/>
              <w:left w:val="nil"/>
              <w:bottom w:val="nil"/>
              <w:right w:val="nil"/>
            </w:tcBorders>
            <w:shd w:val="clear" w:color="000000" w:fill="FFFFFF"/>
            <w:hideMark/>
          </w:tcPr>
          <w:p w14:paraId="752A85F6"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France (Industrial Property)</w:t>
            </w:r>
          </w:p>
        </w:tc>
        <w:tc>
          <w:tcPr>
            <w:tcW w:w="1054" w:type="dxa"/>
            <w:tcBorders>
              <w:top w:val="nil"/>
              <w:left w:val="nil"/>
              <w:bottom w:val="nil"/>
              <w:right w:val="nil"/>
            </w:tcBorders>
            <w:shd w:val="clear" w:color="000000" w:fill="FFFFFF"/>
            <w:noWrap/>
            <w:hideMark/>
          </w:tcPr>
          <w:p w14:paraId="7B621A3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1,045</w:t>
            </w:r>
          </w:p>
        </w:tc>
        <w:tc>
          <w:tcPr>
            <w:tcW w:w="1067" w:type="dxa"/>
            <w:tcBorders>
              <w:top w:val="nil"/>
              <w:left w:val="nil"/>
              <w:bottom w:val="nil"/>
              <w:right w:val="nil"/>
            </w:tcBorders>
            <w:shd w:val="clear" w:color="000000" w:fill="FFFFFF"/>
            <w:noWrap/>
            <w:hideMark/>
          </w:tcPr>
          <w:p w14:paraId="7D938BF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300</w:t>
            </w:r>
          </w:p>
        </w:tc>
        <w:tc>
          <w:tcPr>
            <w:tcW w:w="1061" w:type="dxa"/>
            <w:tcBorders>
              <w:top w:val="nil"/>
              <w:left w:val="nil"/>
              <w:bottom w:val="nil"/>
              <w:right w:val="nil"/>
            </w:tcBorders>
            <w:shd w:val="clear" w:color="000000" w:fill="FFFFFF"/>
            <w:noWrap/>
            <w:hideMark/>
          </w:tcPr>
          <w:p w14:paraId="206D453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248</w:t>
            </w:r>
          </w:p>
        </w:tc>
        <w:tc>
          <w:tcPr>
            <w:tcW w:w="1051" w:type="dxa"/>
            <w:tcBorders>
              <w:top w:val="nil"/>
              <w:left w:val="nil"/>
              <w:bottom w:val="nil"/>
              <w:right w:val="nil"/>
            </w:tcBorders>
            <w:shd w:val="clear" w:color="000000" w:fill="FFFFFF"/>
            <w:noWrap/>
            <w:hideMark/>
          </w:tcPr>
          <w:p w14:paraId="1B04472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1,097</w:t>
            </w:r>
          </w:p>
        </w:tc>
        <w:tc>
          <w:tcPr>
            <w:tcW w:w="1067" w:type="dxa"/>
            <w:tcBorders>
              <w:top w:val="nil"/>
              <w:left w:val="nil"/>
              <w:bottom w:val="nil"/>
              <w:right w:val="nil"/>
            </w:tcBorders>
            <w:shd w:val="clear" w:color="000000" w:fill="FFFFFF"/>
            <w:noWrap/>
            <w:hideMark/>
          </w:tcPr>
          <w:p w14:paraId="0E29D77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600</w:t>
            </w:r>
          </w:p>
        </w:tc>
        <w:tc>
          <w:tcPr>
            <w:tcW w:w="1124" w:type="dxa"/>
            <w:tcBorders>
              <w:top w:val="nil"/>
              <w:left w:val="nil"/>
              <w:bottom w:val="nil"/>
              <w:right w:val="nil"/>
            </w:tcBorders>
            <w:shd w:val="clear" w:color="000000" w:fill="FFFFFF"/>
            <w:noWrap/>
            <w:hideMark/>
          </w:tcPr>
          <w:p w14:paraId="763CC51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1,697</w:t>
            </w:r>
          </w:p>
        </w:tc>
      </w:tr>
      <w:tr w:rsidR="004D67F9" w:rsidRPr="004D67F9" w14:paraId="72022BD7" w14:textId="77777777" w:rsidTr="004816E7">
        <w:trPr>
          <w:divId w:val="106513985"/>
          <w:trHeight w:hRule="exact" w:val="216"/>
        </w:trPr>
        <w:tc>
          <w:tcPr>
            <w:tcW w:w="643" w:type="dxa"/>
            <w:tcBorders>
              <w:top w:val="nil"/>
              <w:left w:val="nil"/>
              <w:bottom w:val="nil"/>
              <w:right w:val="nil"/>
            </w:tcBorders>
            <w:shd w:val="clear" w:color="000000" w:fill="FFFFFF"/>
            <w:hideMark/>
          </w:tcPr>
          <w:p w14:paraId="79D12CBA"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hideMark/>
          </w:tcPr>
          <w:p w14:paraId="68ADC538"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France (Lisbon)</w:t>
            </w:r>
          </w:p>
        </w:tc>
        <w:tc>
          <w:tcPr>
            <w:tcW w:w="1054" w:type="dxa"/>
            <w:tcBorders>
              <w:top w:val="nil"/>
              <w:left w:val="nil"/>
              <w:bottom w:val="nil"/>
              <w:right w:val="nil"/>
            </w:tcBorders>
            <w:shd w:val="clear" w:color="000000" w:fill="FFFFFF"/>
            <w:noWrap/>
            <w:hideMark/>
          </w:tcPr>
          <w:p w14:paraId="6D73D3A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97</w:t>
            </w:r>
          </w:p>
        </w:tc>
        <w:tc>
          <w:tcPr>
            <w:tcW w:w="1067" w:type="dxa"/>
            <w:tcBorders>
              <w:top w:val="nil"/>
              <w:left w:val="nil"/>
              <w:bottom w:val="nil"/>
              <w:right w:val="nil"/>
            </w:tcBorders>
            <w:shd w:val="clear" w:color="000000" w:fill="FFFFFF"/>
            <w:noWrap/>
            <w:hideMark/>
          </w:tcPr>
          <w:p w14:paraId="0F8C87F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1D49BD5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97</w:t>
            </w:r>
          </w:p>
        </w:tc>
        <w:tc>
          <w:tcPr>
            <w:tcW w:w="1051" w:type="dxa"/>
            <w:tcBorders>
              <w:top w:val="nil"/>
              <w:left w:val="nil"/>
              <w:bottom w:val="nil"/>
              <w:right w:val="nil"/>
            </w:tcBorders>
            <w:shd w:val="clear" w:color="000000" w:fill="FFFFFF"/>
            <w:noWrap/>
            <w:hideMark/>
          </w:tcPr>
          <w:p w14:paraId="30F28B6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7" w:type="dxa"/>
            <w:tcBorders>
              <w:top w:val="nil"/>
              <w:left w:val="nil"/>
              <w:bottom w:val="nil"/>
              <w:right w:val="nil"/>
            </w:tcBorders>
            <w:shd w:val="clear" w:color="000000" w:fill="FFFFFF"/>
            <w:noWrap/>
            <w:hideMark/>
          </w:tcPr>
          <w:p w14:paraId="63DBAAF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7D3B964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r>
      <w:tr w:rsidR="004D67F9" w:rsidRPr="004D67F9" w14:paraId="1EC2CFBE" w14:textId="77777777" w:rsidTr="004816E7">
        <w:trPr>
          <w:divId w:val="106513985"/>
          <w:trHeight w:hRule="exact" w:val="216"/>
        </w:trPr>
        <w:tc>
          <w:tcPr>
            <w:tcW w:w="643" w:type="dxa"/>
            <w:tcBorders>
              <w:top w:val="nil"/>
              <w:left w:val="nil"/>
              <w:bottom w:val="nil"/>
              <w:right w:val="nil"/>
            </w:tcBorders>
            <w:shd w:val="clear" w:color="000000" w:fill="FFFFFF"/>
            <w:hideMark/>
          </w:tcPr>
          <w:p w14:paraId="5858BA89"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hideMark/>
          </w:tcPr>
          <w:p w14:paraId="5EF8F51B"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Mexico</w:t>
            </w:r>
          </w:p>
        </w:tc>
        <w:tc>
          <w:tcPr>
            <w:tcW w:w="1054" w:type="dxa"/>
            <w:tcBorders>
              <w:top w:val="nil"/>
              <w:left w:val="nil"/>
              <w:bottom w:val="nil"/>
              <w:right w:val="nil"/>
            </w:tcBorders>
            <w:shd w:val="clear" w:color="000000" w:fill="FFFFFF"/>
            <w:noWrap/>
            <w:hideMark/>
          </w:tcPr>
          <w:p w14:paraId="0FDFF6C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123</w:t>
            </w:r>
          </w:p>
        </w:tc>
        <w:tc>
          <w:tcPr>
            <w:tcW w:w="1067" w:type="dxa"/>
            <w:tcBorders>
              <w:top w:val="nil"/>
              <w:left w:val="nil"/>
              <w:bottom w:val="nil"/>
              <w:right w:val="nil"/>
            </w:tcBorders>
            <w:shd w:val="clear" w:color="000000" w:fill="FFFFFF"/>
            <w:noWrap/>
            <w:hideMark/>
          </w:tcPr>
          <w:p w14:paraId="1E0A442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0AE621B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w:t>
            </w:r>
          </w:p>
        </w:tc>
        <w:tc>
          <w:tcPr>
            <w:tcW w:w="1051" w:type="dxa"/>
            <w:tcBorders>
              <w:top w:val="nil"/>
              <w:left w:val="nil"/>
              <w:bottom w:val="nil"/>
              <w:right w:val="nil"/>
            </w:tcBorders>
            <w:shd w:val="clear" w:color="000000" w:fill="FFFFFF"/>
            <w:noWrap/>
            <w:hideMark/>
          </w:tcPr>
          <w:p w14:paraId="39A7C87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113</w:t>
            </w:r>
          </w:p>
        </w:tc>
        <w:tc>
          <w:tcPr>
            <w:tcW w:w="1067" w:type="dxa"/>
            <w:tcBorders>
              <w:top w:val="nil"/>
              <w:left w:val="nil"/>
              <w:bottom w:val="nil"/>
              <w:right w:val="nil"/>
            </w:tcBorders>
            <w:shd w:val="clear" w:color="000000" w:fill="FFFFFF"/>
            <w:noWrap/>
            <w:hideMark/>
          </w:tcPr>
          <w:p w14:paraId="74C1468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35BC959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113</w:t>
            </w:r>
          </w:p>
        </w:tc>
      </w:tr>
      <w:tr w:rsidR="004D67F9" w:rsidRPr="004D67F9" w14:paraId="1F537B02" w14:textId="77777777" w:rsidTr="004816E7">
        <w:trPr>
          <w:divId w:val="106513985"/>
          <w:trHeight w:hRule="exact" w:val="216"/>
        </w:trPr>
        <w:tc>
          <w:tcPr>
            <w:tcW w:w="643" w:type="dxa"/>
            <w:tcBorders>
              <w:top w:val="nil"/>
              <w:left w:val="nil"/>
              <w:bottom w:val="nil"/>
              <w:right w:val="nil"/>
            </w:tcBorders>
            <w:shd w:val="clear" w:color="000000" w:fill="FFFFFF"/>
            <w:hideMark/>
          </w:tcPr>
          <w:p w14:paraId="32A86D5D"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hideMark/>
          </w:tcPr>
          <w:p w14:paraId="02784B40"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(Industrial Property)</w:t>
            </w:r>
          </w:p>
        </w:tc>
        <w:tc>
          <w:tcPr>
            <w:tcW w:w="1054" w:type="dxa"/>
            <w:tcBorders>
              <w:top w:val="nil"/>
              <w:left w:val="nil"/>
              <w:bottom w:val="nil"/>
              <w:right w:val="nil"/>
            </w:tcBorders>
            <w:shd w:val="clear" w:color="000000" w:fill="FFFFFF"/>
            <w:noWrap/>
            <w:hideMark/>
          </w:tcPr>
          <w:p w14:paraId="5BEB8E2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581</w:t>
            </w:r>
          </w:p>
        </w:tc>
        <w:tc>
          <w:tcPr>
            <w:tcW w:w="1067" w:type="dxa"/>
            <w:tcBorders>
              <w:top w:val="nil"/>
              <w:left w:val="nil"/>
              <w:bottom w:val="nil"/>
              <w:right w:val="nil"/>
            </w:tcBorders>
            <w:shd w:val="clear" w:color="000000" w:fill="FFFFFF"/>
            <w:noWrap/>
            <w:hideMark/>
          </w:tcPr>
          <w:p w14:paraId="76B90E9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260</w:t>
            </w:r>
          </w:p>
        </w:tc>
        <w:tc>
          <w:tcPr>
            <w:tcW w:w="1061" w:type="dxa"/>
            <w:tcBorders>
              <w:top w:val="nil"/>
              <w:left w:val="nil"/>
              <w:bottom w:val="nil"/>
              <w:right w:val="nil"/>
            </w:tcBorders>
            <w:shd w:val="clear" w:color="000000" w:fill="FFFFFF"/>
            <w:noWrap/>
            <w:hideMark/>
          </w:tcPr>
          <w:p w14:paraId="3472807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212</w:t>
            </w:r>
          </w:p>
        </w:tc>
        <w:tc>
          <w:tcPr>
            <w:tcW w:w="1051" w:type="dxa"/>
            <w:tcBorders>
              <w:top w:val="nil"/>
              <w:left w:val="nil"/>
              <w:bottom w:val="nil"/>
              <w:right w:val="nil"/>
            </w:tcBorders>
            <w:shd w:val="clear" w:color="000000" w:fill="FFFFFF"/>
            <w:noWrap/>
            <w:hideMark/>
          </w:tcPr>
          <w:p w14:paraId="27B7309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629</w:t>
            </w:r>
          </w:p>
        </w:tc>
        <w:tc>
          <w:tcPr>
            <w:tcW w:w="1067" w:type="dxa"/>
            <w:tcBorders>
              <w:top w:val="nil"/>
              <w:left w:val="nil"/>
              <w:bottom w:val="nil"/>
              <w:right w:val="nil"/>
            </w:tcBorders>
            <w:shd w:val="clear" w:color="000000" w:fill="FFFFFF"/>
            <w:noWrap/>
            <w:hideMark/>
          </w:tcPr>
          <w:p w14:paraId="39CF14A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520</w:t>
            </w:r>
          </w:p>
        </w:tc>
        <w:tc>
          <w:tcPr>
            <w:tcW w:w="1124" w:type="dxa"/>
            <w:tcBorders>
              <w:top w:val="nil"/>
              <w:left w:val="nil"/>
              <w:bottom w:val="nil"/>
              <w:right w:val="nil"/>
            </w:tcBorders>
            <w:shd w:val="clear" w:color="000000" w:fill="FFFFFF"/>
            <w:noWrap/>
            <w:hideMark/>
          </w:tcPr>
          <w:p w14:paraId="585711D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1,150</w:t>
            </w:r>
          </w:p>
        </w:tc>
      </w:tr>
      <w:tr w:rsidR="004D67F9" w:rsidRPr="004D67F9" w14:paraId="04A32197" w14:textId="77777777" w:rsidTr="004816E7">
        <w:trPr>
          <w:divId w:val="106513985"/>
          <w:trHeight w:hRule="exact" w:val="216"/>
        </w:trPr>
        <w:tc>
          <w:tcPr>
            <w:tcW w:w="643" w:type="dxa"/>
            <w:tcBorders>
              <w:top w:val="nil"/>
              <w:left w:val="nil"/>
              <w:bottom w:val="nil"/>
              <w:right w:val="nil"/>
            </w:tcBorders>
            <w:shd w:val="clear" w:color="000000" w:fill="FFFFFF"/>
            <w:hideMark/>
          </w:tcPr>
          <w:p w14:paraId="60A2CDC5"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hideMark/>
          </w:tcPr>
          <w:p w14:paraId="60BCFACC"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(IP Education)</w:t>
            </w:r>
          </w:p>
        </w:tc>
        <w:tc>
          <w:tcPr>
            <w:tcW w:w="1054" w:type="dxa"/>
            <w:tcBorders>
              <w:top w:val="nil"/>
              <w:left w:val="nil"/>
              <w:bottom w:val="nil"/>
              <w:right w:val="nil"/>
            </w:tcBorders>
            <w:shd w:val="clear" w:color="000000" w:fill="FFFFFF"/>
            <w:noWrap/>
            <w:hideMark/>
          </w:tcPr>
          <w:p w14:paraId="4CEE441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815</w:t>
            </w:r>
          </w:p>
        </w:tc>
        <w:tc>
          <w:tcPr>
            <w:tcW w:w="1067" w:type="dxa"/>
            <w:tcBorders>
              <w:top w:val="nil"/>
              <w:left w:val="nil"/>
              <w:bottom w:val="nil"/>
              <w:right w:val="nil"/>
            </w:tcBorders>
            <w:shd w:val="clear" w:color="000000" w:fill="FFFFFF"/>
            <w:noWrap/>
            <w:hideMark/>
          </w:tcPr>
          <w:p w14:paraId="6BB71A5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316</w:t>
            </w:r>
          </w:p>
        </w:tc>
        <w:tc>
          <w:tcPr>
            <w:tcW w:w="1061" w:type="dxa"/>
            <w:tcBorders>
              <w:top w:val="nil"/>
              <w:left w:val="nil"/>
              <w:bottom w:val="nil"/>
              <w:right w:val="nil"/>
            </w:tcBorders>
            <w:shd w:val="clear" w:color="000000" w:fill="FFFFFF"/>
            <w:noWrap/>
            <w:hideMark/>
          </w:tcPr>
          <w:p w14:paraId="6A7A82B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277</w:t>
            </w:r>
          </w:p>
        </w:tc>
        <w:tc>
          <w:tcPr>
            <w:tcW w:w="1051" w:type="dxa"/>
            <w:tcBorders>
              <w:top w:val="nil"/>
              <w:left w:val="nil"/>
              <w:bottom w:val="nil"/>
              <w:right w:val="nil"/>
            </w:tcBorders>
            <w:shd w:val="clear" w:color="000000" w:fill="FFFFFF"/>
            <w:noWrap/>
            <w:hideMark/>
          </w:tcPr>
          <w:p w14:paraId="78F4FA0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854</w:t>
            </w:r>
          </w:p>
        </w:tc>
        <w:tc>
          <w:tcPr>
            <w:tcW w:w="1067" w:type="dxa"/>
            <w:tcBorders>
              <w:top w:val="nil"/>
              <w:left w:val="nil"/>
              <w:bottom w:val="nil"/>
              <w:right w:val="nil"/>
            </w:tcBorders>
            <w:shd w:val="clear" w:color="000000" w:fill="FFFFFF"/>
            <w:noWrap/>
            <w:hideMark/>
          </w:tcPr>
          <w:p w14:paraId="6929833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633</w:t>
            </w:r>
          </w:p>
        </w:tc>
        <w:tc>
          <w:tcPr>
            <w:tcW w:w="1124" w:type="dxa"/>
            <w:tcBorders>
              <w:top w:val="nil"/>
              <w:left w:val="nil"/>
              <w:bottom w:val="nil"/>
              <w:right w:val="nil"/>
            </w:tcBorders>
            <w:shd w:val="clear" w:color="000000" w:fill="FFFFFF"/>
            <w:noWrap/>
            <w:hideMark/>
          </w:tcPr>
          <w:p w14:paraId="789B9B5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1,486</w:t>
            </w:r>
          </w:p>
        </w:tc>
      </w:tr>
      <w:tr w:rsidR="004D67F9" w:rsidRPr="004D67F9" w14:paraId="2BD0B7A8" w14:textId="77777777" w:rsidTr="004816E7">
        <w:trPr>
          <w:divId w:val="106513985"/>
          <w:trHeight w:hRule="exact" w:val="216"/>
        </w:trPr>
        <w:tc>
          <w:tcPr>
            <w:tcW w:w="643" w:type="dxa"/>
            <w:tcBorders>
              <w:top w:val="nil"/>
              <w:left w:val="nil"/>
              <w:bottom w:val="nil"/>
              <w:right w:val="nil"/>
            </w:tcBorders>
            <w:shd w:val="clear" w:color="000000" w:fill="FFFFFF"/>
            <w:hideMark/>
          </w:tcPr>
          <w:p w14:paraId="014C4E57"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noWrap/>
            <w:hideMark/>
          </w:tcPr>
          <w:p w14:paraId="676600B9"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Uruguay</w:t>
            </w:r>
          </w:p>
        </w:tc>
        <w:tc>
          <w:tcPr>
            <w:tcW w:w="1054" w:type="dxa"/>
            <w:tcBorders>
              <w:top w:val="nil"/>
              <w:left w:val="nil"/>
              <w:bottom w:val="nil"/>
              <w:right w:val="nil"/>
            </w:tcBorders>
            <w:shd w:val="clear" w:color="000000" w:fill="FFFFFF"/>
            <w:noWrap/>
            <w:hideMark/>
          </w:tcPr>
          <w:p w14:paraId="4F369DF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w:t>
            </w:r>
          </w:p>
        </w:tc>
        <w:tc>
          <w:tcPr>
            <w:tcW w:w="1067" w:type="dxa"/>
            <w:tcBorders>
              <w:top w:val="nil"/>
              <w:left w:val="nil"/>
              <w:bottom w:val="nil"/>
              <w:right w:val="nil"/>
            </w:tcBorders>
            <w:shd w:val="clear" w:color="000000" w:fill="FFFFFF"/>
            <w:noWrap/>
            <w:hideMark/>
          </w:tcPr>
          <w:p w14:paraId="7D57BD9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2A120D8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w:t>
            </w:r>
          </w:p>
        </w:tc>
        <w:tc>
          <w:tcPr>
            <w:tcW w:w="1051" w:type="dxa"/>
            <w:tcBorders>
              <w:top w:val="nil"/>
              <w:left w:val="nil"/>
              <w:bottom w:val="nil"/>
              <w:right w:val="nil"/>
            </w:tcBorders>
            <w:shd w:val="clear" w:color="000000" w:fill="FFFFFF"/>
            <w:noWrap/>
            <w:hideMark/>
          </w:tcPr>
          <w:p w14:paraId="119E81B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w:t>
            </w:r>
          </w:p>
        </w:tc>
        <w:tc>
          <w:tcPr>
            <w:tcW w:w="1067" w:type="dxa"/>
            <w:tcBorders>
              <w:top w:val="nil"/>
              <w:left w:val="nil"/>
              <w:bottom w:val="nil"/>
              <w:right w:val="nil"/>
            </w:tcBorders>
            <w:shd w:val="clear" w:color="000000" w:fill="FFFFFF"/>
            <w:noWrap/>
            <w:hideMark/>
          </w:tcPr>
          <w:p w14:paraId="08E2F26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0579C6E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20</w:t>
            </w:r>
          </w:p>
        </w:tc>
      </w:tr>
      <w:tr w:rsidR="004D67F9" w:rsidRPr="004D67F9" w14:paraId="79FAF68F" w14:textId="77777777" w:rsidTr="004816E7">
        <w:trPr>
          <w:divId w:val="106513985"/>
          <w:trHeight w:hRule="exact" w:val="216"/>
        </w:trPr>
        <w:tc>
          <w:tcPr>
            <w:tcW w:w="643" w:type="dxa"/>
            <w:tcBorders>
              <w:top w:val="nil"/>
              <w:left w:val="nil"/>
              <w:bottom w:val="nil"/>
              <w:right w:val="nil"/>
            </w:tcBorders>
            <w:shd w:val="clear" w:color="000000" w:fill="FFFFFF"/>
            <w:hideMark/>
          </w:tcPr>
          <w:p w14:paraId="012267CD"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 </w:t>
            </w:r>
          </w:p>
        </w:tc>
        <w:tc>
          <w:tcPr>
            <w:tcW w:w="2553" w:type="dxa"/>
            <w:tcBorders>
              <w:top w:val="nil"/>
              <w:left w:val="nil"/>
              <w:bottom w:val="nil"/>
              <w:right w:val="nil"/>
            </w:tcBorders>
            <w:shd w:val="clear" w:color="000000" w:fill="FFFFFF"/>
            <w:noWrap/>
            <w:hideMark/>
          </w:tcPr>
          <w:p w14:paraId="1FF4C6B1"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The United Arab Emirates</w:t>
            </w:r>
          </w:p>
        </w:tc>
        <w:tc>
          <w:tcPr>
            <w:tcW w:w="1054" w:type="dxa"/>
            <w:tcBorders>
              <w:top w:val="nil"/>
              <w:left w:val="nil"/>
              <w:bottom w:val="nil"/>
              <w:right w:val="nil"/>
            </w:tcBorders>
            <w:shd w:val="clear" w:color="000000" w:fill="FFFFFF"/>
            <w:noWrap/>
            <w:hideMark/>
          </w:tcPr>
          <w:p w14:paraId="0C77360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w:t>
            </w:r>
          </w:p>
        </w:tc>
        <w:tc>
          <w:tcPr>
            <w:tcW w:w="1067" w:type="dxa"/>
            <w:tcBorders>
              <w:top w:val="nil"/>
              <w:left w:val="nil"/>
              <w:bottom w:val="nil"/>
              <w:right w:val="nil"/>
            </w:tcBorders>
            <w:shd w:val="clear" w:color="000000" w:fill="FFFFFF"/>
            <w:noWrap/>
            <w:hideMark/>
          </w:tcPr>
          <w:p w14:paraId="546001E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0235868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51" w:type="dxa"/>
            <w:tcBorders>
              <w:top w:val="nil"/>
              <w:left w:val="nil"/>
              <w:bottom w:val="nil"/>
              <w:right w:val="nil"/>
            </w:tcBorders>
            <w:shd w:val="clear" w:color="000000" w:fill="FFFFFF"/>
            <w:noWrap/>
            <w:hideMark/>
          </w:tcPr>
          <w:p w14:paraId="5A757F44"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w:t>
            </w:r>
          </w:p>
        </w:tc>
        <w:tc>
          <w:tcPr>
            <w:tcW w:w="1067" w:type="dxa"/>
            <w:tcBorders>
              <w:top w:val="nil"/>
              <w:left w:val="nil"/>
              <w:bottom w:val="nil"/>
              <w:right w:val="nil"/>
            </w:tcBorders>
            <w:shd w:val="clear" w:color="000000" w:fill="FFFFFF"/>
            <w:noWrap/>
            <w:hideMark/>
          </w:tcPr>
          <w:p w14:paraId="68A0385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659E038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46</w:t>
            </w:r>
          </w:p>
        </w:tc>
      </w:tr>
      <w:tr w:rsidR="004D67F9" w:rsidRPr="004D67F9" w14:paraId="161530F0"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2BD1D0F3"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2B49BDA4"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46FCFB5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2,751</w:t>
            </w:r>
          </w:p>
        </w:tc>
        <w:tc>
          <w:tcPr>
            <w:tcW w:w="1067" w:type="dxa"/>
            <w:tcBorders>
              <w:top w:val="single" w:sz="4" w:space="0" w:color="BFBFBF"/>
              <w:left w:val="nil"/>
              <w:bottom w:val="single" w:sz="4" w:space="0" w:color="BFBFBF"/>
              <w:right w:val="nil"/>
            </w:tcBorders>
            <w:shd w:val="clear" w:color="000000" w:fill="FFFFFF"/>
            <w:vAlign w:val="center"/>
            <w:hideMark/>
          </w:tcPr>
          <w:p w14:paraId="7244273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876</w:t>
            </w:r>
          </w:p>
        </w:tc>
        <w:tc>
          <w:tcPr>
            <w:tcW w:w="1061" w:type="dxa"/>
            <w:tcBorders>
              <w:top w:val="single" w:sz="4" w:space="0" w:color="BFBFBF"/>
              <w:left w:val="nil"/>
              <w:bottom w:val="single" w:sz="4" w:space="0" w:color="BFBFBF"/>
              <w:right w:val="nil"/>
            </w:tcBorders>
            <w:shd w:val="clear" w:color="000000" w:fill="FFFFFF"/>
            <w:vAlign w:val="center"/>
            <w:hideMark/>
          </w:tcPr>
          <w:p w14:paraId="3BA1D35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869</w:t>
            </w:r>
          </w:p>
        </w:tc>
        <w:tc>
          <w:tcPr>
            <w:tcW w:w="1051" w:type="dxa"/>
            <w:tcBorders>
              <w:top w:val="single" w:sz="4" w:space="0" w:color="BFBFBF"/>
              <w:left w:val="nil"/>
              <w:bottom w:val="single" w:sz="4" w:space="0" w:color="BFBFBF"/>
              <w:right w:val="nil"/>
            </w:tcBorders>
            <w:shd w:val="clear" w:color="000000" w:fill="FFFFFF"/>
            <w:vAlign w:val="center"/>
            <w:hideMark/>
          </w:tcPr>
          <w:p w14:paraId="4A362A7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2,759</w:t>
            </w:r>
          </w:p>
        </w:tc>
        <w:tc>
          <w:tcPr>
            <w:tcW w:w="1067" w:type="dxa"/>
            <w:tcBorders>
              <w:top w:val="single" w:sz="4" w:space="0" w:color="BFBFBF"/>
              <w:left w:val="nil"/>
              <w:bottom w:val="single" w:sz="4" w:space="0" w:color="BFBFBF"/>
              <w:right w:val="nil"/>
            </w:tcBorders>
            <w:shd w:val="clear" w:color="000000" w:fill="FFFFFF"/>
            <w:vAlign w:val="center"/>
            <w:hideMark/>
          </w:tcPr>
          <w:p w14:paraId="1B08F4D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1,753</w:t>
            </w:r>
          </w:p>
        </w:tc>
        <w:tc>
          <w:tcPr>
            <w:tcW w:w="1124" w:type="dxa"/>
            <w:tcBorders>
              <w:top w:val="single" w:sz="4" w:space="0" w:color="BFBFBF"/>
              <w:left w:val="nil"/>
              <w:bottom w:val="single" w:sz="4" w:space="0" w:color="BFBFBF"/>
              <w:right w:val="nil"/>
            </w:tcBorders>
            <w:shd w:val="clear" w:color="000000" w:fill="FFFFFF"/>
            <w:vAlign w:val="center"/>
            <w:hideMark/>
          </w:tcPr>
          <w:p w14:paraId="41A5F0D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4,512</w:t>
            </w:r>
          </w:p>
        </w:tc>
      </w:tr>
      <w:tr w:rsidR="004D67F9" w:rsidRPr="004D67F9" w14:paraId="57CF9818" w14:textId="77777777" w:rsidTr="004816E7">
        <w:trPr>
          <w:divId w:val="106513985"/>
          <w:trHeight w:hRule="exact" w:val="216"/>
        </w:trPr>
        <w:tc>
          <w:tcPr>
            <w:tcW w:w="643" w:type="dxa"/>
            <w:tcBorders>
              <w:top w:val="nil"/>
              <w:left w:val="nil"/>
              <w:bottom w:val="nil"/>
              <w:right w:val="nil"/>
            </w:tcBorders>
            <w:shd w:val="clear" w:color="000000" w:fill="FFFFFF"/>
            <w:hideMark/>
          </w:tcPr>
          <w:p w14:paraId="46032FF1"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IP</w:t>
            </w:r>
          </w:p>
        </w:tc>
        <w:tc>
          <w:tcPr>
            <w:tcW w:w="2553" w:type="dxa"/>
            <w:tcBorders>
              <w:top w:val="nil"/>
              <w:left w:val="nil"/>
              <w:bottom w:val="nil"/>
              <w:right w:val="nil"/>
            </w:tcBorders>
            <w:shd w:val="clear" w:color="000000" w:fill="FFFFFF"/>
            <w:hideMark/>
          </w:tcPr>
          <w:p w14:paraId="035318B5"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xml:space="preserve">Japan (Industrial Property) Global </w:t>
            </w:r>
            <w:r w:rsidRPr="004D67F9">
              <w:rPr>
                <w:rFonts w:ascii="Arial Narrow" w:eastAsia="Times New Roman" w:hAnsi="Arial Narrow" w:cs="Times New Roman"/>
                <w:sz w:val="16"/>
                <w:szCs w:val="16"/>
                <w:vertAlign w:val="superscript"/>
                <w:lang w:val="en-US"/>
              </w:rPr>
              <w:t>4</w:t>
            </w:r>
          </w:p>
        </w:tc>
        <w:tc>
          <w:tcPr>
            <w:tcW w:w="1054" w:type="dxa"/>
            <w:tcBorders>
              <w:top w:val="nil"/>
              <w:left w:val="nil"/>
              <w:bottom w:val="nil"/>
              <w:right w:val="nil"/>
            </w:tcBorders>
            <w:shd w:val="clear" w:color="000000" w:fill="FFFFFF"/>
            <w:noWrap/>
            <w:hideMark/>
          </w:tcPr>
          <w:p w14:paraId="25E7774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8,806</w:t>
            </w:r>
          </w:p>
        </w:tc>
        <w:tc>
          <w:tcPr>
            <w:tcW w:w="1067" w:type="dxa"/>
            <w:tcBorders>
              <w:top w:val="nil"/>
              <w:left w:val="nil"/>
              <w:bottom w:val="nil"/>
              <w:right w:val="nil"/>
            </w:tcBorders>
            <w:shd w:val="clear" w:color="000000" w:fill="FFFFFF"/>
            <w:noWrap/>
            <w:hideMark/>
          </w:tcPr>
          <w:p w14:paraId="3BD88A8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4,820</w:t>
            </w:r>
          </w:p>
        </w:tc>
        <w:tc>
          <w:tcPr>
            <w:tcW w:w="1061" w:type="dxa"/>
            <w:tcBorders>
              <w:top w:val="nil"/>
              <w:left w:val="nil"/>
              <w:bottom w:val="nil"/>
              <w:right w:val="nil"/>
            </w:tcBorders>
            <w:shd w:val="clear" w:color="000000" w:fill="FFFFFF"/>
            <w:noWrap/>
            <w:hideMark/>
          </w:tcPr>
          <w:p w14:paraId="7D467D4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3,689</w:t>
            </w:r>
          </w:p>
        </w:tc>
        <w:tc>
          <w:tcPr>
            <w:tcW w:w="1051" w:type="dxa"/>
            <w:tcBorders>
              <w:top w:val="nil"/>
              <w:left w:val="nil"/>
              <w:bottom w:val="nil"/>
              <w:right w:val="nil"/>
            </w:tcBorders>
            <w:shd w:val="clear" w:color="000000" w:fill="FFFFFF"/>
            <w:noWrap/>
            <w:hideMark/>
          </w:tcPr>
          <w:p w14:paraId="14412E1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9,937</w:t>
            </w:r>
          </w:p>
        </w:tc>
        <w:tc>
          <w:tcPr>
            <w:tcW w:w="1067" w:type="dxa"/>
            <w:tcBorders>
              <w:top w:val="nil"/>
              <w:left w:val="nil"/>
              <w:bottom w:val="nil"/>
              <w:right w:val="nil"/>
            </w:tcBorders>
            <w:shd w:val="clear" w:color="000000" w:fill="FFFFFF"/>
            <w:noWrap/>
            <w:hideMark/>
          </w:tcPr>
          <w:p w14:paraId="2392EB3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9,640</w:t>
            </w:r>
          </w:p>
        </w:tc>
        <w:tc>
          <w:tcPr>
            <w:tcW w:w="1124" w:type="dxa"/>
            <w:tcBorders>
              <w:top w:val="nil"/>
              <w:left w:val="nil"/>
              <w:bottom w:val="nil"/>
              <w:right w:val="nil"/>
            </w:tcBorders>
            <w:shd w:val="clear" w:color="000000" w:fill="FFFFFF"/>
            <w:noWrap/>
            <w:hideMark/>
          </w:tcPr>
          <w:p w14:paraId="5656B7A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19,577</w:t>
            </w:r>
          </w:p>
        </w:tc>
      </w:tr>
      <w:tr w:rsidR="004D67F9" w:rsidRPr="004D67F9" w14:paraId="6028648D"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520AAD2E"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7EA29D17"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3F71845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8,806</w:t>
            </w:r>
          </w:p>
        </w:tc>
        <w:tc>
          <w:tcPr>
            <w:tcW w:w="1067" w:type="dxa"/>
            <w:tcBorders>
              <w:top w:val="single" w:sz="4" w:space="0" w:color="BFBFBF"/>
              <w:left w:val="nil"/>
              <w:bottom w:val="single" w:sz="4" w:space="0" w:color="BFBFBF"/>
              <w:right w:val="nil"/>
            </w:tcBorders>
            <w:shd w:val="clear" w:color="000000" w:fill="FFFFFF"/>
            <w:vAlign w:val="center"/>
            <w:hideMark/>
          </w:tcPr>
          <w:p w14:paraId="00EE3F7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4,820</w:t>
            </w:r>
          </w:p>
        </w:tc>
        <w:tc>
          <w:tcPr>
            <w:tcW w:w="1061" w:type="dxa"/>
            <w:tcBorders>
              <w:top w:val="single" w:sz="4" w:space="0" w:color="BFBFBF"/>
              <w:left w:val="nil"/>
              <w:bottom w:val="single" w:sz="4" w:space="0" w:color="BFBFBF"/>
              <w:right w:val="nil"/>
            </w:tcBorders>
            <w:shd w:val="clear" w:color="000000" w:fill="FFFFFF"/>
            <w:vAlign w:val="center"/>
            <w:hideMark/>
          </w:tcPr>
          <w:p w14:paraId="4F06885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3,689</w:t>
            </w:r>
          </w:p>
        </w:tc>
        <w:tc>
          <w:tcPr>
            <w:tcW w:w="1051" w:type="dxa"/>
            <w:tcBorders>
              <w:top w:val="single" w:sz="4" w:space="0" w:color="BFBFBF"/>
              <w:left w:val="nil"/>
              <w:bottom w:val="single" w:sz="4" w:space="0" w:color="BFBFBF"/>
              <w:right w:val="nil"/>
            </w:tcBorders>
            <w:shd w:val="clear" w:color="000000" w:fill="FFFFFF"/>
            <w:vAlign w:val="center"/>
            <w:hideMark/>
          </w:tcPr>
          <w:p w14:paraId="48AA051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9,937</w:t>
            </w:r>
          </w:p>
        </w:tc>
        <w:tc>
          <w:tcPr>
            <w:tcW w:w="1067" w:type="dxa"/>
            <w:tcBorders>
              <w:top w:val="single" w:sz="4" w:space="0" w:color="BFBFBF"/>
              <w:left w:val="nil"/>
              <w:bottom w:val="single" w:sz="4" w:space="0" w:color="BFBFBF"/>
              <w:right w:val="nil"/>
            </w:tcBorders>
            <w:shd w:val="clear" w:color="000000" w:fill="FFFFFF"/>
            <w:vAlign w:val="center"/>
            <w:hideMark/>
          </w:tcPr>
          <w:p w14:paraId="3D93311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9,640</w:t>
            </w:r>
          </w:p>
        </w:tc>
        <w:tc>
          <w:tcPr>
            <w:tcW w:w="1124" w:type="dxa"/>
            <w:tcBorders>
              <w:top w:val="single" w:sz="4" w:space="0" w:color="BFBFBF"/>
              <w:left w:val="nil"/>
              <w:bottom w:val="single" w:sz="4" w:space="0" w:color="BFBFBF"/>
              <w:right w:val="nil"/>
            </w:tcBorders>
            <w:shd w:val="clear" w:color="000000" w:fill="FFFFFF"/>
            <w:vAlign w:val="center"/>
            <w:hideMark/>
          </w:tcPr>
          <w:p w14:paraId="52CEBCA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19,577</w:t>
            </w:r>
          </w:p>
        </w:tc>
      </w:tr>
      <w:tr w:rsidR="004D67F9" w:rsidRPr="004D67F9" w14:paraId="7F78B3C1" w14:textId="77777777" w:rsidTr="004816E7">
        <w:trPr>
          <w:divId w:val="106513985"/>
          <w:trHeight w:hRule="exact" w:val="216"/>
        </w:trPr>
        <w:tc>
          <w:tcPr>
            <w:tcW w:w="643" w:type="dxa"/>
            <w:tcBorders>
              <w:top w:val="nil"/>
              <w:left w:val="nil"/>
              <w:bottom w:val="nil"/>
              <w:right w:val="nil"/>
            </w:tcBorders>
            <w:shd w:val="clear" w:color="000000" w:fill="FFFFFF"/>
            <w:hideMark/>
          </w:tcPr>
          <w:p w14:paraId="08A6682B"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GCP</w:t>
            </w:r>
          </w:p>
        </w:tc>
        <w:tc>
          <w:tcPr>
            <w:tcW w:w="2553" w:type="dxa"/>
            <w:tcBorders>
              <w:top w:val="nil"/>
              <w:left w:val="nil"/>
              <w:bottom w:val="nil"/>
              <w:right w:val="nil"/>
            </w:tcBorders>
            <w:shd w:val="clear" w:color="000000" w:fill="FFFFFF"/>
            <w:hideMark/>
          </w:tcPr>
          <w:p w14:paraId="72F6DF28"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Accredited indigenous and local communities</w:t>
            </w:r>
          </w:p>
        </w:tc>
        <w:tc>
          <w:tcPr>
            <w:tcW w:w="1054" w:type="dxa"/>
            <w:tcBorders>
              <w:top w:val="nil"/>
              <w:left w:val="nil"/>
              <w:bottom w:val="nil"/>
              <w:right w:val="nil"/>
            </w:tcBorders>
            <w:shd w:val="clear" w:color="000000" w:fill="FFFFFF"/>
            <w:noWrap/>
            <w:hideMark/>
          </w:tcPr>
          <w:p w14:paraId="03DC01D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w:t>
            </w:r>
          </w:p>
        </w:tc>
        <w:tc>
          <w:tcPr>
            <w:tcW w:w="1067" w:type="dxa"/>
            <w:tcBorders>
              <w:top w:val="nil"/>
              <w:left w:val="nil"/>
              <w:bottom w:val="nil"/>
              <w:right w:val="nil"/>
            </w:tcBorders>
            <w:shd w:val="clear" w:color="000000" w:fill="FFFFFF"/>
            <w:noWrap/>
            <w:hideMark/>
          </w:tcPr>
          <w:p w14:paraId="2A3E3AD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w:t>
            </w:r>
          </w:p>
        </w:tc>
        <w:tc>
          <w:tcPr>
            <w:tcW w:w="1061" w:type="dxa"/>
            <w:tcBorders>
              <w:top w:val="nil"/>
              <w:left w:val="nil"/>
              <w:bottom w:val="nil"/>
              <w:right w:val="nil"/>
            </w:tcBorders>
            <w:shd w:val="clear" w:color="000000" w:fill="FFFFFF"/>
            <w:noWrap/>
            <w:hideMark/>
          </w:tcPr>
          <w:p w14:paraId="30641F6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21</w:t>
            </w:r>
          </w:p>
        </w:tc>
        <w:tc>
          <w:tcPr>
            <w:tcW w:w="1051" w:type="dxa"/>
            <w:tcBorders>
              <w:top w:val="nil"/>
              <w:left w:val="nil"/>
              <w:bottom w:val="nil"/>
              <w:right w:val="nil"/>
            </w:tcBorders>
            <w:shd w:val="clear" w:color="000000" w:fill="FFFFFF"/>
            <w:noWrap/>
            <w:hideMark/>
          </w:tcPr>
          <w:p w14:paraId="0C14747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7" w:type="dxa"/>
            <w:tcBorders>
              <w:top w:val="nil"/>
              <w:left w:val="nil"/>
              <w:bottom w:val="nil"/>
              <w:right w:val="nil"/>
            </w:tcBorders>
            <w:shd w:val="clear" w:color="000000" w:fill="FFFFFF"/>
            <w:noWrap/>
            <w:hideMark/>
          </w:tcPr>
          <w:p w14:paraId="07C5348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w:t>
            </w:r>
          </w:p>
        </w:tc>
        <w:tc>
          <w:tcPr>
            <w:tcW w:w="1124" w:type="dxa"/>
            <w:tcBorders>
              <w:top w:val="nil"/>
              <w:left w:val="nil"/>
              <w:bottom w:val="nil"/>
              <w:right w:val="nil"/>
            </w:tcBorders>
            <w:shd w:val="clear" w:color="000000" w:fill="FFFFFF"/>
            <w:noWrap/>
            <w:hideMark/>
          </w:tcPr>
          <w:p w14:paraId="337DE2F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w:t>
            </w:r>
          </w:p>
        </w:tc>
      </w:tr>
      <w:tr w:rsidR="004D67F9" w:rsidRPr="004D67F9" w14:paraId="18FDB9A5" w14:textId="77777777" w:rsidTr="004816E7">
        <w:trPr>
          <w:divId w:val="106513985"/>
          <w:trHeight w:hRule="exact" w:val="216"/>
        </w:trPr>
        <w:tc>
          <w:tcPr>
            <w:tcW w:w="643" w:type="dxa"/>
            <w:tcBorders>
              <w:top w:val="nil"/>
              <w:left w:val="nil"/>
              <w:bottom w:val="nil"/>
              <w:right w:val="nil"/>
            </w:tcBorders>
            <w:shd w:val="clear" w:color="000000" w:fill="FFFFFF"/>
            <w:hideMark/>
          </w:tcPr>
          <w:p w14:paraId="549502C0"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73976187"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Italy</w:t>
            </w:r>
          </w:p>
        </w:tc>
        <w:tc>
          <w:tcPr>
            <w:tcW w:w="1054" w:type="dxa"/>
            <w:tcBorders>
              <w:top w:val="nil"/>
              <w:left w:val="nil"/>
              <w:bottom w:val="nil"/>
              <w:right w:val="nil"/>
            </w:tcBorders>
            <w:shd w:val="clear" w:color="000000" w:fill="FFFFFF"/>
            <w:noWrap/>
            <w:hideMark/>
          </w:tcPr>
          <w:p w14:paraId="118579D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44</w:t>
            </w:r>
          </w:p>
        </w:tc>
        <w:tc>
          <w:tcPr>
            <w:tcW w:w="1067" w:type="dxa"/>
            <w:tcBorders>
              <w:top w:val="nil"/>
              <w:left w:val="nil"/>
              <w:bottom w:val="nil"/>
              <w:right w:val="nil"/>
            </w:tcBorders>
            <w:shd w:val="clear" w:color="000000" w:fill="FFFFFF"/>
            <w:noWrap/>
            <w:hideMark/>
          </w:tcPr>
          <w:p w14:paraId="489F37D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61" w:type="dxa"/>
            <w:tcBorders>
              <w:top w:val="nil"/>
              <w:left w:val="nil"/>
              <w:bottom w:val="nil"/>
              <w:right w:val="nil"/>
            </w:tcBorders>
            <w:shd w:val="clear" w:color="000000" w:fill="FFFFFF"/>
            <w:noWrap/>
            <w:hideMark/>
          </w:tcPr>
          <w:p w14:paraId="1F2E290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051" w:type="dxa"/>
            <w:tcBorders>
              <w:top w:val="nil"/>
              <w:left w:val="nil"/>
              <w:bottom w:val="nil"/>
              <w:right w:val="nil"/>
            </w:tcBorders>
            <w:shd w:val="clear" w:color="000000" w:fill="FFFFFF"/>
            <w:noWrap/>
            <w:hideMark/>
          </w:tcPr>
          <w:p w14:paraId="48E96117"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44</w:t>
            </w:r>
          </w:p>
        </w:tc>
        <w:tc>
          <w:tcPr>
            <w:tcW w:w="1067" w:type="dxa"/>
            <w:tcBorders>
              <w:top w:val="nil"/>
              <w:left w:val="nil"/>
              <w:bottom w:val="nil"/>
              <w:right w:val="nil"/>
            </w:tcBorders>
            <w:shd w:val="clear" w:color="000000" w:fill="FFFFFF"/>
            <w:noWrap/>
            <w:hideMark/>
          </w:tcPr>
          <w:p w14:paraId="3C3E7DE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w:t>
            </w:r>
          </w:p>
        </w:tc>
        <w:tc>
          <w:tcPr>
            <w:tcW w:w="1124" w:type="dxa"/>
            <w:tcBorders>
              <w:top w:val="nil"/>
              <w:left w:val="nil"/>
              <w:bottom w:val="nil"/>
              <w:right w:val="nil"/>
            </w:tcBorders>
            <w:shd w:val="clear" w:color="000000" w:fill="FFFFFF"/>
            <w:noWrap/>
            <w:hideMark/>
          </w:tcPr>
          <w:p w14:paraId="4470085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44</w:t>
            </w:r>
          </w:p>
        </w:tc>
      </w:tr>
      <w:tr w:rsidR="004D67F9" w:rsidRPr="004D67F9" w14:paraId="30E03378" w14:textId="77777777" w:rsidTr="004816E7">
        <w:trPr>
          <w:divId w:val="106513985"/>
          <w:trHeight w:hRule="exact" w:val="216"/>
        </w:trPr>
        <w:tc>
          <w:tcPr>
            <w:tcW w:w="643" w:type="dxa"/>
            <w:tcBorders>
              <w:top w:val="nil"/>
              <w:left w:val="nil"/>
              <w:bottom w:val="nil"/>
              <w:right w:val="nil"/>
            </w:tcBorders>
            <w:shd w:val="clear" w:color="000000" w:fill="FFFFFF"/>
            <w:hideMark/>
          </w:tcPr>
          <w:p w14:paraId="58C7AAF5"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7EF665CC"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(Building Respect for Copyright and Related Rights)</w:t>
            </w:r>
          </w:p>
        </w:tc>
        <w:tc>
          <w:tcPr>
            <w:tcW w:w="1054" w:type="dxa"/>
            <w:tcBorders>
              <w:top w:val="nil"/>
              <w:left w:val="nil"/>
              <w:bottom w:val="nil"/>
              <w:right w:val="nil"/>
            </w:tcBorders>
            <w:shd w:val="clear" w:color="000000" w:fill="FFFFFF"/>
            <w:noWrap/>
            <w:hideMark/>
          </w:tcPr>
          <w:p w14:paraId="4DAC396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802</w:t>
            </w:r>
          </w:p>
        </w:tc>
        <w:tc>
          <w:tcPr>
            <w:tcW w:w="1067" w:type="dxa"/>
            <w:tcBorders>
              <w:top w:val="nil"/>
              <w:left w:val="nil"/>
              <w:bottom w:val="nil"/>
              <w:right w:val="nil"/>
            </w:tcBorders>
            <w:shd w:val="clear" w:color="000000" w:fill="FFFFFF"/>
            <w:noWrap/>
            <w:hideMark/>
          </w:tcPr>
          <w:p w14:paraId="6323B6E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229</w:t>
            </w:r>
          </w:p>
        </w:tc>
        <w:tc>
          <w:tcPr>
            <w:tcW w:w="1061" w:type="dxa"/>
            <w:tcBorders>
              <w:top w:val="nil"/>
              <w:left w:val="nil"/>
              <w:bottom w:val="nil"/>
              <w:right w:val="nil"/>
            </w:tcBorders>
            <w:shd w:val="clear" w:color="000000" w:fill="FFFFFF"/>
            <w:noWrap/>
            <w:hideMark/>
          </w:tcPr>
          <w:p w14:paraId="6C2BBCF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247</w:t>
            </w:r>
          </w:p>
        </w:tc>
        <w:tc>
          <w:tcPr>
            <w:tcW w:w="1051" w:type="dxa"/>
            <w:tcBorders>
              <w:top w:val="nil"/>
              <w:left w:val="nil"/>
              <w:bottom w:val="nil"/>
              <w:right w:val="nil"/>
            </w:tcBorders>
            <w:shd w:val="clear" w:color="000000" w:fill="FFFFFF"/>
            <w:noWrap/>
            <w:hideMark/>
          </w:tcPr>
          <w:p w14:paraId="64FE1B4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783</w:t>
            </w:r>
          </w:p>
        </w:tc>
        <w:tc>
          <w:tcPr>
            <w:tcW w:w="1067" w:type="dxa"/>
            <w:tcBorders>
              <w:top w:val="nil"/>
              <w:left w:val="nil"/>
              <w:bottom w:val="nil"/>
              <w:right w:val="nil"/>
            </w:tcBorders>
            <w:shd w:val="clear" w:color="000000" w:fill="FFFFFF"/>
            <w:noWrap/>
            <w:hideMark/>
          </w:tcPr>
          <w:p w14:paraId="0369B696"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458</w:t>
            </w:r>
          </w:p>
        </w:tc>
        <w:tc>
          <w:tcPr>
            <w:tcW w:w="1124" w:type="dxa"/>
            <w:tcBorders>
              <w:top w:val="nil"/>
              <w:left w:val="nil"/>
              <w:bottom w:val="nil"/>
              <w:right w:val="nil"/>
            </w:tcBorders>
            <w:shd w:val="clear" w:color="000000" w:fill="FFFFFF"/>
            <w:noWrap/>
            <w:hideMark/>
          </w:tcPr>
          <w:p w14:paraId="098E3DA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1,241</w:t>
            </w:r>
          </w:p>
        </w:tc>
      </w:tr>
      <w:tr w:rsidR="004D67F9" w:rsidRPr="004D67F9" w14:paraId="613B1E88" w14:textId="77777777" w:rsidTr="004816E7">
        <w:trPr>
          <w:divId w:val="106513985"/>
          <w:trHeight w:hRule="exact" w:val="216"/>
        </w:trPr>
        <w:tc>
          <w:tcPr>
            <w:tcW w:w="643" w:type="dxa"/>
            <w:tcBorders>
              <w:top w:val="nil"/>
              <w:left w:val="nil"/>
              <w:bottom w:val="nil"/>
              <w:right w:val="nil"/>
            </w:tcBorders>
            <w:shd w:val="clear" w:color="000000" w:fill="FFFFFF"/>
            <w:hideMark/>
          </w:tcPr>
          <w:p w14:paraId="2423497A"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78C6A0B6"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(Ministry of Justice - HR)</w:t>
            </w:r>
          </w:p>
        </w:tc>
        <w:tc>
          <w:tcPr>
            <w:tcW w:w="1054" w:type="dxa"/>
            <w:tcBorders>
              <w:top w:val="nil"/>
              <w:left w:val="nil"/>
              <w:bottom w:val="nil"/>
              <w:right w:val="nil"/>
            </w:tcBorders>
            <w:shd w:val="clear" w:color="000000" w:fill="FFFFFF"/>
            <w:noWrap/>
            <w:hideMark/>
          </w:tcPr>
          <w:p w14:paraId="77106CA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138</w:t>
            </w:r>
          </w:p>
        </w:tc>
        <w:tc>
          <w:tcPr>
            <w:tcW w:w="1067" w:type="dxa"/>
            <w:tcBorders>
              <w:top w:val="nil"/>
              <w:left w:val="nil"/>
              <w:bottom w:val="nil"/>
              <w:right w:val="nil"/>
            </w:tcBorders>
            <w:shd w:val="clear" w:color="000000" w:fill="FFFFFF"/>
            <w:noWrap/>
            <w:hideMark/>
          </w:tcPr>
          <w:p w14:paraId="4C267E7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197</w:t>
            </w:r>
          </w:p>
        </w:tc>
        <w:tc>
          <w:tcPr>
            <w:tcW w:w="1061" w:type="dxa"/>
            <w:tcBorders>
              <w:top w:val="nil"/>
              <w:left w:val="nil"/>
              <w:bottom w:val="nil"/>
              <w:right w:val="nil"/>
            </w:tcBorders>
            <w:shd w:val="clear" w:color="000000" w:fill="FFFFFF"/>
            <w:noWrap/>
            <w:hideMark/>
          </w:tcPr>
          <w:p w14:paraId="7BCE960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232</w:t>
            </w:r>
          </w:p>
        </w:tc>
        <w:tc>
          <w:tcPr>
            <w:tcW w:w="1051" w:type="dxa"/>
            <w:tcBorders>
              <w:top w:val="nil"/>
              <w:left w:val="nil"/>
              <w:bottom w:val="nil"/>
              <w:right w:val="nil"/>
            </w:tcBorders>
            <w:shd w:val="clear" w:color="000000" w:fill="FFFFFF"/>
            <w:noWrap/>
            <w:hideMark/>
          </w:tcPr>
          <w:p w14:paraId="3F5ECC4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103</w:t>
            </w:r>
          </w:p>
        </w:tc>
        <w:tc>
          <w:tcPr>
            <w:tcW w:w="1067" w:type="dxa"/>
            <w:tcBorders>
              <w:top w:val="nil"/>
              <w:left w:val="nil"/>
              <w:bottom w:val="nil"/>
              <w:right w:val="nil"/>
            </w:tcBorders>
            <w:shd w:val="clear" w:color="000000" w:fill="FFFFFF"/>
            <w:noWrap/>
            <w:hideMark/>
          </w:tcPr>
          <w:p w14:paraId="32D0C20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393</w:t>
            </w:r>
          </w:p>
        </w:tc>
        <w:tc>
          <w:tcPr>
            <w:tcW w:w="1124" w:type="dxa"/>
            <w:tcBorders>
              <w:top w:val="nil"/>
              <w:left w:val="nil"/>
              <w:bottom w:val="nil"/>
              <w:right w:val="nil"/>
            </w:tcBorders>
            <w:shd w:val="clear" w:color="000000" w:fill="FFFFFF"/>
            <w:noWrap/>
            <w:hideMark/>
          </w:tcPr>
          <w:p w14:paraId="0DB12DE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496</w:t>
            </w:r>
          </w:p>
        </w:tc>
      </w:tr>
      <w:tr w:rsidR="004D67F9" w:rsidRPr="004D67F9" w14:paraId="34D688E1"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340F2DE9"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456109B4"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36BE11D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990</w:t>
            </w:r>
          </w:p>
        </w:tc>
        <w:tc>
          <w:tcPr>
            <w:tcW w:w="1067" w:type="dxa"/>
            <w:tcBorders>
              <w:top w:val="single" w:sz="4" w:space="0" w:color="BFBFBF"/>
              <w:left w:val="nil"/>
              <w:bottom w:val="single" w:sz="4" w:space="0" w:color="BFBFBF"/>
              <w:right w:val="nil"/>
            </w:tcBorders>
            <w:shd w:val="clear" w:color="000000" w:fill="FFFFFF"/>
            <w:vAlign w:val="center"/>
            <w:hideMark/>
          </w:tcPr>
          <w:p w14:paraId="34C00C1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440</w:t>
            </w:r>
          </w:p>
        </w:tc>
        <w:tc>
          <w:tcPr>
            <w:tcW w:w="1061" w:type="dxa"/>
            <w:tcBorders>
              <w:top w:val="single" w:sz="4" w:space="0" w:color="BFBFBF"/>
              <w:left w:val="nil"/>
              <w:bottom w:val="single" w:sz="4" w:space="0" w:color="BFBFBF"/>
              <w:right w:val="nil"/>
            </w:tcBorders>
            <w:shd w:val="clear" w:color="000000" w:fill="FFFFFF"/>
            <w:vAlign w:val="center"/>
            <w:hideMark/>
          </w:tcPr>
          <w:p w14:paraId="469CF97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500</w:t>
            </w:r>
          </w:p>
        </w:tc>
        <w:tc>
          <w:tcPr>
            <w:tcW w:w="1051" w:type="dxa"/>
            <w:tcBorders>
              <w:top w:val="single" w:sz="4" w:space="0" w:color="BFBFBF"/>
              <w:left w:val="nil"/>
              <w:bottom w:val="single" w:sz="4" w:space="0" w:color="BFBFBF"/>
              <w:right w:val="nil"/>
            </w:tcBorders>
            <w:shd w:val="clear" w:color="000000" w:fill="FFFFFF"/>
            <w:vAlign w:val="center"/>
            <w:hideMark/>
          </w:tcPr>
          <w:p w14:paraId="0F1C2B8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930</w:t>
            </w:r>
          </w:p>
        </w:tc>
        <w:tc>
          <w:tcPr>
            <w:tcW w:w="1067" w:type="dxa"/>
            <w:tcBorders>
              <w:top w:val="single" w:sz="4" w:space="0" w:color="BFBFBF"/>
              <w:left w:val="nil"/>
              <w:bottom w:val="single" w:sz="4" w:space="0" w:color="BFBFBF"/>
              <w:right w:val="nil"/>
            </w:tcBorders>
            <w:shd w:val="clear" w:color="000000" w:fill="FFFFFF"/>
            <w:vAlign w:val="center"/>
            <w:hideMark/>
          </w:tcPr>
          <w:p w14:paraId="46BE518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880</w:t>
            </w:r>
          </w:p>
        </w:tc>
        <w:tc>
          <w:tcPr>
            <w:tcW w:w="1124" w:type="dxa"/>
            <w:tcBorders>
              <w:top w:val="single" w:sz="4" w:space="0" w:color="BFBFBF"/>
              <w:left w:val="nil"/>
              <w:bottom w:val="single" w:sz="4" w:space="0" w:color="BFBFBF"/>
              <w:right w:val="nil"/>
            </w:tcBorders>
            <w:shd w:val="clear" w:color="000000" w:fill="FFFFFF"/>
            <w:vAlign w:val="center"/>
            <w:hideMark/>
          </w:tcPr>
          <w:p w14:paraId="0E498095"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1,809</w:t>
            </w:r>
          </w:p>
        </w:tc>
      </w:tr>
      <w:tr w:rsidR="004D67F9" w:rsidRPr="004D67F9" w14:paraId="47E42771" w14:textId="77777777" w:rsidTr="004816E7">
        <w:trPr>
          <w:divId w:val="106513985"/>
          <w:trHeight w:hRule="exact" w:val="216"/>
        </w:trPr>
        <w:tc>
          <w:tcPr>
            <w:tcW w:w="643" w:type="dxa"/>
            <w:tcBorders>
              <w:top w:val="nil"/>
              <w:left w:val="nil"/>
              <w:bottom w:val="nil"/>
              <w:right w:val="nil"/>
            </w:tcBorders>
            <w:shd w:val="clear" w:color="000000" w:fill="FFFFFF"/>
            <w:noWrap/>
            <w:hideMark/>
          </w:tcPr>
          <w:p w14:paraId="254DF4C9"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IE</w:t>
            </w:r>
          </w:p>
        </w:tc>
        <w:tc>
          <w:tcPr>
            <w:tcW w:w="2553" w:type="dxa"/>
            <w:tcBorders>
              <w:top w:val="nil"/>
              <w:left w:val="nil"/>
              <w:bottom w:val="nil"/>
              <w:right w:val="nil"/>
            </w:tcBorders>
            <w:shd w:val="clear" w:color="000000" w:fill="FFFFFF"/>
            <w:hideMark/>
          </w:tcPr>
          <w:p w14:paraId="3AB47CB7"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Spain (Industrial Property)</w:t>
            </w:r>
          </w:p>
        </w:tc>
        <w:tc>
          <w:tcPr>
            <w:tcW w:w="1054" w:type="dxa"/>
            <w:tcBorders>
              <w:top w:val="nil"/>
              <w:left w:val="nil"/>
              <w:bottom w:val="nil"/>
              <w:right w:val="nil"/>
            </w:tcBorders>
            <w:shd w:val="clear" w:color="000000" w:fill="FFFFFF"/>
            <w:vAlign w:val="center"/>
            <w:hideMark/>
          </w:tcPr>
          <w:p w14:paraId="39214D1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152</w:t>
            </w:r>
          </w:p>
        </w:tc>
        <w:tc>
          <w:tcPr>
            <w:tcW w:w="1067" w:type="dxa"/>
            <w:tcBorders>
              <w:top w:val="nil"/>
              <w:left w:val="nil"/>
              <w:bottom w:val="nil"/>
              <w:right w:val="nil"/>
            </w:tcBorders>
            <w:shd w:val="clear" w:color="000000" w:fill="FFFFFF"/>
            <w:vAlign w:val="center"/>
            <w:hideMark/>
          </w:tcPr>
          <w:p w14:paraId="4D96AE8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198</w:t>
            </w:r>
          </w:p>
        </w:tc>
        <w:tc>
          <w:tcPr>
            <w:tcW w:w="1061" w:type="dxa"/>
            <w:tcBorders>
              <w:top w:val="nil"/>
              <w:left w:val="nil"/>
              <w:bottom w:val="nil"/>
              <w:right w:val="nil"/>
            </w:tcBorders>
            <w:shd w:val="clear" w:color="000000" w:fill="FFFFFF"/>
            <w:vAlign w:val="center"/>
            <w:hideMark/>
          </w:tcPr>
          <w:p w14:paraId="28B1C4E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267</w:t>
            </w:r>
          </w:p>
        </w:tc>
        <w:tc>
          <w:tcPr>
            <w:tcW w:w="1051" w:type="dxa"/>
            <w:tcBorders>
              <w:top w:val="nil"/>
              <w:left w:val="nil"/>
              <w:bottom w:val="nil"/>
              <w:right w:val="nil"/>
            </w:tcBorders>
            <w:shd w:val="clear" w:color="000000" w:fill="FFFFFF"/>
            <w:vAlign w:val="center"/>
            <w:hideMark/>
          </w:tcPr>
          <w:p w14:paraId="46DBF90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84</w:t>
            </w:r>
          </w:p>
        </w:tc>
        <w:tc>
          <w:tcPr>
            <w:tcW w:w="1067" w:type="dxa"/>
            <w:tcBorders>
              <w:top w:val="nil"/>
              <w:left w:val="nil"/>
              <w:bottom w:val="nil"/>
              <w:right w:val="nil"/>
            </w:tcBorders>
            <w:shd w:val="clear" w:color="000000" w:fill="FFFFFF"/>
            <w:vAlign w:val="center"/>
            <w:hideMark/>
          </w:tcPr>
          <w:p w14:paraId="7FEC9DC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397</w:t>
            </w:r>
          </w:p>
        </w:tc>
        <w:tc>
          <w:tcPr>
            <w:tcW w:w="1124" w:type="dxa"/>
            <w:tcBorders>
              <w:top w:val="nil"/>
              <w:left w:val="nil"/>
              <w:bottom w:val="nil"/>
              <w:right w:val="nil"/>
            </w:tcBorders>
            <w:shd w:val="clear" w:color="000000" w:fill="FFFFFF"/>
            <w:vAlign w:val="center"/>
            <w:hideMark/>
          </w:tcPr>
          <w:p w14:paraId="336F177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480</w:t>
            </w:r>
          </w:p>
        </w:tc>
      </w:tr>
      <w:tr w:rsidR="004D67F9" w:rsidRPr="004D67F9" w14:paraId="154909E7" w14:textId="77777777" w:rsidTr="004816E7">
        <w:trPr>
          <w:divId w:val="106513985"/>
          <w:trHeight w:hRule="exact" w:val="216"/>
        </w:trPr>
        <w:tc>
          <w:tcPr>
            <w:tcW w:w="643" w:type="dxa"/>
            <w:tcBorders>
              <w:top w:val="nil"/>
              <w:left w:val="nil"/>
              <w:bottom w:val="nil"/>
              <w:right w:val="nil"/>
            </w:tcBorders>
            <w:shd w:val="clear" w:color="000000" w:fill="FFFFFF"/>
            <w:noWrap/>
            <w:hideMark/>
          </w:tcPr>
          <w:p w14:paraId="16C9F385"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nil"/>
              <w:left w:val="nil"/>
              <w:bottom w:val="nil"/>
              <w:right w:val="nil"/>
            </w:tcBorders>
            <w:shd w:val="clear" w:color="000000" w:fill="FFFFFF"/>
            <w:hideMark/>
          </w:tcPr>
          <w:p w14:paraId="5C8FE425"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(Promotion of ADR Services)</w:t>
            </w:r>
          </w:p>
        </w:tc>
        <w:tc>
          <w:tcPr>
            <w:tcW w:w="1054" w:type="dxa"/>
            <w:tcBorders>
              <w:top w:val="nil"/>
              <w:left w:val="nil"/>
              <w:bottom w:val="nil"/>
              <w:right w:val="nil"/>
            </w:tcBorders>
            <w:shd w:val="clear" w:color="000000" w:fill="FFFFFF"/>
            <w:noWrap/>
            <w:hideMark/>
          </w:tcPr>
          <w:p w14:paraId="17304D7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232</w:t>
            </w:r>
          </w:p>
        </w:tc>
        <w:tc>
          <w:tcPr>
            <w:tcW w:w="1067" w:type="dxa"/>
            <w:tcBorders>
              <w:top w:val="nil"/>
              <w:left w:val="nil"/>
              <w:bottom w:val="nil"/>
              <w:right w:val="nil"/>
            </w:tcBorders>
            <w:shd w:val="clear" w:color="000000" w:fill="FFFFFF"/>
            <w:noWrap/>
            <w:hideMark/>
          </w:tcPr>
          <w:p w14:paraId="33178E0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134</w:t>
            </w:r>
          </w:p>
        </w:tc>
        <w:tc>
          <w:tcPr>
            <w:tcW w:w="1061" w:type="dxa"/>
            <w:tcBorders>
              <w:top w:val="nil"/>
              <w:left w:val="nil"/>
              <w:bottom w:val="nil"/>
              <w:right w:val="nil"/>
            </w:tcBorders>
            <w:shd w:val="clear" w:color="000000" w:fill="FFFFFF"/>
            <w:noWrap/>
            <w:hideMark/>
          </w:tcPr>
          <w:p w14:paraId="29B0F2F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100</w:t>
            </w:r>
          </w:p>
        </w:tc>
        <w:tc>
          <w:tcPr>
            <w:tcW w:w="1051" w:type="dxa"/>
            <w:tcBorders>
              <w:top w:val="nil"/>
              <w:left w:val="nil"/>
              <w:bottom w:val="nil"/>
              <w:right w:val="nil"/>
            </w:tcBorders>
            <w:shd w:val="clear" w:color="000000" w:fill="FFFFFF"/>
            <w:noWrap/>
            <w:hideMark/>
          </w:tcPr>
          <w:p w14:paraId="0466E08E"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266</w:t>
            </w:r>
          </w:p>
        </w:tc>
        <w:tc>
          <w:tcPr>
            <w:tcW w:w="1067" w:type="dxa"/>
            <w:tcBorders>
              <w:top w:val="nil"/>
              <w:left w:val="nil"/>
              <w:bottom w:val="nil"/>
              <w:right w:val="nil"/>
            </w:tcBorders>
            <w:shd w:val="clear" w:color="000000" w:fill="FFFFFF"/>
            <w:noWrap/>
            <w:hideMark/>
          </w:tcPr>
          <w:p w14:paraId="79C158B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269</w:t>
            </w:r>
          </w:p>
        </w:tc>
        <w:tc>
          <w:tcPr>
            <w:tcW w:w="1124" w:type="dxa"/>
            <w:tcBorders>
              <w:top w:val="nil"/>
              <w:left w:val="nil"/>
              <w:bottom w:val="nil"/>
              <w:right w:val="nil"/>
            </w:tcBorders>
            <w:shd w:val="clear" w:color="000000" w:fill="FFFFFF"/>
            <w:noWrap/>
            <w:hideMark/>
          </w:tcPr>
          <w:p w14:paraId="09762A7F"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535</w:t>
            </w:r>
          </w:p>
        </w:tc>
      </w:tr>
      <w:tr w:rsidR="004D67F9" w:rsidRPr="004D67F9" w14:paraId="72A5604D"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2E0DAC80"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single" w:sz="4" w:space="0" w:color="BFBFBF"/>
              <w:right w:val="nil"/>
            </w:tcBorders>
            <w:shd w:val="clear" w:color="000000" w:fill="FFFFFF"/>
            <w:vAlign w:val="center"/>
            <w:hideMark/>
          </w:tcPr>
          <w:p w14:paraId="5D9F6C36"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single" w:sz="4" w:space="0" w:color="BFBFBF"/>
              <w:right w:val="nil"/>
            </w:tcBorders>
            <w:shd w:val="clear" w:color="000000" w:fill="FFFFFF"/>
            <w:vAlign w:val="center"/>
            <w:hideMark/>
          </w:tcPr>
          <w:p w14:paraId="480738E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384</w:t>
            </w:r>
          </w:p>
        </w:tc>
        <w:tc>
          <w:tcPr>
            <w:tcW w:w="1067" w:type="dxa"/>
            <w:tcBorders>
              <w:top w:val="single" w:sz="4" w:space="0" w:color="BFBFBF"/>
              <w:left w:val="nil"/>
              <w:bottom w:val="single" w:sz="4" w:space="0" w:color="BFBFBF"/>
              <w:right w:val="nil"/>
            </w:tcBorders>
            <w:shd w:val="clear" w:color="000000" w:fill="FFFFFF"/>
            <w:vAlign w:val="center"/>
            <w:hideMark/>
          </w:tcPr>
          <w:p w14:paraId="581F7F6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333</w:t>
            </w:r>
          </w:p>
        </w:tc>
        <w:tc>
          <w:tcPr>
            <w:tcW w:w="1061" w:type="dxa"/>
            <w:tcBorders>
              <w:top w:val="single" w:sz="4" w:space="0" w:color="BFBFBF"/>
              <w:left w:val="nil"/>
              <w:bottom w:val="single" w:sz="4" w:space="0" w:color="BFBFBF"/>
              <w:right w:val="nil"/>
            </w:tcBorders>
            <w:shd w:val="clear" w:color="000000" w:fill="FFFFFF"/>
            <w:vAlign w:val="center"/>
            <w:hideMark/>
          </w:tcPr>
          <w:p w14:paraId="4B66E80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367</w:t>
            </w:r>
          </w:p>
        </w:tc>
        <w:tc>
          <w:tcPr>
            <w:tcW w:w="1051" w:type="dxa"/>
            <w:tcBorders>
              <w:top w:val="single" w:sz="4" w:space="0" w:color="BFBFBF"/>
              <w:left w:val="nil"/>
              <w:bottom w:val="single" w:sz="4" w:space="0" w:color="BFBFBF"/>
              <w:right w:val="nil"/>
            </w:tcBorders>
            <w:shd w:val="clear" w:color="000000" w:fill="FFFFFF"/>
            <w:vAlign w:val="center"/>
            <w:hideMark/>
          </w:tcPr>
          <w:p w14:paraId="45DF75E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350</w:t>
            </w:r>
          </w:p>
        </w:tc>
        <w:tc>
          <w:tcPr>
            <w:tcW w:w="1067" w:type="dxa"/>
            <w:tcBorders>
              <w:top w:val="single" w:sz="4" w:space="0" w:color="BFBFBF"/>
              <w:left w:val="nil"/>
              <w:bottom w:val="single" w:sz="4" w:space="0" w:color="BFBFBF"/>
              <w:right w:val="nil"/>
            </w:tcBorders>
            <w:shd w:val="clear" w:color="000000" w:fill="FFFFFF"/>
            <w:vAlign w:val="center"/>
            <w:hideMark/>
          </w:tcPr>
          <w:p w14:paraId="28BB35A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666</w:t>
            </w:r>
          </w:p>
        </w:tc>
        <w:tc>
          <w:tcPr>
            <w:tcW w:w="1124" w:type="dxa"/>
            <w:tcBorders>
              <w:top w:val="single" w:sz="4" w:space="0" w:color="BFBFBF"/>
              <w:left w:val="nil"/>
              <w:bottom w:val="single" w:sz="4" w:space="0" w:color="BFBFBF"/>
              <w:right w:val="nil"/>
            </w:tcBorders>
            <w:shd w:val="clear" w:color="000000" w:fill="FFFFFF"/>
            <w:vAlign w:val="center"/>
            <w:hideMark/>
          </w:tcPr>
          <w:p w14:paraId="3106F30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1,016</w:t>
            </w:r>
          </w:p>
        </w:tc>
      </w:tr>
      <w:tr w:rsidR="004D67F9" w:rsidRPr="004D67F9" w14:paraId="0D053941" w14:textId="77777777" w:rsidTr="004816E7">
        <w:trPr>
          <w:divId w:val="106513985"/>
          <w:trHeight w:hRule="exact" w:val="216"/>
        </w:trPr>
        <w:tc>
          <w:tcPr>
            <w:tcW w:w="643" w:type="dxa"/>
            <w:tcBorders>
              <w:top w:val="nil"/>
              <w:left w:val="nil"/>
              <w:bottom w:val="nil"/>
              <w:right w:val="nil"/>
            </w:tcBorders>
            <w:shd w:val="clear" w:color="000000" w:fill="FFFFFF"/>
            <w:hideMark/>
          </w:tcPr>
          <w:p w14:paraId="4D6C5C3D"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AFM</w:t>
            </w:r>
          </w:p>
        </w:tc>
        <w:tc>
          <w:tcPr>
            <w:tcW w:w="2553" w:type="dxa"/>
            <w:tcBorders>
              <w:top w:val="nil"/>
              <w:left w:val="nil"/>
              <w:bottom w:val="nil"/>
              <w:right w:val="nil"/>
            </w:tcBorders>
            <w:shd w:val="clear" w:color="000000" w:fill="FFFFFF"/>
            <w:hideMark/>
          </w:tcPr>
          <w:p w14:paraId="511B6A26"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Republic of Korea (Professional Officers)</w:t>
            </w:r>
            <w:r w:rsidRPr="004D67F9">
              <w:rPr>
                <w:rFonts w:ascii="Arial Narrow" w:eastAsia="Times New Roman" w:hAnsi="Arial Narrow" w:cs="Times New Roman"/>
                <w:sz w:val="16"/>
                <w:szCs w:val="16"/>
                <w:vertAlign w:val="superscript"/>
                <w:lang w:val="en-US"/>
              </w:rPr>
              <w:t>5</w:t>
            </w:r>
          </w:p>
        </w:tc>
        <w:tc>
          <w:tcPr>
            <w:tcW w:w="1054" w:type="dxa"/>
            <w:tcBorders>
              <w:top w:val="nil"/>
              <w:left w:val="nil"/>
              <w:bottom w:val="nil"/>
              <w:right w:val="nil"/>
            </w:tcBorders>
            <w:shd w:val="clear" w:color="000000" w:fill="FFFFFF"/>
            <w:noWrap/>
            <w:hideMark/>
          </w:tcPr>
          <w:p w14:paraId="23C4136A"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702</w:t>
            </w:r>
          </w:p>
        </w:tc>
        <w:tc>
          <w:tcPr>
            <w:tcW w:w="1067" w:type="dxa"/>
            <w:tcBorders>
              <w:top w:val="nil"/>
              <w:left w:val="nil"/>
              <w:bottom w:val="nil"/>
              <w:right w:val="nil"/>
            </w:tcBorders>
            <w:shd w:val="clear" w:color="000000" w:fill="FFFFFF"/>
            <w:noWrap/>
            <w:hideMark/>
          </w:tcPr>
          <w:p w14:paraId="34299AA8"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548</w:t>
            </w:r>
          </w:p>
        </w:tc>
        <w:tc>
          <w:tcPr>
            <w:tcW w:w="1061" w:type="dxa"/>
            <w:tcBorders>
              <w:top w:val="nil"/>
              <w:left w:val="nil"/>
              <w:bottom w:val="nil"/>
              <w:right w:val="nil"/>
            </w:tcBorders>
            <w:shd w:val="clear" w:color="000000" w:fill="FFFFFF"/>
            <w:noWrap/>
            <w:hideMark/>
          </w:tcPr>
          <w:p w14:paraId="3B1EEE0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400</w:t>
            </w:r>
          </w:p>
        </w:tc>
        <w:tc>
          <w:tcPr>
            <w:tcW w:w="1051" w:type="dxa"/>
            <w:tcBorders>
              <w:top w:val="nil"/>
              <w:left w:val="nil"/>
              <w:bottom w:val="nil"/>
              <w:right w:val="nil"/>
            </w:tcBorders>
            <w:shd w:val="clear" w:color="000000" w:fill="FFFFFF"/>
            <w:noWrap/>
            <w:hideMark/>
          </w:tcPr>
          <w:p w14:paraId="2C9D8770"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850</w:t>
            </w:r>
          </w:p>
        </w:tc>
        <w:tc>
          <w:tcPr>
            <w:tcW w:w="1067" w:type="dxa"/>
            <w:tcBorders>
              <w:top w:val="nil"/>
              <w:left w:val="nil"/>
              <w:bottom w:val="nil"/>
              <w:right w:val="nil"/>
            </w:tcBorders>
            <w:shd w:val="clear" w:color="000000" w:fill="FFFFFF"/>
            <w:noWrap/>
            <w:hideMark/>
          </w:tcPr>
          <w:p w14:paraId="32619CD2"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1,096</w:t>
            </w:r>
          </w:p>
        </w:tc>
        <w:tc>
          <w:tcPr>
            <w:tcW w:w="1124" w:type="dxa"/>
            <w:tcBorders>
              <w:top w:val="nil"/>
              <w:left w:val="nil"/>
              <w:bottom w:val="nil"/>
              <w:right w:val="nil"/>
            </w:tcBorders>
            <w:shd w:val="clear" w:color="000000" w:fill="FFFFFF"/>
            <w:noWrap/>
            <w:hideMark/>
          </w:tcPr>
          <w:p w14:paraId="65C9E28D"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1,946</w:t>
            </w:r>
          </w:p>
        </w:tc>
      </w:tr>
      <w:tr w:rsidR="004D67F9" w:rsidRPr="004D67F9" w14:paraId="7CCA3750" w14:textId="77777777" w:rsidTr="004816E7">
        <w:trPr>
          <w:divId w:val="106513985"/>
          <w:trHeight w:hRule="exact" w:val="216"/>
        </w:trPr>
        <w:tc>
          <w:tcPr>
            <w:tcW w:w="643" w:type="dxa"/>
            <w:tcBorders>
              <w:top w:val="single" w:sz="4" w:space="0" w:color="BFBFBF"/>
              <w:left w:val="nil"/>
              <w:bottom w:val="single" w:sz="4" w:space="0" w:color="BFBFBF"/>
              <w:right w:val="nil"/>
            </w:tcBorders>
            <w:shd w:val="clear" w:color="000000" w:fill="FFFFFF"/>
            <w:vAlign w:val="bottom"/>
            <w:hideMark/>
          </w:tcPr>
          <w:p w14:paraId="1C723A06"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c>
          <w:tcPr>
            <w:tcW w:w="2553" w:type="dxa"/>
            <w:tcBorders>
              <w:top w:val="single" w:sz="4" w:space="0" w:color="BFBFBF"/>
              <w:left w:val="nil"/>
              <w:bottom w:val="nil"/>
              <w:right w:val="nil"/>
            </w:tcBorders>
            <w:shd w:val="clear" w:color="000000" w:fill="FFFFFF"/>
            <w:vAlign w:val="center"/>
            <w:hideMark/>
          </w:tcPr>
          <w:p w14:paraId="6528AFA0"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 Total</w:t>
            </w:r>
          </w:p>
        </w:tc>
        <w:tc>
          <w:tcPr>
            <w:tcW w:w="1054" w:type="dxa"/>
            <w:tcBorders>
              <w:top w:val="single" w:sz="4" w:space="0" w:color="BFBFBF"/>
              <w:left w:val="nil"/>
              <w:bottom w:val="nil"/>
              <w:right w:val="nil"/>
            </w:tcBorders>
            <w:shd w:val="clear" w:color="000000" w:fill="FFFFFF"/>
            <w:vAlign w:val="center"/>
            <w:hideMark/>
          </w:tcPr>
          <w:p w14:paraId="64E676D9"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702</w:t>
            </w:r>
          </w:p>
        </w:tc>
        <w:tc>
          <w:tcPr>
            <w:tcW w:w="1067" w:type="dxa"/>
            <w:tcBorders>
              <w:top w:val="single" w:sz="4" w:space="0" w:color="BFBFBF"/>
              <w:left w:val="nil"/>
              <w:bottom w:val="nil"/>
              <w:right w:val="nil"/>
            </w:tcBorders>
            <w:shd w:val="clear" w:color="000000" w:fill="FFFFFF"/>
            <w:vAlign w:val="center"/>
            <w:hideMark/>
          </w:tcPr>
          <w:p w14:paraId="786A47F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548</w:t>
            </w:r>
          </w:p>
        </w:tc>
        <w:tc>
          <w:tcPr>
            <w:tcW w:w="1061" w:type="dxa"/>
            <w:tcBorders>
              <w:top w:val="single" w:sz="4" w:space="0" w:color="BFBFBF"/>
              <w:left w:val="nil"/>
              <w:bottom w:val="nil"/>
              <w:right w:val="nil"/>
            </w:tcBorders>
            <w:shd w:val="clear" w:color="000000" w:fill="FFFFFF"/>
            <w:vAlign w:val="center"/>
            <w:hideMark/>
          </w:tcPr>
          <w:p w14:paraId="205870A1"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400</w:t>
            </w:r>
          </w:p>
        </w:tc>
        <w:tc>
          <w:tcPr>
            <w:tcW w:w="1051" w:type="dxa"/>
            <w:tcBorders>
              <w:top w:val="single" w:sz="4" w:space="0" w:color="BFBFBF"/>
              <w:left w:val="nil"/>
              <w:bottom w:val="nil"/>
              <w:right w:val="nil"/>
            </w:tcBorders>
            <w:shd w:val="clear" w:color="000000" w:fill="FFFFFF"/>
            <w:vAlign w:val="center"/>
            <w:hideMark/>
          </w:tcPr>
          <w:p w14:paraId="7BE5A17C"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850</w:t>
            </w:r>
          </w:p>
        </w:tc>
        <w:tc>
          <w:tcPr>
            <w:tcW w:w="1067" w:type="dxa"/>
            <w:tcBorders>
              <w:top w:val="single" w:sz="4" w:space="0" w:color="BFBFBF"/>
              <w:left w:val="nil"/>
              <w:bottom w:val="nil"/>
              <w:right w:val="nil"/>
            </w:tcBorders>
            <w:shd w:val="clear" w:color="000000" w:fill="FFFFFF"/>
            <w:vAlign w:val="center"/>
            <w:hideMark/>
          </w:tcPr>
          <w:p w14:paraId="3370F973"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1,096</w:t>
            </w:r>
          </w:p>
        </w:tc>
        <w:tc>
          <w:tcPr>
            <w:tcW w:w="1124" w:type="dxa"/>
            <w:tcBorders>
              <w:top w:val="single" w:sz="4" w:space="0" w:color="BFBFBF"/>
              <w:left w:val="nil"/>
              <w:bottom w:val="nil"/>
              <w:right w:val="nil"/>
            </w:tcBorders>
            <w:shd w:val="clear" w:color="000000" w:fill="FFFFFF"/>
            <w:vAlign w:val="center"/>
            <w:hideMark/>
          </w:tcPr>
          <w:p w14:paraId="101E7DBB" w14:textId="77777777" w:rsidR="004D67F9" w:rsidRPr="004D67F9" w:rsidRDefault="004D67F9" w:rsidP="004D67F9">
            <w:pPr>
              <w:spacing w:after="0" w:line="240" w:lineRule="auto"/>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1,946</w:t>
            </w:r>
          </w:p>
        </w:tc>
      </w:tr>
      <w:tr w:rsidR="004D67F9" w:rsidRPr="004D67F9" w14:paraId="6E990291" w14:textId="77777777" w:rsidTr="004816E7">
        <w:trPr>
          <w:divId w:val="106513985"/>
          <w:trHeight w:hRule="exact" w:val="216"/>
        </w:trPr>
        <w:tc>
          <w:tcPr>
            <w:tcW w:w="643" w:type="dxa"/>
            <w:tcBorders>
              <w:top w:val="nil"/>
              <w:left w:val="nil"/>
              <w:bottom w:val="single" w:sz="8" w:space="0" w:color="BFBFBF"/>
              <w:right w:val="single" w:sz="4" w:space="0" w:color="FFFFFF"/>
            </w:tcBorders>
            <w:shd w:val="clear" w:color="auto" w:fill="auto"/>
            <w:hideMark/>
          </w:tcPr>
          <w:p w14:paraId="74B8E3BB"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 </w:t>
            </w:r>
          </w:p>
        </w:tc>
        <w:tc>
          <w:tcPr>
            <w:tcW w:w="2553" w:type="dxa"/>
            <w:tcBorders>
              <w:top w:val="single" w:sz="4" w:space="0" w:color="BFBFBF"/>
              <w:left w:val="nil"/>
              <w:bottom w:val="single" w:sz="8" w:space="0" w:color="BFBFBF"/>
              <w:right w:val="single" w:sz="4" w:space="0" w:color="FFFFFF"/>
            </w:tcBorders>
            <w:shd w:val="clear" w:color="auto" w:fill="auto"/>
            <w:vAlign w:val="center"/>
            <w:hideMark/>
          </w:tcPr>
          <w:p w14:paraId="74057DE2" w14:textId="77777777" w:rsidR="004D67F9" w:rsidRPr="004D67F9" w:rsidRDefault="004D67F9" w:rsidP="004D67F9">
            <w:pPr>
              <w:spacing w:after="0" w:line="240" w:lineRule="auto"/>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TOTAL</w:t>
            </w:r>
          </w:p>
        </w:tc>
        <w:tc>
          <w:tcPr>
            <w:tcW w:w="1054" w:type="dxa"/>
            <w:tcBorders>
              <w:top w:val="single" w:sz="4" w:space="0" w:color="BFBFBF"/>
              <w:left w:val="nil"/>
              <w:bottom w:val="single" w:sz="8" w:space="0" w:color="BFBFBF"/>
              <w:right w:val="single" w:sz="4" w:space="0" w:color="FFFFFF"/>
            </w:tcBorders>
            <w:shd w:val="clear" w:color="auto" w:fill="auto"/>
            <w:vAlign w:val="center"/>
            <w:hideMark/>
          </w:tcPr>
          <w:p w14:paraId="11BB382C"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17,348</w:t>
            </w:r>
          </w:p>
        </w:tc>
        <w:tc>
          <w:tcPr>
            <w:tcW w:w="1067" w:type="dxa"/>
            <w:tcBorders>
              <w:top w:val="single" w:sz="4" w:space="0" w:color="BFBFBF"/>
              <w:left w:val="nil"/>
              <w:bottom w:val="single" w:sz="8" w:space="0" w:color="BFBFBF"/>
              <w:right w:val="single" w:sz="4" w:space="0" w:color="FFFFFF"/>
            </w:tcBorders>
            <w:shd w:val="clear" w:color="auto" w:fill="auto"/>
            <w:vAlign w:val="center"/>
            <w:hideMark/>
          </w:tcPr>
          <w:p w14:paraId="5666A735"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9,185</w:t>
            </w:r>
          </w:p>
        </w:tc>
        <w:tc>
          <w:tcPr>
            <w:tcW w:w="1061" w:type="dxa"/>
            <w:tcBorders>
              <w:top w:val="single" w:sz="4" w:space="0" w:color="BFBFBF"/>
              <w:left w:val="nil"/>
              <w:bottom w:val="single" w:sz="8" w:space="0" w:color="BFBFBF"/>
              <w:right w:val="single" w:sz="4" w:space="0" w:color="FFFFFF"/>
            </w:tcBorders>
            <w:shd w:val="clear" w:color="auto" w:fill="auto"/>
            <w:vAlign w:val="center"/>
            <w:hideMark/>
          </w:tcPr>
          <w:p w14:paraId="3B297113"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7,320</w:t>
            </w:r>
          </w:p>
        </w:tc>
        <w:tc>
          <w:tcPr>
            <w:tcW w:w="1051" w:type="dxa"/>
            <w:tcBorders>
              <w:top w:val="single" w:sz="4" w:space="0" w:color="BFBFBF"/>
              <w:left w:val="nil"/>
              <w:bottom w:val="single" w:sz="8" w:space="0" w:color="BFBFBF"/>
              <w:right w:val="single" w:sz="4" w:space="0" w:color="FFFFFF"/>
            </w:tcBorders>
            <w:shd w:val="clear" w:color="auto" w:fill="auto"/>
            <w:vAlign w:val="center"/>
            <w:hideMark/>
          </w:tcPr>
          <w:p w14:paraId="3FE3B10E"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19,214</w:t>
            </w:r>
          </w:p>
        </w:tc>
        <w:tc>
          <w:tcPr>
            <w:tcW w:w="1067" w:type="dxa"/>
            <w:tcBorders>
              <w:top w:val="single" w:sz="4" w:space="0" w:color="BFBFBF"/>
              <w:left w:val="nil"/>
              <w:bottom w:val="single" w:sz="8" w:space="0" w:color="BFBFBF"/>
              <w:right w:val="single" w:sz="4" w:space="0" w:color="FFFFFF"/>
            </w:tcBorders>
            <w:shd w:val="clear" w:color="auto" w:fill="auto"/>
            <w:vAlign w:val="center"/>
            <w:hideMark/>
          </w:tcPr>
          <w:p w14:paraId="1D0C470C"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18,371</w:t>
            </w:r>
          </w:p>
        </w:tc>
        <w:tc>
          <w:tcPr>
            <w:tcW w:w="1124" w:type="dxa"/>
            <w:tcBorders>
              <w:top w:val="single" w:sz="4" w:space="0" w:color="BFBFBF"/>
              <w:left w:val="nil"/>
              <w:bottom w:val="single" w:sz="8" w:space="0" w:color="BFBFBF"/>
              <w:right w:val="single" w:sz="4" w:space="0" w:color="FFFFFF"/>
            </w:tcBorders>
            <w:shd w:val="clear" w:color="auto" w:fill="auto"/>
            <w:vAlign w:val="center"/>
            <w:hideMark/>
          </w:tcPr>
          <w:p w14:paraId="7B0E4C7B"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r w:rsidRPr="004D67F9">
              <w:rPr>
                <w:rFonts w:ascii="Arial Narrow" w:eastAsia="Times New Roman" w:hAnsi="Arial Narrow" w:cs="Times New Roman"/>
                <w:b/>
                <w:bCs/>
                <w:color w:val="000000"/>
                <w:sz w:val="16"/>
                <w:szCs w:val="16"/>
                <w:lang w:val="en-US"/>
              </w:rPr>
              <w:t>37,585</w:t>
            </w:r>
          </w:p>
        </w:tc>
      </w:tr>
      <w:tr w:rsidR="004D67F9" w:rsidRPr="004D67F9" w14:paraId="742731D2" w14:textId="77777777" w:rsidTr="004D67F9">
        <w:trPr>
          <w:divId w:val="106513985"/>
          <w:trHeight w:val="105"/>
        </w:trPr>
        <w:tc>
          <w:tcPr>
            <w:tcW w:w="643" w:type="dxa"/>
            <w:tcBorders>
              <w:top w:val="nil"/>
              <w:left w:val="nil"/>
              <w:bottom w:val="nil"/>
              <w:right w:val="nil"/>
            </w:tcBorders>
            <w:shd w:val="clear" w:color="auto" w:fill="auto"/>
            <w:noWrap/>
            <w:vAlign w:val="bottom"/>
            <w:hideMark/>
          </w:tcPr>
          <w:p w14:paraId="7F04667D" w14:textId="77777777" w:rsidR="004D67F9" w:rsidRPr="004D67F9" w:rsidRDefault="004D67F9" w:rsidP="004D67F9">
            <w:pPr>
              <w:spacing w:after="0" w:line="240" w:lineRule="auto"/>
              <w:jc w:val="right"/>
              <w:rPr>
                <w:rFonts w:ascii="Arial Narrow" w:eastAsia="Times New Roman" w:hAnsi="Arial Narrow" w:cs="Times New Roman"/>
                <w:b/>
                <w:bCs/>
                <w:color w:val="000000"/>
                <w:sz w:val="16"/>
                <w:szCs w:val="16"/>
                <w:lang w:val="en-US"/>
              </w:rPr>
            </w:pPr>
          </w:p>
        </w:tc>
        <w:tc>
          <w:tcPr>
            <w:tcW w:w="2553" w:type="dxa"/>
            <w:tcBorders>
              <w:top w:val="nil"/>
              <w:left w:val="nil"/>
              <w:bottom w:val="nil"/>
              <w:right w:val="nil"/>
            </w:tcBorders>
            <w:shd w:val="clear" w:color="auto" w:fill="auto"/>
            <w:noWrap/>
            <w:vAlign w:val="bottom"/>
            <w:hideMark/>
          </w:tcPr>
          <w:p w14:paraId="66DCC650"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54" w:type="dxa"/>
            <w:tcBorders>
              <w:top w:val="nil"/>
              <w:left w:val="nil"/>
              <w:bottom w:val="nil"/>
              <w:right w:val="nil"/>
            </w:tcBorders>
            <w:shd w:val="clear" w:color="auto" w:fill="auto"/>
            <w:noWrap/>
            <w:vAlign w:val="bottom"/>
            <w:hideMark/>
          </w:tcPr>
          <w:p w14:paraId="3EB0E379"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7" w:type="dxa"/>
            <w:tcBorders>
              <w:top w:val="nil"/>
              <w:left w:val="nil"/>
              <w:bottom w:val="nil"/>
              <w:right w:val="nil"/>
            </w:tcBorders>
            <w:shd w:val="clear" w:color="auto" w:fill="auto"/>
            <w:noWrap/>
            <w:vAlign w:val="bottom"/>
            <w:hideMark/>
          </w:tcPr>
          <w:p w14:paraId="23136ED4"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1" w:type="dxa"/>
            <w:tcBorders>
              <w:top w:val="nil"/>
              <w:left w:val="nil"/>
              <w:bottom w:val="nil"/>
              <w:right w:val="nil"/>
            </w:tcBorders>
            <w:shd w:val="clear" w:color="auto" w:fill="auto"/>
            <w:noWrap/>
            <w:vAlign w:val="bottom"/>
            <w:hideMark/>
          </w:tcPr>
          <w:p w14:paraId="3B8F74A3"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51" w:type="dxa"/>
            <w:tcBorders>
              <w:top w:val="nil"/>
              <w:left w:val="nil"/>
              <w:bottom w:val="nil"/>
              <w:right w:val="nil"/>
            </w:tcBorders>
            <w:shd w:val="clear" w:color="auto" w:fill="auto"/>
            <w:noWrap/>
            <w:vAlign w:val="bottom"/>
            <w:hideMark/>
          </w:tcPr>
          <w:p w14:paraId="097A5ED8"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067" w:type="dxa"/>
            <w:tcBorders>
              <w:top w:val="nil"/>
              <w:left w:val="nil"/>
              <w:bottom w:val="nil"/>
              <w:right w:val="nil"/>
            </w:tcBorders>
            <w:shd w:val="clear" w:color="auto" w:fill="auto"/>
            <w:noWrap/>
            <w:vAlign w:val="bottom"/>
            <w:hideMark/>
          </w:tcPr>
          <w:p w14:paraId="36953ED7"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c>
          <w:tcPr>
            <w:tcW w:w="1124" w:type="dxa"/>
            <w:tcBorders>
              <w:top w:val="nil"/>
              <w:left w:val="nil"/>
              <w:bottom w:val="nil"/>
              <w:right w:val="nil"/>
            </w:tcBorders>
            <w:shd w:val="clear" w:color="auto" w:fill="auto"/>
            <w:noWrap/>
            <w:vAlign w:val="bottom"/>
            <w:hideMark/>
          </w:tcPr>
          <w:p w14:paraId="169884B1"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42B6BF37" w14:textId="77777777" w:rsidTr="004D67F9">
        <w:trPr>
          <w:divId w:val="106513985"/>
          <w:trHeight w:val="300"/>
        </w:trPr>
        <w:tc>
          <w:tcPr>
            <w:tcW w:w="9620" w:type="dxa"/>
            <w:gridSpan w:val="8"/>
            <w:tcBorders>
              <w:top w:val="nil"/>
              <w:left w:val="nil"/>
              <w:bottom w:val="nil"/>
              <w:right w:val="nil"/>
            </w:tcBorders>
            <w:shd w:val="clear" w:color="auto" w:fill="auto"/>
            <w:hideMark/>
          </w:tcPr>
          <w:p w14:paraId="1EAF35FC" w14:textId="3CAA0F4C" w:rsidR="004D67F9" w:rsidRPr="004D67F9" w:rsidRDefault="004D67F9" w:rsidP="0004006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1</w:t>
            </w:r>
            <w:r w:rsidRPr="004D67F9">
              <w:rPr>
                <w:rFonts w:ascii="Arial Narrow" w:eastAsia="Times New Roman" w:hAnsi="Arial Narrow" w:cs="Times New Roman"/>
                <w:sz w:val="16"/>
                <w:szCs w:val="16"/>
                <w:lang w:val="en-US"/>
              </w:rPr>
              <w:t xml:space="preserve"> The figures </w:t>
            </w:r>
            <w:r w:rsidR="00040069">
              <w:rPr>
                <w:rFonts w:ascii="Arial Narrow" w:eastAsia="Times New Roman" w:hAnsi="Arial Narrow" w:cs="Times New Roman"/>
                <w:sz w:val="16"/>
                <w:szCs w:val="16"/>
                <w:lang w:val="en-US"/>
              </w:rPr>
              <w:t>exclude</w:t>
            </w:r>
            <w:r w:rsidRPr="004D67F9">
              <w:rPr>
                <w:rFonts w:ascii="Arial Narrow" w:eastAsia="Times New Roman" w:hAnsi="Arial Narrow" w:cs="Times New Roman"/>
                <w:sz w:val="16"/>
                <w:szCs w:val="16"/>
                <w:lang w:val="en-US"/>
              </w:rPr>
              <w:t xml:space="preserve"> interest and exchange rate adjustments.</w:t>
            </w:r>
          </w:p>
        </w:tc>
      </w:tr>
      <w:tr w:rsidR="004D67F9" w:rsidRPr="004D67F9" w14:paraId="62092D16" w14:textId="77777777" w:rsidTr="004D67F9">
        <w:trPr>
          <w:divId w:val="106513985"/>
          <w:trHeight w:val="450"/>
        </w:trPr>
        <w:tc>
          <w:tcPr>
            <w:tcW w:w="9620" w:type="dxa"/>
            <w:gridSpan w:val="8"/>
            <w:tcBorders>
              <w:top w:val="nil"/>
              <w:left w:val="nil"/>
              <w:bottom w:val="nil"/>
              <w:right w:val="nil"/>
            </w:tcBorders>
            <w:shd w:val="clear" w:color="auto" w:fill="auto"/>
            <w:vAlign w:val="bottom"/>
            <w:hideMark/>
          </w:tcPr>
          <w:p w14:paraId="77D2836F"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2</w:t>
            </w:r>
            <w:r w:rsidRPr="004D67F9">
              <w:rPr>
                <w:rFonts w:ascii="Arial Narrow" w:eastAsia="Times New Roman" w:hAnsi="Arial Narrow" w:cs="Times New Roman"/>
                <w:sz w:val="16"/>
                <w:szCs w:val="16"/>
                <w:lang w:val="en-US"/>
              </w:rPr>
              <w:t xml:space="preserve"> The estimated contributions in 2023 and 2024/25 are purely indicative and are based on previous funding patterns. They do not represent Member States' commitments except in those cases where the FIT Agreement includes such a commitment. Annual contributions may vary.</w:t>
            </w:r>
          </w:p>
        </w:tc>
      </w:tr>
      <w:tr w:rsidR="004D67F9" w:rsidRPr="004D67F9" w14:paraId="7E5C3B77" w14:textId="77777777" w:rsidTr="004D67F9">
        <w:trPr>
          <w:divId w:val="106513985"/>
          <w:trHeight w:val="300"/>
        </w:trPr>
        <w:tc>
          <w:tcPr>
            <w:tcW w:w="8496" w:type="dxa"/>
            <w:gridSpan w:val="7"/>
            <w:tcBorders>
              <w:top w:val="nil"/>
              <w:left w:val="nil"/>
              <w:bottom w:val="nil"/>
              <w:right w:val="nil"/>
            </w:tcBorders>
            <w:shd w:val="clear" w:color="auto" w:fill="auto"/>
            <w:vAlign w:val="bottom"/>
            <w:hideMark/>
          </w:tcPr>
          <w:p w14:paraId="15139743"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3</w:t>
            </w:r>
            <w:r w:rsidRPr="004D67F9">
              <w:rPr>
                <w:rFonts w:ascii="Arial Narrow" w:eastAsia="Times New Roman" w:hAnsi="Arial Narrow" w:cs="Times New Roman"/>
                <w:sz w:val="16"/>
                <w:szCs w:val="16"/>
                <w:lang w:val="en-US"/>
              </w:rPr>
              <w:t xml:space="preserve"> Estimated expenditure in 2023 are indicative, based on past expenditure. </w:t>
            </w:r>
          </w:p>
        </w:tc>
        <w:tc>
          <w:tcPr>
            <w:tcW w:w="1124" w:type="dxa"/>
            <w:tcBorders>
              <w:top w:val="nil"/>
              <w:left w:val="nil"/>
              <w:bottom w:val="nil"/>
              <w:right w:val="nil"/>
            </w:tcBorders>
            <w:shd w:val="clear" w:color="000000" w:fill="FFFFFF"/>
            <w:noWrap/>
            <w:vAlign w:val="bottom"/>
            <w:hideMark/>
          </w:tcPr>
          <w:p w14:paraId="2B9E98E4" w14:textId="77777777" w:rsidR="004D67F9" w:rsidRPr="004D67F9" w:rsidRDefault="004D67F9" w:rsidP="004D67F9">
            <w:pPr>
              <w:spacing w:after="0" w:line="240" w:lineRule="auto"/>
              <w:jc w:val="center"/>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 </w:t>
            </w:r>
          </w:p>
        </w:tc>
      </w:tr>
      <w:tr w:rsidR="004D67F9" w:rsidRPr="004D67F9" w14:paraId="2D91BF70" w14:textId="77777777" w:rsidTr="004D67F9">
        <w:trPr>
          <w:divId w:val="106513985"/>
          <w:trHeight w:val="300"/>
        </w:trPr>
        <w:tc>
          <w:tcPr>
            <w:tcW w:w="8496" w:type="dxa"/>
            <w:gridSpan w:val="7"/>
            <w:tcBorders>
              <w:top w:val="nil"/>
              <w:left w:val="nil"/>
              <w:bottom w:val="nil"/>
              <w:right w:val="nil"/>
            </w:tcBorders>
            <w:shd w:val="clear" w:color="auto" w:fill="auto"/>
            <w:vAlign w:val="bottom"/>
            <w:hideMark/>
          </w:tcPr>
          <w:p w14:paraId="33623FDD"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4</w:t>
            </w:r>
            <w:r w:rsidRPr="004D67F9">
              <w:rPr>
                <w:rFonts w:ascii="Arial Narrow" w:eastAsia="Times New Roman" w:hAnsi="Arial Narrow" w:cs="Times New Roman"/>
                <w:sz w:val="16"/>
                <w:szCs w:val="16"/>
                <w:lang w:val="en-US"/>
              </w:rPr>
              <w:t xml:space="preserve"> This FIT includes activities carried out under several other areas.</w:t>
            </w:r>
          </w:p>
        </w:tc>
        <w:tc>
          <w:tcPr>
            <w:tcW w:w="1124" w:type="dxa"/>
            <w:tcBorders>
              <w:top w:val="nil"/>
              <w:left w:val="nil"/>
              <w:bottom w:val="nil"/>
              <w:right w:val="nil"/>
            </w:tcBorders>
            <w:shd w:val="clear" w:color="auto" w:fill="auto"/>
            <w:noWrap/>
            <w:vAlign w:val="bottom"/>
            <w:hideMark/>
          </w:tcPr>
          <w:p w14:paraId="5B38D009" w14:textId="77777777" w:rsidR="004D67F9" w:rsidRPr="004D67F9" w:rsidRDefault="004D67F9" w:rsidP="004D67F9">
            <w:pPr>
              <w:spacing w:after="0" w:line="240" w:lineRule="auto"/>
              <w:rPr>
                <w:rFonts w:ascii="Arial Narrow" w:eastAsia="Times New Roman" w:hAnsi="Arial Narrow" w:cs="Times New Roman"/>
                <w:sz w:val="16"/>
                <w:szCs w:val="16"/>
                <w:lang w:val="en-US"/>
              </w:rPr>
            </w:pPr>
          </w:p>
        </w:tc>
      </w:tr>
      <w:tr w:rsidR="004D67F9" w:rsidRPr="004D67F9" w14:paraId="18EC9137" w14:textId="77777777" w:rsidTr="004D67F9">
        <w:trPr>
          <w:divId w:val="106513985"/>
          <w:trHeight w:val="300"/>
        </w:trPr>
        <w:tc>
          <w:tcPr>
            <w:tcW w:w="8496" w:type="dxa"/>
            <w:gridSpan w:val="7"/>
            <w:tcBorders>
              <w:top w:val="nil"/>
              <w:left w:val="nil"/>
              <w:bottom w:val="nil"/>
              <w:right w:val="nil"/>
            </w:tcBorders>
            <w:shd w:val="clear" w:color="auto" w:fill="auto"/>
            <w:vAlign w:val="bottom"/>
            <w:hideMark/>
          </w:tcPr>
          <w:p w14:paraId="4B6A012E" w14:textId="77777777" w:rsidR="004D67F9" w:rsidRPr="004D67F9" w:rsidRDefault="004D67F9" w:rsidP="004D67F9">
            <w:pPr>
              <w:spacing w:after="0" w:line="240" w:lineRule="auto"/>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vertAlign w:val="superscript"/>
                <w:lang w:val="en-US"/>
              </w:rPr>
              <w:t>5</w:t>
            </w:r>
            <w:r w:rsidRPr="004D67F9">
              <w:rPr>
                <w:rFonts w:ascii="Arial Narrow" w:eastAsia="Times New Roman" w:hAnsi="Arial Narrow" w:cs="Times New Roman"/>
                <w:sz w:val="16"/>
                <w:szCs w:val="16"/>
                <w:lang w:val="en-US"/>
              </w:rPr>
              <w:t xml:space="preserve"> Includes Professional Officers in PTS, RNDS, and IPS, managed by HRMD.</w:t>
            </w:r>
          </w:p>
        </w:tc>
        <w:tc>
          <w:tcPr>
            <w:tcW w:w="1124" w:type="dxa"/>
            <w:tcBorders>
              <w:top w:val="nil"/>
              <w:left w:val="nil"/>
              <w:bottom w:val="nil"/>
              <w:right w:val="nil"/>
            </w:tcBorders>
            <w:shd w:val="clear" w:color="auto" w:fill="auto"/>
            <w:noWrap/>
            <w:vAlign w:val="bottom"/>
            <w:hideMark/>
          </w:tcPr>
          <w:p w14:paraId="3CBC2537" w14:textId="77777777" w:rsidR="004D67F9" w:rsidRPr="004D67F9" w:rsidRDefault="004D67F9" w:rsidP="004D67F9">
            <w:pPr>
              <w:spacing w:after="0" w:line="240" w:lineRule="auto"/>
              <w:rPr>
                <w:rFonts w:ascii="Arial Narrow" w:eastAsia="Times New Roman" w:hAnsi="Arial Narrow" w:cs="Times New Roman"/>
                <w:sz w:val="16"/>
                <w:szCs w:val="16"/>
                <w:lang w:val="en-US"/>
              </w:rPr>
            </w:pPr>
          </w:p>
        </w:tc>
      </w:tr>
    </w:tbl>
    <w:p w14:paraId="3EFE22CF" w14:textId="38C4687C" w:rsidR="005E444F" w:rsidRPr="00CD4093" w:rsidRDefault="005E444F" w:rsidP="005E444F">
      <w:pPr>
        <w:spacing w:after="120" w:line="240" w:lineRule="auto"/>
        <w:rPr>
          <w:rFonts w:ascii="Arial Narrow" w:eastAsia="Times New Roman" w:hAnsi="Arial Narrow" w:cs="Arial"/>
          <w:i/>
          <w:iCs/>
          <w:sz w:val="16"/>
          <w:szCs w:val="16"/>
          <w:lang w:val="en-US"/>
        </w:rPr>
      </w:pPr>
    </w:p>
    <w:p w14:paraId="7A6A4179" w14:textId="512A9C15" w:rsidR="003933F4" w:rsidRDefault="003933F4">
      <w:pPr>
        <w:spacing w:after="200" w:line="276" w:lineRule="auto"/>
        <w:rPr>
          <w:lang w:val="en-US"/>
        </w:rPr>
      </w:pPr>
      <w:r>
        <w:rPr>
          <w:lang w:val="en-US"/>
        </w:rPr>
        <w:br w:type="page"/>
      </w:r>
    </w:p>
    <w:p w14:paraId="72953936" w14:textId="11D7BA16" w:rsidR="00854D03" w:rsidRDefault="006C6030" w:rsidP="008407D7">
      <w:pPr>
        <w:pStyle w:val="AnnexTitle2"/>
        <w:numPr>
          <w:ilvl w:val="0"/>
          <w:numId w:val="25"/>
        </w:numPr>
        <w:rPr>
          <w:lang w:val="en-US"/>
        </w:rPr>
      </w:pPr>
      <w:bookmarkStart w:id="52" w:name="_Toc131175999"/>
      <w:r w:rsidRPr="00D350B5">
        <w:rPr>
          <w:lang w:val="en-US"/>
        </w:rPr>
        <w:t xml:space="preserve">Annual </w:t>
      </w:r>
      <w:r w:rsidR="003F272C" w:rsidRPr="00D350B5">
        <w:rPr>
          <w:lang w:val="en-US"/>
        </w:rPr>
        <w:t>B</w:t>
      </w:r>
      <w:r w:rsidRPr="00D350B5">
        <w:rPr>
          <w:lang w:val="en-US"/>
        </w:rPr>
        <w:t xml:space="preserve">udget </w:t>
      </w:r>
      <w:r w:rsidR="003F272C" w:rsidRPr="00D350B5">
        <w:rPr>
          <w:lang w:val="en-US"/>
        </w:rPr>
        <w:t>T</w:t>
      </w:r>
      <w:r w:rsidRPr="00D350B5">
        <w:rPr>
          <w:lang w:val="en-US"/>
        </w:rPr>
        <w:t xml:space="preserve">ables for IPSAS </w:t>
      </w:r>
      <w:r w:rsidR="003F272C" w:rsidRPr="00D350B5">
        <w:rPr>
          <w:lang w:val="en-US"/>
        </w:rPr>
        <w:t>R</w:t>
      </w:r>
      <w:r w:rsidRPr="00D350B5">
        <w:rPr>
          <w:lang w:val="en-US"/>
        </w:rPr>
        <w:t>eporting</w:t>
      </w:r>
      <w:bookmarkEnd w:id="52"/>
    </w:p>
    <w:p w14:paraId="718DAEA6" w14:textId="48A2AEF0" w:rsidR="005E444F" w:rsidRDefault="005E444F" w:rsidP="00072F95">
      <w:pPr>
        <w:spacing w:after="60" w:line="240" w:lineRule="auto"/>
        <w:jc w:val="center"/>
        <w:rPr>
          <w:rFonts w:eastAsia="Arial"/>
          <w:b/>
          <w:color w:val="005172"/>
        </w:rPr>
      </w:pPr>
      <w:r w:rsidRPr="005E444F">
        <w:rPr>
          <w:rFonts w:eastAsia="Arial"/>
          <w:b/>
          <w:color w:val="005172"/>
        </w:rPr>
        <w:t>Annual Income 2024-2025</w:t>
      </w:r>
    </w:p>
    <w:p w14:paraId="5D0E0591" w14:textId="77777777" w:rsidR="00314F19" w:rsidRDefault="00314F19" w:rsidP="00314F19">
      <w:pPr>
        <w:spacing w:after="60" w:line="240" w:lineRule="auto"/>
        <w:jc w:val="center"/>
        <w:rPr>
          <w:rFonts w:asciiTheme="minorHAnsi" w:hAnsiTheme="minorHAnsi" w:cstheme="minorHAnsi"/>
          <w:i/>
          <w:iCs/>
          <w:sz w:val="16"/>
          <w:szCs w:val="16"/>
        </w:rPr>
      </w:pPr>
      <w:r>
        <w:rPr>
          <w:rFonts w:asciiTheme="minorHAnsi" w:hAnsiTheme="minorHAnsi" w:cstheme="minorHAnsi"/>
          <w:i/>
          <w:iCs/>
          <w:sz w:val="16"/>
          <w:szCs w:val="16"/>
        </w:rPr>
        <w:t>(in millions of Swiss francs)</w:t>
      </w:r>
    </w:p>
    <w:p w14:paraId="11871EC3" w14:textId="77777777" w:rsidR="00314F19" w:rsidRPr="00314F19" w:rsidRDefault="00314F19" w:rsidP="00072F95">
      <w:pPr>
        <w:spacing w:after="60" w:line="240" w:lineRule="auto"/>
        <w:jc w:val="center"/>
        <w:rPr>
          <w:rFonts w:eastAsia="Arial"/>
          <w:b/>
          <w:color w:val="005172"/>
          <w:sz w:val="10"/>
          <w:szCs w:val="10"/>
        </w:rPr>
      </w:pPr>
    </w:p>
    <w:tbl>
      <w:tblPr>
        <w:tblW w:w="5900" w:type="dxa"/>
        <w:jc w:val="center"/>
        <w:tblLook w:val="04A0" w:firstRow="1" w:lastRow="0" w:firstColumn="1" w:lastColumn="0" w:noHBand="0" w:noVBand="1"/>
      </w:tblPr>
      <w:tblGrid>
        <w:gridCol w:w="253"/>
        <w:gridCol w:w="1176"/>
        <w:gridCol w:w="2620"/>
        <w:gridCol w:w="1000"/>
        <w:gridCol w:w="1000"/>
      </w:tblGrid>
      <w:tr w:rsidR="001C5319" w:rsidRPr="001C5319" w14:paraId="00C0E965" w14:textId="77777777" w:rsidTr="002356E0">
        <w:trPr>
          <w:trHeight w:val="570"/>
          <w:jc w:val="center"/>
        </w:trPr>
        <w:tc>
          <w:tcPr>
            <w:tcW w:w="1280" w:type="dxa"/>
            <w:gridSpan w:val="2"/>
            <w:tcBorders>
              <w:top w:val="nil"/>
              <w:left w:val="nil"/>
              <w:bottom w:val="nil"/>
              <w:right w:val="nil"/>
            </w:tcBorders>
            <w:shd w:val="clear" w:color="000000" w:fill="C7CFD8"/>
            <w:vAlign w:val="center"/>
            <w:hideMark/>
          </w:tcPr>
          <w:p w14:paraId="7DA2A54F" w14:textId="77777777" w:rsidR="001C5319" w:rsidRPr="001C5319" w:rsidRDefault="001C5319" w:rsidP="00314F19">
            <w:pPr>
              <w:spacing w:after="80" w:line="240" w:lineRule="auto"/>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Income Sources</w:t>
            </w:r>
          </w:p>
        </w:tc>
        <w:tc>
          <w:tcPr>
            <w:tcW w:w="2620" w:type="dxa"/>
            <w:tcBorders>
              <w:top w:val="nil"/>
              <w:left w:val="nil"/>
              <w:bottom w:val="nil"/>
              <w:right w:val="nil"/>
            </w:tcBorders>
            <w:shd w:val="clear" w:color="000000" w:fill="C7CFD8"/>
            <w:vAlign w:val="center"/>
            <w:hideMark/>
          </w:tcPr>
          <w:p w14:paraId="63ACB1DF" w14:textId="77777777" w:rsidR="001C5319" w:rsidRPr="001C5319" w:rsidRDefault="001C5319" w:rsidP="001C5319">
            <w:pPr>
              <w:spacing w:after="0" w:line="240" w:lineRule="auto"/>
              <w:jc w:val="center"/>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w:t>
            </w:r>
          </w:p>
        </w:tc>
        <w:tc>
          <w:tcPr>
            <w:tcW w:w="1000" w:type="dxa"/>
            <w:tcBorders>
              <w:top w:val="nil"/>
              <w:left w:val="nil"/>
              <w:bottom w:val="nil"/>
              <w:right w:val="nil"/>
            </w:tcBorders>
            <w:shd w:val="clear" w:color="000000" w:fill="C7CFD8"/>
            <w:vAlign w:val="center"/>
            <w:hideMark/>
          </w:tcPr>
          <w:p w14:paraId="7330A0AF"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2024</w:t>
            </w:r>
            <w:r w:rsidRPr="001C5319">
              <w:rPr>
                <w:rFonts w:ascii="Arial Narrow" w:eastAsia="Times New Roman" w:hAnsi="Arial Narrow" w:cs="Times New Roman"/>
                <w:b/>
                <w:bCs/>
                <w:sz w:val="16"/>
                <w:szCs w:val="16"/>
                <w:lang w:val="en-US"/>
              </w:rPr>
              <w:br/>
              <w:t>Estimated</w:t>
            </w:r>
          </w:p>
        </w:tc>
        <w:tc>
          <w:tcPr>
            <w:tcW w:w="1000" w:type="dxa"/>
            <w:tcBorders>
              <w:top w:val="nil"/>
              <w:left w:val="nil"/>
              <w:bottom w:val="nil"/>
              <w:right w:val="nil"/>
            </w:tcBorders>
            <w:shd w:val="clear" w:color="000000" w:fill="C7CFD8"/>
            <w:vAlign w:val="center"/>
            <w:hideMark/>
          </w:tcPr>
          <w:p w14:paraId="2B915043"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2025</w:t>
            </w:r>
            <w:r w:rsidRPr="001C5319">
              <w:rPr>
                <w:rFonts w:ascii="Arial Narrow" w:eastAsia="Times New Roman" w:hAnsi="Arial Narrow" w:cs="Times New Roman"/>
                <w:b/>
                <w:bCs/>
                <w:sz w:val="16"/>
                <w:szCs w:val="16"/>
                <w:lang w:val="en-US"/>
              </w:rPr>
              <w:br/>
              <w:t>Estimated</w:t>
            </w:r>
          </w:p>
        </w:tc>
      </w:tr>
      <w:tr w:rsidR="001C5319" w:rsidRPr="001C5319" w14:paraId="41CD7DB3" w14:textId="77777777" w:rsidTr="002356E0">
        <w:trPr>
          <w:trHeight w:val="90"/>
          <w:jc w:val="center"/>
        </w:trPr>
        <w:tc>
          <w:tcPr>
            <w:tcW w:w="104" w:type="dxa"/>
            <w:tcBorders>
              <w:top w:val="nil"/>
              <w:left w:val="nil"/>
              <w:bottom w:val="nil"/>
              <w:right w:val="nil"/>
            </w:tcBorders>
            <w:shd w:val="clear" w:color="auto" w:fill="auto"/>
            <w:noWrap/>
            <w:vAlign w:val="bottom"/>
            <w:hideMark/>
          </w:tcPr>
          <w:p w14:paraId="03C66D02"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p>
        </w:tc>
        <w:tc>
          <w:tcPr>
            <w:tcW w:w="1176" w:type="dxa"/>
            <w:tcBorders>
              <w:top w:val="nil"/>
              <w:left w:val="nil"/>
              <w:bottom w:val="nil"/>
              <w:right w:val="nil"/>
            </w:tcBorders>
            <w:shd w:val="clear" w:color="auto" w:fill="auto"/>
            <w:noWrap/>
            <w:vAlign w:val="bottom"/>
            <w:hideMark/>
          </w:tcPr>
          <w:p w14:paraId="6E50AABC"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2620" w:type="dxa"/>
            <w:tcBorders>
              <w:top w:val="nil"/>
              <w:left w:val="nil"/>
              <w:bottom w:val="nil"/>
              <w:right w:val="nil"/>
            </w:tcBorders>
            <w:shd w:val="clear" w:color="auto" w:fill="auto"/>
            <w:noWrap/>
            <w:vAlign w:val="bottom"/>
            <w:hideMark/>
          </w:tcPr>
          <w:p w14:paraId="27B2DEC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vAlign w:val="bottom"/>
            <w:hideMark/>
          </w:tcPr>
          <w:p w14:paraId="141A134D"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vAlign w:val="bottom"/>
            <w:hideMark/>
          </w:tcPr>
          <w:p w14:paraId="4763269F"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72983EC2" w14:textId="77777777" w:rsidTr="002356E0">
        <w:trPr>
          <w:trHeight w:val="255"/>
          <w:jc w:val="center"/>
        </w:trPr>
        <w:tc>
          <w:tcPr>
            <w:tcW w:w="104" w:type="dxa"/>
            <w:tcBorders>
              <w:top w:val="nil"/>
              <w:left w:val="nil"/>
              <w:bottom w:val="nil"/>
              <w:right w:val="nil"/>
            </w:tcBorders>
            <w:shd w:val="clear" w:color="auto" w:fill="auto"/>
            <w:noWrap/>
            <w:hideMark/>
          </w:tcPr>
          <w:p w14:paraId="035C110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176" w:type="dxa"/>
            <w:tcBorders>
              <w:top w:val="nil"/>
              <w:left w:val="nil"/>
              <w:bottom w:val="nil"/>
              <w:right w:val="nil"/>
            </w:tcBorders>
            <w:shd w:val="clear" w:color="auto" w:fill="auto"/>
            <w:noWrap/>
            <w:hideMark/>
          </w:tcPr>
          <w:p w14:paraId="7E04DFB9"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Fees</w:t>
            </w:r>
          </w:p>
        </w:tc>
        <w:tc>
          <w:tcPr>
            <w:tcW w:w="2620" w:type="dxa"/>
            <w:tcBorders>
              <w:top w:val="nil"/>
              <w:left w:val="nil"/>
              <w:bottom w:val="nil"/>
              <w:right w:val="nil"/>
            </w:tcBorders>
            <w:shd w:val="clear" w:color="auto" w:fill="auto"/>
            <w:noWrap/>
            <w:hideMark/>
          </w:tcPr>
          <w:p w14:paraId="1C07BB4A" w14:textId="77777777" w:rsidR="001C5319" w:rsidRPr="001C5319" w:rsidRDefault="001C5319" w:rsidP="001C5319">
            <w:pPr>
              <w:spacing w:after="0" w:line="240" w:lineRule="auto"/>
              <w:rPr>
                <w:rFonts w:ascii="Arial Narrow" w:eastAsia="Times New Roman" w:hAnsi="Arial Narrow" w:cs="Times New Roman"/>
                <w:sz w:val="16"/>
                <w:szCs w:val="16"/>
                <w:lang w:val="en-US"/>
              </w:rPr>
            </w:pPr>
          </w:p>
        </w:tc>
        <w:tc>
          <w:tcPr>
            <w:tcW w:w="1000" w:type="dxa"/>
            <w:tcBorders>
              <w:top w:val="nil"/>
              <w:left w:val="nil"/>
              <w:bottom w:val="nil"/>
              <w:right w:val="nil"/>
            </w:tcBorders>
            <w:shd w:val="clear" w:color="auto" w:fill="auto"/>
            <w:noWrap/>
            <w:hideMark/>
          </w:tcPr>
          <w:p w14:paraId="6FA8BBC1"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hideMark/>
          </w:tcPr>
          <w:p w14:paraId="3737CBF5"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2790DFDD" w14:textId="77777777" w:rsidTr="002356E0">
        <w:trPr>
          <w:trHeight w:val="255"/>
          <w:jc w:val="center"/>
        </w:trPr>
        <w:tc>
          <w:tcPr>
            <w:tcW w:w="104" w:type="dxa"/>
            <w:tcBorders>
              <w:top w:val="nil"/>
              <w:left w:val="nil"/>
              <w:bottom w:val="nil"/>
              <w:right w:val="nil"/>
            </w:tcBorders>
            <w:shd w:val="clear" w:color="auto" w:fill="auto"/>
            <w:noWrap/>
            <w:hideMark/>
          </w:tcPr>
          <w:p w14:paraId="55AC80A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176" w:type="dxa"/>
            <w:tcBorders>
              <w:top w:val="nil"/>
              <w:left w:val="nil"/>
              <w:bottom w:val="nil"/>
              <w:right w:val="nil"/>
            </w:tcBorders>
            <w:shd w:val="clear" w:color="auto" w:fill="auto"/>
            <w:noWrap/>
            <w:hideMark/>
          </w:tcPr>
          <w:p w14:paraId="55CF668C"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PCT</w:t>
            </w:r>
          </w:p>
        </w:tc>
        <w:tc>
          <w:tcPr>
            <w:tcW w:w="2620" w:type="dxa"/>
            <w:tcBorders>
              <w:top w:val="nil"/>
              <w:left w:val="nil"/>
              <w:bottom w:val="nil"/>
              <w:right w:val="nil"/>
            </w:tcBorders>
            <w:shd w:val="clear" w:color="auto" w:fill="auto"/>
            <w:noWrap/>
            <w:hideMark/>
          </w:tcPr>
          <w:p w14:paraId="109DDC55"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p>
        </w:tc>
        <w:tc>
          <w:tcPr>
            <w:tcW w:w="1000" w:type="dxa"/>
            <w:tcBorders>
              <w:top w:val="nil"/>
              <w:left w:val="nil"/>
              <w:bottom w:val="nil"/>
              <w:right w:val="nil"/>
            </w:tcBorders>
            <w:shd w:val="clear" w:color="auto" w:fill="auto"/>
            <w:noWrap/>
            <w:hideMark/>
          </w:tcPr>
          <w:p w14:paraId="131A69B2"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366.6 </w:t>
            </w:r>
          </w:p>
        </w:tc>
        <w:tc>
          <w:tcPr>
            <w:tcW w:w="1000" w:type="dxa"/>
            <w:tcBorders>
              <w:top w:val="nil"/>
              <w:left w:val="nil"/>
              <w:bottom w:val="nil"/>
              <w:right w:val="nil"/>
            </w:tcBorders>
            <w:shd w:val="clear" w:color="auto" w:fill="auto"/>
            <w:noWrap/>
            <w:hideMark/>
          </w:tcPr>
          <w:p w14:paraId="775589B5"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377.1 </w:t>
            </w:r>
          </w:p>
        </w:tc>
      </w:tr>
      <w:tr w:rsidR="001C5319" w:rsidRPr="001C5319" w14:paraId="0FC54CFC" w14:textId="77777777" w:rsidTr="002356E0">
        <w:trPr>
          <w:trHeight w:val="255"/>
          <w:jc w:val="center"/>
        </w:trPr>
        <w:tc>
          <w:tcPr>
            <w:tcW w:w="104" w:type="dxa"/>
            <w:tcBorders>
              <w:top w:val="nil"/>
              <w:left w:val="nil"/>
              <w:bottom w:val="nil"/>
              <w:right w:val="nil"/>
            </w:tcBorders>
            <w:shd w:val="clear" w:color="auto" w:fill="auto"/>
            <w:noWrap/>
            <w:hideMark/>
          </w:tcPr>
          <w:p w14:paraId="7BE8E58B"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1176" w:type="dxa"/>
            <w:tcBorders>
              <w:top w:val="nil"/>
              <w:left w:val="nil"/>
              <w:bottom w:val="nil"/>
              <w:right w:val="nil"/>
            </w:tcBorders>
            <w:shd w:val="clear" w:color="auto" w:fill="auto"/>
            <w:noWrap/>
            <w:hideMark/>
          </w:tcPr>
          <w:p w14:paraId="30BAF18B"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Madrid</w:t>
            </w:r>
          </w:p>
        </w:tc>
        <w:tc>
          <w:tcPr>
            <w:tcW w:w="2620" w:type="dxa"/>
            <w:tcBorders>
              <w:top w:val="nil"/>
              <w:left w:val="nil"/>
              <w:bottom w:val="nil"/>
              <w:right w:val="nil"/>
            </w:tcBorders>
            <w:shd w:val="clear" w:color="auto" w:fill="auto"/>
            <w:noWrap/>
            <w:hideMark/>
          </w:tcPr>
          <w:p w14:paraId="0ED138A4"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p>
        </w:tc>
        <w:tc>
          <w:tcPr>
            <w:tcW w:w="1000" w:type="dxa"/>
            <w:tcBorders>
              <w:top w:val="nil"/>
              <w:left w:val="nil"/>
              <w:bottom w:val="nil"/>
              <w:right w:val="nil"/>
            </w:tcBorders>
            <w:shd w:val="clear" w:color="auto" w:fill="auto"/>
            <w:noWrap/>
            <w:hideMark/>
          </w:tcPr>
          <w:p w14:paraId="0B76A893"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83.9 </w:t>
            </w:r>
          </w:p>
        </w:tc>
        <w:tc>
          <w:tcPr>
            <w:tcW w:w="1000" w:type="dxa"/>
            <w:tcBorders>
              <w:top w:val="nil"/>
              <w:left w:val="nil"/>
              <w:bottom w:val="nil"/>
              <w:right w:val="nil"/>
            </w:tcBorders>
            <w:shd w:val="clear" w:color="auto" w:fill="auto"/>
            <w:noWrap/>
            <w:hideMark/>
          </w:tcPr>
          <w:p w14:paraId="622DBD55"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86.8 </w:t>
            </w:r>
          </w:p>
        </w:tc>
      </w:tr>
      <w:tr w:rsidR="001C5319" w:rsidRPr="001C5319" w14:paraId="4DCC9C8D" w14:textId="77777777" w:rsidTr="002356E0">
        <w:trPr>
          <w:trHeight w:val="255"/>
          <w:jc w:val="center"/>
        </w:trPr>
        <w:tc>
          <w:tcPr>
            <w:tcW w:w="104" w:type="dxa"/>
            <w:tcBorders>
              <w:top w:val="nil"/>
              <w:left w:val="nil"/>
              <w:bottom w:val="nil"/>
              <w:right w:val="nil"/>
            </w:tcBorders>
            <w:shd w:val="clear" w:color="auto" w:fill="auto"/>
            <w:noWrap/>
            <w:hideMark/>
          </w:tcPr>
          <w:p w14:paraId="1F2710A1"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1176" w:type="dxa"/>
            <w:tcBorders>
              <w:top w:val="nil"/>
              <w:left w:val="nil"/>
              <w:bottom w:val="nil"/>
              <w:right w:val="nil"/>
            </w:tcBorders>
            <w:shd w:val="clear" w:color="auto" w:fill="auto"/>
            <w:noWrap/>
            <w:hideMark/>
          </w:tcPr>
          <w:p w14:paraId="38B5A2FE"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Hague</w:t>
            </w:r>
          </w:p>
        </w:tc>
        <w:tc>
          <w:tcPr>
            <w:tcW w:w="2620" w:type="dxa"/>
            <w:tcBorders>
              <w:top w:val="nil"/>
              <w:left w:val="nil"/>
              <w:bottom w:val="nil"/>
              <w:right w:val="nil"/>
            </w:tcBorders>
            <w:shd w:val="clear" w:color="auto" w:fill="auto"/>
            <w:noWrap/>
            <w:hideMark/>
          </w:tcPr>
          <w:p w14:paraId="2B3AAE16"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p>
        </w:tc>
        <w:tc>
          <w:tcPr>
            <w:tcW w:w="1000" w:type="dxa"/>
            <w:tcBorders>
              <w:top w:val="nil"/>
              <w:left w:val="nil"/>
              <w:bottom w:val="nil"/>
              <w:right w:val="nil"/>
            </w:tcBorders>
            <w:shd w:val="clear" w:color="auto" w:fill="auto"/>
            <w:noWrap/>
            <w:hideMark/>
          </w:tcPr>
          <w:p w14:paraId="0535443C"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7.9 </w:t>
            </w:r>
          </w:p>
        </w:tc>
        <w:tc>
          <w:tcPr>
            <w:tcW w:w="1000" w:type="dxa"/>
            <w:tcBorders>
              <w:top w:val="nil"/>
              <w:left w:val="nil"/>
              <w:bottom w:val="nil"/>
              <w:right w:val="nil"/>
            </w:tcBorders>
            <w:shd w:val="clear" w:color="auto" w:fill="auto"/>
            <w:noWrap/>
            <w:hideMark/>
          </w:tcPr>
          <w:p w14:paraId="678754C9"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8.6 </w:t>
            </w:r>
          </w:p>
        </w:tc>
      </w:tr>
      <w:tr w:rsidR="001C5319" w:rsidRPr="001C5319" w14:paraId="77D37B10" w14:textId="77777777" w:rsidTr="002356E0">
        <w:trPr>
          <w:trHeight w:val="255"/>
          <w:jc w:val="center"/>
        </w:trPr>
        <w:tc>
          <w:tcPr>
            <w:tcW w:w="104" w:type="dxa"/>
            <w:tcBorders>
              <w:top w:val="nil"/>
              <w:left w:val="nil"/>
              <w:bottom w:val="nil"/>
              <w:right w:val="nil"/>
            </w:tcBorders>
            <w:shd w:val="clear" w:color="auto" w:fill="auto"/>
            <w:noWrap/>
            <w:hideMark/>
          </w:tcPr>
          <w:p w14:paraId="3D9EBEE4"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1176" w:type="dxa"/>
            <w:tcBorders>
              <w:top w:val="nil"/>
              <w:left w:val="nil"/>
              <w:bottom w:val="single" w:sz="4" w:space="0" w:color="A6A6A6"/>
              <w:right w:val="nil"/>
            </w:tcBorders>
            <w:shd w:val="clear" w:color="auto" w:fill="auto"/>
            <w:noWrap/>
            <w:hideMark/>
          </w:tcPr>
          <w:p w14:paraId="0E0DF95D" w14:textId="77777777" w:rsidR="001C5319" w:rsidRPr="001C5319" w:rsidRDefault="001C5319" w:rsidP="001C5319">
            <w:pPr>
              <w:spacing w:after="0" w:line="240" w:lineRule="auto"/>
              <w:ind w:firstLineChars="100" w:firstLine="160"/>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Lisbon*</w:t>
            </w:r>
          </w:p>
        </w:tc>
        <w:tc>
          <w:tcPr>
            <w:tcW w:w="2620" w:type="dxa"/>
            <w:tcBorders>
              <w:top w:val="nil"/>
              <w:left w:val="nil"/>
              <w:bottom w:val="single" w:sz="4" w:space="0" w:color="A6A6A6"/>
              <w:right w:val="nil"/>
            </w:tcBorders>
            <w:shd w:val="clear" w:color="auto" w:fill="auto"/>
            <w:noWrap/>
            <w:hideMark/>
          </w:tcPr>
          <w:p w14:paraId="492411AB"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w:t>
            </w:r>
          </w:p>
        </w:tc>
        <w:tc>
          <w:tcPr>
            <w:tcW w:w="1000" w:type="dxa"/>
            <w:tcBorders>
              <w:top w:val="nil"/>
              <w:left w:val="nil"/>
              <w:bottom w:val="single" w:sz="4" w:space="0" w:color="BFBFBF"/>
              <w:right w:val="nil"/>
            </w:tcBorders>
            <w:shd w:val="clear" w:color="auto" w:fill="auto"/>
            <w:noWrap/>
            <w:hideMark/>
          </w:tcPr>
          <w:p w14:paraId="07C69F65"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0.1 </w:t>
            </w:r>
          </w:p>
        </w:tc>
        <w:tc>
          <w:tcPr>
            <w:tcW w:w="1000" w:type="dxa"/>
            <w:tcBorders>
              <w:top w:val="nil"/>
              <w:left w:val="nil"/>
              <w:bottom w:val="single" w:sz="4" w:space="0" w:color="BFBFBF"/>
              <w:right w:val="nil"/>
            </w:tcBorders>
            <w:shd w:val="clear" w:color="auto" w:fill="auto"/>
            <w:noWrap/>
            <w:hideMark/>
          </w:tcPr>
          <w:p w14:paraId="69DDAA19"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0.1 </w:t>
            </w:r>
          </w:p>
        </w:tc>
      </w:tr>
      <w:tr w:rsidR="001C5319" w:rsidRPr="001C5319" w14:paraId="11DEE08F" w14:textId="77777777" w:rsidTr="002356E0">
        <w:trPr>
          <w:trHeight w:val="255"/>
          <w:jc w:val="center"/>
        </w:trPr>
        <w:tc>
          <w:tcPr>
            <w:tcW w:w="104" w:type="dxa"/>
            <w:tcBorders>
              <w:top w:val="nil"/>
              <w:left w:val="nil"/>
              <w:bottom w:val="nil"/>
              <w:right w:val="nil"/>
            </w:tcBorders>
            <w:shd w:val="clear" w:color="auto" w:fill="auto"/>
            <w:noWrap/>
            <w:vAlign w:val="bottom"/>
            <w:hideMark/>
          </w:tcPr>
          <w:p w14:paraId="072509EE"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3796" w:type="dxa"/>
            <w:gridSpan w:val="2"/>
            <w:tcBorders>
              <w:top w:val="nil"/>
              <w:left w:val="nil"/>
              <w:bottom w:val="nil"/>
              <w:right w:val="nil"/>
            </w:tcBorders>
            <w:shd w:val="clear" w:color="auto" w:fill="auto"/>
            <w:noWrap/>
            <w:vAlign w:val="center"/>
            <w:hideMark/>
          </w:tcPr>
          <w:p w14:paraId="32FA9F57" w14:textId="77777777" w:rsidR="001C5319" w:rsidRPr="001C5319" w:rsidRDefault="001C5319" w:rsidP="001C5319">
            <w:pPr>
              <w:spacing w:after="0" w:line="240" w:lineRule="auto"/>
              <w:ind w:firstLineChars="200" w:firstLine="320"/>
              <w:rPr>
                <w:rFonts w:ascii="Arial Narrow" w:eastAsia="Times New Roman" w:hAnsi="Arial Narrow" w:cs="Times New Roman"/>
                <w:i/>
                <w:iCs/>
                <w:sz w:val="16"/>
                <w:szCs w:val="16"/>
                <w:lang w:val="en-US"/>
              </w:rPr>
            </w:pPr>
            <w:r w:rsidRPr="001C5319">
              <w:rPr>
                <w:rFonts w:ascii="Arial Narrow" w:eastAsia="Times New Roman" w:hAnsi="Arial Narrow" w:cs="Times New Roman"/>
                <w:i/>
                <w:iCs/>
                <w:sz w:val="16"/>
                <w:szCs w:val="16"/>
                <w:lang w:val="en-US"/>
              </w:rPr>
              <w:t>Sub-total, Fees</w:t>
            </w:r>
          </w:p>
        </w:tc>
        <w:tc>
          <w:tcPr>
            <w:tcW w:w="1000" w:type="dxa"/>
            <w:tcBorders>
              <w:top w:val="nil"/>
              <w:left w:val="nil"/>
              <w:bottom w:val="nil"/>
              <w:right w:val="nil"/>
            </w:tcBorders>
            <w:shd w:val="clear" w:color="auto" w:fill="auto"/>
            <w:noWrap/>
            <w:hideMark/>
          </w:tcPr>
          <w:p w14:paraId="53BFA911"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458.4 </w:t>
            </w:r>
          </w:p>
        </w:tc>
        <w:tc>
          <w:tcPr>
            <w:tcW w:w="1000" w:type="dxa"/>
            <w:tcBorders>
              <w:top w:val="nil"/>
              <w:left w:val="nil"/>
              <w:bottom w:val="nil"/>
              <w:right w:val="nil"/>
            </w:tcBorders>
            <w:shd w:val="clear" w:color="auto" w:fill="auto"/>
            <w:noWrap/>
            <w:hideMark/>
          </w:tcPr>
          <w:p w14:paraId="7AC5D08E"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472.6 </w:t>
            </w:r>
          </w:p>
        </w:tc>
      </w:tr>
      <w:tr w:rsidR="001C5319" w:rsidRPr="001C5319" w14:paraId="4E580D0B" w14:textId="77777777" w:rsidTr="002356E0">
        <w:trPr>
          <w:trHeight w:val="165"/>
          <w:jc w:val="center"/>
        </w:trPr>
        <w:tc>
          <w:tcPr>
            <w:tcW w:w="104" w:type="dxa"/>
            <w:tcBorders>
              <w:top w:val="nil"/>
              <w:left w:val="nil"/>
              <w:bottom w:val="nil"/>
              <w:right w:val="nil"/>
            </w:tcBorders>
            <w:shd w:val="clear" w:color="auto" w:fill="auto"/>
            <w:noWrap/>
            <w:hideMark/>
          </w:tcPr>
          <w:p w14:paraId="2E5982ED"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1176" w:type="dxa"/>
            <w:tcBorders>
              <w:top w:val="nil"/>
              <w:left w:val="nil"/>
              <w:bottom w:val="nil"/>
              <w:right w:val="nil"/>
            </w:tcBorders>
            <w:shd w:val="clear" w:color="auto" w:fill="auto"/>
            <w:noWrap/>
            <w:hideMark/>
          </w:tcPr>
          <w:p w14:paraId="3B0081AF" w14:textId="77777777" w:rsidR="001C5319" w:rsidRPr="001C5319" w:rsidRDefault="001C5319" w:rsidP="001C5319">
            <w:pPr>
              <w:spacing w:after="0" w:line="240" w:lineRule="auto"/>
              <w:jc w:val="center"/>
              <w:rPr>
                <w:rFonts w:ascii="Times New Roman" w:eastAsia="Times New Roman" w:hAnsi="Times New Roman" w:cs="Times New Roman"/>
                <w:sz w:val="20"/>
                <w:szCs w:val="20"/>
                <w:lang w:val="en-US"/>
              </w:rPr>
            </w:pPr>
          </w:p>
        </w:tc>
        <w:tc>
          <w:tcPr>
            <w:tcW w:w="2620" w:type="dxa"/>
            <w:tcBorders>
              <w:top w:val="nil"/>
              <w:left w:val="nil"/>
              <w:bottom w:val="nil"/>
              <w:right w:val="nil"/>
            </w:tcBorders>
            <w:shd w:val="clear" w:color="auto" w:fill="auto"/>
            <w:hideMark/>
          </w:tcPr>
          <w:p w14:paraId="1D7BEA46"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hideMark/>
          </w:tcPr>
          <w:p w14:paraId="35D72EC9"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hideMark/>
          </w:tcPr>
          <w:p w14:paraId="1B2AA712" w14:textId="77777777" w:rsidR="001C5319" w:rsidRPr="001C5319" w:rsidRDefault="001C5319" w:rsidP="001C5319">
            <w:pPr>
              <w:spacing w:after="0" w:line="240" w:lineRule="auto"/>
              <w:ind w:firstLineChars="100" w:firstLine="200"/>
              <w:jc w:val="right"/>
              <w:rPr>
                <w:rFonts w:ascii="Times New Roman" w:eastAsia="Times New Roman" w:hAnsi="Times New Roman" w:cs="Times New Roman"/>
                <w:sz w:val="20"/>
                <w:szCs w:val="20"/>
                <w:lang w:val="en-US"/>
              </w:rPr>
            </w:pPr>
          </w:p>
        </w:tc>
      </w:tr>
      <w:tr w:rsidR="001C5319" w:rsidRPr="001C5319" w14:paraId="28EECBAB" w14:textId="77777777" w:rsidTr="002356E0">
        <w:trPr>
          <w:trHeight w:val="255"/>
          <w:jc w:val="center"/>
        </w:trPr>
        <w:tc>
          <w:tcPr>
            <w:tcW w:w="104" w:type="dxa"/>
            <w:tcBorders>
              <w:top w:val="nil"/>
              <w:left w:val="nil"/>
              <w:bottom w:val="nil"/>
              <w:right w:val="nil"/>
            </w:tcBorders>
            <w:shd w:val="clear" w:color="auto" w:fill="auto"/>
            <w:noWrap/>
            <w:hideMark/>
          </w:tcPr>
          <w:p w14:paraId="22F93EFB" w14:textId="77777777" w:rsidR="001C5319" w:rsidRPr="001C5319" w:rsidRDefault="001C5319" w:rsidP="001C5319">
            <w:pPr>
              <w:spacing w:after="0" w:line="240" w:lineRule="auto"/>
              <w:ind w:firstLineChars="100" w:firstLine="200"/>
              <w:jc w:val="right"/>
              <w:rPr>
                <w:rFonts w:ascii="Times New Roman" w:eastAsia="Times New Roman" w:hAnsi="Times New Roman" w:cs="Times New Roman"/>
                <w:sz w:val="20"/>
                <w:szCs w:val="20"/>
                <w:lang w:val="en-US"/>
              </w:rPr>
            </w:pPr>
          </w:p>
        </w:tc>
        <w:tc>
          <w:tcPr>
            <w:tcW w:w="3796" w:type="dxa"/>
            <w:gridSpan w:val="2"/>
            <w:tcBorders>
              <w:top w:val="nil"/>
              <w:left w:val="nil"/>
              <w:bottom w:val="nil"/>
              <w:right w:val="nil"/>
            </w:tcBorders>
            <w:shd w:val="clear" w:color="auto" w:fill="auto"/>
            <w:noWrap/>
            <w:vAlign w:val="center"/>
            <w:hideMark/>
          </w:tcPr>
          <w:p w14:paraId="4EF1F0CF"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Contributions (unitary)</w:t>
            </w:r>
          </w:p>
        </w:tc>
        <w:tc>
          <w:tcPr>
            <w:tcW w:w="1000" w:type="dxa"/>
            <w:tcBorders>
              <w:top w:val="nil"/>
              <w:left w:val="nil"/>
              <w:bottom w:val="nil"/>
              <w:right w:val="nil"/>
            </w:tcBorders>
            <w:shd w:val="clear" w:color="auto" w:fill="auto"/>
            <w:noWrap/>
            <w:hideMark/>
          </w:tcPr>
          <w:p w14:paraId="32B015EF"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17.6 </w:t>
            </w:r>
          </w:p>
        </w:tc>
        <w:tc>
          <w:tcPr>
            <w:tcW w:w="1000" w:type="dxa"/>
            <w:tcBorders>
              <w:top w:val="nil"/>
              <w:left w:val="nil"/>
              <w:bottom w:val="nil"/>
              <w:right w:val="nil"/>
            </w:tcBorders>
            <w:shd w:val="clear" w:color="auto" w:fill="auto"/>
            <w:noWrap/>
            <w:hideMark/>
          </w:tcPr>
          <w:p w14:paraId="28463869"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17.6 </w:t>
            </w:r>
          </w:p>
        </w:tc>
      </w:tr>
      <w:tr w:rsidR="001C5319" w:rsidRPr="001C5319" w14:paraId="109D8F52" w14:textId="77777777" w:rsidTr="002356E0">
        <w:trPr>
          <w:trHeight w:val="255"/>
          <w:jc w:val="center"/>
        </w:trPr>
        <w:tc>
          <w:tcPr>
            <w:tcW w:w="104" w:type="dxa"/>
            <w:tcBorders>
              <w:top w:val="nil"/>
              <w:left w:val="nil"/>
              <w:bottom w:val="nil"/>
              <w:right w:val="nil"/>
            </w:tcBorders>
            <w:shd w:val="clear" w:color="auto" w:fill="auto"/>
            <w:noWrap/>
            <w:vAlign w:val="center"/>
            <w:hideMark/>
          </w:tcPr>
          <w:p w14:paraId="6C082973"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1176" w:type="dxa"/>
            <w:tcBorders>
              <w:top w:val="nil"/>
              <w:left w:val="nil"/>
              <w:bottom w:val="nil"/>
              <w:right w:val="nil"/>
            </w:tcBorders>
            <w:shd w:val="clear" w:color="auto" w:fill="auto"/>
            <w:noWrap/>
            <w:vAlign w:val="center"/>
            <w:hideMark/>
          </w:tcPr>
          <w:p w14:paraId="102B01D0"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Arbitration</w:t>
            </w:r>
          </w:p>
        </w:tc>
        <w:tc>
          <w:tcPr>
            <w:tcW w:w="2620" w:type="dxa"/>
            <w:tcBorders>
              <w:top w:val="nil"/>
              <w:left w:val="nil"/>
              <w:bottom w:val="nil"/>
              <w:right w:val="nil"/>
            </w:tcBorders>
            <w:shd w:val="clear" w:color="auto" w:fill="auto"/>
            <w:noWrap/>
            <w:vAlign w:val="center"/>
            <w:hideMark/>
          </w:tcPr>
          <w:p w14:paraId="5CF144BA" w14:textId="77777777" w:rsidR="001C5319" w:rsidRPr="001C5319" w:rsidRDefault="001C5319" w:rsidP="001C5319">
            <w:pPr>
              <w:spacing w:after="0" w:line="240" w:lineRule="auto"/>
              <w:rPr>
                <w:rFonts w:ascii="Arial Narrow" w:eastAsia="Times New Roman" w:hAnsi="Arial Narrow" w:cs="Times New Roman"/>
                <w:sz w:val="16"/>
                <w:szCs w:val="16"/>
                <w:lang w:val="en-US"/>
              </w:rPr>
            </w:pPr>
          </w:p>
        </w:tc>
        <w:tc>
          <w:tcPr>
            <w:tcW w:w="1000" w:type="dxa"/>
            <w:tcBorders>
              <w:top w:val="nil"/>
              <w:left w:val="nil"/>
              <w:bottom w:val="nil"/>
              <w:right w:val="nil"/>
            </w:tcBorders>
            <w:shd w:val="clear" w:color="auto" w:fill="auto"/>
            <w:noWrap/>
            <w:hideMark/>
          </w:tcPr>
          <w:p w14:paraId="2EE68E4E"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1.7 </w:t>
            </w:r>
          </w:p>
        </w:tc>
        <w:tc>
          <w:tcPr>
            <w:tcW w:w="1000" w:type="dxa"/>
            <w:tcBorders>
              <w:top w:val="nil"/>
              <w:left w:val="nil"/>
              <w:bottom w:val="nil"/>
              <w:right w:val="nil"/>
            </w:tcBorders>
            <w:shd w:val="clear" w:color="auto" w:fill="auto"/>
            <w:noWrap/>
            <w:hideMark/>
          </w:tcPr>
          <w:p w14:paraId="5DEE0E0A"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1.7 </w:t>
            </w:r>
          </w:p>
        </w:tc>
      </w:tr>
      <w:tr w:rsidR="001C5319" w:rsidRPr="001C5319" w14:paraId="0BFC1744" w14:textId="77777777" w:rsidTr="002356E0">
        <w:trPr>
          <w:trHeight w:val="255"/>
          <w:jc w:val="center"/>
        </w:trPr>
        <w:tc>
          <w:tcPr>
            <w:tcW w:w="104" w:type="dxa"/>
            <w:tcBorders>
              <w:top w:val="nil"/>
              <w:left w:val="nil"/>
              <w:bottom w:val="nil"/>
              <w:right w:val="nil"/>
            </w:tcBorders>
            <w:shd w:val="clear" w:color="auto" w:fill="auto"/>
            <w:noWrap/>
            <w:vAlign w:val="center"/>
            <w:hideMark/>
          </w:tcPr>
          <w:p w14:paraId="078FEFAB"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3796" w:type="dxa"/>
            <w:gridSpan w:val="2"/>
            <w:tcBorders>
              <w:top w:val="nil"/>
              <w:left w:val="nil"/>
              <w:bottom w:val="nil"/>
              <w:right w:val="nil"/>
            </w:tcBorders>
            <w:shd w:val="clear" w:color="auto" w:fill="auto"/>
            <w:noWrap/>
            <w:vAlign w:val="center"/>
            <w:hideMark/>
          </w:tcPr>
          <w:p w14:paraId="37EA3369"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Publications</w:t>
            </w:r>
          </w:p>
        </w:tc>
        <w:tc>
          <w:tcPr>
            <w:tcW w:w="1000" w:type="dxa"/>
            <w:tcBorders>
              <w:top w:val="nil"/>
              <w:left w:val="nil"/>
              <w:bottom w:val="nil"/>
              <w:right w:val="nil"/>
            </w:tcBorders>
            <w:shd w:val="clear" w:color="auto" w:fill="auto"/>
            <w:noWrap/>
            <w:hideMark/>
          </w:tcPr>
          <w:p w14:paraId="2EC31724"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0.5 </w:t>
            </w:r>
          </w:p>
        </w:tc>
        <w:tc>
          <w:tcPr>
            <w:tcW w:w="1000" w:type="dxa"/>
            <w:tcBorders>
              <w:top w:val="nil"/>
              <w:left w:val="nil"/>
              <w:bottom w:val="nil"/>
              <w:right w:val="nil"/>
            </w:tcBorders>
            <w:shd w:val="clear" w:color="auto" w:fill="auto"/>
            <w:noWrap/>
            <w:hideMark/>
          </w:tcPr>
          <w:p w14:paraId="0D5B8B4F"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0.5 </w:t>
            </w:r>
          </w:p>
        </w:tc>
      </w:tr>
      <w:tr w:rsidR="001C5319" w:rsidRPr="001C5319" w14:paraId="611CA213" w14:textId="77777777" w:rsidTr="002356E0">
        <w:trPr>
          <w:trHeight w:val="255"/>
          <w:jc w:val="center"/>
        </w:trPr>
        <w:tc>
          <w:tcPr>
            <w:tcW w:w="104" w:type="dxa"/>
            <w:tcBorders>
              <w:top w:val="nil"/>
              <w:left w:val="nil"/>
              <w:bottom w:val="nil"/>
              <w:right w:val="nil"/>
            </w:tcBorders>
            <w:shd w:val="clear" w:color="auto" w:fill="auto"/>
            <w:noWrap/>
            <w:vAlign w:val="center"/>
            <w:hideMark/>
          </w:tcPr>
          <w:p w14:paraId="61153CB4"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p>
        </w:tc>
        <w:tc>
          <w:tcPr>
            <w:tcW w:w="3796" w:type="dxa"/>
            <w:gridSpan w:val="2"/>
            <w:tcBorders>
              <w:top w:val="nil"/>
              <w:left w:val="nil"/>
              <w:bottom w:val="single" w:sz="4" w:space="0" w:color="A6A6A6"/>
              <w:right w:val="nil"/>
            </w:tcBorders>
            <w:shd w:val="clear" w:color="auto" w:fill="auto"/>
            <w:noWrap/>
            <w:hideMark/>
          </w:tcPr>
          <w:p w14:paraId="06C6BDA8" w14:textId="77777777" w:rsidR="001C5319" w:rsidRPr="001C5319" w:rsidRDefault="001C5319" w:rsidP="001C5319">
            <w:pPr>
              <w:spacing w:after="0" w:line="240" w:lineRule="auto"/>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Miscellaneous Income</w:t>
            </w:r>
          </w:p>
        </w:tc>
        <w:tc>
          <w:tcPr>
            <w:tcW w:w="1000" w:type="dxa"/>
            <w:tcBorders>
              <w:top w:val="nil"/>
              <w:left w:val="nil"/>
              <w:bottom w:val="single" w:sz="4" w:space="0" w:color="A6A6A6"/>
              <w:right w:val="nil"/>
            </w:tcBorders>
            <w:shd w:val="clear" w:color="auto" w:fill="auto"/>
            <w:noWrap/>
            <w:hideMark/>
          </w:tcPr>
          <w:p w14:paraId="1166779A"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1.0 </w:t>
            </w:r>
          </w:p>
        </w:tc>
        <w:tc>
          <w:tcPr>
            <w:tcW w:w="1000" w:type="dxa"/>
            <w:tcBorders>
              <w:top w:val="nil"/>
              <w:left w:val="nil"/>
              <w:bottom w:val="single" w:sz="4" w:space="0" w:color="A6A6A6"/>
              <w:right w:val="nil"/>
            </w:tcBorders>
            <w:shd w:val="clear" w:color="auto" w:fill="auto"/>
            <w:noWrap/>
            <w:hideMark/>
          </w:tcPr>
          <w:p w14:paraId="230710CF"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1.0 </w:t>
            </w:r>
          </w:p>
        </w:tc>
      </w:tr>
      <w:tr w:rsidR="001C5319" w:rsidRPr="001C5319" w14:paraId="6B262272" w14:textId="77777777" w:rsidTr="002356E0">
        <w:trPr>
          <w:trHeight w:val="330"/>
          <w:jc w:val="center"/>
        </w:trPr>
        <w:tc>
          <w:tcPr>
            <w:tcW w:w="104" w:type="dxa"/>
            <w:tcBorders>
              <w:top w:val="nil"/>
              <w:left w:val="nil"/>
              <w:bottom w:val="single" w:sz="4" w:space="0" w:color="A6A6A6"/>
              <w:right w:val="nil"/>
            </w:tcBorders>
            <w:shd w:val="clear" w:color="auto" w:fill="auto"/>
            <w:noWrap/>
            <w:vAlign w:val="center"/>
            <w:hideMark/>
          </w:tcPr>
          <w:p w14:paraId="22829AAE" w14:textId="77777777" w:rsidR="001C5319" w:rsidRPr="001C5319" w:rsidRDefault="001C5319" w:rsidP="001C5319">
            <w:pPr>
              <w:spacing w:after="0" w:line="240" w:lineRule="auto"/>
              <w:jc w:val="center"/>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w:t>
            </w:r>
          </w:p>
        </w:tc>
        <w:tc>
          <w:tcPr>
            <w:tcW w:w="3796" w:type="dxa"/>
            <w:gridSpan w:val="2"/>
            <w:tcBorders>
              <w:top w:val="nil"/>
              <w:left w:val="nil"/>
              <w:bottom w:val="single" w:sz="4" w:space="0" w:color="A6A6A6"/>
              <w:right w:val="nil"/>
            </w:tcBorders>
            <w:shd w:val="clear" w:color="auto" w:fill="auto"/>
            <w:noWrap/>
            <w:vAlign w:val="center"/>
            <w:hideMark/>
          </w:tcPr>
          <w:p w14:paraId="0774CEA5" w14:textId="77777777" w:rsidR="001C5319" w:rsidRPr="001C5319" w:rsidRDefault="001C5319" w:rsidP="001C5319">
            <w:pPr>
              <w:spacing w:after="0" w:line="240" w:lineRule="auto"/>
              <w:ind w:firstLineChars="200" w:firstLine="320"/>
              <w:rPr>
                <w:rFonts w:ascii="Arial Narrow" w:eastAsia="Times New Roman" w:hAnsi="Arial Narrow" w:cs="Times New Roman"/>
                <w:i/>
                <w:iCs/>
                <w:sz w:val="16"/>
                <w:szCs w:val="16"/>
                <w:lang w:val="en-US"/>
              </w:rPr>
            </w:pPr>
            <w:r w:rsidRPr="001C5319">
              <w:rPr>
                <w:rFonts w:ascii="Arial Narrow" w:eastAsia="Times New Roman" w:hAnsi="Arial Narrow" w:cs="Times New Roman"/>
                <w:i/>
                <w:iCs/>
                <w:sz w:val="16"/>
                <w:szCs w:val="16"/>
                <w:lang w:val="en-US"/>
              </w:rPr>
              <w:t>Sub-total</w:t>
            </w:r>
          </w:p>
        </w:tc>
        <w:tc>
          <w:tcPr>
            <w:tcW w:w="1000" w:type="dxa"/>
            <w:tcBorders>
              <w:top w:val="nil"/>
              <w:left w:val="nil"/>
              <w:bottom w:val="single" w:sz="4" w:space="0" w:color="A6A6A6"/>
              <w:right w:val="nil"/>
            </w:tcBorders>
            <w:shd w:val="clear" w:color="auto" w:fill="auto"/>
            <w:noWrap/>
            <w:hideMark/>
          </w:tcPr>
          <w:p w14:paraId="272843B8"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20.8 </w:t>
            </w:r>
          </w:p>
        </w:tc>
        <w:tc>
          <w:tcPr>
            <w:tcW w:w="1000" w:type="dxa"/>
            <w:tcBorders>
              <w:top w:val="nil"/>
              <w:left w:val="nil"/>
              <w:bottom w:val="single" w:sz="4" w:space="0" w:color="A6A6A6"/>
              <w:right w:val="nil"/>
            </w:tcBorders>
            <w:shd w:val="clear" w:color="auto" w:fill="auto"/>
            <w:noWrap/>
            <w:hideMark/>
          </w:tcPr>
          <w:p w14:paraId="4EBAB106"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sz w:val="16"/>
                <w:szCs w:val="16"/>
                <w:lang w:val="en-US"/>
              </w:rPr>
            </w:pPr>
            <w:r w:rsidRPr="001C5319">
              <w:rPr>
                <w:rFonts w:ascii="Arial Narrow" w:eastAsia="Times New Roman" w:hAnsi="Arial Narrow" w:cs="Times New Roman"/>
                <w:sz w:val="16"/>
                <w:szCs w:val="16"/>
                <w:lang w:val="en-US"/>
              </w:rPr>
              <w:t xml:space="preserve">20.8 </w:t>
            </w:r>
          </w:p>
        </w:tc>
      </w:tr>
      <w:tr w:rsidR="001C5319" w:rsidRPr="001C5319" w14:paraId="01CA6DE1" w14:textId="77777777" w:rsidTr="002356E0">
        <w:trPr>
          <w:trHeight w:val="270"/>
          <w:jc w:val="center"/>
        </w:trPr>
        <w:tc>
          <w:tcPr>
            <w:tcW w:w="1280" w:type="dxa"/>
            <w:gridSpan w:val="2"/>
            <w:tcBorders>
              <w:top w:val="nil"/>
              <w:left w:val="nil"/>
              <w:bottom w:val="single" w:sz="8" w:space="0" w:color="A6A6A6"/>
              <w:right w:val="nil"/>
            </w:tcBorders>
            <w:shd w:val="clear" w:color="auto" w:fill="auto"/>
            <w:noWrap/>
            <w:vAlign w:val="center"/>
            <w:hideMark/>
          </w:tcPr>
          <w:p w14:paraId="31046581" w14:textId="77777777" w:rsidR="001C5319" w:rsidRPr="001C5319" w:rsidRDefault="001C5319" w:rsidP="001C5319">
            <w:pPr>
              <w:spacing w:after="0" w:line="240" w:lineRule="auto"/>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TOTAL</w:t>
            </w:r>
          </w:p>
        </w:tc>
        <w:tc>
          <w:tcPr>
            <w:tcW w:w="2620" w:type="dxa"/>
            <w:tcBorders>
              <w:top w:val="nil"/>
              <w:left w:val="nil"/>
              <w:bottom w:val="single" w:sz="8" w:space="0" w:color="A6A6A6"/>
              <w:right w:val="nil"/>
            </w:tcBorders>
            <w:shd w:val="clear" w:color="auto" w:fill="auto"/>
            <w:vAlign w:val="center"/>
            <w:hideMark/>
          </w:tcPr>
          <w:p w14:paraId="10B6C388" w14:textId="77777777" w:rsidR="001C5319" w:rsidRPr="001C5319" w:rsidRDefault="001C5319" w:rsidP="001C5319">
            <w:pPr>
              <w:spacing w:after="0" w:line="240" w:lineRule="auto"/>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w:t>
            </w:r>
          </w:p>
        </w:tc>
        <w:tc>
          <w:tcPr>
            <w:tcW w:w="1000" w:type="dxa"/>
            <w:tcBorders>
              <w:top w:val="nil"/>
              <w:left w:val="nil"/>
              <w:bottom w:val="single" w:sz="8" w:space="0" w:color="A6A6A6"/>
              <w:right w:val="nil"/>
            </w:tcBorders>
            <w:shd w:val="clear" w:color="auto" w:fill="auto"/>
            <w:vAlign w:val="center"/>
            <w:hideMark/>
          </w:tcPr>
          <w:p w14:paraId="4E77FEB0"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479.2 </w:t>
            </w:r>
          </w:p>
        </w:tc>
        <w:tc>
          <w:tcPr>
            <w:tcW w:w="1000" w:type="dxa"/>
            <w:tcBorders>
              <w:top w:val="nil"/>
              <w:left w:val="nil"/>
              <w:bottom w:val="single" w:sz="8" w:space="0" w:color="A6A6A6"/>
              <w:right w:val="nil"/>
            </w:tcBorders>
            <w:shd w:val="clear" w:color="auto" w:fill="auto"/>
            <w:vAlign w:val="center"/>
            <w:hideMark/>
          </w:tcPr>
          <w:p w14:paraId="6C728E4F"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r w:rsidRPr="001C5319">
              <w:rPr>
                <w:rFonts w:ascii="Arial Narrow" w:eastAsia="Times New Roman" w:hAnsi="Arial Narrow" w:cs="Times New Roman"/>
                <w:b/>
                <w:bCs/>
                <w:sz w:val="16"/>
                <w:szCs w:val="16"/>
                <w:lang w:val="en-US"/>
              </w:rPr>
              <w:t xml:space="preserve">493.4 </w:t>
            </w:r>
          </w:p>
        </w:tc>
      </w:tr>
      <w:tr w:rsidR="001C5319" w:rsidRPr="001C5319" w14:paraId="2DA84B10" w14:textId="77777777" w:rsidTr="002356E0">
        <w:trPr>
          <w:trHeight w:val="75"/>
          <w:jc w:val="center"/>
        </w:trPr>
        <w:tc>
          <w:tcPr>
            <w:tcW w:w="104" w:type="dxa"/>
            <w:tcBorders>
              <w:top w:val="nil"/>
              <w:left w:val="nil"/>
              <w:bottom w:val="nil"/>
              <w:right w:val="nil"/>
            </w:tcBorders>
            <w:shd w:val="clear" w:color="auto" w:fill="auto"/>
            <w:noWrap/>
            <w:hideMark/>
          </w:tcPr>
          <w:p w14:paraId="4DE609E8" w14:textId="77777777" w:rsidR="001C5319" w:rsidRPr="001C5319" w:rsidRDefault="001C5319" w:rsidP="001C5319">
            <w:pPr>
              <w:spacing w:after="0" w:line="240" w:lineRule="auto"/>
              <w:ind w:firstLineChars="100" w:firstLine="160"/>
              <w:jc w:val="right"/>
              <w:rPr>
                <w:rFonts w:ascii="Arial Narrow" w:eastAsia="Times New Roman" w:hAnsi="Arial Narrow" w:cs="Times New Roman"/>
                <w:b/>
                <w:bCs/>
                <w:sz w:val="16"/>
                <w:szCs w:val="16"/>
                <w:lang w:val="en-US"/>
              </w:rPr>
            </w:pPr>
          </w:p>
        </w:tc>
        <w:tc>
          <w:tcPr>
            <w:tcW w:w="1176" w:type="dxa"/>
            <w:tcBorders>
              <w:top w:val="nil"/>
              <w:left w:val="nil"/>
              <w:bottom w:val="nil"/>
              <w:right w:val="nil"/>
            </w:tcBorders>
            <w:shd w:val="clear" w:color="auto" w:fill="auto"/>
            <w:hideMark/>
          </w:tcPr>
          <w:p w14:paraId="0D16F9D4"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2620" w:type="dxa"/>
            <w:tcBorders>
              <w:top w:val="nil"/>
              <w:left w:val="nil"/>
              <w:bottom w:val="nil"/>
              <w:right w:val="nil"/>
            </w:tcBorders>
            <w:shd w:val="clear" w:color="auto" w:fill="auto"/>
            <w:hideMark/>
          </w:tcPr>
          <w:p w14:paraId="457AFDC0"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hideMark/>
          </w:tcPr>
          <w:p w14:paraId="1A659062" w14:textId="77777777" w:rsidR="001C5319" w:rsidRPr="001C5319" w:rsidRDefault="001C5319" w:rsidP="001C5319">
            <w:pPr>
              <w:spacing w:after="0" w:line="240" w:lineRule="auto"/>
              <w:jc w:val="right"/>
              <w:rPr>
                <w:rFonts w:ascii="Times New Roman" w:eastAsia="Times New Roman" w:hAnsi="Times New Roman" w:cs="Times New Roman"/>
                <w:sz w:val="20"/>
                <w:szCs w:val="20"/>
                <w:lang w:val="en-US"/>
              </w:rPr>
            </w:pPr>
          </w:p>
        </w:tc>
        <w:tc>
          <w:tcPr>
            <w:tcW w:w="1000" w:type="dxa"/>
            <w:tcBorders>
              <w:top w:val="nil"/>
              <w:left w:val="nil"/>
              <w:bottom w:val="nil"/>
              <w:right w:val="nil"/>
            </w:tcBorders>
            <w:shd w:val="clear" w:color="auto" w:fill="auto"/>
            <w:noWrap/>
            <w:hideMark/>
          </w:tcPr>
          <w:p w14:paraId="4560CD14" w14:textId="77777777" w:rsidR="001C5319" w:rsidRPr="001C5319" w:rsidRDefault="001C5319" w:rsidP="001C5319">
            <w:pPr>
              <w:spacing w:after="0" w:line="240" w:lineRule="auto"/>
              <w:rPr>
                <w:rFonts w:ascii="Times New Roman" w:eastAsia="Times New Roman" w:hAnsi="Times New Roman" w:cs="Times New Roman"/>
                <w:sz w:val="20"/>
                <w:szCs w:val="20"/>
                <w:lang w:val="en-US"/>
              </w:rPr>
            </w:pPr>
          </w:p>
        </w:tc>
      </w:tr>
      <w:tr w:rsidR="001C5319" w:rsidRPr="001C5319" w14:paraId="09991F0F" w14:textId="77777777" w:rsidTr="002356E0">
        <w:trPr>
          <w:trHeight w:val="255"/>
          <w:jc w:val="center"/>
        </w:trPr>
        <w:tc>
          <w:tcPr>
            <w:tcW w:w="3900" w:type="dxa"/>
            <w:gridSpan w:val="3"/>
            <w:tcBorders>
              <w:top w:val="nil"/>
              <w:left w:val="nil"/>
              <w:bottom w:val="nil"/>
              <w:right w:val="nil"/>
            </w:tcBorders>
            <w:shd w:val="clear" w:color="auto" w:fill="auto"/>
            <w:noWrap/>
            <w:vAlign w:val="center"/>
            <w:hideMark/>
          </w:tcPr>
          <w:p w14:paraId="2C5473A3" w14:textId="77777777" w:rsidR="001C5319" w:rsidRPr="001C5319" w:rsidRDefault="001C5319" w:rsidP="001C5319">
            <w:pPr>
              <w:spacing w:after="0" w:line="240" w:lineRule="auto"/>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*Details of Lisbon fee income (in thousands of Swiss francs)</w:t>
            </w:r>
          </w:p>
        </w:tc>
        <w:tc>
          <w:tcPr>
            <w:tcW w:w="1000" w:type="dxa"/>
            <w:tcBorders>
              <w:top w:val="nil"/>
              <w:left w:val="nil"/>
              <w:bottom w:val="nil"/>
              <w:right w:val="nil"/>
            </w:tcBorders>
            <w:shd w:val="clear" w:color="auto" w:fill="auto"/>
            <w:noWrap/>
            <w:hideMark/>
          </w:tcPr>
          <w:p w14:paraId="3EE5115A" w14:textId="77777777" w:rsidR="001C5319" w:rsidRPr="001C5319" w:rsidRDefault="001C5319" w:rsidP="001C5319">
            <w:pPr>
              <w:spacing w:after="0" w:line="240" w:lineRule="auto"/>
              <w:ind w:firstLineChars="100" w:firstLine="140"/>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 xml:space="preserve">100.0 </w:t>
            </w:r>
          </w:p>
        </w:tc>
        <w:tc>
          <w:tcPr>
            <w:tcW w:w="1000" w:type="dxa"/>
            <w:tcBorders>
              <w:top w:val="nil"/>
              <w:left w:val="nil"/>
              <w:bottom w:val="nil"/>
              <w:right w:val="nil"/>
            </w:tcBorders>
            <w:shd w:val="clear" w:color="auto" w:fill="auto"/>
            <w:noWrap/>
            <w:hideMark/>
          </w:tcPr>
          <w:p w14:paraId="74D77B11" w14:textId="77777777" w:rsidR="001C5319" w:rsidRPr="001C5319" w:rsidRDefault="001C5319" w:rsidP="001C5319">
            <w:pPr>
              <w:spacing w:after="0" w:line="240" w:lineRule="auto"/>
              <w:ind w:firstLineChars="100" w:firstLine="140"/>
              <w:jc w:val="right"/>
              <w:rPr>
                <w:rFonts w:ascii="Arial Narrow" w:eastAsia="Times New Roman" w:hAnsi="Arial Narrow" w:cs="Times New Roman"/>
                <w:sz w:val="14"/>
                <w:szCs w:val="14"/>
                <w:lang w:val="en-US"/>
              </w:rPr>
            </w:pPr>
            <w:r w:rsidRPr="001C5319">
              <w:rPr>
                <w:rFonts w:ascii="Arial Narrow" w:eastAsia="Times New Roman" w:hAnsi="Arial Narrow" w:cs="Times New Roman"/>
                <w:sz w:val="14"/>
                <w:szCs w:val="14"/>
                <w:lang w:val="en-US"/>
              </w:rPr>
              <w:t xml:space="preserve">100.0 </w:t>
            </w:r>
          </w:p>
        </w:tc>
      </w:tr>
      <w:tr w:rsidR="001C5319" w:rsidRPr="001C5319" w14:paraId="5E644E3C" w14:textId="77777777" w:rsidTr="002356E0">
        <w:trPr>
          <w:trHeight w:val="615"/>
          <w:jc w:val="center"/>
        </w:trPr>
        <w:tc>
          <w:tcPr>
            <w:tcW w:w="5900" w:type="dxa"/>
            <w:gridSpan w:val="5"/>
            <w:tcBorders>
              <w:top w:val="nil"/>
              <w:left w:val="nil"/>
              <w:bottom w:val="nil"/>
              <w:right w:val="nil"/>
            </w:tcBorders>
            <w:shd w:val="clear" w:color="auto" w:fill="auto"/>
            <w:vAlign w:val="center"/>
            <w:hideMark/>
          </w:tcPr>
          <w:p w14:paraId="52493ADF" w14:textId="77777777" w:rsidR="001C5319" w:rsidRPr="001C5319" w:rsidRDefault="001C5319" w:rsidP="001C5319">
            <w:pPr>
              <w:spacing w:after="0" w:line="240" w:lineRule="auto"/>
              <w:rPr>
                <w:rFonts w:ascii="Arial Narrow" w:eastAsia="Times New Roman" w:hAnsi="Arial Narrow" w:cs="Times New Roman"/>
                <w:sz w:val="15"/>
                <w:szCs w:val="15"/>
                <w:lang w:val="en-US"/>
              </w:rPr>
            </w:pPr>
            <w:r w:rsidRPr="001C5319">
              <w:rPr>
                <w:rFonts w:ascii="Arial Narrow" w:eastAsia="Times New Roman" w:hAnsi="Arial Narrow" w:cs="Times New Roman"/>
                <w:sz w:val="15"/>
                <w:szCs w:val="15"/>
                <w:lang w:val="en-US"/>
              </w:rPr>
              <w:t>Note: WIPO’s cash investments are aligned with the Organization’s long-term investment targets and therefore not included in the 2024/25 biennium income estimates. Furthermore, investment gains/losses are not included as part of revenue in WIPO’s annual financial statements.</w:t>
            </w:r>
          </w:p>
        </w:tc>
      </w:tr>
    </w:tbl>
    <w:p w14:paraId="4B73D245" w14:textId="20C4BCB0" w:rsidR="001C5319" w:rsidRDefault="001C5319" w:rsidP="001C5319">
      <w:pPr>
        <w:spacing w:after="60" w:line="240" w:lineRule="auto"/>
        <w:jc w:val="center"/>
        <w:rPr>
          <w:rFonts w:asciiTheme="minorHAnsi" w:hAnsiTheme="minorHAnsi" w:cstheme="minorHAnsi"/>
          <w:i/>
          <w:iCs/>
          <w:sz w:val="16"/>
          <w:szCs w:val="16"/>
        </w:rPr>
      </w:pPr>
    </w:p>
    <w:p w14:paraId="364B50C6" w14:textId="420E7C51" w:rsidR="005E444F" w:rsidRDefault="005E444F" w:rsidP="002356E0">
      <w:pPr>
        <w:spacing w:after="60" w:line="240" w:lineRule="auto"/>
        <w:jc w:val="center"/>
        <w:rPr>
          <w:lang w:val="en-US"/>
        </w:rPr>
      </w:pPr>
    </w:p>
    <w:p w14:paraId="224D0B62" w14:textId="62B160D0" w:rsidR="005E444F" w:rsidRPr="005E444F" w:rsidRDefault="005E444F" w:rsidP="005E444F">
      <w:pPr>
        <w:spacing w:after="60" w:line="240" w:lineRule="auto"/>
        <w:jc w:val="center"/>
        <w:rPr>
          <w:rFonts w:eastAsia="Arial"/>
          <w:b/>
          <w:color w:val="005172"/>
        </w:rPr>
      </w:pPr>
      <w:r>
        <w:rPr>
          <w:rFonts w:eastAsia="Arial"/>
          <w:b/>
          <w:color w:val="005172"/>
        </w:rPr>
        <w:t>Annual Budget</w:t>
      </w:r>
      <w:r w:rsidRPr="005E444F">
        <w:rPr>
          <w:rFonts w:eastAsia="Arial"/>
          <w:b/>
          <w:color w:val="005172"/>
        </w:rPr>
        <w:t xml:space="preserve"> 2024-2025</w:t>
      </w:r>
    </w:p>
    <w:p w14:paraId="3198F5F7" w14:textId="1A5DBD27" w:rsidR="00314F19" w:rsidRDefault="005E444F" w:rsidP="00314F19">
      <w:pPr>
        <w:spacing w:after="60" w:line="240" w:lineRule="auto"/>
        <w:jc w:val="center"/>
        <w:rPr>
          <w:rFonts w:asciiTheme="minorHAnsi" w:hAnsiTheme="minorHAnsi" w:cstheme="minorHAnsi"/>
          <w:i/>
          <w:iCs/>
          <w:sz w:val="16"/>
          <w:szCs w:val="16"/>
        </w:rPr>
      </w:pPr>
      <w:r>
        <w:rPr>
          <w:rFonts w:asciiTheme="minorHAnsi" w:hAnsiTheme="minorHAnsi" w:cstheme="minorHAnsi"/>
          <w:i/>
          <w:iCs/>
          <w:sz w:val="16"/>
          <w:szCs w:val="16"/>
        </w:rPr>
        <w:t>(in millions of Swiss francs)</w:t>
      </w:r>
    </w:p>
    <w:p w14:paraId="192E41D5" w14:textId="77777777" w:rsidR="00314F19" w:rsidRPr="00314F19" w:rsidRDefault="00314F19" w:rsidP="00314F19">
      <w:pPr>
        <w:spacing w:after="60" w:line="240" w:lineRule="auto"/>
        <w:jc w:val="center"/>
        <w:rPr>
          <w:rFonts w:asciiTheme="minorHAnsi" w:hAnsiTheme="minorHAnsi" w:cstheme="minorHAnsi"/>
          <w:i/>
          <w:iCs/>
          <w:sz w:val="10"/>
          <w:szCs w:val="10"/>
        </w:rPr>
      </w:pPr>
    </w:p>
    <w:tbl>
      <w:tblPr>
        <w:tblW w:w="5900" w:type="dxa"/>
        <w:jc w:val="center"/>
        <w:tblLook w:val="04A0" w:firstRow="1" w:lastRow="0" w:firstColumn="1" w:lastColumn="0" w:noHBand="0" w:noVBand="1"/>
      </w:tblPr>
      <w:tblGrid>
        <w:gridCol w:w="3680"/>
        <w:gridCol w:w="1140"/>
        <w:gridCol w:w="1080"/>
      </w:tblGrid>
      <w:tr w:rsidR="004D67F9" w:rsidRPr="004D67F9" w14:paraId="2F76F6F7" w14:textId="77777777" w:rsidTr="004D67F9">
        <w:trPr>
          <w:divId w:val="1337877432"/>
          <w:trHeight w:val="570"/>
          <w:jc w:val="center"/>
        </w:trPr>
        <w:tc>
          <w:tcPr>
            <w:tcW w:w="3680" w:type="dxa"/>
            <w:tcBorders>
              <w:top w:val="nil"/>
              <w:left w:val="nil"/>
              <w:bottom w:val="nil"/>
              <w:right w:val="nil"/>
            </w:tcBorders>
            <w:shd w:val="clear" w:color="000000" w:fill="C7CFD8"/>
            <w:vAlign w:val="center"/>
            <w:hideMark/>
          </w:tcPr>
          <w:p w14:paraId="41BE775F" w14:textId="125B964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Cost Categories</w:t>
            </w:r>
          </w:p>
        </w:tc>
        <w:tc>
          <w:tcPr>
            <w:tcW w:w="1140" w:type="dxa"/>
            <w:tcBorders>
              <w:top w:val="nil"/>
              <w:left w:val="nil"/>
              <w:bottom w:val="nil"/>
              <w:right w:val="nil"/>
            </w:tcBorders>
            <w:shd w:val="clear" w:color="000000" w:fill="C7CFD8"/>
            <w:vAlign w:val="center"/>
            <w:hideMark/>
          </w:tcPr>
          <w:p w14:paraId="42F6552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2024</w:t>
            </w:r>
            <w:r w:rsidRPr="004D67F9">
              <w:rPr>
                <w:rFonts w:ascii="Arial Narrow" w:eastAsia="Times New Roman" w:hAnsi="Arial Narrow" w:cs="Times New Roman"/>
                <w:b/>
                <w:bCs/>
                <w:sz w:val="16"/>
                <w:szCs w:val="16"/>
                <w:lang w:val="en-US"/>
              </w:rPr>
              <w:br/>
              <w:t>Budget</w:t>
            </w:r>
          </w:p>
        </w:tc>
        <w:tc>
          <w:tcPr>
            <w:tcW w:w="1080" w:type="dxa"/>
            <w:tcBorders>
              <w:top w:val="nil"/>
              <w:left w:val="nil"/>
              <w:bottom w:val="nil"/>
              <w:right w:val="nil"/>
            </w:tcBorders>
            <w:shd w:val="clear" w:color="000000" w:fill="C7CFD8"/>
            <w:vAlign w:val="center"/>
            <w:hideMark/>
          </w:tcPr>
          <w:p w14:paraId="7F2E54C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2025</w:t>
            </w:r>
            <w:r w:rsidRPr="004D67F9">
              <w:rPr>
                <w:rFonts w:ascii="Arial Narrow" w:eastAsia="Times New Roman" w:hAnsi="Arial Narrow" w:cs="Times New Roman"/>
                <w:b/>
                <w:bCs/>
                <w:sz w:val="16"/>
                <w:szCs w:val="16"/>
                <w:lang w:val="en-US"/>
              </w:rPr>
              <w:br/>
              <w:t>Budget</w:t>
            </w:r>
          </w:p>
        </w:tc>
      </w:tr>
      <w:tr w:rsidR="004D67F9" w:rsidRPr="004D67F9" w14:paraId="58DE78E8"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01ED1CB4"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Personnel Resources</w:t>
            </w:r>
          </w:p>
        </w:tc>
        <w:tc>
          <w:tcPr>
            <w:tcW w:w="1140" w:type="dxa"/>
            <w:tcBorders>
              <w:top w:val="nil"/>
              <w:left w:val="nil"/>
              <w:bottom w:val="nil"/>
              <w:right w:val="nil"/>
            </w:tcBorders>
            <w:shd w:val="clear" w:color="auto" w:fill="auto"/>
            <w:noWrap/>
            <w:vAlign w:val="bottom"/>
            <w:hideMark/>
          </w:tcPr>
          <w:p w14:paraId="0072D6FF"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1080" w:type="dxa"/>
            <w:tcBorders>
              <w:top w:val="nil"/>
              <w:left w:val="nil"/>
              <w:bottom w:val="nil"/>
              <w:right w:val="nil"/>
            </w:tcBorders>
            <w:shd w:val="clear" w:color="auto" w:fill="auto"/>
            <w:noWrap/>
            <w:vAlign w:val="bottom"/>
            <w:hideMark/>
          </w:tcPr>
          <w:p w14:paraId="50AEB18E" w14:textId="77777777" w:rsidR="004D67F9" w:rsidRPr="004D67F9" w:rsidRDefault="004D67F9" w:rsidP="004D67F9">
            <w:pPr>
              <w:spacing w:after="0" w:line="240" w:lineRule="auto"/>
              <w:rPr>
                <w:rFonts w:ascii="Times New Roman" w:eastAsia="Times New Roman" w:hAnsi="Times New Roman" w:cs="Times New Roman"/>
                <w:sz w:val="20"/>
                <w:szCs w:val="20"/>
                <w:lang w:val="en-US"/>
              </w:rPr>
            </w:pPr>
          </w:p>
        </w:tc>
      </w:tr>
      <w:tr w:rsidR="004D67F9" w:rsidRPr="004D67F9" w14:paraId="26CBCCD3"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69D151B1"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Posts</w:t>
            </w:r>
          </w:p>
        </w:tc>
        <w:tc>
          <w:tcPr>
            <w:tcW w:w="1140" w:type="dxa"/>
            <w:tcBorders>
              <w:top w:val="nil"/>
              <w:left w:val="nil"/>
              <w:bottom w:val="nil"/>
              <w:right w:val="nil"/>
            </w:tcBorders>
            <w:shd w:val="clear" w:color="auto" w:fill="auto"/>
            <w:noWrap/>
            <w:vAlign w:val="bottom"/>
            <w:hideMark/>
          </w:tcPr>
          <w:p w14:paraId="1E37E55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241.1</w:t>
            </w:r>
          </w:p>
        </w:tc>
        <w:tc>
          <w:tcPr>
            <w:tcW w:w="1080" w:type="dxa"/>
            <w:tcBorders>
              <w:top w:val="nil"/>
              <w:left w:val="nil"/>
              <w:bottom w:val="nil"/>
              <w:right w:val="nil"/>
            </w:tcBorders>
            <w:shd w:val="clear" w:color="auto" w:fill="auto"/>
            <w:noWrap/>
            <w:vAlign w:val="bottom"/>
            <w:hideMark/>
          </w:tcPr>
          <w:p w14:paraId="616625FA"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245.0</w:t>
            </w:r>
          </w:p>
        </w:tc>
      </w:tr>
      <w:tr w:rsidR="004D67F9" w:rsidRPr="004D67F9" w14:paraId="04DB8265"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737D8ECB"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Temporary Staff</w:t>
            </w:r>
          </w:p>
        </w:tc>
        <w:tc>
          <w:tcPr>
            <w:tcW w:w="1140" w:type="dxa"/>
            <w:tcBorders>
              <w:top w:val="nil"/>
              <w:left w:val="nil"/>
              <w:bottom w:val="nil"/>
              <w:right w:val="nil"/>
            </w:tcBorders>
            <w:shd w:val="clear" w:color="auto" w:fill="auto"/>
            <w:noWrap/>
            <w:vAlign w:val="bottom"/>
            <w:hideMark/>
          </w:tcPr>
          <w:p w14:paraId="32DC0146"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8.9</w:t>
            </w:r>
          </w:p>
        </w:tc>
        <w:tc>
          <w:tcPr>
            <w:tcW w:w="1080" w:type="dxa"/>
            <w:tcBorders>
              <w:top w:val="nil"/>
              <w:left w:val="nil"/>
              <w:bottom w:val="nil"/>
              <w:right w:val="nil"/>
            </w:tcBorders>
            <w:shd w:val="clear" w:color="auto" w:fill="auto"/>
            <w:noWrap/>
            <w:vAlign w:val="bottom"/>
            <w:hideMark/>
          </w:tcPr>
          <w:p w14:paraId="3D29BA4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8.5</w:t>
            </w:r>
          </w:p>
        </w:tc>
      </w:tr>
      <w:tr w:rsidR="004D67F9" w:rsidRPr="004D67F9" w14:paraId="49356D79"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74261F4D"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Other Staff Costs</w:t>
            </w:r>
          </w:p>
        </w:tc>
        <w:tc>
          <w:tcPr>
            <w:tcW w:w="1140" w:type="dxa"/>
            <w:tcBorders>
              <w:top w:val="nil"/>
              <w:left w:val="nil"/>
              <w:bottom w:val="nil"/>
              <w:right w:val="nil"/>
            </w:tcBorders>
            <w:shd w:val="clear" w:color="auto" w:fill="auto"/>
            <w:noWrap/>
            <w:vAlign w:val="bottom"/>
            <w:hideMark/>
          </w:tcPr>
          <w:p w14:paraId="758BB92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w:t>
            </w:r>
          </w:p>
        </w:tc>
        <w:tc>
          <w:tcPr>
            <w:tcW w:w="1080" w:type="dxa"/>
            <w:tcBorders>
              <w:top w:val="nil"/>
              <w:left w:val="nil"/>
              <w:bottom w:val="nil"/>
              <w:right w:val="nil"/>
            </w:tcBorders>
            <w:shd w:val="clear" w:color="auto" w:fill="auto"/>
            <w:noWrap/>
            <w:vAlign w:val="bottom"/>
            <w:hideMark/>
          </w:tcPr>
          <w:p w14:paraId="0C4B8B8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1.6</w:t>
            </w:r>
          </w:p>
        </w:tc>
      </w:tr>
      <w:tr w:rsidR="004D67F9" w:rsidRPr="004D67F9" w14:paraId="598C0FC5" w14:textId="77777777" w:rsidTr="004D67F9">
        <w:trPr>
          <w:divId w:val="1337877432"/>
          <w:trHeight w:val="255"/>
          <w:jc w:val="center"/>
        </w:trPr>
        <w:tc>
          <w:tcPr>
            <w:tcW w:w="3680" w:type="dxa"/>
            <w:tcBorders>
              <w:top w:val="nil"/>
              <w:left w:val="nil"/>
              <w:bottom w:val="single" w:sz="4" w:space="0" w:color="C7CFD8"/>
              <w:right w:val="nil"/>
            </w:tcBorders>
            <w:shd w:val="clear" w:color="000000" w:fill="FFFFFF"/>
            <w:noWrap/>
            <w:hideMark/>
          </w:tcPr>
          <w:p w14:paraId="21B59F37"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Sub-total</w:t>
            </w:r>
          </w:p>
        </w:tc>
        <w:tc>
          <w:tcPr>
            <w:tcW w:w="1140" w:type="dxa"/>
            <w:tcBorders>
              <w:top w:val="nil"/>
              <w:left w:val="nil"/>
              <w:bottom w:val="single" w:sz="4" w:space="0" w:color="C7CFD8"/>
              <w:right w:val="nil"/>
            </w:tcBorders>
            <w:shd w:val="clear" w:color="auto" w:fill="auto"/>
            <w:noWrap/>
            <w:vAlign w:val="bottom"/>
            <w:hideMark/>
          </w:tcPr>
          <w:p w14:paraId="4FA9B5C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251.5</w:t>
            </w:r>
          </w:p>
        </w:tc>
        <w:tc>
          <w:tcPr>
            <w:tcW w:w="1080" w:type="dxa"/>
            <w:tcBorders>
              <w:top w:val="nil"/>
              <w:left w:val="nil"/>
              <w:bottom w:val="single" w:sz="4" w:space="0" w:color="C7CFD8"/>
              <w:right w:val="nil"/>
            </w:tcBorders>
            <w:shd w:val="clear" w:color="auto" w:fill="auto"/>
            <w:noWrap/>
            <w:vAlign w:val="bottom"/>
            <w:hideMark/>
          </w:tcPr>
          <w:p w14:paraId="3CB07BD9"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255.1</w:t>
            </w:r>
          </w:p>
        </w:tc>
      </w:tr>
      <w:tr w:rsidR="004D67F9" w:rsidRPr="004D67F9" w14:paraId="7A461A52"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6D45CD88" w14:textId="77777777" w:rsidR="004D67F9" w:rsidRPr="004D67F9" w:rsidRDefault="004D67F9" w:rsidP="004D67F9">
            <w:pPr>
              <w:spacing w:after="0" w:line="240" w:lineRule="auto"/>
              <w:ind w:firstLineChars="100" w:firstLine="16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Unallocated (Personnel)</w:t>
            </w:r>
          </w:p>
        </w:tc>
        <w:tc>
          <w:tcPr>
            <w:tcW w:w="1140" w:type="dxa"/>
            <w:tcBorders>
              <w:top w:val="nil"/>
              <w:left w:val="nil"/>
              <w:bottom w:val="nil"/>
              <w:right w:val="nil"/>
            </w:tcBorders>
            <w:shd w:val="clear" w:color="auto" w:fill="auto"/>
            <w:noWrap/>
            <w:vAlign w:val="bottom"/>
            <w:hideMark/>
          </w:tcPr>
          <w:p w14:paraId="29EAD9D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w:t>
            </w:r>
          </w:p>
        </w:tc>
        <w:tc>
          <w:tcPr>
            <w:tcW w:w="1080" w:type="dxa"/>
            <w:tcBorders>
              <w:top w:val="nil"/>
              <w:left w:val="nil"/>
              <w:bottom w:val="nil"/>
              <w:right w:val="nil"/>
            </w:tcBorders>
            <w:shd w:val="clear" w:color="auto" w:fill="auto"/>
            <w:noWrap/>
            <w:vAlign w:val="bottom"/>
            <w:hideMark/>
          </w:tcPr>
          <w:p w14:paraId="31B4A5B7"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w:t>
            </w:r>
          </w:p>
        </w:tc>
      </w:tr>
      <w:tr w:rsidR="004D67F9" w:rsidRPr="004D67F9" w14:paraId="604D2C9A" w14:textId="77777777" w:rsidTr="004D67F9">
        <w:trPr>
          <w:divId w:val="1337877432"/>
          <w:trHeight w:val="270"/>
          <w:jc w:val="center"/>
        </w:trPr>
        <w:tc>
          <w:tcPr>
            <w:tcW w:w="3680" w:type="dxa"/>
            <w:tcBorders>
              <w:top w:val="nil"/>
              <w:left w:val="nil"/>
              <w:bottom w:val="single" w:sz="8" w:space="0" w:color="C7CFD8"/>
              <w:right w:val="nil"/>
            </w:tcBorders>
            <w:shd w:val="clear" w:color="000000" w:fill="FFFFFF"/>
            <w:noWrap/>
            <w:hideMark/>
          </w:tcPr>
          <w:p w14:paraId="6E6CA882" w14:textId="77777777" w:rsidR="004D67F9" w:rsidRPr="004D67F9" w:rsidRDefault="004D67F9" w:rsidP="004D67F9">
            <w:pPr>
              <w:spacing w:after="0" w:line="240" w:lineRule="auto"/>
              <w:jc w:val="center"/>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Total, Personnel</w:t>
            </w:r>
          </w:p>
        </w:tc>
        <w:tc>
          <w:tcPr>
            <w:tcW w:w="1140" w:type="dxa"/>
            <w:tcBorders>
              <w:top w:val="nil"/>
              <w:left w:val="nil"/>
              <w:bottom w:val="single" w:sz="8" w:space="0" w:color="C7CFD8"/>
              <w:right w:val="nil"/>
            </w:tcBorders>
            <w:shd w:val="clear" w:color="auto" w:fill="auto"/>
            <w:noWrap/>
            <w:vAlign w:val="bottom"/>
            <w:hideMark/>
          </w:tcPr>
          <w:p w14:paraId="598972A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254.3</w:t>
            </w:r>
          </w:p>
        </w:tc>
        <w:tc>
          <w:tcPr>
            <w:tcW w:w="1080" w:type="dxa"/>
            <w:tcBorders>
              <w:top w:val="nil"/>
              <w:left w:val="nil"/>
              <w:bottom w:val="single" w:sz="8" w:space="0" w:color="C7CFD8"/>
              <w:right w:val="nil"/>
            </w:tcBorders>
            <w:shd w:val="clear" w:color="auto" w:fill="auto"/>
            <w:noWrap/>
            <w:vAlign w:val="bottom"/>
            <w:hideMark/>
          </w:tcPr>
          <w:p w14:paraId="090001AE"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257.9</w:t>
            </w:r>
          </w:p>
        </w:tc>
      </w:tr>
      <w:tr w:rsidR="004D67F9" w:rsidRPr="004D67F9" w14:paraId="2B6E5E4C"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0BB4F939"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Non-personnel Resources</w:t>
            </w:r>
          </w:p>
        </w:tc>
        <w:tc>
          <w:tcPr>
            <w:tcW w:w="1140" w:type="dxa"/>
            <w:tcBorders>
              <w:top w:val="nil"/>
              <w:left w:val="nil"/>
              <w:bottom w:val="nil"/>
              <w:right w:val="nil"/>
            </w:tcBorders>
            <w:shd w:val="clear" w:color="auto" w:fill="auto"/>
            <w:noWrap/>
            <w:vAlign w:val="bottom"/>
            <w:hideMark/>
          </w:tcPr>
          <w:p w14:paraId="38C9BB0D"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p>
        </w:tc>
        <w:tc>
          <w:tcPr>
            <w:tcW w:w="1080" w:type="dxa"/>
            <w:tcBorders>
              <w:top w:val="nil"/>
              <w:left w:val="nil"/>
              <w:bottom w:val="nil"/>
              <w:right w:val="nil"/>
            </w:tcBorders>
            <w:shd w:val="clear" w:color="auto" w:fill="auto"/>
            <w:noWrap/>
            <w:vAlign w:val="bottom"/>
            <w:hideMark/>
          </w:tcPr>
          <w:p w14:paraId="2E19B62B" w14:textId="77777777" w:rsidR="004D67F9" w:rsidRPr="004D67F9" w:rsidRDefault="004D67F9" w:rsidP="004D67F9">
            <w:pPr>
              <w:spacing w:after="0" w:line="240" w:lineRule="auto"/>
              <w:ind w:firstLineChars="100" w:firstLine="200"/>
              <w:jc w:val="right"/>
              <w:rPr>
                <w:rFonts w:ascii="Times New Roman" w:eastAsia="Times New Roman" w:hAnsi="Times New Roman" w:cs="Times New Roman"/>
                <w:sz w:val="20"/>
                <w:szCs w:val="20"/>
                <w:lang w:val="en-US"/>
              </w:rPr>
            </w:pPr>
          </w:p>
        </w:tc>
      </w:tr>
      <w:tr w:rsidR="004D67F9" w:rsidRPr="004D67F9" w14:paraId="2009880E"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442458CF"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Internships and WIPO Fellowships</w:t>
            </w:r>
          </w:p>
        </w:tc>
        <w:tc>
          <w:tcPr>
            <w:tcW w:w="1140" w:type="dxa"/>
            <w:tcBorders>
              <w:top w:val="nil"/>
              <w:left w:val="nil"/>
              <w:bottom w:val="nil"/>
              <w:right w:val="nil"/>
            </w:tcBorders>
            <w:shd w:val="clear" w:color="auto" w:fill="auto"/>
            <w:noWrap/>
            <w:vAlign w:val="bottom"/>
            <w:hideMark/>
          </w:tcPr>
          <w:p w14:paraId="416FD6D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9.5</w:t>
            </w:r>
          </w:p>
        </w:tc>
        <w:tc>
          <w:tcPr>
            <w:tcW w:w="1080" w:type="dxa"/>
            <w:tcBorders>
              <w:top w:val="nil"/>
              <w:left w:val="nil"/>
              <w:bottom w:val="nil"/>
              <w:right w:val="nil"/>
            </w:tcBorders>
            <w:shd w:val="clear" w:color="auto" w:fill="auto"/>
            <w:noWrap/>
            <w:vAlign w:val="bottom"/>
            <w:hideMark/>
          </w:tcPr>
          <w:p w14:paraId="7A90CCB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9.5</w:t>
            </w:r>
          </w:p>
        </w:tc>
      </w:tr>
      <w:tr w:rsidR="004D67F9" w:rsidRPr="004D67F9" w14:paraId="3403882A"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28B54E57"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Travel, Training and Grants</w:t>
            </w:r>
          </w:p>
        </w:tc>
        <w:tc>
          <w:tcPr>
            <w:tcW w:w="1140" w:type="dxa"/>
            <w:tcBorders>
              <w:top w:val="nil"/>
              <w:left w:val="nil"/>
              <w:bottom w:val="nil"/>
              <w:right w:val="nil"/>
            </w:tcBorders>
            <w:shd w:val="clear" w:color="auto" w:fill="auto"/>
            <w:noWrap/>
            <w:vAlign w:val="bottom"/>
            <w:hideMark/>
          </w:tcPr>
          <w:p w14:paraId="4E8B1D7F"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14.2</w:t>
            </w:r>
          </w:p>
        </w:tc>
        <w:tc>
          <w:tcPr>
            <w:tcW w:w="1080" w:type="dxa"/>
            <w:tcBorders>
              <w:top w:val="nil"/>
              <w:left w:val="nil"/>
              <w:bottom w:val="nil"/>
              <w:right w:val="nil"/>
            </w:tcBorders>
            <w:shd w:val="clear" w:color="auto" w:fill="auto"/>
            <w:noWrap/>
            <w:vAlign w:val="bottom"/>
            <w:hideMark/>
          </w:tcPr>
          <w:p w14:paraId="49F76C5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14.2</w:t>
            </w:r>
          </w:p>
        </w:tc>
      </w:tr>
      <w:tr w:rsidR="004D67F9" w:rsidRPr="004D67F9" w14:paraId="51164AC4"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068B8F33"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Contractual Services</w:t>
            </w:r>
          </w:p>
        </w:tc>
        <w:tc>
          <w:tcPr>
            <w:tcW w:w="1140" w:type="dxa"/>
            <w:tcBorders>
              <w:top w:val="nil"/>
              <w:left w:val="nil"/>
              <w:bottom w:val="nil"/>
              <w:right w:val="nil"/>
            </w:tcBorders>
            <w:shd w:val="clear" w:color="auto" w:fill="auto"/>
            <w:noWrap/>
            <w:vAlign w:val="bottom"/>
            <w:hideMark/>
          </w:tcPr>
          <w:p w14:paraId="3301462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116.9</w:t>
            </w:r>
          </w:p>
        </w:tc>
        <w:tc>
          <w:tcPr>
            <w:tcW w:w="1080" w:type="dxa"/>
            <w:tcBorders>
              <w:top w:val="nil"/>
              <w:left w:val="nil"/>
              <w:bottom w:val="nil"/>
              <w:right w:val="nil"/>
            </w:tcBorders>
            <w:shd w:val="clear" w:color="auto" w:fill="auto"/>
            <w:noWrap/>
            <w:vAlign w:val="bottom"/>
            <w:hideMark/>
          </w:tcPr>
          <w:p w14:paraId="52EC5F71"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116.9</w:t>
            </w:r>
          </w:p>
        </w:tc>
      </w:tr>
      <w:tr w:rsidR="004D67F9" w:rsidRPr="004D67F9" w14:paraId="3724614E"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5F3F1D70"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Finance Costs</w:t>
            </w:r>
          </w:p>
        </w:tc>
        <w:tc>
          <w:tcPr>
            <w:tcW w:w="1140" w:type="dxa"/>
            <w:tcBorders>
              <w:top w:val="nil"/>
              <w:left w:val="nil"/>
              <w:bottom w:val="nil"/>
              <w:right w:val="nil"/>
            </w:tcBorders>
            <w:shd w:val="clear" w:color="auto" w:fill="auto"/>
            <w:noWrap/>
            <w:vAlign w:val="bottom"/>
            <w:hideMark/>
          </w:tcPr>
          <w:p w14:paraId="13594288"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0.3</w:t>
            </w:r>
          </w:p>
        </w:tc>
        <w:tc>
          <w:tcPr>
            <w:tcW w:w="1080" w:type="dxa"/>
            <w:tcBorders>
              <w:top w:val="nil"/>
              <w:left w:val="nil"/>
              <w:bottom w:val="nil"/>
              <w:right w:val="nil"/>
            </w:tcBorders>
            <w:shd w:val="clear" w:color="auto" w:fill="auto"/>
            <w:noWrap/>
            <w:vAlign w:val="bottom"/>
            <w:hideMark/>
          </w:tcPr>
          <w:p w14:paraId="625A240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0.3</w:t>
            </w:r>
          </w:p>
        </w:tc>
      </w:tr>
      <w:tr w:rsidR="004D67F9" w:rsidRPr="004D67F9" w14:paraId="4DEB67D9"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09B5BB7D"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Operating Expenses</w:t>
            </w:r>
          </w:p>
        </w:tc>
        <w:tc>
          <w:tcPr>
            <w:tcW w:w="1140" w:type="dxa"/>
            <w:tcBorders>
              <w:top w:val="nil"/>
              <w:left w:val="nil"/>
              <w:bottom w:val="nil"/>
              <w:right w:val="nil"/>
            </w:tcBorders>
            <w:shd w:val="clear" w:color="auto" w:fill="auto"/>
            <w:noWrap/>
            <w:vAlign w:val="bottom"/>
            <w:hideMark/>
          </w:tcPr>
          <w:p w14:paraId="1BE66F3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28.1</w:t>
            </w:r>
          </w:p>
        </w:tc>
        <w:tc>
          <w:tcPr>
            <w:tcW w:w="1080" w:type="dxa"/>
            <w:tcBorders>
              <w:top w:val="nil"/>
              <w:left w:val="nil"/>
              <w:bottom w:val="nil"/>
              <w:right w:val="nil"/>
            </w:tcBorders>
            <w:shd w:val="clear" w:color="auto" w:fill="auto"/>
            <w:noWrap/>
            <w:vAlign w:val="bottom"/>
            <w:hideMark/>
          </w:tcPr>
          <w:p w14:paraId="7244A142"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28.1</w:t>
            </w:r>
          </w:p>
        </w:tc>
      </w:tr>
      <w:tr w:rsidR="004D67F9" w:rsidRPr="004D67F9" w14:paraId="4C430718"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5AFBC7DF" w14:textId="77777777" w:rsidR="004D67F9" w:rsidRPr="004D67F9" w:rsidRDefault="004D67F9" w:rsidP="004D67F9">
            <w:pPr>
              <w:spacing w:after="0" w:line="240" w:lineRule="auto"/>
              <w:ind w:firstLineChars="100" w:firstLine="160"/>
              <w:rPr>
                <w:rFonts w:ascii="Arial Narrow" w:eastAsia="Times New Roman" w:hAnsi="Arial Narrow" w:cs="Times New Roman"/>
                <w:i/>
                <w:iCs/>
                <w:sz w:val="16"/>
                <w:szCs w:val="16"/>
                <w:lang w:val="en-US"/>
              </w:rPr>
            </w:pPr>
            <w:r w:rsidRPr="004D67F9">
              <w:rPr>
                <w:rFonts w:ascii="Arial Narrow" w:eastAsia="Times New Roman" w:hAnsi="Arial Narrow" w:cs="Times New Roman"/>
                <w:i/>
                <w:iCs/>
                <w:sz w:val="16"/>
                <w:szCs w:val="16"/>
                <w:lang w:val="en-US"/>
              </w:rPr>
              <w:t>Equipment and Supplies</w:t>
            </w:r>
          </w:p>
        </w:tc>
        <w:tc>
          <w:tcPr>
            <w:tcW w:w="1140" w:type="dxa"/>
            <w:tcBorders>
              <w:top w:val="nil"/>
              <w:left w:val="nil"/>
              <w:bottom w:val="nil"/>
              <w:right w:val="nil"/>
            </w:tcBorders>
            <w:shd w:val="clear" w:color="auto" w:fill="auto"/>
            <w:noWrap/>
            <w:vAlign w:val="bottom"/>
            <w:hideMark/>
          </w:tcPr>
          <w:p w14:paraId="082FA044"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w:t>
            </w:r>
          </w:p>
        </w:tc>
        <w:tc>
          <w:tcPr>
            <w:tcW w:w="1080" w:type="dxa"/>
            <w:tcBorders>
              <w:top w:val="nil"/>
              <w:left w:val="nil"/>
              <w:bottom w:val="nil"/>
              <w:right w:val="nil"/>
            </w:tcBorders>
            <w:shd w:val="clear" w:color="auto" w:fill="auto"/>
            <w:noWrap/>
            <w:vAlign w:val="bottom"/>
            <w:hideMark/>
          </w:tcPr>
          <w:p w14:paraId="2623F38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2.3</w:t>
            </w:r>
          </w:p>
        </w:tc>
      </w:tr>
      <w:tr w:rsidR="004D67F9" w:rsidRPr="004D67F9" w14:paraId="5C5B966F" w14:textId="77777777" w:rsidTr="004D67F9">
        <w:trPr>
          <w:divId w:val="1337877432"/>
          <w:trHeight w:val="255"/>
          <w:jc w:val="center"/>
        </w:trPr>
        <w:tc>
          <w:tcPr>
            <w:tcW w:w="3680" w:type="dxa"/>
            <w:tcBorders>
              <w:top w:val="nil"/>
              <w:left w:val="nil"/>
              <w:bottom w:val="single" w:sz="4" w:space="0" w:color="C7CFD8"/>
              <w:right w:val="nil"/>
            </w:tcBorders>
            <w:shd w:val="clear" w:color="auto" w:fill="auto"/>
            <w:noWrap/>
            <w:hideMark/>
          </w:tcPr>
          <w:p w14:paraId="4273F744" w14:textId="77777777" w:rsidR="004D67F9" w:rsidRPr="004D67F9" w:rsidRDefault="004D67F9" w:rsidP="004D67F9">
            <w:pPr>
              <w:spacing w:after="0" w:line="240" w:lineRule="auto"/>
              <w:ind w:firstLineChars="200" w:firstLine="32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Sub-total</w:t>
            </w:r>
          </w:p>
        </w:tc>
        <w:tc>
          <w:tcPr>
            <w:tcW w:w="1140" w:type="dxa"/>
            <w:tcBorders>
              <w:top w:val="nil"/>
              <w:left w:val="nil"/>
              <w:bottom w:val="single" w:sz="4" w:space="0" w:color="C7CFD8"/>
              <w:right w:val="nil"/>
            </w:tcBorders>
            <w:shd w:val="clear" w:color="auto" w:fill="auto"/>
            <w:noWrap/>
            <w:vAlign w:val="bottom"/>
            <w:hideMark/>
          </w:tcPr>
          <w:p w14:paraId="75E1B37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171.3</w:t>
            </w:r>
          </w:p>
        </w:tc>
        <w:tc>
          <w:tcPr>
            <w:tcW w:w="1080" w:type="dxa"/>
            <w:tcBorders>
              <w:top w:val="nil"/>
              <w:left w:val="nil"/>
              <w:bottom w:val="single" w:sz="4" w:space="0" w:color="C7CFD8"/>
              <w:right w:val="nil"/>
            </w:tcBorders>
            <w:shd w:val="clear" w:color="auto" w:fill="auto"/>
            <w:noWrap/>
            <w:vAlign w:val="bottom"/>
            <w:hideMark/>
          </w:tcPr>
          <w:p w14:paraId="6EAF765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171.3</w:t>
            </w:r>
          </w:p>
        </w:tc>
      </w:tr>
      <w:tr w:rsidR="004D67F9" w:rsidRPr="004D67F9" w14:paraId="2FFB852B" w14:textId="77777777" w:rsidTr="004D67F9">
        <w:trPr>
          <w:divId w:val="1337877432"/>
          <w:trHeight w:val="255"/>
          <w:jc w:val="center"/>
        </w:trPr>
        <w:tc>
          <w:tcPr>
            <w:tcW w:w="3680" w:type="dxa"/>
            <w:tcBorders>
              <w:top w:val="nil"/>
              <w:left w:val="nil"/>
              <w:bottom w:val="nil"/>
              <w:right w:val="nil"/>
            </w:tcBorders>
            <w:shd w:val="clear" w:color="000000" w:fill="FFFFFF"/>
            <w:noWrap/>
            <w:hideMark/>
          </w:tcPr>
          <w:p w14:paraId="40A70E65" w14:textId="77777777" w:rsidR="004D67F9" w:rsidRPr="004D67F9" w:rsidRDefault="004D67F9" w:rsidP="004D67F9">
            <w:pPr>
              <w:spacing w:after="0" w:line="240" w:lineRule="auto"/>
              <w:ind w:firstLineChars="100" w:firstLine="160"/>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Unallocated (Non-personnel)</w:t>
            </w:r>
          </w:p>
        </w:tc>
        <w:tc>
          <w:tcPr>
            <w:tcW w:w="1140" w:type="dxa"/>
            <w:tcBorders>
              <w:top w:val="nil"/>
              <w:left w:val="nil"/>
              <w:bottom w:val="nil"/>
              <w:right w:val="nil"/>
            </w:tcBorders>
            <w:shd w:val="clear" w:color="auto" w:fill="auto"/>
            <w:noWrap/>
            <w:vAlign w:val="bottom"/>
            <w:hideMark/>
          </w:tcPr>
          <w:p w14:paraId="63E00C03"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w:t>
            </w:r>
          </w:p>
        </w:tc>
        <w:tc>
          <w:tcPr>
            <w:tcW w:w="1080" w:type="dxa"/>
            <w:tcBorders>
              <w:top w:val="nil"/>
              <w:left w:val="nil"/>
              <w:bottom w:val="nil"/>
              <w:right w:val="nil"/>
            </w:tcBorders>
            <w:shd w:val="clear" w:color="auto" w:fill="auto"/>
            <w:noWrap/>
            <w:vAlign w:val="bottom"/>
            <w:hideMark/>
          </w:tcPr>
          <w:p w14:paraId="2539A855"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1.3</w:t>
            </w:r>
          </w:p>
        </w:tc>
      </w:tr>
      <w:tr w:rsidR="004D67F9" w:rsidRPr="004D67F9" w14:paraId="285E0A17" w14:textId="77777777" w:rsidTr="004D67F9">
        <w:trPr>
          <w:divId w:val="1337877432"/>
          <w:trHeight w:val="270"/>
          <w:jc w:val="center"/>
        </w:trPr>
        <w:tc>
          <w:tcPr>
            <w:tcW w:w="3680" w:type="dxa"/>
            <w:tcBorders>
              <w:top w:val="nil"/>
              <w:left w:val="nil"/>
              <w:bottom w:val="nil"/>
              <w:right w:val="nil"/>
            </w:tcBorders>
            <w:shd w:val="clear" w:color="000000" w:fill="FFFFFF"/>
            <w:noWrap/>
            <w:hideMark/>
          </w:tcPr>
          <w:p w14:paraId="5F30969D" w14:textId="77777777" w:rsidR="004D67F9" w:rsidRPr="004D67F9" w:rsidRDefault="004D67F9" w:rsidP="004D67F9">
            <w:pPr>
              <w:spacing w:after="0" w:line="240" w:lineRule="auto"/>
              <w:jc w:val="center"/>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Total, Non-Personnel</w:t>
            </w:r>
          </w:p>
        </w:tc>
        <w:tc>
          <w:tcPr>
            <w:tcW w:w="1140" w:type="dxa"/>
            <w:tcBorders>
              <w:top w:val="nil"/>
              <w:left w:val="nil"/>
              <w:bottom w:val="nil"/>
              <w:right w:val="nil"/>
            </w:tcBorders>
            <w:shd w:val="clear" w:color="auto" w:fill="auto"/>
            <w:noWrap/>
            <w:vAlign w:val="bottom"/>
            <w:hideMark/>
          </w:tcPr>
          <w:p w14:paraId="660EF6A0"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172.6</w:t>
            </w:r>
          </w:p>
        </w:tc>
        <w:tc>
          <w:tcPr>
            <w:tcW w:w="1080" w:type="dxa"/>
            <w:tcBorders>
              <w:top w:val="nil"/>
              <w:left w:val="nil"/>
              <w:bottom w:val="nil"/>
              <w:right w:val="nil"/>
            </w:tcBorders>
            <w:shd w:val="clear" w:color="auto" w:fill="auto"/>
            <w:noWrap/>
            <w:vAlign w:val="bottom"/>
            <w:hideMark/>
          </w:tcPr>
          <w:p w14:paraId="6718400C"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sz w:val="16"/>
                <w:szCs w:val="16"/>
                <w:lang w:val="en-US"/>
              </w:rPr>
            </w:pPr>
            <w:r w:rsidRPr="004D67F9">
              <w:rPr>
                <w:rFonts w:ascii="Arial Narrow" w:eastAsia="Times New Roman" w:hAnsi="Arial Narrow" w:cs="Times New Roman"/>
                <w:sz w:val="16"/>
                <w:szCs w:val="16"/>
                <w:lang w:val="en-US"/>
              </w:rPr>
              <w:t>172.6</w:t>
            </w:r>
          </w:p>
        </w:tc>
      </w:tr>
      <w:tr w:rsidR="004D67F9" w:rsidRPr="004D67F9" w14:paraId="6B6EBD28" w14:textId="77777777" w:rsidTr="004D67F9">
        <w:trPr>
          <w:divId w:val="1337877432"/>
          <w:trHeight w:val="315"/>
          <w:jc w:val="center"/>
        </w:trPr>
        <w:tc>
          <w:tcPr>
            <w:tcW w:w="3680" w:type="dxa"/>
            <w:tcBorders>
              <w:top w:val="single" w:sz="8" w:space="0" w:color="C7CFD8"/>
              <w:left w:val="nil"/>
              <w:bottom w:val="single" w:sz="4" w:space="0" w:color="C7CFD8"/>
              <w:right w:val="nil"/>
            </w:tcBorders>
            <w:shd w:val="clear" w:color="auto" w:fill="auto"/>
            <w:noWrap/>
            <w:vAlign w:val="center"/>
            <w:hideMark/>
          </w:tcPr>
          <w:p w14:paraId="3AB5E641" w14:textId="77777777" w:rsidR="004D67F9" w:rsidRPr="004D67F9" w:rsidRDefault="004D67F9" w:rsidP="004D67F9">
            <w:pPr>
              <w:spacing w:after="0" w:line="240" w:lineRule="auto"/>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TOTAL</w:t>
            </w:r>
          </w:p>
        </w:tc>
        <w:tc>
          <w:tcPr>
            <w:tcW w:w="1140" w:type="dxa"/>
            <w:tcBorders>
              <w:top w:val="single" w:sz="8" w:space="0" w:color="C7CFD8"/>
              <w:left w:val="nil"/>
              <w:bottom w:val="single" w:sz="4" w:space="0" w:color="C7CFD8"/>
              <w:right w:val="nil"/>
            </w:tcBorders>
            <w:shd w:val="clear" w:color="auto" w:fill="auto"/>
            <w:noWrap/>
            <w:vAlign w:val="center"/>
            <w:hideMark/>
          </w:tcPr>
          <w:p w14:paraId="6F4F138B"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426.9</w:t>
            </w:r>
          </w:p>
        </w:tc>
        <w:tc>
          <w:tcPr>
            <w:tcW w:w="1080" w:type="dxa"/>
            <w:tcBorders>
              <w:top w:val="single" w:sz="8" w:space="0" w:color="C7CFD8"/>
              <w:left w:val="nil"/>
              <w:bottom w:val="single" w:sz="4" w:space="0" w:color="C7CFD8"/>
              <w:right w:val="nil"/>
            </w:tcBorders>
            <w:shd w:val="clear" w:color="auto" w:fill="auto"/>
            <w:noWrap/>
            <w:vAlign w:val="center"/>
            <w:hideMark/>
          </w:tcPr>
          <w:p w14:paraId="47ADA3B9" w14:textId="77777777" w:rsidR="004D67F9" w:rsidRPr="004D67F9" w:rsidRDefault="004D67F9" w:rsidP="004D67F9">
            <w:pPr>
              <w:spacing w:after="0" w:line="240" w:lineRule="auto"/>
              <w:ind w:firstLineChars="100" w:firstLine="160"/>
              <w:jc w:val="right"/>
              <w:rPr>
                <w:rFonts w:ascii="Arial Narrow" w:eastAsia="Times New Roman" w:hAnsi="Arial Narrow" w:cs="Times New Roman"/>
                <w:b/>
                <w:bCs/>
                <w:sz w:val="16"/>
                <w:szCs w:val="16"/>
                <w:lang w:val="en-US"/>
              </w:rPr>
            </w:pPr>
            <w:r w:rsidRPr="004D67F9">
              <w:rPr>
                <w:rFonts w:ascii="Arial Narrow" w:eastAsia="Times New Roman" w:hAnsi="Arial Narrow" w:cs="Times New Roman"/>
                <w:b/>
                <w:bCs/>
                <w:sz w:val="16"/>
                <w:szCs w:val="16"/>
                <w:lang w:val="en-US"/>
              </w:rPr>
              <w:t>430.4</w:t>
            </w:r>
          </w:p>
        </w:tc>
      </w:tr>
    </w:tbl>
    <w:p w14:paraId="7B12E602" w14:textId="195188C4" w:rsidR="005E444F" w:rsidRDefault="005E444F" w:rsidP="00A35DAE">
      <w:pPr>
        <w:rPr>
          <w:lang w:val="en-US"/>
        </w:rPr>
        <w:sectPr w:rsidR="005E444F" w:rsidSect="00333041">
          <w:pgSz w:w="11906" w:h="16838"/>
          <w:pgMar w:top="1361" w:right="1134" w:bottom="1080" w:left="1134" w:header="567" w:footer="432" w:gutter="0"/>
          <w:cols w:space="708"/>
          <w:titlePg/>
          <w:docGrid w:linePitch="360"/>
        </w:sectPr>
      </w:pPr>
    </w:p>
    <w:p w14:paraId="2EBFCB59" w14:textId="77777777" w:rsidR="0063714D" w:rsidRPr="00D12B04" w:rsidRDefault="0063714D" w:rsidP="008407D7">
      <w:pPr>
        <w:pStyle w:val="AnnexTitle2"/>
        <w:numPr>
          <w:ilvl w:val="0"/>
          <w:numId w:val="25"/>
        </w:numPr>
        <w:spacing w:after="360"/>
        <w:rPr>
          <w:lang w:val="en-US"/>
        </w:rPr>
      </w:pPr>
      <w:bookmarkStart w:id="53" w:name="_Toc131176000"/>
      <w:r>
        <w:rPr>
          <w:lang w:val="en-US"/>
        </w:rPr>
        <w:t>WIPO’s Contribution to the Sustainable Development Goals</w:t>
      </w:r>
      <w:bookmarkEnd w:id="53"/>
    </w:p>
    <w:p w14:paraId="0EE8D8FF" w14:textId="77777777" w:rsidR="0063714D" w:rsidRDefault="0063714D" w:rsidP="0063714D">
      <w:pPr>
        <w:jc w:val="center"/>
        <w:rPr>
          <w:lang w:val="en-US"/>
        </w:rPr>
      </w:pPr>
      <w:r w:rsidRPr="004A5692">
        <w:rPr>
          <w:noProof/>
          <w:lang w:val="en-US"/>
        </w:rPr>
        <w:drawing>
          <wp:inline distT="0" distB="0" distL="0" distR="0" wp14:anchorId="4FB562C9" wp14:editId="247D5461">
            <wp:extent cx="8229600" cy="5421568"/>
            <wp:effectExtent l="0" t="0" r="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bwMode="auto">
                    <a:xfrm>
                      <a:off x="0" y="0"/>
                      <a:ext cx="8229600" cy="5421568"/>
                    </a:xfrm>
                    <a:prstGeom prst="rect">
                      <a:avLst/>
                    </a:prstGeom>
                    <a:ln>
                      <a:noFill/>
                    </a:ln>
                    <a:extLst>
                      <a:ext uri="{53640926-AAD7-44D8-BBD7-CCE9431645EC}">
                        <a14:shadowObscured xmlns:a14="http://schemas.microsoft.com/office/drawing/2010/main"/>
                      </a:ext>
                    </a:extLst>
                  </pic:spPr>
                </pic:pic>
              </a:graphicData>
            </a:graphic>
          </wp:inline>
        </w:drawing>
      </w:r>
    </w:p>
    <w:p w14:paraId="15D962F1" w14:textId="77777777" w:rsidR="0063714D" w:rsidRPr="00D350B5" w:rsidRDefault="0063714D" w:rsidP="0063714D">
      <w:pPr>
        <w:rPr>
          <w:lang w:val="en-US"/>
        </w:rPr>
        <w:sectPr w:rsidR="0063714D" w:rsidRPr="00D350B5" w:rsidSect="00382909">
          <w:headerReference w:type="first" r:id="rId123"/>
          <w:footerReference w:type="first" r:id="rId124"/>
          <w:pgSz w:w="16838" w:h="11906" w:orient="landscape" w:code="9"/>
          <w:pgMar w:top="1134" w:right="1134" w:bottom="1134" w:left="1134" w:header="454" w:footer="340" w:gutter="0"/>
          <w:cols w:space="708"/>
          <w:titlePg/>
          <w:docGrid w:linePitch="360"/>
        </w:sectPr>
      </w:pPr>
      <w:r w:rsidRPr="007F22A3">
        <w:rPr>
          <w:noProof/>
          <w:lang w:val="en-US"/>
        </w:rPr>
        <mc:AlternateContent>
          <mc:Choice Requires="wps">
            <w:drawing>
              <wp:anchor distT="0" distB="0" distL="114300" distR="114300" simplePos="0" relativeHeight="251809280" behindDoc="0" locked="0" layoutInCell="1" allowOverlap="1" wp14:anchorId="76414065" wp14:editId="40505482">
                <wp:simplePos x="0" y="0"/>
                <wp:positionH relativeFrom="column">
                  <wp:posOffset>0</wp:posOffset>
                </wp:positionH>
                <wp:positionV relativeFrom="paragraph">
                  <wp:posOffset>2720340</wp:posOffset>
                </wp:positionV>
                <wp:extent cx="8252563" cy="1161288"/>
                <wp:effectExtent l="0" t="0" r="0" b="1270"/>
                <wp:wrapNone/>
                <wp:docPr id="40" name="Rectangle 26"/>
                <wp:cNvGraphicFramePr/>
                <a:graphic xmlns:a="http://schemas.openxmlformats.org/drawingml/2006/main">
                  <a:graphicData uri="http://schemas.microsoft.com/office/word/2010/wordprocessingShape">
                    <wps:wsp>
                      <wps:cNvSpPr/>
                      <wps:spPr>
                        <a:xfrm>
                          <a:off x="0" y="0"/>
                          <a:ext cx="8252563" cy="1161288"/>
                        </a:xfrm>
                        <a:prstGeom prst="rect">
                          <a:avLst/>
                        </a:prstGeom>
                        <a:noFill/>
                        <a:ln w="9525" cap="flat" cmpd="sng" algn="ctr">
                          <a:noFill/>
                          <a:prstDash val="solid"/>
                        </a:ln>
                        <a:effectLst/>
                      </wps:spPr>
                      <wps:bodyPr rtlCol="0" anchor="ctr"/>
                    </wps:wsp>
                  </a:graphicData>
                </a:graphic>
              </wp:anchor>
            </w:drawing>
          </mc:Choice>
          <mc:Fallback>
            <w:pict>
              <v:rect w14:anchorId="58E6FA4D" id="Rectangle 26" o:spid="_x0000_s1026" style="position:absolute;margin-left:0;margin-top:214.2pt;width:649.8pt;height:91.45pt;z-index:251809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" filled="f" stroked="f"/>
            </w:pict>
          </mc:Fallback>
        </mc:AlternateContent>
      </w:r>
    </w:p>
    <w:p w14:paraId="6F112875" w14:textId="30200845" w:rsidR="0063714D" w:rsidRPr="008B4975" w:rsidRDefault="0063714D" w:rsidP="008407D7">
      <w:pPr>
        <w:pStyle w:val="AnnexTitle2"/>
        <w:numPr>
          <w:ilvl w:val="0"/>
          <w:numId w:val="25"/>
        </w:numPr>
        <w:spacing w:after="360"/>
        <w:rPr>
          <w:lang w:val="en-US"/>
        </w:rPr>
      </w:pPr>
      <w:bookmarkStart w:id="54" w:name="_Toc131176001"/>
      <w:r>
        <w:rPr>
          <w:lang w:val="en-US"/>
        </w:rPr>
        <w:t>Breakdown of Resources Associated with ER 3.1 for Promotion of Global IP Systems</w:t>
      </w:r>
      <w:bookmarkEnd w:id="54"/>
    </w:p>
    <w:p w14:paraId="6F5490BF" w14:textId="74F94178" w:rsidR="00B52DEF" w:rsidRPr="00B52DEF" w:rsidRDefault="008B4975" w:rsidP="00B52DEF">
      <w:pPr>
        <w:jc w:val="center"/>
        <w:rPr>
          <w:i/>
          <w:lang w:val="en-US"/>
        </w:rPr>
      </w:pPr>
      <w:r w:rsidRPr="008B4975">
        <w:rPr>
          <w:i/>
          <w:lang w:val="en-US"/>
        </w:rPr>
        <w:t>(</w:t>
      </w:r>
      <w:r>
        <w:rPr>
          <w:i/>
          <w:lang w:val="en-US"/>
        </w:rPr>
        <w:t>in thousands of Swis</w:t>
      </w:r>
      <w:r w:rsidRPr="008B4975">
        <w:rPr>
          <w:i/>
          <w:lang w:val="en-US"/>
        </w:rPr>
        <w:t>s francs)</w:t>
      </w:r>
    </w:p>
    <w:tbl>
      <w:tblPr>
        <w:tblW w:w="6320" w:type="dxa"/>
        <w:jc w:val="center"/>
        <w:tblLook w:val="04A0" w:firstRow="1" w:lastRow="0" w:firstColumn="1" w:lastColumn="0" w:noHBand="0" w:noVBand="1"/>
      </w:tblPr>
      <w:tblGrid>
        <w:gridCol w:w="253"/>
        <w:gridCol w:w="3400"/>
        <w:gridCol w:w="253"/>
        <w:gridCol w:w="1320"/>
        <w:gridCol w:w="1320"/>
      </w:tblGrid>
      <w:tr w:rsidR="00B52DEF" w:rsidRPr="00B52DEF" w14:paraId="79E9F565" w14:textId="77777777" w:rsidTr="00B52DEF">
        <w:trPr>
          <w:divId w:val="1849252180"/>
          <w:trHeight w:val="645"/>
          <w:jc w:val="center"/>
        </w:trPr>
        <w:tc>
          <w:tcPr>
            <w:tcW w:w="120" w:type="dxa"/>
            <w:tcBorders>
              <w:top w:val="nil"/>
              <w:left w:val="nil"/>
              <w:bottom w:val="nil"/>
              <w:right w:val="nil"/>
            </w:tcBorders>
            <w:shd w:val="clear" w:color="000000" w:fill="C7CFD8"/>
            <w:noWrap/>
            <w:vAlign w:val="center"/>
            <w:hideMark/>
          </w:tcPr>
          <w:p w14:paraId="1232F3A1" w14:textId="326532A4"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3400" w:type="dxa"/>
            <w:tcBorders>
              <w:top w:val="nil"/>
              <w:left w:val="nil"/>
              <w:bottom w:val="nil"/>
              <w:right w:val="nil"/>
            </w:tcBorders>
            <w:shd w:val="clear" w:color="000000" w:fill="C7CFD8"/>
            <w:vAlign w:val="center"/>
            <w:hideMark/>
          </w:tcPr>
          <w:p w14:paraId="47B92EAC"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ER 3.1 "Wider and more effective use of WIPO’s global IP systems, services, knowledge and data"</w:t>
            </w:r>
          </w:p>
        </w:tc>
        <w:tc>
          <w:tcPr>
            <w:tcW w:w="160" w:type="dxa"/>
            <w:tcBorders>
              <w:top w:val="nil"/>
              <w:left w:val="nil"/>
              <w:bottom w:val="nil"/>
              <w:right w:val="nil"/>
            </w:tcBorders>
            <w:shd w:val="clear" w:color="000000" w:fill="C7CFD8"/>
            <w:vAlign w:val="center"/>
            <w:hideMark/>
          </w:tcPr>
          <w:p w14:paraId="26404564"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1320" w:type="dxa"/>
            <w:tcBorders>
              <w:top w:val="nil"/>
              <w:left w:val="nil"/>
              <w:bottom w:val="nil"/>
              <w:right w:val="nil"/>
            </w:tcBorders>
            <w:shd w:val="clear" w:color="000000" w:fill="C7CFD8"/>
            <w:vAlign w:val="center"/>
            <w:hideMark/>
          </w:tcPr>
          <w:p w14:paraId="0AB2DD0E"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 2024/25</w:t>
            </w:r>
            <w:r w:rsidRPr="00B52DEF">
              <w:rPr>
                <w:rFonts w:ascii="Arial Narrow" w:eastAsia="Times New Roman" w:hAnsi="Arial Narrow" w:cs="Times New Roman"/>
                <w:b/>
                <w:bCs/>
                <w:sz w:val="16"/>
                <w:szCs w:val="16"/>
                <w:lang w:val="en-US"/>
              </w:rPr>
              <w:br/>
              <w:t>Proposed</w:t>
            </w:r>
            <w:r w:rsidRPr="00B52DEF">
              <w:rPr>
                <w:rFonts w:ascii="Arial Narrow" w:eastAsia="Times New Roman" w:hAnsi="Arial Narrow" w:cs="Times New Roman"/>
                <w:b/>
                <w:bCs/>
                <w:sz w:val="16"/>
                <w:szCs w:val="16"/>
                <w:lang w:val="en-US"/>
              </w:rPr>
              <w:br/>
              <w:t xml:space="preserve"> Budget </w:t>
            </w:r>
          </w:p>
        </w:tc>
        <w:tc>
          <w:tcPr>
            <w:tcW w:w="1320" w:type="dxa"/>
            <w:tcBorders>
              <w:top w:val="nil"/>
              <w:left w:val="nil"/>
              <w:bottom w:val="nil"/>
              <w:right w:val="nil"/>
            </w:tcBorders>
            <w:shd w:val="clear" w:color="000000" w:fill="C7CFD8"/>
            <w:vAlign w:val="center"/>
            <w:hideMark/>
          </w:tcPr>
          <w:p w14:paraId="0AD71FC1"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 2022/23 </w:t>
            </w:r>
            <w:r w:rsidRPr="00B52DEF">
              <w:rPr>
                <w:rFonts w:ascii="Arial Narrow" w:eastAsia="Times New Roman" w:hAnsi="Arial Narrow" w:cs="Times New Roman"/>
                <w:b/>
                <w:bCs/>
                <w:sz w:val="16"/>
                <w:szCs w:val="16"/>
                <w:lang w:val="en-US"/>
              </w:rPr>
              <w:br/>
              <w:t xml:space="preserve">PoW&amp;B </w:t>
            </w:r>
          </w:p>
        </w:tc>
      </w:tr>
      <w:tr w:rsidR="00B52DEF" w:rsidRPr="00B52DEF" w14:paraId="5C312E35" w14:textId="77777777" w:rsidTr="00B52DEF">
        <w:trPr>
          <w:divId w:val="1849252180"/>
          <w:trHeight w:val="135"/>
          <w:jc w:val="center"/>
        </w:trPr>
        <w:tc>
          <w:tcPr>
            <w:tcW w:w="120" w:type="dxa"/>
            <w:tcBorders>
              <w:top w:val="nil"/>
              <w:left w:val="nil"/>
              <w:bottom w:val="nil"/>
              <w:right w:val="nil"/>
            </w:tcBorders>
            <w:shd w:val="clear" w:color="auto" w:fill="auto"/>
            <w:noWrap/>
            <w:vAlign w:val="center"/>
            <w:hideMark/>
          </w:tcPr>
          <w:p w14:paraId="1F780C12"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p>
        </w:tc>
        <w:tc>
          <w:tcPr>
            <w:tcW w:w="3400" w:type="dxa"/>
            <w:tcBorders>
              <w:top w:val="nil"/>
              <w:left w:val="nil"/>
              <w:bottom w:val="nil"/>
              <w:right w:val="nil"/>
            </w:tcBorders>
            <w:shd w:val="clear" w:color="auto" w:fill="auto"/>
            <w:noWrap/>
            <w:vAlign w:val="center"/>
            <w:hideMark/>
          </w:tcPr>
          <w:p w14:paraId="5B73C310"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60" w:type="dxa"/>
            <w:tcBorders>
              <w:top w:val="nil"/>
              <w:left w:val="nil"/>
              <w:bottom w:val="nil"/>
              <w:right w:val="nil"/>
            </w:tcBorders>
            <w:shd w:val="clear" w:color="auto" w:fill="auto"/>
            <w:noWrap/>
            <w:vAlign w:val="center"/>
            <w:hideMark/>
          </w:tcPr>
          <w:p w14:paraId="030F2352"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vAlign w:val="center"/>
            <w:hideMark/>
          </w:tcPr>
          <w:p w14:paraId="76CAA07B"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vAlign w:val="center"/>
            <w:hideMark/>
          </w:tcPr>
          <w:p w14:paraId="567B8885" w14:textId="77777777" w:rsidR="00B52DEF" w:rsidRPr="00B52DEF" w:rsidRDefault="00B52DEF" w:rsidP="00B52DEF">
            <w:pPr>
              <w:spacing w:after="0" w:line="240" w:lineRule="auto"/>
              <w:jc w:val="center"/>
              <w:rPr>
                <w:rFonts w:ascii="Times New Roman" w:eastAsia="Times New Roman" w:hAnsi="Times New Roman" w:cs="Times New Roman"/>
                <w:sz w:val="20"/>
                <w:szCs w:val="20"/>
                <w:lang w:val="en-US"/>
              </w:rPr>
            </w:pPr>
          </w:p>
        </w:tc>
      </w:tr>
      <w:tr w:rsidR="00B52DEF" w:rsidRPr="00B52DEF" w14:paraId="086DB824"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65C68390" w14:textId="77777777" w:rsidR="00B52DEF" w:rsidRPr="00B52DEF" w:rsidRDefault="00B52DEF" w:rsidP="00B52DEF">
            <w:pPr>
              <w:spacing w:after="0" w:line="240" w:lineRule="auto"/>
              <w:jc w:val="center"/>
              <w:rPr>
                <w:rFonts w:ascii="Times New Roman" w:eastAsia="Times New Roman" w:hAnsi="Times New Roman" w:cs="Times New Roman"/>
                <w:sz w:val="20"/>
                <w:szCs w:val="20"/>
                <w:lang w:val="en-US"/>
              </w:rPr>
            </w:pPr>
          </w:p>
        </w:tc>
        <w:tc>
          <w:tcPr>
            <w:tcW w:w="3400" w:type="dxa"/>
            <w:tcBorders>
              <w:top w:val="nil"/>
              <w:left w:val="nil"/>
              <w:bottom w:val="nil"/>
              <w:right w:val="nil"/>
            </w:tcBorders>
            <w:shd w:val="clear" w:color="auto" w:fill="auto"/>
            <w:hideMark/>
          </w:tcPr>
          <w:p w14:paraId="0BB22320"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Patents and Technology</w:t>
            </w:r>
          </w:p>
        </w:tc>
        <w:tc>
          <w:tcPr>
            <w:tcW w:w="160" w:type="dxa"/>
            <w:tcBorders>
              <w:top w:val="nil"/>
              <w:left w:val="nil"/>
              <w:bottom w:val="nil"/>
              <w:right w:val="nil"/>
            </w:tcBorders>
            <w:shd w:val="clear" w:color="auto" w:fill="auto"/>
            <w:hideMark/>
          </w:tcPr>
          <w:p w14:paraId="4BFA471C"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5B86D7C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3,034</w:t>
            </w:r>
          </w:p>
        </w:tc>
        <w:tc>
          <w:tcPr>
            <w:tcW w:w="1320" w:type="dxa"/>
            <w:tcBorders>
              <w:top w:val="nil"/>
              <w:left w:val="nil"/>
              <w:bottom w:val="nil"/>
              <w:right w:val="nil"/>
            </w:tcBorders>
            <w:shd w:val="clear" w:color="auto" w:fill="auto"/>
            <w:noWrap/>
            <w:hideMark/>
          </w:tcPr>
          <w:p w14:paraId="5F101E78"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3,067</w:t>
            </w:r>
          </w:p>
        </w:tc>
      </w:tr>
      <w:tr w:rsidR="00B52DEF" w:rsidRPr="00B52DEF" w14:paraId="573ACF7E"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743DE8AF"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061476D7"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Brands and Designs</w:t>
            </w:r>
          </w:p>
        </w:tc>
        <w:tc>
          <w:tcPr>
            <w:tcW w:w="160" w:type="dxa"/>
            <w:tcBorders>
              <w:top w:val="nil"/>
              <w:left w:val="nil"/>
              <w:bottom w:val="nil"/>
              <w:right w:val="nil"/>
            </w:tcBorders>
            <w:shd w:val="clear" w:color="auto" w:fill="auto"/>
            <w:hideMark/>
          </w:tcPr>
          <w:p w14:paraId="5A1FD3EC"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1211D8F5"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noWrap/>
            <w:hideMark/>
          </w:tcPr>
          <w:p w14:paraId="51BCE8C6"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r>
      <w:tr w:rsidR="00B52DEF" w:rsidRPr="00B52DEF" w14:paraId="69F77409"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0636ED45"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3400" w:type="dxa"/>
            <w:tcBorders>
              <w:top w:val="nil"/>
              <w:left w:val="nil"/>
              <w:bottom w:val="nil"/>
              <w:right w:val="nil"/>
            </w:tcBorders>
            <w:shd w:val="clear" w:color="auto" w:fill="auto"/>
            <w:hideMark/>
          </w:tcPr>
          <w:p w14:paraId="0439110A"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Madrid</w:t>
            </w:r>
          </w:p>
        </w:tc>
        <w:tc>
          <w:tcPr>
            <w:tcW w:w="160" w:type="dxa"/>
            <w:tcBorders>
              <w:top w:val="nil"/>
              <w:left w:val="nil"/>
              <w:bottom w:val="nil"/>
              <w:right w:val="nil"/>
            </w:tcBorders>
            <w:shd w:val="clear" w:color="auto" w:fill="auto"/>
            <w:hideMark/>
          </w:tcPr>
          <w:p w14:paraId="1C4F5D1D"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2BB3E90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10,517</w:t>
            </w:r>
          </w:p>
        </w:tc>
        <w:tc>
          <w:tcPr>
            <w:tcW w:w="1320" w:type="dxa"/>
            <w:tcBorders>
              <w:top w:val="nil"/>
              <w:left w:val="nil"/>
              <w:bottom w:val="nil"/>
              <w:right w:val="nil"/>
            </w:tcBorders>
            <w:shd w:val="clear" w:color="auto" w:fill="auto"/>
            <w:noWrap/>
            <w:hideMark/>
          </w:tcPr>
          <w:p w14:paraId="2FFF233C"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10,161</w:t>
            </w:r>
          </w:p>
        </w:tc>
      </w:tr>
      <w:tr w:rsidR="00B52DEF" w:rsidRPr="00B52DEF" w14:paraId="6816392A"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552B62CC"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7C7A0AAA"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Hague</w:t>
            </w:r>
          </w:p>
        </w:tc>
        <w:tc>
          <w:tcPr>
            <w:tcW w:w="160" w:type="dxa"/>
            <w:tcBorders>
              <w:top w:val="nil"/>
              <w:left w:val="nil"/>
              <w:bottom w:val="nil"/>
              <w:right w:val="nil"/>
            </w:tcBorders>
            <w:shd w:val="clear" w:color="auto" w:fill="auto"/>
            <w:hideMark/>
          </w:tcPr>
          <w:p w14:paraId="70F824CD"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7AA8AED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2,649</w:t>
            </w:r>
          </w:p>
        </w:tc>
        <w:tc>
          <w:tcPr>
            <w:tcW w:w="1320" w:type="dxa"/>
            <w:tcBorders>
              <w:top w:val="nil"/>
              <w:left w:val="nil"/>
              <w:bottom w:val="nil"/>
              <w:right w:val="nil"/>
            </w:tcBorders>
            <w:shd w:val="clear" w:color="auto" w:fill="auto"/>
            <w:noWrap/>
            <w:hideMark/>
          </w:tcPr>
          <w:p w14:paraId="3448CE1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2,438</w:t>
            </w:r>
          </w:p>
        </w:tc>
      </w:tr>
      <w:tr w:rsidR="00B52DEF" w:rsidRPr="00B52DEF" w14:paraId="5C4E72B2"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379BFC0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7620E82B"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Lisbon</w:t>
            </w:r>
          </w:p>
        </w:tc>
        <w:tc>
          <w:tcPr>
            <w:tcW w:w="160" w:type="dxa"/>
            <w:tcBorders>
              <w:top w:val="nil"/>
              <w:left w:val="nil"/>
              <w:bottom w:val="nil"/>
              <w:right w:val="nil"/>
            </w:tcBorders>
            <w:shd w:val="clear" w:color="auto" w:fill="auto"/>
            <w:hideMark/>
          </w:tcPr>
          <w:p w14:paraId="67779FF9"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7340F217"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1,184</w:t>
            </w:r>
          </w:p>
        </w:tc>
        <w:tc>
          <w:tcPr>
            <w:tcW w:w="1320" w:type="dxa"/>
            <w:tcBorders>
              <w:top w:val="nil"/>
              <w:left w:val="nil"/>
              <w:bottom w:val="nil"/>
              <w:right w:val="nil"/>
            </w:tcBorders>
            <w:shd w:val="clear" w:color="auto" w:fill="auto"/>
            <w:noWrap/>
            <w:hideMark/>
          </w:tcPr>
          <w:p w14:paraId="1D94460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724</w:t>
            </w:r>
          </w:p>
        </w:tc>
      </w:tr>
      <w:tr w:rsidR="00B52DEF" w:rsidRPr="00B52DEF" w14:paraId="72E9F476"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48930ACD"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4C124924"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Regional and National Development</w:t>
            </w:r>
          </w:p>
        </w:tc>
        <w:tc>
          <w:tcPr>
            <w:tcW w:w="160" w:type="dxa"/>
            <w:tcBorders>
              <w:top w:val="nil"/>
              <w:left w:val="nil"/>
              <w:bottom w:val="nil"/>
              <w:right w:val="nil"/>
            </w:tcBorders>
            <w:shd w:val="clear" w:color="auto" w:fill="auto"/>
            <w:hideMark/>
          </w:tcPr>
          <w:p w14:paraId="748CCEC7" w14:textId="77777777" w:rsidR="00B52DEF" w:rsidRPr="00B52DEF" w:rsidRDefault="00B52DEF" w:rsidP="00B52DEF">
            <w:pPr>
              <w:spacing w:after="0" w:line="240" w:lineRule="auto"/>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58E5AD4A"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noWrap/>
            <w:hideMark/>
          </w:tcPr>
          <w:p w14:paraId="7E35D99A"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r>
      <w:tr w:rsidR="00B52DEF" w:rsidRPr="00B52DEF" w14:paraId="680F353E"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1454351A"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3400" w:type="dxa"/>
            <w:tcBorders>
              <w:top w:val="nil"/>
              <w:left w:val="nil"/>
              <w:bottom w:val="nil"/>
              <w:right w:val="nil"/>
            </w:tcBorders>
            <w:shd w:val="clear" w:color="auto" w:fill="auto"/>
            <w:hideMark/>
          </w:tcPr>
          <w:p w14:paraId="7D85DF03"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PCT</w:t>
            </w:r>
          </w:p>
        </w:tc>
        <w:tc>
          <w:tcPr>
            <w:tcW w:w="160" w:type="dxa"/>
            <w:tcBorders>
              <w:top w:val="nil"/>
              <w:left w:val="nil"/>
              <w:bottom w:val="nil"/>
              <w:right w:val="nil"/>
            </w:tcBorders>
            <w:shd w:val="clear" w:color="auto" w:fill="auto"/>
            <w:hideMark/>
          </w:tcPr>
          <w:p w14:paraId="13C97B9D"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339803E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1,067</w:t>
            </w:r>
          </w:p>
        </w:tc>
        <w:tc>
          <w:tcPr>
            <w:tcW w:w="1320" w:type="dxa"/>
            <w:tcBorders>
              <w:top w:val="nil"/>
              <w:left w:val="nil"/>
              <w:bottom w:val="nil"/>
              <w:right w:val="nil"/>
            </w:tcBorders>
            <w:shd w:val="clear" w:color="auto" w:fill="auto"/>
            <w:noWrap/>
            <w:hideMark/>
          </w:tcPr>
          <w:p w14:paraId="69D9EABD"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2,020</w:t>
            </w:r>
          </w:p>
        </w:tc>
      </w:tr>
      <w:tr w:rsidR="00B52DEF" w:rsidRPr="00B52DEF" w14:paraId="18E220A6"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2A7A6A8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3555C989"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Madrid</w:t>
            </w:r>
          </w:p>
        </w:tc>
        <w:tc>
          <w:tcPr>
            <w:tcW w:w="160" w:type="dxa"/>
            <w:tcBorders>
              <w:top w:val="nil"/>
              <w:left w:val="nil"/>
              <w:bottom w:val="nil"/>
              <w:right w:val="nil"/>
            </w:tcBorders>
            <w:shd w:val="clear" w:color="auto" w:fill="auto"/>
            <w:hideMark/>
          </w:tcPr>
          <w:p w14:paraId="3721565A"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14FA7C6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1,021</w:t>
            </w:r>
          </w:p>
        </w:tc>
        <w:tc>
          <w:tcPr>
            <w:tcW w:w="1320" w:type="dxa"/>
            <w:tcBorders>
              <w:top w:val="nil"/>
              <w:left w:val="nil"/>
              <w:bottom w:val="nil"/>
              <w:right w:val="nil"/>
            </w:tcBorders>
            <w:shd w:val="clear" w:color="auto" w:fill="auto"/>
            <w:noWrap/>
            <w:hideMark/>
          </w:tcPr>
          <w:p w14:paraId="6883871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1,975</w:t>
            </w:r>
          </w:p>
        </w:tc>
      </w:tr>
      <w:tr w:rsidR="00B52DEF" w:rsidRPr="00B52DEF" w14:paraId="22C09B8E"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360B48FC"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69FBCCBA"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Hague</w:t>
            </w:r>
          </w:p>
        </w:tc>
        <w:tc>
          <w:tcPr>
            <w:tcW w:w="160" w:type="dxa"/>
            <w:tcBorders>
              <w:top w:val="nil"/>
              <w:left w:val="nil"/>
              <w:bottom w:val="nil"/>
              <w:right w:val="nil"/>
            </w:tcBorders>
            <w:shd w:val="clear" w:color="auto" w:fill="auto"/>
            <w:hideMark/>
          </w:tcPr>
          <w:p w14:paraId="7BE9EBF6"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580E27E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895</w:t>
            </w:r>
          </w:p>
        </w:tc>
        <w:tc>
          <w:tcPr>
            <w:tcW w:w="1320" w:type="dxa"/>
            <w:tcBorders>
              <w:top w:val="nil"/>
              <w:left w:val="nil"/>
              <w:bottom w:val="nil"/>
              <w:right w:val="nil"/>
            </w:tcBorders>
            <w:shd w:val="clear" w:color="auto" w:fill="auto"/>
            <w:noWrap/>
            <w:hideMark/>
          </w:tcPr>
          <w:p w14:paraId="321D227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1,676</w:t>
            </w:r>
          </w:p>
        </w:tc>
      </w:tr>
      <w:tr w:rsidR="00B52DEF" w:rsidRPr="00B52DEF" w14:paraId="15C3F8F8" w14:textId="77777777" w:rsidTr="00B52DEF">
        <w:trPr>
          <w:divId w:val="1849252180"/>
          <w:trHeight w:val="255"/>
          <w:jc w:val="center"/>
        </w:trPr>
        <w:tc>
          <w:tcPr>
            <w:tcW w:w="120" w:type="dxa"/>
            <w:tcBorders>
              <w:top w:val="nil"/>
              <w:left w:val="nil"/>
              <w:bottom w:val="nil"/>
              <w:right w:val="nil"/>
            </w:tcBorders>
            <w:shd w:val="clear" w:color="auto" w:fill="auto"/>
            <w:noWrap/>
            <w:hideMark/>
          </w:tcPr>
          <w:p w14:paraId="521C6C6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27769E41"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r w:rsidRPr="00B52DEF">
              <w:rPr>
                <w:rFonts w:ascii="Arial Narrow" w:eastAsia="Times New Roman" w:hAnsi="Arial Narrow" w:cs="Times New Roman"/>
                <w:color w:val="000000"/>
                <w:sz w:val="16"/>
                <w:szCs w:val="16"/>
                <w:lang w:val="en-US"/>
              </w:rPr>
              <w:t>Lisbon</w:t>
            </w:r>
          </w:p>
        </w:tc>
        <w:tc>
          <w:tcPr>
            <w:tcW w:w="160" w:type="dxa"/>
            <w:tcBorders>
              <w:top w:val="nil"/>
              <w:left w:val="nil"/>
              <w:bottom w:val="nil"/>
              <w:right w:val="nil"/>
            </w:tcBorders>
            <w:shd w:val="clear" w:color="auto" w:fill="auto"/>
            <w:hideMark/>
          </w:tcPr>
          <w:p w14:paraId="0CA1F55D" w14:textId="77777777" w:rsidR="00B52DEF" w:rsidRPr="00B52DEF" w:rsidRDefault="00B52DEF" w:rsidP="00B52DEF">
            <w:pPr>
              <w:spacing w:after="0" w:line="240" w:lineRule="auto"/>
              <w:ind w:firstLineChars="300" w:firstLine="480"/>
              <w:rPr>
                <w:rFonts w:ascii="Arial Narrow" w:eastAsia="Times New Roman" w:hAnsi="Arial Narrow" w:cs="Times New Roman"/>
                <w:color w:val="000000"/>
                <w:sz w:val="16"/>
                <w:szCs w:val="16"/>
                <w:lang w:val="en-US"/>
              </w:rPr>
            </w:pPr>
          </w:p>
        </w:tc>
        <w:tc>
          <w:tcPr>
            <w:tcW w:w="1320" w:type="dxa"/>
            <w:tcBorders>
              <w:top w:val="nil"/>
              <w:left w:val="nil"/>
              <w:bottom w:val="nil"/>
              <w:right w:val="nil"/>
            </w:tcBorders>
            <w:shd w:val="clear" w:color="auto" w:fill="auto"/>
            <w:noWrap/>
            <w:hideMark/>
          </w:tcPr>
          <w:p w14:paraId="3C4EAAC8"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57</w:t>
            </w:r>
          </w:p>
        </w:tc>
        <w:tc>
          <w:tcPr>
            <w:tcW w:w="1320" w:type="dxa"/>
            <w:tcBorders>
              <w:top w:val="nil"/>
              <w:left w:val="nil"/>
              <w:bottom w:val="nil"/>
              <w:right w:val="nil"/>
            </w:tcBorders>
            <w:shd w:val="clear" w:color="auto" w:fill="auto"/>
            <w:noWrap/>
            <w:hideMark/>
          </w:tcPr>
          <w:p w14:paraId="30FA84C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126</w:t>
            </w:r>
          </w:p>
        </w:tc>
      </w:tr>
      <w:tr w:rsidR="00B52DEF" w:rsidRPr="00B52DEF" w14:paraId="35F5B2F9" w14:textId="77777777" w:rsidTr="00B52DEF">
        <w:trPr>
          <w:divId w:val="1849252180"/>
          <w:trHeight w:val="150"/>
          <w:jc w:val="center"/>
        </w:trPr>
        <w:tc>
          <w:tcPr>
            <w:tcW w:w="120" w:type="dxa"/>
            <w:tcBorders>
              <w:top w:val="nil"/>
              <w:left w:val="nil"/>
              <w:bottom w:val="nil"/>
              <w:right w:val="nil"/>
            </w:tcBorders>
            <w:shd w:val="clear" w:color="auto" w:fill="auto"/>
            <w:noWrap/>
            <w:hideMark/>
          </w:tcPr>
          <w:p w14:paraId="1A330A8D"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p>
        </w:tc>
        <w:tc>
          <w:tcPr>
            <w:tcW w:w="3400" w:type="dxa"/>
            <w:tcBorders>
              <w:top w:val="nil"/>
              <w:left w:val="nil"/>
              <w:bottom w:val="nil"/>
              <w:right w:val="nil"/>
            </w:tcBorders>
            <w:shd w:val="clear" w:color="auto" w:fill="auto"/>
            <w:hideMark/>
          </w:tcPr>
          <w:p w14:paraId="33288F80"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60" w:type="dxa"/>
            <w:tcBorders>
              <w:top w:val="nil"/>
              <w:left w:val="nil"/>
              <w:bottom w:val="nil"/>
              <w:right w:val="nil"/>
            </w:tcBorders>
            <w:shd w:val="clear" w:color="auto" w:fill="auto"/>
            <w:hideMark/>
          </w:tcPr>
          <w:p w14:paraId="3615F7E5"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noWrap/>
            <w:hideMark/>
          </w:tcPr>
          <w:p w14:paraId="03D3D03B"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c>
          <w:tcPr>
            <w:tcW w:w="1320" w:type="dxa"/>
            <w:tcBorders>
              <w:top w:val="nil"/>
              <w:left w:val="nil"/>
              <w:bottom w:val="nil"/>
              <w:right w:val="nil"/>
            </w:tcBorders>
            <w:shd w:val="clear" w:color="auto" w:fill="auto"/>
            <w:noWrap/>
            <w:hideMark/>
          </w:tcPr>
          <w:p w14:paraId="6FE81836" w14:textId="77777777" w:rsidR="00B52DEF" w:rsidRPr="00B52DEF" w:rsidRDefault="00B52DEF" w:rsidP="00B52DEF">
            <w:pPr>
              <w:spacing w:after="0" w:line="240" w:lineRule="auto"/>
              <w:rPr>
                <w:rFonts w:ascii="Times New Roman" w:eastAsia="Times New Roman" w:hAnsi="Times New Roman" w:cs="Times New Roman"/>
                <w:sz w:val="20"/>
                <w:szCs w:val="20"/>
                <w:lang w:val="en-US"/>
              </w:rPr>
            </w:pPr>
          </w:p>
        </w:tc>
      </w:tr>
      <w:tr w:rsidR="00B52DEF" w:rsidRPr="00B52DEF" w14:paraId="5EA9C7DC" w14:textId="77777777" w:rsidTr="00B52DEF">
        <w:trPr>
          <w:divId w:val="1849252180"/>
          <w:trHeight w:val="330"/>
          <w:jc w:val="center"/>
        </w:trPr>
        <w:tc>
          <w:tcPr>
            <w:tcW w:w="120" w:type="dxa"/>
            <w:tcBorders>
              <w:top w:val="single" w:sz="4" w:space="0" w:color="BFBFBF"/>
              <w:left w:val="nil"/>
              <w:bottom w:val="single" w:sz="8" w:space="0" w:color="BFBFBF"/>
              <w:right w:val="nil"/>
            </w:tcBorders>
            <w:shd w:val="clear" w:color="auto" w:fill="auto"/>
            <w:noWrap/>
            <w:vAlign w:val="center"/>
            <w:hideMark/>
          </w:tcPr>
          <w:p w14:paraId="2DDFCEE7"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3400" w:type="dxa"/>
            <w:tcBorders>
              <w:top w:val="single" w:sz="4" w:space="0" w:color="BFBFBF"/>
              <w:left w:val="nil"/>
              <w:bottom w:val="single" w:sz="8" w:space="0" w:color="BFBFBF"/>
              <w:right w:val="single" w:sz="4" w:space="0" w:color="FFFFFF"/>
            </w:tcBorders>
            <w:shd w:val="clear" w:color="auto" w:fill="auto"/>
            <w:vAlign w:val="center"/>
            <w:hideMark/>
          </w:tcPr>
          <w:p w14:paraId="7E114297" w14:textId="77777777" w:rsidR="00B52DEF" w:rsidRPr="00B52DEF" w:rsidRDefault="00B52DEF" w:rsidP="00B52DEF">
            <w:pPr>
              <w:spacing w:after="0" w:line="240" w:lineRule="auto"/>
              <w:rPr>
                <w:rFonts w:ascii="Arial Narrow" w:eastAsia="Times New Roman" w:hAnsi="Arial Narrow" w:cs="Times New Roman"/>
                <w:b/>
                <w:bCs/>
                <w:color w:val="000000"/>
                <w:sz w:val="16"/>
                <w:szCs w:val="16"/>
                <w:lang w:val="en-US"/>
              </w:rPr>
            </w:pPr>
            <w:r w:rsidRPr="00B52DEF">
              <w:rPr>
                <w:rFonts w:ascii="Arial Narrow" w:eastAsia="Times New Roman" w:hAnsi="Arial Narrow" w:cs="Times New Roman"/>
                <w:b/>
                <w:bCs/>
                <w:color w:val="000000"/>
                <w:sz w:val="16"/>
                <w:szCs w:val="16"/>
                <w:lang w:val="en-US"/>
              </w:rPr>
              <w:t>TOTAL</w:t>
            </w:r>
          </w:p>
        </w:tc>
        <w:tc>
          <w:tcPr>
            <w:tcW w:w="160" w:type="dxa"/>
            <w:tcBorders>
              <w:top w:val="single" w:sz="4" w:space="0" w:color="BFBFBF"/>
              <w:left w:val="nil"/>
              <w:bottom w:val="single" w:sz="8" w:space="0" w:color="BFBFBF"/>
              <w:right w:val="single" w:sz="4" w:space="0" w:color="FFFFFF"/>
            </w:tcBorders>
            <w:shd w:val="clear" w:color="auto" w:fill="auto"/>
            <w:vAlign w:val="center"/>
            <w:hideMark/>
          </w:tcPr>
          <w:p w14:paraId="7734906A" w14:textId="77777777" w:rsidR="00B52DEF" w:rsidRPr="00B52DEF" w:rsidRDefault="00B52DEF" w:rsidP="00B52DEF">
            <w:pPr>
              <w:spacing w:after="0" w:line="240" w:lineRule="auto"/>
              <w:rPr>
                <w:rFonts w:ascii="Arial Narrow" w:eastAsia="Times New Roman" w:hAnsi="Arial Narrow" w:cs="Times New Roman"/>
                <w:b/>
                <w:bCs/>
                <w:color w:val="000000"/>
                <w:sz w:val="16"/>
                <w:szCs w:val="16"/>
                <w:lang w:val="en-US"/>
              </w:rPr>
            </w:pPr>
            <w:r w:rsidRPr="00B52DEF">
              <w:rPr>
                <w:rFonts w:ascii="Arial Narrow" w:eastAsia="Times New Roman" w:hAnsi="Arial Narrow" w:cs="Times New Roman"/>
                <w:b/>
                <w:bCs/>
                <w:color w:val="000000"/>
                <w:sz w:val="16"/>
                <w:szCs w:val="16"/>
                <w:lang w:val="en-US"/>
              </w:rPr>
              <w:t> </w:t>
            </w:r>
          </w:p>
        </w:tc>
        <w:tc>
          <w:tcPr>
            <w:tcW w:w="1320" w:type="dxa"/>
            <w:tcBorders>
              <w:top w:val="single" w:sz="4" w:space="0" w:color="BFBFBF"/>
              <w:left w:val="nil"/>
              <w:bottom w:val="single" w:sz="8" w:space="0" w:color="BFBFBF"/>
              <w:right w:val="single" w:sz="4" w:space="0" w:color="FFFFFF"/>
            </w:tcBorders>
            <w:shd w:val="clear" w:color="auto" w:fill="auto"/>
            <w:vAlign w:val="center"/>
            <w:hideMark/>
          </w:tcPr>
          <w:p w14:paraId="36953290"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20,423</w:t>
            </w:r>
          </w:p>
        </w:tc>
        <w:tc>
          <w:tcPr>
            <w:tcW w:w="1320" w:type="dxa"/>
            <w:tcBorders>
              <w:top w:val="single" w:sz="4" w:space="0" w:color="BFBFBF"/>
              <w:left w:val="nil"/>
              <w:bottom w:val="single" w:sz="8" w:space="0" w:color="BFBFBF"/>
              <w:right w:val="single" w:sz="4" w:space="0" w:color="FFFFFF"/>
            </w:tcBorders>
            <w:shd w:val="clear" w:color="auto" w:fill="auto"/>
            <w:vAlign w:val="center"/>
            <w:hideMark/>
          </w:tcPr>
          <w:p w14:paraId="14C18220"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22,188</w:t>
            </w:r>
          </w:p>
        </w:tc>
      </w:tr>
    </w:tbl>
    <w:p w14:paraId="3D820E2E" w14:textId="53E43605" w:rsidR="008B4975" w:rsidRPr="008B4975" w:rsidRDefault="008B4975" w:rsidP="008B4975">
      <w:pPr>
        <w:rPr>
          <w:i/>
          <w:lang w:val="en-US"/>
        </w:rPr>
        <w:sectPr w:rsidR="008B4975" w:rsidRPr="008B4975" w:rsidSect="001A1A90">
          <w:headerReference w:type="first" r:id="rId125"/>
          <w:footerReference w:type="first" r:id="rId126"/>
          <w:pgSz w:w="11906" w:h="16838" w:code="9"/>
          <w:pgMar w:top="1134" w:right="1134" w:bottom="1134" w:left="1134" w:header="454" w:footer="340" w:gutter="0"/>
          <w:cols w:space="708"/>
          <w:titlePg/>
          <w:docGrid w:linePitch="360"/>
        </w:sectPr>
      </w:pPr>
    </w:p>
    <w:p w14:paraId="21A29AA6" w14:textId="3D1C4B6D" w:rsidR="00C532EB" w:rsidRDefault="00CB1AF7" w:rsidP="008407D7">
      <w:pPr>
        <w:pStyle w:val="AnnexTitle2"/>
        <w:numPr>
          <w:ilvl w:val="0"/>
          <w:numId w:val="25"/>
        </w:numPr>
        <w:spacing w:after="360"/>
        <w:rPr>
          <w:lang w:val="en-US"/>
        </w:rPr>
      </w:pPr>
      <w:bookmarkStart w:id="55" w:name="_Toc131176002"/>
      <w:r>
        <w:rPr>
          <w:lang w:val="en-US"/>
        </w:rPr>
        <w:t>2024/25</w:t>
      </w:r>
      <w:r w:rsidR="00C532EB">
        <w:rPr>
          <w:lang w:val="en-US"/>
        </w:rPr>
        <w:t xml:space="preserve"> Development </w:t>
      </w:r>
      <w:r w:rsidR="0015327A">
        <w:rPr>
          <w:lang w:val="en-US"/>
        </w:rPr>
        <w:t>Expenditure</w:t>
      </w:r>
      <w:bookmarkEnd w:id="55"/>
    </w:p>
    <w:p w14:paraId="2D04208B" w14:textId="783A2422" w:rsidR="0015327A" w:rsidRPr="00285F7B" w:rsidRDefault="0015327A" w:rsidP="00285F7B">
      <w:pPr>
        <w:spacing w:after="0" w:line="240" w:lineRule="auto"/>
        <w:jc w:val="center"/>
        <w:rPr>
          <w:rFonts w:asciiTheme="minorHAnsi" w:eastAsia="Times New Roman" w:hAnsiTheme="minorHAnsi" w:cstheme="minorHAnsi"/>
          <w:b/>
          <w:bCs/>
          <w:color w:val="005172"/>
          <w:szCs w:val="18"/>
          <w:lang w:val="en-US"/>
        </w:rPr>
      </w:pPr>
      <w:r w:rsidRPr="00285F7B">
        <w:rPr>
          <w:rFonts w:asciiTheme="minorHAnsi" w:eastAsia="Times New Roman" w:hAnsiTheme="minorHAnsi" w:cstheme="minorHAnsi"/>
          <w:b/>
          <w:bCs/>
          <w:color w:val="005172"/>
          <w:szCs w:val="18"/>
          <w:lang w:val="en-US"/>
        </w:rPr>
        <w:t xml:space="preserve">Development Expenditure by </w:t>
      </w:r>
      <w:r w:rsidR="00040069">
        <w:rPr>
          <w:rFonts w:asciiTheme="minorHAnsi" w:eastAsia="Times New Roman" w:hAnsiTheme="minorHAnsi" w:cstheme="minorHAnsi"/>
          <w:b/>
          <w:bCs/>
          <w:color w:val="005172"/>
          <w:szCs w:val="18"/>
          <w:lang w:val="en-US"/>
        </w:rPr>
        <w:t>Expected Result and</w:t>
      </w:r>
      <w:r>
        <w:rPr>
          <w:rFonts w:asciiTheme="minorHAnsi" w:eastAsia="Times New Roman" w:hAnsiTheme="minorHAnsi" w:cstheme="minorHAnsi"/>
          <w:b/>
          <w:bCs/>
          <w:color w:val="005172"/>
          <w:szCs w:val="18"/>
          <w:lang w:val="en-US"/>
        </w:rPr>
        <w:t xml:space="preserve"> </w:t>
      </w:r>
      <w:r w:rsidR="003933F4">
        <w:rPr>
          <w:rFonts w:asciiTheme="minorHAnsi" w:eastAsia="Times New Roman" w:hAnsiTheme="minorHAnsi" w:cstheme="minorHAnsi"/>
          <w:b/>
          <w:bCs/>
          <w:color w:val="005172"/>
          <w:szCs w:val="18"/>
          <w:lang w:val="en-US"/>
        </w:rPr>
        <w:t>Sector 2024/25</w:t>
      </w:r>
    </w:p>
    <w:p w14:paraId="21DAF867" w14:textId="366ECE11" w:rsidR="00B52DEF" w:rsidRPr="00B52DEF" w:rsidRDefault="008B4975" w:rsidP="00B52DEF">
      <w:pPr>
        <w:jc w:val="center"/>
        <w:rPr>
          <w:i/>
          <w:lang w:val="en-US"/>
        </w:rPr>
      </w:pPr>
      <w:r w:rsidRPr="008B4975">
        <w:rPr>
          <w:i/>
          <w:lang w:val="en-US"/>
        </w:rPr>
        <w:t>(in thousands of Swiss francs)</w:t>
      </w:r>
    </w:p>
    <w:tbl>
      <w:tblPr>
        <w:tblW w:w="9140" w:type="dxa"/>
        <w:tblLook w:val="04A0" w:firstRow="1" w:lastRow="0" w:firstColumn="1" w:lastColumn="0" w:noHBand="0" w:noVBand="1"/>
      </w:tblPr>
      <w:tblGrid>
        <w:gridCol w:w="376"/>
        <w:gridCol w:w="3100"/>
        <w:gridCol w:w="680"/>
        <w:gridCol w:w="620"/>
        <w:gridCol w:w="620"/>
        <w:gridCol w:w="620"/>
        <w:gridCol w:w="620"/>
        <w:gridCol w:w="620"/>
        <w:gridCol w:w="620"/>
        <w:gridCol w:w="680"/>
        <w:gridCol w:w="680"/>
      </w:tblGrid>
      <w:tr w:rsidR="00B52DEF" w:rsidRPr="00B52DEF" w14:paraId="0E159466" w14:textId="77777777" w:rsidTr="00B52DEF">
        <w:trPr>
          <w:divId w:val="1720930991"/>
          <w:trHeight w:val="270"/>
        </w:trPr>
        <w:tc>
          <w:tcPr>
            <w:tcW w:w="280" w:type="dxa"/>
            <w:tcBorders>
              <w:top w:val="nil"/>
              <w:left w:val="nil"/>
              <w:bottom w:val="nil"/>
              <w:right w:val="nil"/>
            </w:tcBorders>
            <w:shd w:val="clear" w:color="000000" w:fill="C7CFD8"/>
            <w:noWrap/>
            <w:vAlign w:val="center"/>
            <w:hideMark/>
          </w:tcPr>
          <w:p w14:paraId="2EA83EA2" w14:textId="689E7427" w:rsidR="00B52DEF" w:rsidRPr="00B52DEF" w:rsidRDefault="00B52DEF" w:rsidP="00B52DEF">
            <w:pPr>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 </w:t>
            </w:r>
          </w:p>
        </w:tc>
        <w:tc>
          <w:tcPr>
            <w:tcW w:w="3100" w:type="dxa"/>
            <w:vMerge w:val="restart"/>
            <w:tcBorders>
              <w:top w:val="nil"/>
              <w:left w:val="nil"/>
              <w:bottom w:val="nil"/>
              <w:right w:val="nil"/>
            </w:tcBorders>
            <w:shd w:val="clear" w:color="000000" w:fill="C7CFD8"/>
            <w:noWrap/>
            <w:vAlign w:val="center"/>
            <w:hideMark/>
          </w:tcPr>
          <w:p w14:paraId="077794B6" w14:textId="77777777" w:rsidR="00B52DEF" w:rsidRPr="00B52DEF" w:rsidRDefault="00B52DEF" w:rsidP="00B52DEF">
            <w:pPr>
              <w:spacing w:after="0" w:line="240" w:lineRule="auto"/>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 xml:space="preserve">Expected Result </w:t>
            </w:r>
          </w:p>
        </w:tc>
        <w:tc>
          <w:tcPr>
            <w:tcW w:w="5080" w:type="dxa"/>
            <w:gridSpan w:val="8"/>
            <w:tcBorders>
              <w:top w:val="nil"/>
              <w:left w:val="nil"/>
              <w:bottom w:val="single" w:sz="4" w:space="0" w:color="748B9E"/>
              <w:right w:val="nil"/>
            </w:tcBorders>
            <w:shd w:val="clear" w:color="000000" w:fill="C7CFD8"/>
            <w:noWrap/>
            <w:vAlign w:val="center"/>
            <w:hideMark/>
          </w:tcPr>
          <w:p w14:paraId="1190C504" w14:textId="77777777" w:rsidR="00B52DEF" w:rsidRPr="00B52DEF" w:rsidRDefault="00B52DEF" w:rsidP="00B52DEF">
            <w:pPr>
              <w:spacing w:after="0" w:line="240" w:lineRule="auto"/>
              <w:jc w:val="center"/>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Sector</w:t>
            </w:r>
          </w:p>
        </w:tc>
        <w:tc>
          <w:tcPr>
            <w:tcW w:w="680" w:type="dxa"/>
            <w:vMerge w:val="restart"/>
            <w:tcBorders>
              <w:top w:val="nil"/>
              <w:left w:val="nil"/>
              <w:bottom w:val="nil"/>
              <w:right w:val="nil"/>
            </w:tcBorders>
            <w:shd w:val="clear" w:color="000000" w:fill="C7CFD8"/>
            <w:vAlign w:val="center"/>
            <w:hideMark/>
          </w:tcPr>
          <w:p w14:paraId="79E2D516" w14:textId="77777777" w:rsidR="00B52DEF" w:rsidRPr="00B52DEF" w:rsidRDefault="00B52DEF" w:rsidP="00B52DEF">
            <w:pPr>
              <w:spacing w:after="0" w:line="240" w:lineRule="auto"/>
              <w:jc w:val="center"/>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TOTAL</w:t>
            </w:r>
          </w:p>
        </w:tc>
      </w:tr>
      <w:tr w:rsidR="00B52DEF" w:rsidRPr="00B52DEF" w14:paraId="3B46D7B0" w14:textId="77777777" w:rsidTr="00B52DEF">
        <w:trPr>
          <w:divId w:val="1720930991"/>
          <w:trHeight w:val="270"/>
        </w:trPr>
        <w:tc>
          <w:tcPr>
            <w:tcW w:w="280" w:type="dxa"/>
            <w:tcBorders>
              <w:top w:val="nil"/>
              <w:left w:val="nil"/>
              <w:bottom w:val="nil"/>
              <w:right w:val="nil"/>
            </w:tcBorders>
            <w:shd w:val="clear" w:color="000000" w:fill="C7CFD8"/>
            <w:noWrap/>
            <w:vAlign w:val="center"/>
            <w:hideMark/>
          </w:tcPr>
          <w:p w14:paraId="6CEAB3A4" w14:textId="77777777" w:rsidR="00B52DEF" w:rsidRPr="00B52DEF" w:rsidRDefault="00B52DEF" w:rsidP="00B52DEF">
            <w:pPr>
              <w:spacing w:after="0" w:line="240" w:lineRule="auto"/>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 </w:t>
            </w:r>
          </w:p>
        </w:tc>
        <w:tc>
          <w:tcPr>
            <w:tcW w:w="3100" w:type="dxa"/>
            <w:vMerge/>
            <w:tcBorders>
              <w:top w:val="nil"/>
              <w:left w:val="nil"/>
              <w:bottom w:val="nil"/>
              <w:right w:val="nil"/>
            </w:tcBorders>
            <w:vAlign w:val="center"/>
            <w:hideMark/>
          </w:tcPr>
          <w:p w14:paraId="02FA8954" w14:textId="77777777" w:rsidR="00B52DEF" w:rsidRPr="00B52DEF" w:rsidRDefault="00B52DEF" w:rsidP="00B52DEF">
            <w:pPr>
              <w:spacing w:after="0" w:line="240" w:lineRule="auto"/>
              <w:rPr>
                <w:rFonts w:ascii="Arial Narrow" w:eastAsia="Times New Roman" w:hAnsi="Arial Narrow" w:cs="Times New Roman"/>
                <w:b/>
                <w:bCs/>
                <w:sz w:val="14"/>
                <w:szCs w:val="14"/>
                <w:lang w:val="en-US"/>
              </w:rPr>
            </w:pPr>
          </w:p>
        </w:tc>
        <w:tc>
          <w:tcPr>
            <w:tcW w:w="680" w:type="dxa"/>
            <w:tcBorders>
              <w:top w:val="nil"/>
              <w:left w:val="nil"/>
              <w:bottom w:val="nil"/>
              <w:right w:val="nil"/>
            </w:tcBorders>
            <w:shd w:val="clear" w:color="000000" w:fill="C7CFD8"/>
            <w:vAlign w:val="center"/>
            <w:hideMark/>
          </w:tcPr>
          <w:p w14:paraId="6072FA9C"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PT</w:t>
            </w:r>
          </w:p>
        </w:tc>
        <w:tc>
          <w:tcPr>
            <w:tcW w:w="620" w:type="dxa"/>
            <w:tcBorders>
              <w:top w:val="nil"/>
              <w:left w:val="nil"/>
              <w:bottom w:val="nil"/>
              <w:right w:val="nil"/>
            </w:tcBorders>
            <w:shd w:val="clear" w:color="000000" w:fill="C7CFD8"/>
            <w:vAlign w:val="center"/>
            <w:hideMark/>
          </w:tcPr>
          <w:p w14:paraId="36051B20"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BD</w:t>
            </w:r>
          </w:p>
        </w:tc>
        <w:tc>
          <w:tcPr>
            <w:tcW w:w="620" w:type="dxa"/>
            <w:tcBorders>
              <w:top w:val="nil"/>
              <w:left w:val="nil"/>
              <w:bottom w:val="nil"/>
              <w:right w:val="nil"/>
            </w:tcBorders>
            <w:shd w:val="clear" w:color="000000" w:fill="C7CFD8"/>
            <w:vAlign w:val="center"/>
            <w:hideMark/>
          </w:tcPr>
          <w:p w14:paraId="7CEE6D0B"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CCI</w:t>
            </w:r>
          </w:p>
        </w:tc>
        <w:tc>
          <w:tcPr>
            <w:tcW w:w="620" w:type="dxa"/>
            <w:tcBorders>
              <w:top w:val="nil"/>
              <w:left w:val="nil"/>
              <w:bottom w:val="nil"/>
              <w:right w:val="nil"/>
            </w:tcBorders>
            <w:shd w:val="clear" w:color="000000" w:fill="C7CFD8"/>
            <w:vAlign w:val="center"/>
            <w:hideMark/>
          </w:tcPr>
          <w:p w14:paraId="61DA37B4"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RND</w:t>
            </w:r>
          </w:p>
        </w:tc>
        <w:tc>
          <w:tcPr>
            <w:tcW w:w="620" w:type="dxa"/>
            <w:tcBorders>
              <w:top w:val="nil"/>
              <w:left w:val="nil"/>
              <w:bottom w:val="nil"/>
              <w:right w:val="nil"/>
            </w:tcBorders>
            <w:shd w:val="clear" w:color="000000" w:fill="C7CFD8"/>
            <w:vAlign w:val="center"/>
            <w:hideMark/>
          </w:tcPr>
          <w:p w14:paraId="0B97E636"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IP</w:t>
            </w:r>
          </w:p>
        </w:tc>
        <w:tc>
          <w:tcPr>
            <w:tcW w:w="620" w:type="dxa"/>
            <w:tcBorders>
              <w:top w:val="nil"/>
              <w:left w:val="nil"/>
              <w:bottom w:val="nil"/>
              <w:right w:val="nil"/>
            </w:tcBorders>
            <w:shd w:val="clear" w:color="000000" w:fill="C7CFD8"/>
            <w:vAlign w:val="center"/>
            <w:hideMark/>
          </w:tcPr>
          <w:p w14:paraId="5D6755B8"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GCP</w:t>
            </w:r>
          </w:p>
        </w:tc>
        <w:tc>
          <w:tcPr>
            <w:tcW w:w="620" w:type="dxa"/>
            <w:tcBorders>
              <w:top w:val="nil"/>
              <w:left w:val="nil"/>
              <w:bottom w:val="nil"/>
              <w:right w:val="nil"/>
            </w:tcBorders>
            <w:shd w:val="clear" w:color="000000" w:fill="C7CFD8"/>
            <w:vAlign w:val="center"/>
            <w:hideMark/>
          </w:tcPr>
          <w:p w14:paraId="60506535"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IE</w:t>
            </w:r>
          </w:p>
        </w:tc>
        <w:tc>
          <w:tcPr>
            <w:tcW w:w="680" w:type="dxa"/>
            <w:tcBorders>
              <w:top w:val="nil"/>
              <w:left w:val="nil"/>
              <w:bottom w:val="nil"/>
              <w:right w:val="nil"/>
            </w:tcBorders>
            <w:shd w:val="clear" w:color="000000" w:fill="C7CFD8"/>
            <w:vAlign w:val="center"/>
            <w:hideMark/>
          </w:tcPr>
          <w:p w14:paraId="07479BA4" w14:textId="77777777" w:rsidR="00B52DEF" w:rsidRPr="00B52DEF" w:rsidRDefault="00B52DEF" w:rsidP="00B52DEF">
            <w:pPr>
              <w:spacing w:after="0" w:line="240" w:lineRule="auto"/>
              <w:ind w:firstLineChars="100" w:firstLine="140"/>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AFM</w:t>
            </w:r>
          </w:p>
        </w:tc>
        <w:tc>
          <w:tcPr>
            <w:tcW w:w="680" w:type="dxa"/>
            <w:vMerge/>
            <w:tcBorders>
              <w:top w:val="nil"/>
              <w:left w:val="nil"/>
              <w:bottom w:val="nil"/>
              <w:right w:val="nil"/>
            </w:tcBorders>
            <w:vAlign w:val="center"/>
            <w:hideMark/>
          </w:tcPr>
          <w:p w14:paraId="612A9FF1" w14:textId="77777777" w:rsidR="00B52DEF" w:rsidRPr="00B52DEF" w:rsidRDefault="00B52DEF" w:rsidP="00B52DEF">
            <w:pPr>
              <w:spacing w:after="0" w:line="240" w:lineRule="auto"/>
              <w:rPr>
                <w:rFonts w:ascii="Arial Narrow" w:eastAsia="Times New Roman" w:hAnsi="Arial Narrow" w:cs="Times New Roman"/>
                <w:b/>
                <w:bCs/>
                <w:sz w:val="14"/>
                <w:szCs w:val="14"/>
                <w:lang w:val="en-US"/>
              </w:rPr>
            </w:pPr>
          </w:p>
        </w:tc>
      </w:tr>
      <w:tr w:rsidR="00B52DEF" w:rsidRPr="00B52DEF" w14:paraId="2F573BD4" w14:textId="77777777" w:rsidTr="00B52DEF">
        <w:trPr>
          <w:divId w:val="1720930991"/>
          <w:trHeight w:val="690"/>
        </w:trPr>
        <w:tc>
          <w:tcPr>
            <w:tcW w:w="280" w:type="dxa"/>
            <w:tcBorders>
              <w:top w:val="nil"/>
              <w:left w:val="nil"/>
              <w:bottom w:val="single" w:sz="4" w:space="0" w:color="C7CFD8"/>
              <w:right w:val="nil"/>
            </w:tcBorders>
            <w:shd w:val="clear" w:color="auto" w:fill="auto"/>
            <w:noWrap/>
            <w:hideMark/>
          </w:tcPr>
          <w:p w14:paraId="27CD4D6F"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1.1</w:t>
            </w:r>
          </w:p>
        </w:tc>
        <w:tc>
          <w:tcPr>
            <w:tcW w:w="3100" w:type="dxa"/>
            <w:tcBorders>
              <w:top w:val="nil"/>
              <w:left w:val="nil"/>
              <w:bottom w:val="single" w:sz="4" w:space="0" w:color="C7CFD8"/>
              <w:right w:val="nil"/>
            </w:tcBorders>
            <w:shd w:val="clear" w:color="auto" w:fill="auto"/>
            <w:hideMark/>
          </w:tcPr>
          <w:p w14:paraId="0A2074A4"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More effective communication and engagement world-wide to raise awareness of and increase knowledge about the potential of IP to improve the lives of everyone, everywhere</w:t>
            </w:r>
          </w:p>
        </w:tc>
        <w:tc>
          <w:tcPr>
            <w:tcW w:w="680" w:type="dxa"/>
            <w:tcBorders>
              <w:top w:val="nil"/>
              <w:left w:val="nil"/>
              <w:bottom w:val="single" w:sz="4" w:space="0" w:color="C7CFD8"/>
              <w:right w:val="nil"/>
            </w:tcBorders>
            <w:shd w:val="clear" w:color="auto" w:fill="auto"/>
            <w:hideMark/>
          </w:tcPr>
          <w:p w14:paraId="1A277ED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839A79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6E0240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FD1F87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4,617</w:t>
            </w:r>
          </w:p>
        </w:tc>
        <w:tc>
          <w:tcPr>
            <w:tcW w:w="620" w:type="dxa"/>
            <w:tcBorders>
              <w:top w:val="nil"/>
              <w:left w:val="nil"/>
              <w:bottom w:val="single" w:sz="4" w:space="0" w:color="C7CFD8"/>
              <w:right w:val="nil"/>
            </w:tcBorders>
            <w:shd w:val="clear" w:color="auto" w:fill="auto"/>
            <w:hideMark/>
          </w:tcPr>
          <w:p w14:paraId="65365069"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FB7C22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7A0559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hideMark/>
          </w:tcPr>
          <w:p w14:paraId="5D0072C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753FE593"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4,617</w:t>
            </w:r>
          </w:p>
        </w:tc>
      </w:tr>
      <w:tr w:rsidR="00B52DEF" w:rsidRPr="00B52DEF" w14:paraId="126C5870"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409EFE92"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2.1</w:t>
            </w:r>
          </w:p>
        </w:tc>
        <w:tc>
          <w:tcPr>
            <w:tcW w:w="3100" w:type="dxa"/>
            <w:tcBorders>
              <w:top w:val="nil"/>
              <w:left w:val="nil"/>
              <w:bottom w:val="single" w:sz="4" w:space="0" w:color="C7CFD8"/>
              <w:right w:val="nil"/>
            </w:tcBorders>
            <w:shd w:val="clear" w:color="auto" w:fill="auto"/>
            <w:hideMark/>
          </w:tcPr>
          <w:p w14:paraId="2E98F69D"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Development of balanced and effective international normative frameworks for IP</w:t>
            </w:r>
          </w:p>
        </w:tc>
        <w:tc>
          <w:tcPr>
            <w:tcW w:w="680" w:type="dxa"/>
            <w:tcBorders>
              <w:top w:val="nil"/>
              <w:left w:val="nil"/>
              <w:bottom w:val="single" w:sz="4" w:space="0" w:color="C7CFD8"/>
              <w:right w:val="nil"/>
            </w:tcBorders>
            <w:shd w:val="clear" w:color="auto" w:fill="auto"/>
            <w:hideMark/>
          </w:tcPr>
          <w:p w14:paraId="3D39BB2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773</w:t>
            </w:r>
          </w:p>
        </w:tc>
        <w:tc>
          <w:tcPr>
            <w:tcW w:w="620" w:type="dxa"/>
            <w:tcBorders>
              <w:top w:val="nil"/>
              <w:left w:val="nil"/>
              <w:bottom w:val="single" w:sz="4" w:space="0" w:color="C7CFD8"/>
              <w:right w:val="nil"/>
            </w:tcBorders>
            <w:shd w:val="clear" w:color="auto" w:fill="auto"/>
            <w:hideMark/>
          </w:tcPr>
          <w:p w14:paraId="6ACCAF8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1,376</w:t>
            </w:r>
          </w:p>
        </w:tc>
        <w:tc>
          <w:tcPr>
            <w:tcW w:w="620" w:type="dxa"/>
            <w:tcBorders>
              <w:top w:val="nil"/>
              <w:left w:val="nil"/>
              <w:bottom w:val="single" w:sz="4" w:space="0" w:color="C7CFD8"/>
              <w:right w:val="nil"/>
            </w:tcBorders>
            <w:shd w:val="clear" w:color="auto" w:fill="auto"/>
            <w:hideMark/>
          </w:tcPr>
          <w:p w14:paraId="49761C3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1,868</w:t>
            </w:r>
          </w:p>
        </w:tc>
        <w:tc>
          <w:tcPr>
            <w:tcW w:w="620" w:type="dxa"/>
            <w:tcBorders>
              <w:top w:val="nil"/>
              <w:left w:val="nil"/>
              <w:bottom w:val="single" w:sz="4" w:space="0" w:color="C7CFD8"/>
              <w:right w:val="nil"/>
            </w:tcBorders>
            <w:shd w:val="clear" w:color="auto" w:fill="auto"/>
            <w:hideMark/>
          </w:tcPr>
          <w:p w14:paraId="53254BE9"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8DE12FE"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433</w:t>
            </w:r>
          </w:p>
        </w:tc>
        <w:tc>
          <w:tcPr>
            <w:tcW w:w="620" w:type="dxa"/>
            <w:tcBorders>
              <w:top w:val="nil"/>
              <w:left w:val="nil"/>
              <w:bottom w:val="single" w:sz="4" w:space="0" w:color="C7CFD8"/>
              <w:right w:val="nil"/>
            </w:tcBorders>
            <w:shd w:val="clear" w:color="auto" w:fill="auto"/>
            <w:noWrap/>
            <w:hideMark/>
          </w:tcPr>
          <w:p w14:paraId="5A8B82F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1,549</w:t>
            </w:r>
          </w:p>
        </w:tc>
        <w:tc>
          <w:tcPr>
            <w:tcW w:w="620" w:type="dxa"/>
            <w:tcBorders>
              <w:top w:val="nil"/>
              <w:left w:val="nil"/>
              <w:bottom w:val="single" w:sz="4" w:space="0" w:color="C7CFD8"/>
              <w:right w:val="nil"/>
            </w:tcBorders>
            <w:shd w:val="clear" w:color="auto" w:fill="auto"/>
            <w:noWrap/>
            <w:hideMark/>
          </w:tcPr>
          <w:p w14:paraId="352B749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F2506FE"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2A8A3051"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5,998</w:t>
            </w:r>
          </w:p>
        </w:tc>
      </w:tr>
      <w:tr w:rsidR="00B52DEF" w:rsidRPr="00B52DEF" w14:paraId="3BFEBE32" w14:textId="77777777" w:rsidTr="00B52DEF">
        <w:trPr>
          <w:divId w:val="1720930991"/>
          <w:trHeight w:val="690"/>
        </w:trPr>
        <w:tc>
          <w:tcPr>
            <w:tcW w:w="280" w:type="dxa"/>
            <w:tcBorders>
              <w:top w:val="nil"/>
              <w:left w:val="nil"/>
              <w:bottom w:val="single" w:sz="4" w:space="0" w:color="C7CFD8"/>
              <w:right w:val="nil"/>
            </w:tcBorders>
            <w:shd w:val="clear" w:color="auto" w:fill="auto"/>
            <w:noWrap/>
            <w:hideMark/>
          </w:tcPr>
          <w:p w14:paraId="61897F53"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2.2</w:t>
            </w:r>
          </w:p>
        </w:tc>
        <w:tc>
          <w:tcPr>
            <w:tcW w:w="3100" w:type="dxa"/>
            <w:tcBorders>
              <w:top w:val="nil"/>
              <w:left w:val="nil"/>
              <w:bottom w:val="single" w:sz="4" w:space="0" w:color="C7CFD8"/>
              <w:right w:val="nil"/>
            </w:tcBorders>
            <w:shd w:val="clear" w:color="auto" w:fill="auto"/>
            <w:hideMark/>
          </w:tcPr>
          <w:p w14:paraId="72E68DA8"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WIPO brings the international community together to proactively address emerging issues and policy challenges at the global level relating to IP, innovation and creativity </w:t>
            </w:r>
          </w:p>
        </w:tc>
        <w:tc>
          <w:tcPr>
            <w:tcW w:w="680" w:type="dxa"/>
            <w:tcBorders>
              <w:top w:val="nil"/>
              <w:left w:val="nil"/>
              <w:bottom w:val="single" w:sz="4" w:space="0" w:color="C7CFD8"/>
              <w:right w:val="nil"/>
            </w:tcBorders>
            <w:shd w:val="clear" w:color="auto" w:fill="auto"/>
            <w:hideMark/>
          </w:tcPr>
          <w:p w14:paraId="11D5659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1,855</w:t>
            </w:r>
          </w:p>
        </w:tc>
        <w:tc>
          <w:tcPr>
            <w:tcW w:w="620" w:type="dxa"/>
            <w:tcBorders>
              <w:top w:val="nil"/>
              <w:left w:val="nil"/>
              <w:bottom w:val="single" w:sz="4" w:space="0" w:color="C7CFD8"/>
              <w:right w:val="nil"/>
            </w:tcBorders>
            <w:shd w:val="clear" w:color="auto" w:fill="auto"/>
            <w:hideMark/>
          </w:tcPr>
          <w:p w14:paraId="42A5FEC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52C24B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492</w:t>
            </w:r>
          </w:p>
        </w:tc>
        <w:tc>
          <w:tcPr>
            <w:tcW w:w="620" w:type="dxa"/>
            <w:tcBorders>
              <w:top w:val="nil"/>
              <w:left w:val="nil"/>
              <w:bottom w:val="single" w:sz="4" w:space="0" w:color="C7CFD8"/>
              <w:right w:val="nil"/>
            </w:tcBorders>
            <w:shd w:val="clear" w:color="auto" w:fill="auto"/>
            <w:hideMark/>
          </w:tcPr>
          <w:p w14:paraId="39891CB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C1FF7D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173DF0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4,638</w:t>
            </w:r>
          </w:p>
        </w:tc>
        <w:tc>
          <w:tcPr>
            <w:tcW w:w="620" w:type="dxa"/>
            <w:tcBorders>
              <w:top w:val="nil"/>
              <w:left w:val="nil"/>
              <w:bottom w:val="single" w:sz="4" w:space="0" w:color="C7CFD8"/>
              <w:right w:val="nil"/>
            </w:tcBorders>
            <w:shd w:val="clear" w:color="auto" w:fill="auto"/>
            <w:noWrap/>
            <w:hideMark/>
          </w:tcPr>
          <w:p w14:paraId="653EF26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AE6D08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3DACD32"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6,985</w:t>
            </w:r>
          </w:p>
        </w:tc>
      </w:tr>
      <w:tr w:rsidR="00B52DEF" w:rsidRPr="00B52DEF" w14:paraId="6F603038" w14:textId="77777777" w:rsidTr="00B52DEF">
        <w:trPr>
          <w:divId w:val="1720930991"/>
          <w:trHeight w:val="375"/>
        </w:trPr>
        <w:tc>
          <w:tcPr>
            <w:tcW w:w="280" w:type="dxa"/>
            <w:tcBorders>
              <w:top w:val="nil"/>
              <w:left w:val="nil"/>
              <w:bottom w:val="single" w:sz="4" w:space="0" w:color="C7CFD8"/>
              <w:right w:val="nil"/>
            </w:tcBorders>
            <w:shd w:val="clear" w:color="auto" w:fill="auto"/>
            <w:noWrap/>
            <w:hideMark/>
          </w:tcPr>
          <w:p w14:paraId="36D3657F"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2.3</w:t>
            </w:r>
          </w:p>
        </w:tc>
        <w:tc>
          <w:tcPr>
            <w:tcW w:w="3100" w:type="dxa"/>
            <w:tcBorders>
              <w:top w:val="nil"/>
              <w:left w:val="nil"/>
              <w:bottom w:val="single" w:sz="4" w:space="0" w:color="C7CFD8"/>
              <w:right w:val="nil"/>
            </w:tcBorders>
            <w:shd w:val="clear" w:color="auto" w:fill="auto"/>
            <w:hideMark/>
          </w:tcPr>
          <w:p w14:paraId="66E9911A"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International dialogue and cooperation on Building Respect for IP </w:t>
            </w:r>
          </w:p>
        </w:tc>
        <w:tc>
          <w:tcPr>
            <w:tcW w:w="680" w:type="dxa"/>
            <w:tcBorders>
              <w:top w:val="nil"/>
              <w:left w:val="nil"/>
              <w:bottom w:val="single" w:sz="4" w:space="0" w:color="C7CFD8"/>
              <w:right w:val="nil"/>
            </w:tcBorders>
            <w:shd w:val="clear" w:color="auto" w:fill="auto"/>
            <w:hideMark/>
          </w:tcPr>
          <w:p w14:paraId="297075B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A612DE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D2A956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5B2DA9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797815C9"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0EE8BEC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1,395</w:t>
            </w:r>
          </w:p>
        </w:tc>
        <w:tc>
          <w:tcPr>
            <w:tcW w:w="620" w:type="dxa"/>
            <w:tcBorders>
              <w:top w:val="nil"/>
              <w:left w:val="nil"/>
              <w:bottom w:val="single" w:sz="4" w:space="0" w:color="C7CFD8"/>
              <w:right w:val="nil"/>
            </w:tcBorders>
            <w:shd w:val="clear" w:color="auto" w:fill="auto"/>
            <w:noWrap/>
            <w:hideMark/>
          </w:tcPr>
          <w:p w14:paraId="11EC7ED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8CAB2B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33690DC"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1,395</w:t>
            </w:r>
          </w:p>
        </w:tc>
      </w:tr>
      <w:tr w:rsidR="00B52DEF" w:rsidRPr="00B52DEF" w14:paraId="64E31F35" w14:textId="77777777" w:rsidTr="00B52DEF">
        <w:trPr>
          <w:divId w:val="1720930991"/>
          <w:trHeight w:val="525"/>
        </w:trPr>
        <w:tc>
          <w:tcPr>
            <w:tcW w:w="280" w:type="dxa"/>
            <w:tcBorders>
              <w:top w:val="nil"/>
              <w:left w:val="nil"/>
              <w:bottom w:val="single" w:sz="4" w:space="0" w:color="C7CFD8"/>
              <w:right w:val="nil"/>
            </w:tcBorders>
            <w:shd w:val="clear" w:color="auto" w:fill="auto"/>
            <w:noWrap/>
            <w:hideMark/>
          </w:tcPr>
          <w:p w14:paraId="5826CE8D"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2.4</w:t>
            </w:r>
          </w:p>
        </w:tc>
        <w:tc>
          <w:tcPr>
            <w:tcW w:w="3100" w:type="dxa"/>
            <w:tcBorders>
              <w:top w:val="nil"/>
              <w:left w:val="nil"/>
              <w:bottom w:val="single" w:sz="4" w:space="0" w:color="C7CFD8"/>
              <w:right w:val="nil"/>
            </w:tcBorders>
            <w:shd w:val="clear" w:color="auto" w:fill="auto"/>
            <w:hideMark/>
          </w:tcPr>
          <w:p w14:paraId="63CEDAF3"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Effective interaction and partnerships with the UN, IGOs and NGOs in support of global goals to which IP can contribute </w:t>
            </w:r>
          </w:p>
        </w:tc>
        <w:tc>
          <w:tcPr>
            <w:tcW w:w="680" w:type="dxa"/>
            <w:tcBorders>
              <w:top w:val="nil"/>
              <w:left w:val="nil"/>
              <w:bottom w:val="single" w:sz="4" w:space="0" w:color="C7CFD8"/>
              <w:right w:val="nil"/>
            </w:tcBorders>
            <w:shd w:val="clear" w:color="auto" w:fill="auto"/>
            <w:hideMark/>
          </w:tcPr>
          <w:p w14:paraId="11B2936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0ACE1C0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20152BAE"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739797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1,194</w:t>
            </w:r>
          </w:p>
        </w:tc>
        <w:tc>
          <w:tcPr>
            <w:tcW w:w="620" w:type="dxa"/>
            <w:tcBorders>
              <w:top w:val="nil"/>
              <w:left w:val="nil"/>
              <w:bottom w:val="single" w:sz="4" w:space="0" w:color="C7CFD8"/>
              <w:right w:val="nil"/>
            </w:tcBorders>
            <w:shd w:val="clear" w:color="auto" w:fill="auto"/>
            <w:noWrap/>
            <w:hideMark/>
          </w:tcPr>
          <w:p w14:paraId="22F5C07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8E5873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8806D9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61F83CC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0B41583F"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1,194</w:t>
            </w:r>
          </w:p>
        </w:tc>
      </w:tr>
      <w:tr w:rsidR="00B52DEF" w:rsidRPr="00B52DEF" w14:paraId="15ECAC24"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7831288A"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3.1</w:t>
            </w:r>
          </w:p>
        </w:tc>
        <w:tc>
          <w:tcPr>
            <w:tcW w:w="3100" w:type="dxa"/>
            <w:tcBorders>
              <w:top w:val="nil"/>
              <w:left w:val="nil"/>
              <w:bottom w:val="single" w:sz="4" w:space="0" w:color="C7CFD8"/>
              <w:right w:val="nil"/>
            </w:tcBorders>
            <w:shd w:val="clear" w:color="auto" w:fill="auto"/>
            <w:hideMark/>
          </w:tcPr>
          <w:p w14:paraId="10ED32BE"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Wider and more effective use of WIPO’s global IP systems, services, knowledge and data </w:t>
            </w:r>
          </w:p>
        </w:tc>
        <w:tc>
          <w:tcPr>
            <w:tcW w:w="680" w:type="dxa"/>
            <w:tcBorders>
              <w:top w:val="nil"/>
              <w:left w:val="nil"/>
              <w:bottom w:val="single" w:sz="4" w:space="0" w:color="C7CFD8"/>
              <w:right w:val="nil"/>
            </w:tcBorders>
            <w:shd w:val="clear" w:color="auto" w:fill="auto"/>
            <w:hideMark/>
          </w:tcPr>
          <w:p w14:paraId="76C0593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324</w:t>
            </w:r>
          </w:p>
        </w:tc>
        <w:tc>
          <w:tcPr>
            <w:tcW w:w="620" w:type="dxa"/>
            <w:tcBorders>
              <w:top w:val="nil"/>
              <w:left w:val="nil"/>
              <w:bottom w:val="single" w:sz="4" w:space="0" w:color="C7CFD8"/>
              <w:right w:val="nil"/>
            </w:tcBorders>
            <w:shd w:val="clear" w:color="auto" w:fill="auto"/>
            <w:hideMark/>
          </w:tcPr>
          <w:p w14:paraId="4C2AB984"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5,508</w:t>
            </w:r>
          </w:p>
        </w:tc>
        <w:tc>
          <w:tcPr>
            <w:tcW w:w="620" w:type="dxa"/>
            <w:tcBorders>
              <w:top w:val="nil"/>
              <w:left w:val="nil"/>
              <w:bottom w:val="single" w:sz="4" w:space="0" w:color="C7CFD8"/>
              <w:right w:val="nil"/>
            </w:tcBorders>
            <w:shd w:val="clear" w:color="auto" w:fill="auto"/>
            <w:hideMark/>
          </w:tcPr>
          <w:p w14:paraId="1E1BDB9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586</w:t>
            </w:r>
          </w:p>
        </w:tc>
        <w:tc>
          <w:tcPr>
            <w:tcW w:w="620" w:type="dxa"/>
            <w:tcBorders>
              <w:top w:val="nil"/>
              <w:left w:val="nil"/>
              <w:bottom w:val="single" w:sz="4" w:space="0" w:color="C7CFD8"/>
              <w:right w:val="nil"/>
            </w:tcBorders>
            <w:shd w:val="clear" w:color="auto" w:fill="auto"/>
            <w:hideMark/>
          </w:tcPr>
          <w:p w14:paraId="2DC3F324"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2,789</w:t>
            </w:r>
          </w:p>
        </w:tc>
        <w:tc>
          <w:tcPr>
            <w:tcW w:w="620" w:type="dxa"/>
            <w:tcBorders>
              <w:top w:val="nil"/>
              <w:left w:val="nil"/>
              <w:bottom w:val="single" w:sz="4" w:space="0" w:color="C7CFD8"/>
              <w:right w:val="nil"/>
            </w:tcBorders>
            <w:shd w:val="clear" w:color="auto" w:fill="auto"/>
            <w:noWrap/>
            <w:hideMark/>
          </w:tcPr>
          <w:p w14:paraId="51538A4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3,635</w:t>
            </w:r>
          </w:p>
        </w:tc>
        <w:tc>
          <w:tcPr>
            <w:tcW w:w="620" w:type="dxa"/>
            <w:tcBorders>
              <w:top w:val="nil"/>
              <w:left w:val="nil"/>
              <w:bottom w:val="single" w:sz="4" w:space="0" w:color="C7CFD8"/>
              <w:right w:val="nil"/>
            </w:tcBorders>
            <w:shd w:val="clear" w:color="auto" w:fill="auto"/>
            <w:noWrap/>
            <w:hideMark/>
          </w:tcPr>
          <w:p w14:paraId="0CEC128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7902F0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5,398</w:t>
            </w:r>
          </w:p>
        </w:tc>
        <w:tc>
          <w:tcPr>
            <w:tcW w:w="680" w:type="dxa"/>
            <w:tcBorders>
              <w:top w:val="nil"/>
              <w:left w:val="nil"/>
              <w:bottom w:val="single" w:sz="4" w:space="0" w:color="C7CFD8"/>
              <w:right w:val="nil"/>
            </w:tcBorders>
            <w:shd w:val="clear" w:color="auto" w:fill="auto"/>
            <w:noWrap/>
            <w:hideMark/>
          </w:tcPr>
          <w:p w14:paraId="51699CF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BB6FBF4"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18,240</w:t>
            </w:r>
          </w:p>
        </w:tc>
      </w:tr>
      <w:tr w:rsidR="00B52DEF" w:rsidRPr="00B52DEF" w14:paraId="775A8069"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33949528"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3.2</w:t>
            </w:r>
          </w:p>
        </w:tc>
        <w:tc>
          <w:tcPr>
            <w:tcW w:w="3100" w:type="dxa"/>
            <w:tcBorders>
              <w:top w:val="nil"/>
              <w:left w:val="nil"/>
              <w:bottom w:val="single" w:sz="4" w:space="0" w:color="C7CFD8"/>
              <w:right w:val="nil"/>
            </w:tcBorders>
            <w:shd w:val="clear" w:color="auto" w:fill="auto"/>
            <w:hideMark/>
          </w:tcPr>
          <w:p w14:paraId="662ADC39"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Improved productivity and service quality of WIPO’s global IP systems, services, knowledge and data</w:t>
            </w:r>
          </w:p>
        </w:tc>
        <w:tc>
          <w:tcPr>
            <w:tcW w:w="680" w:type="dxa"/>
            <w:tcBorders>
              <w:top w:val="nil"/>
              <w:left w:val="nil"/>
              <w:bottom w:val="single" w:sz="4" w:space="0" w:color="C7CFD8"/>
              <w:right w:val="nil"/>
            </w:tcBorders>
            <w:shd w:val="clear" w:color="auto" w:fill="auto"/>
            <w:hideMark/>
          </w:tcPr>
          <w:p w14:paraId="154F557F"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F8F93FF"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4,350</w:t>
            </w:r>
          </w:p>
        </w:tc>
        <w:tc>
          <w:tcPr>
            <w:tcW w:w="620" w:type="dxa"/>
            <w:tcBorders>
              <w:top w:val="nil"/>
              <w:left w:val="nil"/>
              <w:bottom w:val="single" w:sz="4" w:space="0" w:color="C7CFD8"/>
              <w:right w:val="nil"/>
            </w:tcBorders>
            <w:shd w:val="clear" w:color="auto" w:fill="auto"/>
            <w:hideMark/>
          </w:tcPr>
          <w:p w14:paraId="622D7394"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292</w:t>
            </w:r>
          </w:p>
        </w:tc>
        <w:tc>
          <w:tcPr>
            <w:tcW w:w="620" w:type="dxa"/>
            <w:tcBorders>
              <w:top w:val="nil"/>
              <w:left w:val="nil"/>
              <w:bottom w:val="single" w:sz="4" w:space="0" w:color="C7CFD8"/>
              <w:right w:val="nil"/>
            </w:tcBorders>
            <w:shd w:val="clear" w:color="auto" w:fill="auto"/>
            <w:hideMark/>
          </w:tcPr>
          <w:p w14:paraId="04B7DBB9"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C74EB5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C75967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619301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548</w:t>
            </w:r>
          </w:p>
        </w:tc>
        <w:tc>
          <w:tcPr>
            <w:tcW w:w="680" w:type="dxa"/>
            <w:tcBorders>
              <w:top w:val="nil"/>
              <w:left w:val="nil"/>
              <w:bottom w:val="single" w:sz="4" w:space="0" w:color="C7CFD8"/>
              <w:right w:val="nil"/>
            </w:tcBorders>
            <w:shd w:val="clear" w:color="auto" w:fill="auto"/>
            <w:noWrap/>
            <w:hideMark/>
          </w:tcPr>
          <w:p w14:paraId="1F5791D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7D81CB20"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5,190</w:t>
            </w:r>
          </w:p>
        </w:tc>
      </w:tr>
      <w:tr w:rsidR="00B52DEF" w:rsidRPr="00B52DEF" w14:paraId="71C1666B" w14:textId="77777777" w:rsidTr="00B52DEF">
        <w:trPr>
          <w:divId w:val="1720930991"/>
          <w:trHeight w:val="540"/>
        </w:trPr>
        <w:tc>
          <w:tcPr>
            <w:tcW w:w="280" w:type="dxa"/>
            <w:tcBorders>
              <w:top w:val="nil"/>
              <w:left w:val="nil"/>
              <w:bottom w:val="single" w:sz="4" w:space="0" w:color="C7CFD8"/>
              <w:right w:val="nil"/>
            </w:tcBorders>
            <w:shd w:val="clear" w:color="auto" w:fill="auto"/>
            <w:noWrap/>
            <w:hideMark/>
          </w:tcPr>
          <w:p w14:paraId="65FD2AA9"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3.3</w:t>
            </w:r>
          </w:p>
        </w:tc>
        <w:tc>
          <w:tcPr>
            <w:tcW w:w="3100" w:type="dxa"/>
            <w:tcBorders>
              <w:top w:val="nil"/>
              <w:left w:val="nil"/>
              <w:bottom w:val="single" w:sz="4" w:space="0" w:color="C7CFD8"/>
              <w:right w:val="nil"/>
            </w:tcBorders>
            <w:shd w:val="clear" w:color="auto" w:fill="auto"/>
            <w:hideMark/>
          </w:tcPr>
          <w:p w14:paraId="3C5A929A"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Knowledge transfer and technology adaptation is facilitated through WIPO’s IP-based platforms and tools to address global challenges</w:t>
            </w:r>
          </w:p>
        </w:tc>
        <w:tc>
          <w:tcPr>
            <w:tcW w:w="680" w:type="dxa"/>
            <w:tcBorders>
              <w:top w:val="nil"/>
              <w:left w:val="nil"/>
              <w:bottom w:val="single" w:sz="4" w:space="0" w:color="C7CFD8"/>
              <w:right w:val="nil"/>
            </w:tcBorders>
            <w:shd w:val="clear" w:color="auto" w:fill="auto"/>
            <w:hideMark/>
          </w:tcPr>
          <w:p w14:paraId="79B6E56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88C6B6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E00278E"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26FA38C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617</w:t>
            </w:r>
          </w:p>
        </w:tc>
        <w:tc>
          <w:tcPr>
            <w:tcW w:w="620" w:type="dxa"/>
            <w:tcBorders>
              <w:top w:val="nil"/>
              <w:left w:val="nil"/>
              <w:bottom w:val="single" w:sz="4" w:space="0" w:color="C7CFD8"/>
              <w:right w:val="nil"/>
            </w:tcBorders>
            <w:shd w:val="clear" w:color="auto" w:fill="auto"/>
            <w:noWrap/>
            <w:hideMark/>
          </w:tcPr>
          <w:p w14:paraId="6861A52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0509A81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1,372</w:t>
            </w:r>
          </w:p>
        </w:tc>
        <w:tc>
          <w:tcPr>
            <w:tcW w:w="620" w:type="dxa"/>
            <w:tcBorders>
              <w:top w:val="nil"/>
              <w:left w:val="nil"/>
              <w:bottom w:val="single" w:sz="4" w:space="0" w:color="C7CFD8"/>
              <w:right w:val="nil"/>
            </w:tcBorders>
            <w:shd w:val="clear" w:color="auto" w:fill="auto"/>
            <w:noWrap/>
            <w:hideMark/>
          </w:tcPr>
          <w:p w14:paraId="5E82CC9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1,299</w:t>
            </w:r>
          </w:p>
        </w:tc>
        <w:tc>
          <w:tcPr>
            <w:tcW w:w="680" w:type="dxa"/>
            <w:tcBorders>
              <w:top w:val="nil"/>
              <w:left w:val="nil"/>
              <w:bottom w:val="single" w:sz="4" w:space="0" w:color="C7CFD8"/>
              <w:right w:val="nil"/>
            </w:tcBorders>
            <w:shd w:val="clear" w:color="auto" w:fill="auto"/>
            <w:noWrap/>
            <w:hideMark/>
          </w:tcPr>
          <w:p w14:paraId="5AF0240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9A2486D"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3,289</w:t>
            </w:r>
          </w:p>
        </w:tc>
      </w:tr>
      <w:tr w:rsidR="00B52DEF" w:rsidRPr="00B52DEF" w14:paraId="7DAC5AF2" w14:textId="77777777" w:rsidTr="00B52DEF">
        <w:trPr>
          <w:divId w:val="1720930991"/>
          <w:trHeight w:val="825"/>
        </w:trPr>
        <w:tc>
          <w:tcPr>
            <w:tcW w:w="280" w:type="dxa"/>
            <w:tcBorders>
              <w:top w:val="nil"/>
              <w:left w:val="nil"/>
              <w:bottom w:val="single" w:sz="4" w:space="0" w:color="C7CFD8"/>
              <w:right w:val="nil"/>
            </w:tcBorders>
            <w:shd w:val="clear" w:color="auto" w:fill="auto"/>
            <w:noWrap/>
            <w:hideMark/>
          </w:tcPr>
          <w:p w14:paraId="23831B7F"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4.1</w:t>
            </w:r>
          </w:p>
        </w:tc>
        <w:tc>
          <w:tcPr>
            <w:tcW w:w="3100" w:type="dxa"/>
            <w:tcBorders>
              <w:top w:val="nil"/>
              <w:left w:val="nil"/>
              <w:bottom w:val="single" w:sz="4" w:space="0" w:color="C7CFD8"/>
              <w:right w:val="nil"/>
            </w:tcBorders>
            <w:shd w:val="clear" w:color="auto" w:fill="auto"/>
            <w:hideMark/>
          </w:tcPr>
          <w:p w14:paraId="77C29E17" w14:textId="271A8792" w:rsidR="00B52DEF" w:rsidRPr="00B52DEF" w:rsidRDefault="001048EB" w:rsidP="00B52DEF">
            <w:pPr>
              <w:spacing w:after="0" w:line="240" w:lineRule="auto"/>
              <w:rPr>
                <w:rFonts w:ascii="Arial Narrow" w:eastAsia="Times New Roman" w:hAnsi="Arial Narrow" w:cs="Times New Roman"/>
                <w:sz w:val="14"/>
                <w:szCs w:val="14"/>
                <w:lang w:val="en-US"/>
              </w:rPr>
            </w:pPr>
            <w:r>
              <w:rPr>
                <w:rFonts w:ascii="Arial Narrow" w:eastAsia="Times New Roman" w:hAnsi="Arial Narrow" w:cs="Times New Roman"/>
                <w:sz w:val="14"/>
                <w:szCs w:val="14"/>
                <w:lang w:val="en-US"/>
              </w:rPr>
              <w:t>More effective use of a balanced IP system to support growth</w:t>
            </w:r>
            <w:r w:rsidR="00EC0EE5">
              <w:rPr>
                <w:rFonts w:ascii="Arial Narrow" w:eastAsia="Times New Roman" w:hAnsi="Arial Narrow" w:cs="Times New Roman"/>
                <w:sz w:val="14"/>
                <w:szCs w:val="14"/>
                <w:lang w:val="en-US"/>
              </w:rPr>
              <w:t xml:space="preserve"> </w:t>
            </w:r>
            <w:r w:rsidR="00B52DEF" w:rsidRPr="00B52DEF">
              <w:rPr>
                <w:rFonts w:ascii="Arial Narrow" w:eastAsia="Times New Roman" w:hAnsi="Arial Narrow" w:cs="Times New Roman"/>
                <w:sz w:val="14"/>
                <w:szCs w:val="14"/>
                <w:lang w:val="en-US"/>
              </w:rPr>
              <w:t>and development of all Member States and their relevant regions and sub-regions, including through the mainstreaming of the Development Agenda recommendations</w:t>
            </w:r>
          </w:p>
        </w:tc>
        <w:tc>
          <w:tcPr>
            <w:tcW w:w="680" w:type="dxa"/>
            <w:tcBorders>
              <w:top w:val="nil"/>
              <w:left w:val="nil"/>
              <w:bottom w:val="single" w:sz="4" w:space="0" w:color="C7CFD8"/>
              <w:right w:val="nil"/>
            </w:tcBorders>
            <w:shd w:val="clear" w:color="auto" w:fill="auto"/>
            <w:hideMark/>
          </w:tcPr>
          <w:p w14:paraId="0037D91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3,756</w:t>
            </w:r>
          </w:p>
        </w:tc>
        <w:tc>
          <w:tcPr>
            <w:tcW w:w="620" w:type="dxa"/>
            <w:tcBorders>
              <w:top w:val="nil"/>
              <w:left w:val="nil"/>
              <w:bottom w:val="single" w:sz="4" w:space="0" w:color="C7CFD8"/>
              <w:right w:val="nil"/>
            </w:tcBorders>
            <w:shd w:val="clear" w:color="auto" w:fill="auto"/>
            <w:hideMark/>
          </w:tcPr>
          <w:p w14:paraId="798FD6D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438</w:t>
            </w:r>
          </w:p>
        </w:tc>
        <w:tc>
          <w:tcPr>
            <w:tcW w:w="620" w:type="dxa"/>
            <w:tcBorders>
              <w:top w:val="nil"/>
              <w:left w:val="nil"/>
              <w:bottom w:val="single" w:sz="4" w:space="0" w:color="C7CFD8"/>
              <w:right w:val="nil"/>
            </w:tcBorders>
            <w:shd w:val="clear" w:color="auto" w:fill="auto"/>
            <w:hideMark/>
          </w:tcPr>
          <w:p w14:paraId="1E32CD2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1,415</w:t>
            </w:r>
          </w:p>
        </w:tc>
        <w:tc>
          <w:tcPr>
            <w:tcW w:w="620" w:type="dxa"/>
            <w:tcBorders>
              <w:top w:val="nil"/>
              <w:left w:val="nil"/>
              <w:bottom w:val="single" w:sz="4" w:space="0" w:color="C7CFD8"/>
              <w:right w:val="nil"/>
            </w:tcBorders>
            <w:shd w:val="clear" w:color="auto" w:fill="auto"/>
            <w:hideMark/>
          </w:tcPr>
          <w:p w14:paraId="1DF441F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15,965</w:t>
            </w:r>
          </w:p>
        </w:tc>
        <w:tc>
          <w:tcPr>
            <w:tcW w:w="620" w:type="dxa"/>
            <w:tcBorders>
              <w:top w:val="nil"/>
              <w:left w:val="nil"/>
              <w:bottom w:val="single" w:sz="4" w:space="0" w:color="C7CFD8"/>
              <w:right w:val="nil"/>
            </w:tcBorders>
            <w:shd w:val="clear" w:color="auto" w:fill="auto"/>
            <w:noWrap/>
            <w:hideMark/>
          </w:tcPr>
          <w:p w14:paraId="3E940F9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5127637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6F204C0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2,857</w:t>
            </w:r>
          </w:p>
        </w:tc>
        <w:tc>
          <w:tcPr>
            <w:tcW w:w="680" w:type="dxa"/>
            <w:tcBorders>
              <w:top w:val="nil"/>
              <w:left w:val="nil"/>
              <w:bottom w:val="single" w:sz="4" w:space="0" w:color="C7CFD8"/>
              <w:right w:val="nil"/>
            </w:tcBorders>
            <w:shd w:val="clear" w:color="auto" w:fill="auto"/>
            <w:noWrap/>
            <w:hideMark/>
          </w:tcPr>
          <w:p w14:paraId="4511D3C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7F56EE6"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24,430</w:t>
            </w:r>
          </w:p>
        </w:tc>
      </w:tr>
      <w:tr w:rsidR="00B52DEF" w:rsidRPr="00B52DEF" w14:paraId="35AC11CD"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5829FD9C"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4.2</w:t>
            </w:r>
          </w:p>
        </w:tc>
        <w:tc>
          <w:tcPr>
            <w:tcW w:w="3100" w:type="dxa"/>
            <w:tcBorders>
              <w:top w:val="nil"/>
              <w:left w:val="nil"/>
              <w:bottom w:val="single" w:sz="4" w:space="0" w:color="C7CFD8"/>
              <w:right w:val="nil"/>
            </w:tcBorders>
            <w:shd w:val="clear" w:color="auto" w:fill="auto"/>
            <w:hideMark/>
          </w:tcPr>
          <w:p w14:paraId="5DF321B6"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Development of balanced and effective IP, innovation and creative ecosystems in Member States</w:t>
            </w:r>
          </w:p>
        </w:tc>
        <w:tc>
          <w:tcPr>
            <w:tcW w:w="680" w:type="dxa"/>
            <w:tcBorders>
              <w:top w:val="nil"/>
              <w:left w:val="nil"/>
              <w:bottom w:val="single" w:sz="4" w:space="0" w:color="C7CFD8"/>
              <w:right w:val="nil"/>
            </w:tcBorders>
            <w:shd w:val="clear" w:color="auto" w:fill="auto"/>
            <w:hideMark/>
          </w:tcPr>
          <w:p w14:paraId="53612D5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2,785</w:t>
            </w:r>
          </w:p>
        </w:tc>
        <w:tc>
          <w:tcPr>
            <w:tcW w:w="620" w:type="dxa"/>
            <w:tcBorders>
              <w:top w:val="nil"/>
              <w:left w:val="nil"/>
              <w:bottom w:val="single" w:sz="4" w:space="0" w:color="C7CFD8"/>
              <w:right w:val="nil"/>
            </w:tcBorders>
            <w:shd w:val="clear" w:color="auto" w:fill="auto"/>
            <w:hideMark/>
          </w:tcPr>
          <w:p w14:paraId="5216385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730</w:t>
            </w:r>
          </w:p>
        </w:tc>
        <w:tc>
          <w:tcPr>
            <w:tcW w:w="620" w:type="dxa"/>
            <w:tcBorders>
              <w:top w:val="nil"/>
              <w:left w:val="nil"/>
              <w:bottom w:val="single" w:sz="4" w:space="0" w:color="C7CFD8"/>
              <w:right w:val="nil"/>
            </w:tcBorders>
            <w:shd w:val="clear" w:color="auto" w:fill="auto"/>
            <w:hideMark/>
          </w:tcPr>
          <w:p w14:paraId="397CC04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4,213</w:t>
            </w:r>
          </w:p>
        </w:tc>
        <w:tc>
          <w:tcPr>
            <w:tcW w:w="620" w:type="dxa"/>
            <w:tcBorders>
              <w:top w:val="nil"/>
              <w:left w:val="nil"/>
              <w:bottom w:val="single" w:sz="4" w:space="0" w:color="C7CFD8"/>
              <w:right w:val="nil"/>
            </w:tcBorders>
            <w:shd w:val="clear" w:color="auto" w:fill="auto"/>
            <w:hideMark/>
          </w:tcPr>
          <w:p w14:paraId="01E9D0C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7,525</w:t>
            </w:r>
          </w:p>
        </w:tc>
        <w:tc>
          <w:tcPr>
            <w:tcW w:w="620" w:type="dxa"/>
            <w:tcBorders>
              <w:top w:val="nil"/>
              <w:left w:val="nil"/>
              <w:bottom w:val="single" w:sz="4" w:space="0" w:color="C7CFD8"/>
              <w:right w:val="nil"/>
            </w:tcBorders>
            <w:shd w:val="clear" w:color="auto" w:fill="auto"/>
            <w:noWrap/>
            <w:hideMark/>
          </w:tcPr>
          <w:p w14:paraId="01FBC38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288EC5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1,312</w:t>
            </w:r>
          </w:p>
        </w:tc>
        <w:tc>
          <w:tcPr>
            <w:tcW w:w="620" w:type="dxa"/>
            <w:tcBorders>
              <w:top w:val="nil"/>
              <w:left w:val="nil"/>
              <w:bottom w:val="single" w:sz="4" w:space="0" w:color="C7CFD8"/>
              <w:right w:val="nil"/>
            </w:tcBorders>
            <w:shd w:val="clear" w:color="auto" w:fill="auto"/>
            <w:noWrap/>
            <w:hideMark/>
          </w:tcPr>
          <w:p w14:paraId="49DF64FF"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2,885</w:t>
            </w:r>
          </w:p>
        </w:tc>
        <w:tc>
          <w:tcPr>
            <w:tcW w:w="680" w:type="dxa"/>
            <w:tcBorders>
              <w:top w:val="nil"/>
              <w:left w:val="nil"/>
              <w:bottom w:val="single" w:sz="4" w:space="0" w:color="C7CFD8"/>
              <w:right w:val="nil"/>
            </w:tcBorders>
            <w:shd w:val="clear" w:color="auto" w:fill="auto"/>
            <w:noWrap/>
            <w:hideMark/>
          </w:tcPr>
          <w:p w14:paraId="1A3260F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19BE5413"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19,450</w:t>
            </w:r>
          </w:p>
        </w:tc>
      </w:tr>
      <w:tr w:rsidR="00B52DEF" w:rsidRPr="00B52DEF" w14:paraId="1D7F6AC7" w14:textId="77777777" w:rsidTr="00B52DEF">
        <w:trPr>
          <w:divId w:val="1720930991"/>
          <w:trHeight w:val="240"/>
        </w:trPr>
        <w:tc>
          <w:tcPr>
            <w:tcW w:w="280" w:type="dxa"/>
            <w:tcBorders>
              <w:top w:val="nil"/>
              <w:left w:val="nil"/>
              <w:bottom w:val="single" w:sz="4" w:space="0" w:color="C7CFD8"/>
              <w:right w:val="nil"/>
            </w:tcBorders>
            <w:shd w:val="clear" w:color="auto" w:fill="auto"/>
            <w:noWrap/>
            <w:hideMark/>
          </w:tcPr>
          <w:p w14:paraId="2533C874"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4.3</w:t>
            </w:r>
          </w:p>
        </w:tc>
        <w:tc>
          <w:tcPr>
            <w:tcW w:w="3100" w:type="dxa"/>
            <w:tcBorders>
              <w:top w:val="nil"/>
              <w:left w:val="nil"/>
              <w:bottom w:val="single" w:sz="4" w:space="0" w:color="C7CFD8"/>
              <w:right w:val="nil"/>
            </w:tcBorders>
            <w:shd w:val="clear" w:color="auto" w:fill="auto"/>
            <w:hideMark/>
          </w:tcPr>
          <w:p w14:paraId="4E9DE1F5"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Increased IP knowledge and skills in all Member States </w:t>
            </w:r>
          </w:p>
        </w:tc>
        <w:tc>
          <w:tcPr>
            <w:tcW w:w="680" w:type="dxa"/>
            <w:tcBorders>
              <w:top w:val="nil"/>
              <w:left w:val="nil"/>
              <w:bottom w:val="single" w:sz="4" w:space="0" w:color="C7CFD8"/>
              <w:right w:val="nil"/>
            </w:tcBorders>
            <w:shd w:val="clear" w:color="auto" w:fill="auto"/>
            <w:hideMark/>
          </w:tcPr>
          <w:p w14:paraId="19F2495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1,782</w:t>
            </w:r>
          </w:p>
        </w:tc>
        <w:tc>
          <w:tcPr>
            <w:tcW w:w="620" w:type="dxa"/>
            <w:tcBorders>
              <w:top w:val="nil"/>
              <w:left w:val="nil"/>
              <w:bottom w:val="single" w:sz="4" w:space="0" w:color="C7CFD8"/>
              <w:right w:val="nil"/>
            </w:tcBorders>
            <w:shd w:val="clear" w:color="auto" w:fill="auto"/>
            <w:hideMark/>
          </w:tcPr>
          <w:p w14:paraId="7EF4B0E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1,240</w:t>
            </w:r>
          </w:p>
        </w:tc>
        <w:tc>
          <w:tcPr>
            <w:tcW w:w="620" w:type="dxa"/>
            <w:tcBorders>
              <w:top w:val="nil"/>
              <w:left w:val="nil"/>
              <w:bottom w:val="single" w:sz="4" w:space="0" w:color="C7CFD8"/>
              <w:right w:val="nil"/>
            </w:tcBorders>
            <w:shd w:val="clear" w:color="auto" w:fill="auto"/>
            <w:hideMark/>
          </w:tcPr>
          <w:p w14:paraId="0C33520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1,689</w:t>
            </w:r>
          </w:p>
        </w:tc>
        <w:tc>
          <w:tcPr>
            <w:tcW w:w="620" w:type="dxa"/>
            <w:tcBorders>
              <w:top w:val="nil"/>
              <w:left w:val="nil"/>
              <w:bottom w:val="single" w:sz="4" w:space="0" w:color="C7CFD8"/>
              <w:right w:val="nil"/>
            </w:tcBorders>
            <w:shd w:val="clear" w:color="auto" w:fill="auto"/>
            <w:hideMark/>
          </w:tcPr>
          <w:p w14:paraId="27DEB4B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33,424</w:t>
            </w:r>
          </w:p>
        </w:tc>
        <w:tc>
          <w:tcPr>
            <w:tcW w:w="620" w:type="dxa"/>
            <w:tcBorders>
              <w:top w:val="nil"/>
              <w:left w:val="nil"/>
              <w:bottom w:val="single" w:sz="4" w:space="0" w:color="C7CFD8"/>
              <w:right w:val="nil"/>
            </w:tcBorders>
            <w:shd w:val="clear" w:color="auto" w:fill="auto"/>
            <w:noWrap/>
            <w:hideMark/>
          </w:tcPr>
          <w:p w14:paraId="25C829C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0AF7617B"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2,221</w:t>
            </w:r>
          </w:p>
        </w:tc>
        <w:tc>
          <w:tcPr>
            <w:tcW w:w="620" w:type="dxa"/>
            <w:tcBorders>
              <w:top w:val="nil"/>
              <w:left w:val="nil"/>
              <w:bottom w:val="single" w:sz="4" w:space="0" w:color="C7CFD8"/>
              <w:right w:val="nil"/>
            </w:tcBorders>
            <w:shd w:val="clear" w:color="auto" w:fill="auto"/>
            <w:noWrap/>
            <w:hideMark/>
          </w:tcPr>
          <w:p w14:paraId="4F63694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703</w:t>
            </w:r>
          </w:p>
        </w:tc>
        <w:tc>
          <w:tcPr>
            <w:tcW w:w="680" w:type="dxa"/>
            <w:tcBorders>
              <w:top w:val="nil"/>
              <w:left w:val="nil"/>
              <w:bottom w:val="single" w:sz="4" w:space="0" w:color="C7CFD8"/>
              <w:right w:val="nil"/>
            </w:tcBorders>
            <w:shd w:val="clear" w:color="auto" w:fill="auto"/>
            <w:noWrap/>
            <w:hideMark/>
          </w:tcPr>
          <w:p w14:paraId="33CA881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7BD4604D"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41,058</w:t>
            </w:r>
          </w:p>
        </w:tc>
      </w:tr>
      <w:tr w:rsidR="00B52DEF" w:rsidRPr="00B52DEF" w14:paraId="22CFA53E"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3C30110F"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4.4</w:t>
            </w:r>
          </w:p>
        </w:tc>
        <w:tc>
          <w:tcPr>
            <w:tcW w:w="3100" w:type="dxa"/>
            <w:tcBorders>
              <w:top w:val="nil"/>
              <w:left w:val="nil"/>
              <w:bottom w:val="single" w:sz="4" w:space="0" w:color="C7CFD8"/>
              <w:right w:val="nil"/>
            </w:tcBorders>
            <w:shd w:val="clear" w:color="auto" w:fill="auto"/>
            <w:hideMark/>
          </w:tcPr>
          <w:p w14:paraId="1B0B5234"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More innovators, creators, SMEs, universities, research institutions and communities leverage IP successfully  </w:t>
            </w:r>
          </w:p>
        </w:tc>
        <w:tc>
          <w:tcPr>
            <w:tcW w:w="680" w:type="dxa"/>
            <w:tcBorders>
              <w:top w:val="nil"/>
              <w:left w:val="nil"/>
              <w:bottom w:val="single" w:sz="4" w:space="0" w:color="C7CFD8"/>
              <w:right w:val="nil"/>
            </w:tcBorders>
            <w:shd w:val="clear" w:color="auto" w:fill="auto"/>
            <w:hideMark/>
          </w:tcPr>
          <w:p w14:paraId="1C5D61FF"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585239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FB33B4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11,034</w:t>
            </w:r>
          </w:p>
        </w:tc>
        <w:tc>
          <w:tcPr>
            <w:tcW w:w="620" w:type="dxa"/>
            <w:tcBorders>
              <w:top w:val="nil"/>
              <w:left w:val="nil"/>
              <w:bottom w:val="single" w:sz="4" w:space="0" w:color="C7CFD8"/>
              <w:right w:val="nil"/>
            </w:tcBorders>
            <w:shd w:val="clear" w:color="auto" w:fill="auto"/>
            <w:hideMark/>
          </w:tcPr>
          <w:p w14:paraId="39F63AC8"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8,999</w:t>
            </w:r>
          </w:p>
        </w:tc>
        <w:tc>
          <w:tcPr>
            <w:tcW w:w="620" w:type="dxa"/>
            <w:tcBorders>
              <w:top w:val="nil"/>
              <w:left w:val="nil"/>
              <w:bottom w:val="single" w:sz="4" w:space="0" w:color="C7CFD8"/>
              <w:right w:val="nil"/>
            </w:tcBorders>
            <w:shd w:val="clear" w:color="auto" w:fill="auto"/>
            <w:noWrap/>
            <w:hideMark/>
          </w:tcPr>
          <w:p w14:paraId="3639EDA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675E5E0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2,815</w:t>
            </w:r>
          </w:p>
        </w:tc>
        <w:tc>
          <w:tcPr>
            <w:tcW w:w="620" w:type="dxa"/>
            <w:tcBorders>
              <w:top w:val="nil"/>
              <w:left w:val="nil"/>
              <w:bottom w:val="single" w:sz="4" w:space="0" w:color="C7CFD8"/>
              <w:right w:val="nil"/>
            </w:tcBorders>
            <w:shd w:val="clear" w:color="auto" w:fill="auto"/>
            <w:noWrap/>
            <w:hideMark/>
          </w:tcPr>
          <w:p w14:paraId="2A4A2E40"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13,295</w:t>
            </w:r>
          </w:p>
        </w:tc>
        <w:tc>
          <w:tcPr>
            <w:tcW w:w="680" w:type="dxa"/>
            <w:tcBorders>
              <w:top w:val="nil"/>
              <w:left w:val="nil"/>
              <w:bottom w:val="single" w:sz="4" w:space="0" w:color="C7CFD8"/>
              <w:right w:val="nil"/>
            </w:tcBorders>
            <w:shd w:val="clear" w:color="auto" w:fill="auto"/>
            <w:noWrap/>
            <w:hideMark/>
          </w:tcPr>
          <w:p w14:paraId="7ADD22D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108D9667"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36,143</w:t>
            </w:r>
          </w:p>
        </w:tc>
      </w:tr>
      <w:tr w:rsidR="00B52DEF" w:rsidRPr="00B52DEF" w14:paraId="49A31634" w14:textId="77777777" w:rsidTr="00B52DEF">
        <w:trPr>
          <w:divId w:val="1720930991"/>
          <w:trHeight w:val="240"/>
        </w:trPr>
        <w:tc>
          <w:tcPr>
            <w:tcW w:w="280" w:type="dxa"/>
            <w:tcBorders>
              <w:top w:val="nil"/>
              <w:left w:val="nil"/>
              <w:bottom w:val="single" w:sz="4" w:space="0" w:color="C7CFD8"/>
              <w:right w:val="nil"/>
            </w:tcBorders>
            <w:shd w:val="clear" w:color="auto" w:fill="auto"/>
            <w:noWrap/>
            <w:hideMark/>
          </w:tcPr>
          <w:p w14:paraId="1302FB5E"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4.5</w:t>
            </w:r>
          </w:p>
        </w:tc>
        <w:tc>
          <w:tcPr>
            <w:tcW w:w="3100" w:type="dxa"/>
            <w:tcBorders>
              <w:top w:val="nil"/>
              <w:left w:val="nil"/>
              <w:bottom w:val="single" w:sz="4" w:space="0" w:color="C7CFD8"/>
              <w:right w:val="nil"/>
            </w:tcBorders>
            <w:shd w:val="clear" w:color="auto" w:fill="auto"/>
            <w:hideMark/>
          </w:tcPr>
          <w:p w14:paraId="7471EF55"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Enhanced IP infrastructure for IP Offices  </w:t>
            </w:r>
          </w:p>
        </w:tc>
        <w:tc>
          <w:tcPr>
            <w:tcW w:w="680" w:type="dxa"/>
            <w:tcBorders>
              <w:top w:val="nil"/>
              <w:left w:val="nil"/>
              <w:bottom w:val="single" w:sz="4" w:space="0" w:color="C7CFD8"/>
              <w:right w:val="nil"/>
            </w:tcBorders>
            <w:shd w:val="clear" w:color="auto" w:fill="auto"/>
            <w:hideMark/>
          </w:tcPr>
          <w:p w14:paraId="51F773D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D23983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7992FD5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70D2B5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970</w:t>
            </w:r>
          </w:p>
        </w:tc>
        <w:tc>
          <w:tcPr>
            <w:tcW w:w="620" w:type="dxa"/>
            <w:tcBorders>
              <w:top w:val="nil"/>
              <w:left w:val="nil"/>
              <w:bottom w:val="single" w:sz="4" w:space="0" w:color="C7CFD8"/>
              <w:right w:val="nil"/>
            </w:tcBorders>
            <w:shd w:val="clear" w:color="auto" w:fill="auto"/>
            <w:noWrap/>
            <w:hideMark/>
          </w:tcPr>
          <w:p w14:paraId="6F44D93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14,488</w:t>
            </w:r>
          </w:p>
        </w:tc>
        <w:tc>
          <w:tcPr>
            <w:tcW w:w="620" w:type="dxa"/>
            <w:tcBorders>
              <w:top w:val="nil"/>
              <w:left w:val="nil"/>
              <w:bottom w:val="single" w:sz="4" w:space="0" w:color="C7CFD8"/>
              <w:right w:val="nil"/>
            </w:tcBorders>
            <w:shd w:val="clear" w:color="auto" w:fill="auto"/>
            <w:noWrap/>
            <w:hideMark/>
          </w:tcPr>
          <w:p w14:paraId="3F4DCB54"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67E1FC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F95A2A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A8CE111"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15,459</w:t>
            </w:r>
          </w:p>
        </w:tc>
      </w:tr>
      <w:tr w:rsidR="00B52DEF" w:rsidRPr="00B52DEF" w14:paraId="0B2810F7" w14:textId="77777777" w:rsidTr="00B52DEF">
        <w:trPr>
          <w:divId w:val="1720930991"/>
          <w:trHeight w:val="690"/>
        </w:trPr>
        <w:tc>
          <w:tcPr>
            <w:tcW w:w="280" w:type="dxa"/>
            <w:tcBorders>
              <w:top w:val="nil"/>
              <w:left w:val="nil"/>
              <w:bottom w:val="single" w:sz="4" w:space="0" w:color="C7CFD8"/>
              <w:right w:val="nil"/>
            </w:tcBorders>
            <w:shd w:val="clear" w:color="auto" w:fill="auto"/>
            <w:noWrap/>
            <w:hideMark/>
          </w:tcPr>
          <w:p w14:paraId="1097983E"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5.1</w:t>
            </w:r>
          </w:p>
        </w:tc>
        <w:tc>
          <w:tcPr>
            <w:tcW w:w="3100" w:type="dxa"/>
            <w:tcBorders>
              <w:top w:val="nil"/>
              <w:left w:val="nil"/>
              <w:bottom w:val="single" w:sz="4" w:space="0" w:color="C7CFD8"/>
              <w:right w:val="nil"/>
            </w:tcBorders>
            <w:shd w:val="clear" w:color="auto" w:fill="auto"/>
            <w:hideMark/>
          </w:tcPr>
          <w:p w14:paraId="22B843B7"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A Secretariat that is empowered through a dynamic corporate culture and is provided with the right resources and training to work effectively, collaboratively and innovatively</w:t>
            </w:r>
          </w:p>
        </w:tc>
        <w:tc>
          <w:tcPr>
            <w:tcW w:w="680" w:type="dxa"/>
            <w:tcBorders>
              <w:top w:val="nil"/>
              <w:left w:val="nil"/>
              <w:bottom w:val="single" w:sz="4" w:space="0" w:color="C7CFD8"/>
              <w:right w:val="nil"/>
            </w:tcBorders>
            <w:shd w:val="clear" w:color="auto" w:fill="auto"/>
            <w:hideMark/>
          </w:tcPr>
          <w:p w14:paraId="120A780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6AAA4DE"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B839EB5"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36C593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EA7C6E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4585AA8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33EB385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61DCFF6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763FDDAC"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w:t>
            </w:r>
          </w:p>
        </w:tc>
      </w:tr>
      <w:tr w:rsidR="00B52DEF" w:rsidRPr="00B52DEF" w14:paraId="331A6873"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1B1F826A"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5.2</w:t>
            </w:r>
          </w:p>
        </w:tc>
        <w:tc>
          <w:tcPr>
            <w:tcW w:w="3100" w:type="dxa"/>
            <w:tcBorders>
              <w:top w:val="nil"/>
              <w:left w:val="nil"/>
              <w:bottom w:val="single" w:sz="4" w:space="0" w:color="C7CFD8"/>
              <w:right w:val="nil"/>
            </w:tcBorders>
            <w:shd w:val="clear" w:color="auto" w:fill="auto"/>
            <w:hideMark/>
          </w:tcPr>
          <w:p w14:paraId="22DAD634"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Digitally enabled, secure and sustainable operating environment and services</w:t>
            </w:r>
          </w:p>
        </w:tc>
        <w:tc>
          <w:tcPr>
            <w:tcW w:w="680" w:type="dxa"/>
            <w:tcBorders>
              <w:top w:val="nil"/>
              <w:left w:val="nil"/>
              <w:bottom w:val="single" w:sz="4" w:space="0" w:color="C7CFD8"/>
              <w:right w:val="nil"/>
            </w:tcBorders>
            <w:shd w:val="clear" w:color="auto" w:fill="auto"/>
            <w:hideMark/>
          </w:tcPr>
          <w:p w14:paraId="40585D7C"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9073AA9"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45622C5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624C530F"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51B428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1D464AD"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6C2711B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31DEB321"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478ACE55"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w:t>
            </w:r>
          </w:p>
        </w:tc>
      </w:tr>
      <w:tr w:rsidR="00B52DEF" w:rsidRPr="00B52DEF" w14:paraId="38897107" w14:textId="77777777" w:rsidTr="00B52DEF">
        <w:trPr>
          <w:divId w:val="1720930991"/>
          <w:trHeight w:val="390"/>
        </w:trPr>
        <w:tc>
          <w:tcPr>
            <w:tcW w:w="280" w:type="dxa"/>
            <w:tcBorders>
              <w:top w:val="nil"/>
              <w:left w:val="nil"/>
              <w:bottom w:val="single" w:sz="4" w:space="0" w:color="C7CFD8"/>
              <w:right w:val="nil"/>
            </w:tcBorders>
            <w:shd w:val="clear" w:color="auto" w:fill="auto"/>
            <w:noWrap/>
            <w:hideMark/>
          </w:tcPr>
          <w:p w14:paraId="1725C7E4" w14:textId="77777777" w:rsidR="00B52DEF" w:rsidRPr="00B52DEF" w:rsidRDefault="00B52DEF" w:rsidP="00B52DEF">
            <w:pPr>
              <w:spacing w:after="0" w:line="240" w:lineRule="auto"/>
              <w:jc w:val="center"/>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5.3</w:t>
            </w:r>
          </w:p>
        </w:tc>
        <w:tc>
          <w:tcPr>
            <w:tcW w:w="3100" w:type="dxa"/>
            <w:tcBorders>
              <w:top w:val="nil"/>
              <w:left w:val="nil"/>
              <w:bottom w:val="single" w:sz="4" w:space="0" w:color="C7CFD8"/>
              <w:right w:val="nil"/>
            </w:tcBorders>
            <w:shd w:val="clear" w:color="auto" w:fill="auto"/>
            <w:hideMark/>
          </w:tcPr>
          <w:p w14:paraId="1F722D94" w14:textId="77777777" w:rsidR="00B52DEF" w:rsidRPr="00B52DEF" w:rsidRDefault="00B52DEF" w:rsidP="00B52DEF">
            <w:pPr>
              <w:spacing w:after="0" w:line="240" w:lineRule="auto"/>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 xml:space="preserve">Sound and prudent financial management and effective corporate governance and oversight </w:t>
            </w:r>
          </w:p>
        </w:tc>
        <w:tc>
          <w:tcPr>
            <w:tcW w:w="680" w:type="dxa"/>
            <w:tcBorders>
              <w:top w:val="nil"/>
              <w:left w:val="nil"/>
              <w:bottom w:val="single" w:sz="4" w:space="0" w:color="C7CFD8"/>
              <w:right w:val="nil"/>
            </w:tcBorders>
            <w:shd w:val="clear" w:color="auto" w:fill="auto"/>
            <w:hideMark/>
          </w:tcPr>
          <w:p w14:paraId="7A4B3FA2"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33D524E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12F4D5D6"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hideMark/>
          </w:tcPr>
          <w:p w14:paraId="55BC1D27"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2CB733A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0B45DA13"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20" w:type="dxa"/>
            <w:tcBorders>
              <w:top w:val="nil"/>
              <w:left w:val="nil"/>
              <w:bottom w:val="single" w:sz="4" w:space="0" w:color="C7CFD8"/>
              <w:right w:val="nil"/>
            </w:tcBorders>
            <w:shd w:val="clear" w:color="auto" w:fill="auto"/>
            <w:noWrap/>
            <w:hideMark/>
          </w:tcPr>
          <w:p w14:paraId="11CBD22A"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534A3EC4" w14:textId="77777777" w:rsidR="00B52DEF" w:rsidRPr="00B52DEF" w:rsidRDefault="00B52DEF" w:rsidP="00B52DEF">
            <w:pPr>
              <w:spacing w:after="0" w:line="240" w:lineRule="auto"/>
              <w:jc w:val="right"/>
              <w:rPr>
                <w:rFonts w:ascii="Arial Narrow" w:eastAsia="Times New Roman" w:hAnsi="Arial Narrow" w:cs="Times New Roman"/>
                <w:sz w:val="14"/>
                <w:szCs w:val="14"/>
                <w:lang w:val="en-US"/>
              </w:rPr>
            </w:pPr>
            <w:r w:rsidRPr="00B52DEF">
              <w:rPr>
                <w:rFonts w:ascii="Arial Narrow" w:eastAsia="Times New Roman" w:hAnsi="Arial Narrow" w:cs="Times New Roman"/>
                <w:sz w:val="14"/>
                <w:szCs w:val="14"/>
                <w:lang w:val="en-US"/>
              </w:rPr>
              <w:t>-</w:t>
            </w:r>
          </w:p>
        </w:tc>
        <w:tc>
          <w:tcPr>
            <w:tcW w:w="680" w:type="dxa"/>
            <w:tcBorders>
              <w:top w:val="nil"/>
              <w:left w:val="nil"/>
              <w:bottom w:val="single" w:sz="4" w:space="0" w:color="C7CFD8"/>
              <w:right w:val="nil"/>
            </w:tcBorders>
            <w:shd w:val="clear" w:color="auto" w:fill="auto"/>
            <w:noWrap/>
            <w:hideMark/>
          </w:tcPr>
          <w:p w14:paraId="6256D72B"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w:t>
            </w:r>
          </w:p>
        </w:tc>
      </w:tr>
      <w:tr w:rsidR="00B52DEF" w:rsidRPr="00B52DEF" w14:paraId="03EE50CD" w14:textId="77777777" w:rsidTr="00B52DEF">
        <w:trPr>
          <w:divId w:val="1720930991"/>
          <w:trHeight w:val="270"/>
        </w:trPr>
        <w:tc>
          <w:tcPr>
            <w:tcW w:w="280" w:type="dxa"/>
            <w:tcBorders>
              <w:top w:val="nil"/>
              <w:left w:val="nil"/>
              <w:bottom w:val="single" w:sz="8" w:space="0" w:color="C7CFD8"/>
              <w:right w:val="nil"/>
            </w:tcBorders>
            <w:shd w:val="clear" w:color="auto" w:fill="auto"/>
            <w:noWrap/>
            <w:vAlign w:val="center"/>
            <w:hideMark/>
          </w:tcPr>
          <w:p w14:paraId="0BC1DC4F" w14:textId="77777777" w:rsidR="00B52DEF" w:rsidRPr="00B52DEF" w:rsidRDefault="00B52DEF" w:rsidP="00B52DEF">
            <w:pPr>
              <w:spacing w:after="0" w:line="240" w:lineRule="auto"/>
              <w:rPr>
                <w:rFonts w:ascii="Arial Narrow" w:eastAsia="Times New Roman" w:hAnsi="Arial Narrow" w:cs="Times New Roman"/>
                <w:color w:val="005694"/>
                <w:sz w:val="14"/>
                <w:szCs w:val="14"/>
                <w:lang w:val="en-US"/>
              </w:rPr>
            </w:pPr>
            <w:r w:rsidRPr="00B52DEF">
              <w:rPr>
                <w:rFonts w:ascii="Arial Narrow" w:eastAsia="Times New Roman" w:hAnsi="Arial Narrow" w:cs="Times New Roman"/>
                <w:color w:val="005694"/>
                <w:sz w:val="14"/>
                <w:szCs w:val="14"/>
                <w:lang w:val="en-US"/>
              </w:rPr>
              <w:t> </w:t>
            </w:r>
          </w:p>
        </w:tc>
        <w:tc>
          <w:tcPr>
            <w:tcW w:w="3100" w:type="dxa"/>
            <w:tcBorders>
              <w:top w:val="nil"/>
              <w:left w:val="nil"/>
              <w:bottom w:val="single" w:sz="8" w:space="0" w:color="C7CFD8"/>
              <w:right w:val="nil"/>
            </w:tcBorders>
            <w:shd w:val="clear" w:color="auto" w:fill="auto"/>
            <w:noWrap/>
            <w:vAlign w:val="center"/>
            <w:hideMark/>
          </w:tcPr>
          <w:p w14:paraId="272D701C" w14:textId="77777777" w:rsidR="00B52DEF" w:rsidRPr="00B52DEF" w:rsidRDefault="00B52DEF" w:rsidP="00B52DEF">
            <w:pPr>
              <w:spacing w:after="0" w:line="240" w:lineRule="auto"/>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TOTAL</w:t>
            </w:r>
          </w:p>
        </w:tc>
        <w:tc>
          <w:tcPr>
            <w:tcW w:w="680" w:type="dxa"/>
            <w:tcBorders>
              <w:top w:val="nil"/>
              <w:left w:val="nil"/>
              <w:bottom w:val="single" w:sz="8" w:space="0" w:color="C7CFD8"/>
              <w:right w:val="nil"/>
            </w:tcBorders>
            <w:shd w:val="clear" w:color="auto" w:fill="auto"/>
            <w:noWrap/>
            <w:vAlign w:val="center"/>
            <w:hideMark/>
          </w:tcPr>
          <w:p w14:paraId="1532987F"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11,275</w:t>
            </w:r>
          </w:p>
        </w:tc>
        <w:tc>
          <w:tcPr>
            <w:tcW w:w="620" w:type="dxa"/>
            <w:tcBorders>
              <w:top w:val="nil"/>
              <w:left w:val="nil"/>
              <w:bottom w:val="single" w:sz="8" w:space="0" w:color="C7CFD8"/>
              <w:right w:val="nil"/>
            </w:tcBorders>
            <w:shd w:val="clear" w:color="auto" w:fill="auto"/>
            <w:noWrap/>
            <w:vAlign w:val="center"/>
            <w:hideMark/>
          </w:tcPr>
          <w:p w14:paraId="51110E10"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13,643</w:t>
            </w:r>
          </w:p>
        </w:tc>
        <w:tc>
          <w:tcPr>
            <w:tcW w:w="620" w:type="dxa"/>
            <w:tcBorders>
              <w:top w:val="nil"/>
              <w:left w:val="nil"/>
              <w:bottom w:val="single" w:sz="8" w:space="0" w:color="C7CFD8"/>
              <w:right w:val="nil"/>
            </w:tcBorders>
            <w:shd w:val="clear" w:color="auto" w:fill="auto"/>
            <w:noWrap/>
            <w:vAlign w:val="center"/>
            <w:hideMark/>
          </w:tcPr>
          <w:p w14:paraId="1655520F"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21,588</w:t>
            </w:r>
          </w:p>
        </w:tc>
        <w:tc>
          <w:tcPr>
            <w:tcW w:w="620" w:type="dxa"/>
            <w:tcBorders>
              <w:top w:val="nil"/>
              <w:left w:val="nil"/>
              <w:bottom w:val="single" w:sz="8" w:space="0" w:color="C7CFD8"/>
              <w:right w:val="nil"/>
            </w:tcBorders>
            <w:shd w:val="clear" w:color="auto" w:fill="auto"/>
            <w:noWrap/>
            <w:vAlign w:val="center"/>
            <w:hideMark/>
          </w:tcPr>
          <w:p w14:paraId="6239BF8C"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76,100</w:t>
            </w:r>
          </w:p>
        </w:tc>
        <w:tc>
          <w:tcPr>
            <w:tcW w:w="620" w:type="dxa"/>
            <w:tcBorders>
              <w:top w:val="nil"/>
              <w:left w:val="nil"/>
              <w:bottom w:val="single" w:sz="8" w:space="0" w:color="C7CFD8"/>
              <w:right w:val="nil"/>
            </w:tcBorders>
            <w:shd w:val="clear" w:color="auto" w:fill="auto"/>
            <w:noWrap/>
            <w:vAlign w:val="center"/>
            <w:hideMark/>
          </w:tcPr>
          <w:p w14:paraId="5C763D3E"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18,556</w:t>
            </w:r>
          </w:p>
        </w:tc>
        <w:tc>
          <w:tcPr>
            <w:tcW w:w="620" w:type="dxa"/>
            <w:tcBorders>
              <w:top w:val="nil"/>
              <w:left w:val="nil"/>
              <w:bottom w:val="single" w:sz="8" w:space="0" w:color="C7CFD8"/>
              <w:right w:val="nil"/>
            </w:tcBorders>
            <w:shd w:val="clear" w:color="auto" w:fill="auto"/>
            <w:noWrap/>
            <w:vAlign w:val="center"/>
            <w:hideMark/>
          </w:tcPr>
          <w:p w14:paraId="3F185621"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15,303</w:t>
            </w:r>
          </w:p>
        </w:tc>
        <w:tc>
          <w:tcPr>
            <w:tcW w:w="620" w:type="dxa"/>
            <w:tcBorders>
              <w:top w:val="nil"/>
              <w:left w:val="nil"/>
              <w:bottom w:val="single" w:sz="8" w:space="0" w:color="C7CFD8"/>
              <w:right w:val="nil"/>
            </w:tcBorders>
            <w:shd w:val="clear" w:color="auto" w:fill="auto"/>
            <w:noWrap/>
            <w:vAlign w:val="center"/>
            <w:hideMark/>
          </w:tcPr>
          <w:p w14:paraId="23AD0B54"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26,985</w:t>
            </w:r>
          </w:p>
        </w:tc>
        <w:tc>
          <w:tcPr>
            <w:tcW w:w="680" w:type="dxa"/>
            <w:tcBorders>
              <w:top w:val="nil"/>
              <w:left w:val="nil"/>
              <w:bottom w:val="single" w:sz="8" w:space="0" w:color="C7CFD8"/>
              <w:right w:val="nil"/>
            </w:tcBorders>
            <w:shd w:val="clear" w:color="auto" w:fill="auto"/>
            <w:noWrap/>
            <w:vAlign w:val="center"/>
            <w:hideMark/>
          </w:tcPr>
          <w:p w14:paraId="4098591A"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w:t>
            </w:r>
          </w:p>
        </w:tc>
        <w:tc>
          <w:tcPr>
            <w:tcW w:w="680" w:type="dxa"/>
            <w:tcBorders>
              <w:top w:val="nil"/>
              <w:left w:val="nil"/>
              <w:bottom w:val="single" w:sz="8" w:space="0" w:color="C7CFD8"/>
              <w:right w:val="nil"/>
            </w:tcBorders>
            <w:shd w:val="clear" w:color="auto" w:fill="auto"/>
            <w:noWrap/>
            <w:vAlign w:val="center"/>
            <w:hideMark/>
          </w:tcPr>
          <w:p w14:paraId="2F9F0E24" w14:textId="77777777" w:rsidR="00B52DEF" w:rsidRPr="00B52DEF" w:rsidRDefault="00B52DEF" w:rsidP="00B52DEF">
            <w:pPr>
              <w:spacing w:after="0" w:line="240" w:lineRule="auto"/>
              <w:jc w:val="right"/>
              <w:rPr>
                <w:rFonts w:ascii="Arial Narrow" w:eastAsia="Times New Roman" w:hAnsi="Arial Narrow" w:cs="Times New Roman"/>
                <w:b/>
                <w:bCs/>
                <w:sz w:val="14"/>
                <w:szCs w:val="14"/>
                <w:lang w:val="en-US"/>
              </w:rPr>
            </w:pPr>
            <w:r w:rsidRPr="00B52DEF">
              <w:rPr>
                <w:rFonts w:ascii="Arial Narrow" w:eastAsia="Times New Roman" w:hAnsi="Arial Narrow" w:cs="Times New Roman"/>
                <w:b/>
                <w:bCs/>
                <w:sz w:val="14"/>
                <w:szCs w:val="14"/>
                <w:lang w:val="en-US"/>
              </w:rPr>
              <w:t>183,449</w:t>
            </w:r>
          </w:p>
        </w:tc>
      </w:tr>
    </w:tbl>
    <w:p w14:paraId="79F66F15" w14:textId="6EFB36B6" w:rsidR="00C532EB" w:rsidRDefault="00C532EB" w:rsidP="006D0A8E">
      <w:pPr>
        <w:spacing w:after="200" w:line="276" w:lineRule="auto"/>
        <w:rPr>
          <w:lang w:val="en-US"/>
        </w:rPr>
      </w:pPr>
    </w:p>
    <w:p w14:paraId="59ABB26F" w14:textId="3AA3EC41" w:rsidR="008B4975" w:rsidRDefault="008B4975" w:rsidP="006D0A8E">
      <w:pPr>
        <w:spacing w:after="200" w:line="276" w:lineRule="auto"/>
        <w:rPr>
          <w:lang w:val="en-US"/>
        </w:rPr>
      </w:pPr>
    </w:p>
    <w:p w14:paraId="3DAB47C4" w14:textId="407914A0" w:rsidR="008B4975" w:rsidRDefault="008B4975" w:rsidP="006D0A8E">
      <w:pPr>
        <w:spacing w:after="200" w:line="276" w:lineRule="auto"/>
        <w:rPr>
          <w:lang w:val="en-US"/>
        </w:rPr>
      </w:pPr>
    </w:p>
    <w:p w14:paraId="0019145F" w14:textId="540DD297" w:rsidR="008B4975" w:rsidRDefault="008B4975" w:rsidP="006D0A8E">
      <w:pPr>
        <w:spacing w:after="200" w:line="276" w:lineRule="auto"/>
        <w:rPr>
          <w:lang w:val="en-US"/>
        </w:rPr>
      </w:pPr>
    </w:p>
    <w:p w14:paraId="3154DA93" w14:textId="1C2C47C4" w:rsidR="008B4975" w:rsidRDefault="008B4975" w:rsidP="006D0A8E">
      <w:pPr>
        <w:spacing w:after="200" w:line="276" w:lineRule="auto"/>
        <w:rPr>
          <w:lang w:val="en-US"/>
        </w:rPr>
      </w:pPr>
    </w:p>
    <w:p w14:paraId="69C9DC07" w14:textId="7CE30AFE" w:rsidR="008B4975" w:rsidRDefault="008B4975" w:rsidP="006D0A8E">
      <w:pPr>
        <w:spacing w:after="200" w:line="276" w:lineRule="auto"/>
        <w:rPr>
          <w:lang w:val="en-US"/>
        </w:rPr>
      </w:pPr>
    </w:p>
    <w:p w14:paraId="2D29A31E" w14:textId="7AD3132C" w:rsidR="008B4975" w:rsidRDefault="008B4975" w:rsidP="006D0A8E">
      <w:pPr>
        <w:spacing w:after="200" w:line="276" w:lineRule="auto"/>
        <w:rPr>
          <w:lang w:val="en-US"/>
        </w:rPr>
      </w:pPr>
    </w:p>
    <w:p w14:paraId="0E936796" w14:textId="2A806527" w:rsidR="008B4975" w:rsidRDefault="008B4975" w:rsidP="006D0A8E">
      <w:pPr>
        <w:spacing w:after="200" w:line="276" w:lineRule="auto"/>
        <w:rPr>
          <w:lang w:val="en-US"/>
        </w:rPr>
      </w:pPr>
    </w:p>
    <w:p w14:paraId="1AB55D77" w14:textId="3277B1A2" w:rsidR="008B4975" w:rsidRDefault="008B4975" w:rsidP="006D0A8E">
      <w:pPr>
        <w:spacing w:after="200" w:line="276" w:lineRule="auto"/>
        <w:rPr>
          <w:lang w:val="en-US"/>
        </w:rPr>
      </w:pPr>
    </w:p>
    <w:p w14:paraId="6F220419" w14:textId="4B2E553F" w:rsidR="008B4975" w:rsidRDefault="008B4975" w:rsidP="006D0A8E">
      <w:pPr>
        <w:spacing w:after="200" w:line="276" w:lineRule="auto"/>
        <w:rPr>
          <w:lang w:val="en-US"/>
        </w:rPr>
      </w:pPr>
    </w:p>
    <w:p w14:paraId="4804381D" w14:textId="4299F5C1" w:rsidR="003933F4" w:rsidRPr="008B4975" w:rsidRDefault="00CF52C0" w:rsidP="008B4975">
      <w:pPr>
        <w:spacing w:after="0" w:line="240" w:lineRule="auto"/>
        <w:jc w:val="center"/>
        <w:rPr>
          <w:rFonts w:asciiTheme="minorHAnsi" w:eastAsia="Times New Roman" w:hAnsiTheme="minorHAnsi" w:cstheme="minorHAnsi"/>
          <w:b/>
          <w:bCs/>
          <w:color w:val="005172"/>
          <w:szCs w:val="18"/>
          <w:lang w:val="en-US"/>
        </w:rPr>
      </w:pPr>
      <w:r w:rsidRPr="00285F7B">
        <w:rPr>
          <w:rFonts w:asciiTheme="minorHAnsi" w:eastAsia="Times New Roman" w:hAnsiTheme="minorHAnsi" w:cstheme="minorHAnsi"/>
          <w:b/>
          <w:bCs/>
          <w:color w:val="005172"/>
          <w:szCs w:val="18"/>
          <w:lang w:val="en-US"/>
        </w:rPr>
        <w:t>Comparison of Develo</w:t>
      </w:r>
      <w:r w:rsidR="003933F4">
        <w:rPr>
          <w:rFonts w:asciiTheme="minorHAnsi" w:eastAsia="Times New Roman" w:hAnsiTheme="minorHAnsi" w:cstheme="minorHAnsi"/>
          <w:b/>
          <w:bCs/>
          <w:color w:val="005172"/>
          <w:szCs w:val="18"/>
          <w:lang w:val="en-US"/>
        </w:rPr>
        <w:t>pment Expenditure by Sector 2024/25 vs 2022</w:t>
      </w:r>
      <w:r w:rsidRPr="00285F7B">
        <w:rPr>
          <w:rFonts w:asciiTheme="minorHAnsi" w:eastAsia="Times New Roman" w:hAnsiTheme="minorHAnsi" w:cstheme="minorHAnsi"/>
          <w:b/>
          <w:bCs/>
          <w:color w:val="005172"/>
          <w:szCs w:val="18"/>
          <w:lang w:val="en-US"/>
        </w:rPr>
        <w:t>/2</w:t>
      </w:r>
      <w:r w:rsidR="003933F4">
        <w:rPr>
          <w:rFonts w:asciiTheme="minorHAnsi" w:eastAsia="Times New Roman" w:hAnsiTheme="minorHAnsi" w:cstheme="minorHAnsi"/>
          <w:b/>
          <w:bCs/>
          <w:color w:val="005172"/>
          <w:szCs w:val="18"/>
          <w:lang w:val="en-US"/>
        </w:rPr>
        <w:t>3</w:t>
      </w:r>
    </w:p>
    <w:p w14:paraId="12BBBBFE" w14:textId="075F52E1" w:rsidR="00B52DEF" w:rsidRDefault="00F6114F" w:rsidP="00B52DEF">
      <w:pPr>
        <w:jc w:val="center"/>
        <w:rPr>
          <w:rFonts w:asciiTheme="minorHAnsi" w:hAnsiTheme="minorHAnsi"/>
          <w:sz w:val="22"/>
        </w:rPr>
      </w:pPr>
      <w:r w:rsidRPr="00F6114F">
        <w:rPr>
          <w:i/>
          <w:lang w:val="en-US"/>
        </w:rPr>
        <w:t>(in thousands of Swiss francs)</w:t>
      </w:r>
    </w:p>
    <w:tbl>
      <w:tblPr>
        <w:tblW w:w="9900" w:type="dxa"/>
        <w:tblLook w:val="04A0" w:firstRow="1" w:lastRow="0" w:firstColumn="1" w:lastColumn="0" w:noHBand="0" w:noVBand="1"/>
      </w:tblPr>
      <w:tblGrid>
        <w:gridCol w:w="2200"/>
        <w:gridCol w:w="880"/>
        <w:gridCol w:w="760"/>
        <w:gridCol w:w="900"/>
        <w:gridCol w:w="880"/>
        <w:gridCol w:w="760"/>
        <w:gridCol w:w="940"/>
        <w:gridCol w:w="880"/>
        <w:gridCol w:w="760"/>
        <w:gridCol w:w="940"/>
      </w:tblGrid>
      <w:tr w:rsidR="00B52DEF" w:rsidRPr="00B52DEF" w14:paraId="5A1923C4" w14:textId="77777777" w:rsidTr="00B52DEF">
        <w:trPr>
          <w:trHeight w:val="450"/>
        </w:trPr>
        <w:tc>
          <w:tcPr>
            <w:tcW w:w="2200" w:type="dxa"/>
            <w:vMerge w:val="restart"/>
            <w:tcBorders>
              <w:top w:val="nil"/>
              <w:left w:val="nil"/>
              <w:bottom w:val="nil"/>
              <w:right w:val="nil"/>
            </w:tcBorders>
            <w:shd w:val="clear" w:color="000000" w:fill="C7CFD8"/>
            <w:noWrap/>
            <w:vAlign w:val="center"/>
            <w:hideMark/>
          </w:tcPr>
          <w:p w14:paraId="71DAC90F" w14:textId="0ACDC2ED" w:rsidR="00B52DEF" w:rsidRPr="00B52DEF" w:rsidRDefault="00B52DEF">
            <w:pPr>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Sector</w:t>
            </w:r>
          </w:p>
        </w:tc>
        <w:tc>
          <w:tcPr>
            <w:tcW w:w="2540" w:type="dxa"/>
            <w:gridSpan w:val="3"/>
            <w:tcBorders>
              <w:top w:val="nil"/>
              <w:left w:val="nil"/>
              <w:bottom w:val="single" w:sz="4" w:space="0" w:color="748B9E"/>
              <w:right w:val="nil"/>
            </w:tcBorders>
            <w:shd w:val="clear" w:color="000000" w:fill="C7CFD8"/>
            <w:vAlign w:val="center"/>
            <w:hideMark/>
          </w:tcPr>
          <w:p w14:paraId="716040AD" w14:textId="77777777" w:rsidR="00B52DEF" w:rsidRPr="00B52DEF" w:rsidRDefault="00B52DEF" w:rsidP="00B52DEF">
            <w:pPr>
              <w:spacing w:after="0" w:line="240" w:lineRule="auto"/>
              <w:jc w:val="center"/>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2024/25 Proposed Budget</w:t>
            </w:r>
          </w:p>
        </w:tc>
        <w:tc>
          <w:tcPr>
            <w:tcW w:w="2580" w:type="dxa"/>
            <w:gridSpan w:val="3"/>
            <w:tcBorders>
              <w:top w:val="nil"/>
              <w:left w:val="nil"/>
              <w:bottom w:val="single" w:sz="4" w:space="0" w:color="748B9E"/>
              <w:right w:val="nil"/>
            </w:tcBorders>
            <w:shd w:val="clear" w:color="000000" w:fill="C7CFD8"/>
            <w:vAlign w:val="center"/>
            <w:hideMark/>
          </w:tcPr>
          <w:p w14:paraId="149E3359" w14:textId="77777777" w:rsidR="00B52DEF" w:rsidRPr="00B52DEF" w:rsidRDefault="00B52DEF" w:rsidP="00B52DEF">
            <w:pPr>
              <w:spacing w:after="0" w:line="240" w:lineRule="auto"/>
              <w:jc w:val="center"/>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2022/23 PoW&amp;B</w:t>
            </w:r>
          </w:p>
        </w:tc>
        <w:tc>
          <w:tcPr>
            <w:tcW w:w="2580" w:type="dxa"/>
            <w:gridSpan w:val="3"/>
            <w:tcBorders>
              <w:top w:val="nil"/>
              <w:left w:val="nil"/>
              <w:bottom w:val="single" w:sz="4" w:space="0" w:color="748B9E"/>
              <w:right w:val="nil"/>
            </w:tcBorders>
            <w:shd w:val="clear" w:color="000000" w:fill="C7CFD8"/>
            <w:vAlign w:val="center"/>
            <w:hideMark/>
          </w:tcPr>
          <w:p w14:paraId="1424929C" w14:textId="77777777" w:rsidR="00B52DEF" w:rsidRPr="00B52DEF" w:rsidRDefault="00B52DEF" w:rsidP="00B52DEF">
            <w:pPr>
              <w:spacing w:after="0" w:line="240" w:lineRule="auto"/>
              <w:jc w:val="center"/>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2024/25 vs</w:t>
            </w:r>
            <w:r w:rsidRPr="00B52DEF">
              <w:rPr>
                <w:rFonts w:ascii="Arial Narrow" w:eastAsia="Times New Roman" w:hAnsi="Arial Narrow" w:cs="Times New Roman"/>
                <w:b/>
                <w:bCs/>
                <w:sz w:val="16"/>
                <w:szCs w:val="16"/>
                <w:lang w:val="en-US"/>
              </w:rPr>
              <w:br/>
              <w:t xml:space="preserve"> 2022/23 PoW&amp;B</w:t>
            </w:r>
          </w:p>
        </w:tc>
      </w:tr>
      <w:tr w:rsidR="00B52DEF" w:rsidRPr="00B52DEF" w14:paraId="1FCC4AB8" w14:textId="77777777" w:rsidTr="00B52DEF">
        <w:trPr>
          <w:trHeight w:val="480"/>
        </w:trPr>
        <w:tc>
          <w:tcPr>
            <w:tcW w:w="2200" w:type="dxa"/>
            <w:vMerge/>
            <w:tcBorders>
              <w:top w:val="nil"/>
              <w:left w:val="nil"/>
              <w:bottom w:val="nil"/>
              <w:right w:val="nil"/>
            </w:tcBorders>
            <w:vAlign w:val="center"/>
            <w:hideMark/>
          </w:tcPr>
          <w:p w14:paraId="117DFFC8"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p>
        </w:tc>
        <w:tc>
          <w:tcPr>
            <w:tcW w:w="880" w:type="dxa"/>
            <w:tcBorders>
              <w:top w:val="nil"/>
              <w:left w:val="nil"/>
              <w:bottom w:val="nil"/>
              <w:right w:val="nil"/>
            </w:tcBorders>
            <w:shd w:val="clear" w:color="000000" w:fill="C7CFD8"/>
            <w:vAlign w:val="center"/>
            <w:hideMark/>
          </w:tcPr>
          <w:p w14:paraId="29CA4C83"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Budget</w:t>
            </w:r>
          </w:p>
        </w:tc>
        <w:tc>
          <w:tcPr>
            <w:tcW w:w="760" w:type="dxa"/>
            <w:tcBorders>
              <w:top w:val="nil"/>
              <w:left w:val="nil"/>
              <w:bottom w:val="nil"/>
              <w:right w:val="nil"/>
            </w:tcBorders>
            <w:shd w:val="clear" w:color="000000" w:fill="C7CFD8"/>
            <w:vAlign w:val="center"/>
            <w:hideMark/>
          </w:tcPr>
          <w:p w14:paraId="50E6018D"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DA</w:t>
            </w:r>
            <w:r w:rsidRPr="00B52DEF">
              <w:rPr>
                <w:rFonts w:ascii="Arial Narrow" w:eastAsia="Times New Roman" w:hAnsi="Arial Narrow" w:cs="Times New Roman"/>
                <w:b/>
                <w:bCs/>
                <w:sz w:val="16"/>
                <w:szCs w:val="16"/>
                <w:lang w:val="en-US"/>
              </w:rPr>
              <w:br/>
              <w:t>Projects</w:t>
            </w:r>
          </w:p>
        </w:tc>
        <w:tc>
          <w:tcPr>
            <w:tcW w:w="900" w:type="dxa"/>
            <w:tcBorders>
              <w:top w:val="nil"/>
              <w:left w:val="nil"/>
              <w:bottom w:val="nil"/>
              <w:right w:val="nil"/>
            </w:tcBorders>
            <w:shd w:val="clear" w:color="000000" w:fill="C7CFD8"/>
            <w:vAlign w:val="center"/>
            <w:hideMark/>
          </w:tcPr>
          <w:p w14:paraId="22D64E66"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Total w/DA Projects </w:t>
            </w:r>
          </w:p>
        </w:tc>
        <w:tc>
          <w:tcPr>
            <w:tcW w:w="880" w:type="dxa"/>
            <w:tcBorders>
              <w:top w:val="nil"/>
              <w:left w:val="single" w:sz="4" w:space="0" w:color="748B9E"/>
              <w:bottom w:val="nil"/>
              <w:right w:val="nil"/>
            </w:tcBorders>
            <w:shd w:val="clear" w:color="000000" w:fill="C7CFD8"/>
            <w:vAlign w:val="center"/>
            <w:hideMark/>
          </w:tcPr>
          <w:p w14:paraId="128A602C"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Budget</w:t>
            </w:r>
          </w:p>
        </w:tc>
        <w:tc>
          <w:tcPr>
            <w:tcW w:w="760" w:type="dxa"/>
            <w:tcBorders>
              <w:top w:val="nil"/>
              <w:left w:val="nil"/>
              <w:bottom w:val="nil"/>
              <w:right w:val="nil"/>
            </w:tcBorders>
            <w:shd w:val="clear" w:color="000000" w:fill="C7CFD8"/>
            <w:vAlign w:val="center"/>
            <w:hideMark/>
          </w:tcPr>
          <w:p w14:paraId="6198258A"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DA</w:t>
            </w:r>
            <w:r w:rsidRPr="00B52DEF">
              <w:rPr>
                <w:rFonts w:ascii="Arial Narrow" w:eastAsia="Times New Roman" w:hAnsi="Arial Narrow" w:cs="Times New Roman"/>
                <w:b/>
                <w:bCs/>
                <w:sz w:val="16"/>
                <w:szCs w:val="16"/>
                <w:lang w:val="en-US"/>
              </w:rPr>
              <w:br/>
              <w:t>Projects</w:t>
            </w:r>
          </w:p>
        </w:tc>
        <w:tc>
          <w:tcPr>
            <w:tcW w:w="940" w:type="dxa"/>
            <w:tcBorders>
              <w:top w:val="nil"/>
              <w:left w:val="nil"/>
              <w:bottom w:val="nil"/>
              <w:right w:val="single" w:sz="4" w:space="0" w:color="748B9E"/>
            </w:tcBorders>
            <w:shd w:val="clear" w:color="000000" w:fill="C7CFD8"/>
            <w:vAlign w:val="center"/>
            <w:hideMark/>
          </w:tcPr>
          <w:p w14:paraId="24E509C2"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Total w/DA Projects </w:t>
            </w:r>
          </w:p>
        </w:tc>
        <w:tc>
          <w:tcPr>
            <w:tcW w:w="880" w:type="dxa"/>
            <w:tcBorders>
              <w:top w:val="nil"/>
              <w:left w:val="nil"/>
              <w:bottom w:val="nil"/>
              <w:right w:val="nil"/>
            </w:tcBorders>
            <w:shd w:val="clear" w:color="000000" w:fill="C7CFD8"/>
            <w:vAlign w:val="center"/>
            <w:hideMark/>
          </w:tcPr>
          <w:p w14:paraId="01B41D2A"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Budget</w:t>
            </w:r>
          </w:p>
        </w:tc>
        <w:tc>
          <w:tcPr>
            <w:tcW w:w="760" w:type="dxa"/>
            <w:tcBorders>
              <w:top w:val="nil"/>
              <w:left w:val="nil"/>
              <w:bottom w:val="nil"/>
              <w:right w:val="nil"/>
            </w:tcBorders>
            <w:shd w:val="clear" w:color="000000" w:fill="C7CFD8"/>
            <w:vAlign w:val="center"/>
            <w:hideMark/>
          </w:tcPr>
          <w:p w14:paraId="75CF84E2"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DA</w:t>
            </w:r>
            <w:r w:rsidRPr="00B52DEF">
              <w:rPr>
                <w:rFonts w:ascii="Arial Narrow" w:eastAsia="Times New Roman" w:hAnsi="Arial Narrow" w:cs="Times New Roman"/>
                <w:b/>
                <w:bCs/>
                <w:sz w:val="16"/>
                <w:szCs w:val="16"/>
                <w:lang w:val="en-US"/>
              </w:rPr>
              <w:br/>
              <w:t>Projects</w:t>
            </w:r>
          </w:p>
        </w:tc>
        <w:tc>
          <w:tcPr>
            <w:tcW w:w="940" w:type="dxa"/>
            <w:tcBorders>
              <w:top w:val="nil"/>
              <w:left w:val="nil"/>
              <w:bottom w:val="nil"/>
              <w:right w:val="nil"/>
            </w:tcBorders>
            <w:shd w:val="clear" w:color="000000" w:fill="C7CFD8"/>
            <w:vAlign w:val="center"/>
            <w:hideMark/>
          </w:tcPr>
          <w:p w14:paraId="3529CDE3"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Total w/DA Projects </w:t>
            </w:r>
          </w:p>
        </w:tc>
      </w:tr>
      <w:tr w:rsidR="00B52DEF" w:rsidRPr="00B52DEF" w14:paraId="2F810261" w14:textId="77777777" w:rsidTr="00B52DEF">
        <w:trPr>
          <w:trHeight w:val="330"/>
        </w:trPr>
        <w:tc>
          <w:tcPr>
            <w:tcW w:w="2200" w:type="dxa"/>
            <w:tcBorders>
              <w:top w:val="nil"/>
              <w:left w:val="nil"/>
              <w:bottom w:val="nil"/>
              <w:right w:val="nil"/>
            </w:tcBorders>
            <w:shd w:val="clear" w:color="auto" w:fill="auto"/>
            <w:hideMark/>
          </w:tcPr>
          <w:p w14:paraId="7B5B32BB"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Patents and Technology</w:t>
            </w:r>
          </w:p>
        </w:tc>
        <w:tc>
          <w:tcPr>
            <w:tcW w:w="880" w:type="dxa"/>
            <w:tcBorders>
              <w:top w:val="nil"/>
              <w:left w:val="nil"/>
              <w:bottom w:val="nil"/>
              <w:right w:val="nil"/>
            </w:tcBorders>
            <w:shd w:val="clear" w:color="auto" w:fill="auto"/>
            <w:noWrap/>
            <w:hideMark/>
          </w:tcPr>
          <w:p w14:paraId="74B6317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11,275</w:t>
            </w:r>
          </w:p>
        </w:tc>
        <w:tc>
          <w:tcPr>
            <w:tcW w:w="760" w:type="dxa"/>
            <w:tcBorders>
              <w:top w:val="nil"/>
              <w:left w:val="nil"/>
              <w:bottom w:val="nil"/>
              <w:right w:val="nil"/>
            </w:tcBorders>
            <w:shd w:val="clear" w:color="auto" w:fill="auto"/>
            <w:noWrap/>
            <w:hideMark/>
          </w:tcPr>
          <w:p w14:paraId="0C953E2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00" w:type="dxa"/>
            <w:tcBorders>
              <w:top w:val="nil"/>
              <w:left w:val="nil"/>
              <w:bottom w:val="nil"/>
              <w:right w:val="nil"/>
            </w:tcBorders>
            <w:shd w:val="clear" w:color="auto" w:fill="auto"/>
            <w:noWrap/>
            <w:hideMark/>
          </w:tcPr>
          <w:p w14:paraId="547D815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11,275</w:t>
            </w:r>
          </w:p>
        </w:tc>
        <w:tc>
          <w:tcPr>
            <w:tcW w:w="880" w:type="dxa"/>
            <w:tcBorders>
              <w:top w:val="nil"/>
              <w:left w:val="nil"/>
              <w:bottom w:val="nil"/>
              <w:right w:val="nil"/>
            </w:tcBorders>
            <w:shd w:val="clear" w:color="auto" w:fill="auto"/>
            <w:noWrap/>
            <w:hideMark/>
          </w:tcPr>
          <w:p w14:paraId="6DD771B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9,473</w:t>
            </w:r>
          </w:p>
        </w:tc>
        <w:tc>
          <w:tcPr>
            <w:tcW w:w="760" w:type="dxa"/>
            <w:tcBorders>
              <w:top w:val="nil"/>
              <w:left w:val="nil"/>
              <w:bottom w:val="nil"/>
              <w:right w:val="nil"/>
            </w:tcBorders>
            <w:shd w:val="clear" w:color="auto" w:fill="auto"/>
            <w:noWrap/>
            <w:hideMark/>
          </w:tcPr>
          <w:p w14:paraId="7D318F0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7148155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9,473</w:t>
            </w:r>
          </w:p>
        </w:tc>
        <w:tc>
          <w:tcPr>
            <w:tcW w:w="880" w:type="dxa"/>
            <w:tcBorders>
              <w:top w:val="nil"/>
              <w:left w:val="nil"/>
              <w:bottom w:val="nil"/>
              <w:right w:val="nil"/>
            </w:tcBorders>
            <w:shd w:val="clear" w:color="auto" w:fill="auto"/>
            <w:noWrap/>
            <w:hideMark/>
          </w:tcPr>
          <w:p w14:paraId="7568A8A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1,802</w:t>
            </w:r>
          </w:p>
        </w:tc>
        <w:tc>
          <w:tcPr>
            <w:tcW w:w="760" w:type="dxa"/>
            <w:tcBorders>
              <w:top w:val="nil"/>
              <w:left w:val="nil"/>
              <w:bottom w:val="nil"/>
              <w:right w:val="nil"/>
            </w:tcBorders>
            <w:shd w:val="clear" w:color="auto" w:fill="auto"/>
            <w:noWrap/>
            <w:hideMark/>
          </w:tcPr>
          <w:p w14:paraId="4B1B62C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74A9C1E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1,802</w:t>
            </w:r>
          </w:p>
        </w:tc>
      </w:tr>
      <w:tr w:rsidR="00B52DEF" w:rsidRPr="00B52DEF" w14:paraId="7B70300B" w14:textId="77777777" w:rsidTr="00B52DEF">
        <w:trPr>
          <w:trHeight w:val="330"/>
        </w:trPr>
        <w:tc>
          <w:tcPr>
            <w:tcW w:w="2200" w:type="dxa"/>
            <w:tcBorders>
              <w:top w:val="nil"/>
              <w:left w:val="nil"/>
              <w:bottom w:val="nil"/>
              <w:right w:val="nil"/>
            </w:tcBorders>
            <w:shd w:val="clear" w:color="auto" w:fill="auto"/>
            <w:hideMark/>
          </w:tcPr>
          <w:p w14:paraId="03450B19"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Brands and Designs</w:t>
            </w:r>
          </w:p>
        </w:tc>
        <w:tc>
          <w:tcPr>
            <w:tcW w:w="880" w:type="dxa"/>
            <w:tcBorders>
              <w:top w:val="nil"/>
              <w:left w:val="nil"/>
              <w:bottom w:val="nil"/>
              <w:right w:val="nil"/>
            </w:tcBorders>
            <w:shd w:val="clear" w:color="auto" w:fill="auto"/>
            <w:noWrap/>
            <w:hideMark/>
          </w:tcPr>
          <w:p w14:paraId="0AC778F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13,445</w:t>
            </w:r>
          </w:p>
        </w:tc>
        <w:tc>
          <w:tcPr>
            <w:tcW w:w="760" w:type="dxa"/>
            <w:tcBorders>
              <w:top w:val="nil"/>
              <w:left w:val="nil"/>
              <w:bottom w:val="nil"/>
              <w:right w:val="nil"/>
            </w:tcBorders>
            <w:shd w:val="clear" w:color="auto" w:fill="auto"/>
            <w:noWrap/>
            <w:hideMark/>
          </w:tcPr>
          <w:p w14:paraId="2178DFD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197</w:t>
            </w:r>
          </w:p>
        </w:tc>
        <w:tc>
          <w:tcPr>
            <w:tcW w:w="900" w:type="dxa"/>
            <w:tcBorders>
              <w:top w:val="nil"/>
              <w:left w:val="nil"/>
              <w:bottom w:val="nil"/>
              <w:right w:val="nil"/>
            </w:tcBorders>
            <w:shd w:val="clear" w:color="auto" w:fill="auto"/>
            <w:noWrap/>
            <w:hideMark/>
          </w:tcPr>
          <w:p w14:paraId="352F535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13,643</w:t>
            </w:r>
          </w:p>
        </w:tc>
        <w:tc>
          <w:tcPr>
            <w:tcW w:w="880" w:type="dxa"/>
            <w:tcBorders>
              <w:top w:val="nil"/>
              <w:left w:val="nil"/>
              <w:bottom w:val="nil"/>
              <w:right w:val="nil"/>
            </w:tcBorders>
            <w:shd w:val="clear" w:color="auto" w:fill="auto"/>
            <w:noWrap/>
            <w:hideMark/>
          </w:tcPr>
          <w:p w14:paraId="739C4BC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10,563</w:t>
            </w:r>
          </w:p>
        </w:tc>
        <w:tc>
          <w:tcPr>
            <w:tcW w:w="760" w:type="dxa"/>
            <w:tcBorders>
              <w:top w:val="nil"/>
              <w:left w:val="nil"/>
              <w:bottom w:val="nil"/>
              <w:right w:val="nil"/>
            </w:tcBorders>
            <w:shd w:val="clear" w:color="auto" w:fill="auto"/>
            <w:noWrap/>
            <w:hideMark/>
          </w:tcPr>
          <w:p w14:paraId="4E146228"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355</w:t>
            </w:r>
          </w:p>
        </w:tc>
        <w:tc>
          <w:tcPr>
            <w:tcW w:w="940" w:type="dxa"/>
            <w:tcBorders>
              <w:top w:val="nil"/>
              <w:left w:val="nil"/>
              <w:bottom w:val="nil"/>
              <w:right w:val="nil"/>
            </w:tcBorders>
            <w:shd w:val="clear" w:color="auto" w:fill="auto"/>
            <w:noWrap/>
            <w:hideMark/>
          </w:tcPr>
          <w:p w14:paraId="7F066BA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10,918</w:t>
            </w:r>
          </w:p>
        </w:tc>
        <w:tc>
          <w:tcPr>
            <w:tcW w:w="880" w:type="dxa"/>
            <w:tcBorders>
              <w:top w:val="nil"/>
              <w:left w:val="nil"/>
              <w:bottom w:val="nil"/>
              <w:right w:val="nil"/>
            </w:tcBorders>
            <w:shd w:val="clear" w:color="auto" w:fill="auto"/>
            <w:noWrap/>
            <w:hideMark/>
          </w:tcPr>
          <w:p w14:paraId="345BC3D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2,882</w:t>
            </w:r>
          </w:p>
        </w:tc>
        <w:tc>
          <w:tcPr>
            <w:tcW w:w="760" w:type="dxa"/>
            <w:tcBorders>
              <w:top w:val="nil"/>
              <w:left w:val="nil"/>
              <w:bottom w:val="nil"/>
              <w:right w:val="nil"/>
            </w:tcBorders>
            <w:shd w:val="clear" w:color="auto" w:fill="auto"/>
            <w:noWrap/>
            <w:hideMark/>
          </w:tcPr>
          <w:p w14:paraId="3F74424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(158)</w:t>
            </w:r>
          </w:p>
        </w:tc>
        <w:tc>
          <w:tcPr>
            <w:tcW w:w="940" w:type="dxa"/>
            <w:tcBorders>
              <w:top w:val="nil"/>
              <w:left w:val="nil"/>
              <w:bottom w:val="nil"/>
              <w:right w:val="nil"/>
            </w:tcBorders>
            <w:shd w:val="clear" w:color="auto" w:fill="auto"/>
            <w:noWrap/>
            <w:hideMark/>
          </w:tcPr>
          <w:p w14:paraId="6A207D34"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2,725</w:t>
            </w:r>
          </w:p>
        </w:tc>
      </w:tr>
      <w:tr w:rsidR="00B52DEF" w:rsidRPr="00B52DEF" w14:paraId="5941FBB0" w14:textId="77777777" w:rsidTr="00B52DEF">
        <w:trPr>
          <w:trHeight w:val="330"/>
        </w:trPr>
        <w:tc>
          <w:tcPr>
            <w:tcW w:w="2200" w:type="dxa"/>
            <w:tcBorders>
              <w:top w:val="nil"/>
              <w:left w:val="nil"/>
              <w:bottom w:val="nil"/>
              <w:right w:val="nil"/>
            </w:tcBorders>
            <w:shd w:val="clear" w:color="auto" w:fill="auto"/>
            <w:hideMark/>
          </w:tcPr>
          <w:p w14:paraId="19F01560"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Copyright and Creative Industries</w:t>
            </w:r>
          </w:p>
        </w:tc>
        <w:tc>
          <w:tcPr>
            <w:tcW w:w="880" w:type="dxa"/>
            <w:tcBorders>
              <w:top w:val="nil"/>
              <w:left w:val="nil"/>
              <w:bottom w:val="nil"/>
              <w:right w:val="nil"/>
            </w:tcBorders>
            <w:shd w:val="clear" w:color="auto" w:fill="auto"/>
            <w:noWrap/>
            <w:hideMark/>
          </w:tcPr>
          <w:p w14:paraId="2A70D5A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20,395</w:t>
            </w:r>
          </w:p>
        </w:tc>
        <w:tc>
          <w:tcPr>
            <w:tcW w:w="760" w:type="dxa"/>
            <w:tcBorders>
              <w:top w:val="nil"/>
              <w:left w:val="nil"/>
              <w:bottom w:val="nil"/>
              <w:right w:val="nil"/>
            </w:tcBorders>
            <w:shd w:val="clear" w:color="auto" w:fill="auto"/>
            <w:noWrap/>
            <w:hideMark/>
          </w:tcPr>
          <w:p w14:paraId="45C0151F"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1,193</w:t>
            </w:r>
          </w:p>
        </w:tc>
        <w:tc>
          <w:tcPr>
            <w:tcW w:w="900" w:type="dxa"/>
            <w:tcBorders>
              <w:top w:val="nil"/>
              <w:left w:val="nil"/>
              <w:bottom w:val="nil"/>
              <w:right w:val="nil"/>
            </w:tcBorders>
            <w:shd w:val="clear" w:color="auto" w:fill="auto"/>
            <w:noWrap/>
            <w:hideMark/>
          </w:tcPr>
          <w:p w14:paraId="74F7105D"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21,588</w:t>
            </w:r>
          </w:p>
        </w:tc>
        <w:tc>
          <w:tcPr>
            <w:tcW w:w="880" w:type="dxa"/>
            <w:tcBorders>
              <w:top w:val="nil"/>
              <w:left w:val="nil"/>
              <w:bottom w:val="nil"/>
              <w:right w:val="nil"/>
            </w:tcBorders>
            <w:shd w:val="clear" w:color="auto" w:fill="auto"/>
            <w:noWrap/>
            <w:hideMark/>
          </w:tcPr>
          <w:p w14:paraId="453BB247"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19,214</w:t>
            </w:r>
          </w:p>
        </w:tc>
        <w:tc>
          <w:tcPr>
            <w:tcW w:w="760" w:type="dxa"/>
            <w:tcBorders>
              <w:top w:val="nil"/>
              <w:left w:val="nil"/>
              <w:bottom w:val="nil"/>
              <w:right w:val="nil"/>
            </w:tcBorders>
            <w:shd w:val="clear" w:color="auto" w:fill="auto"/>
            <w:noWrap/>
            <w:hideMark/>
          </w:tcPr>
          <w:p w14:paraId="1E33164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1,195</w:t>
            </w:r>
          </w:p>
        </w:tc>
        <w:tc>
          <w:tcPr>
            <w:tcW w:w="940" w:type="dxa"/>
            <w:tcBorders>
              <w:top w:val="nil"/>
              <w:left w:val="nil"/>
              <w:bottom w:val="nil"/>
              <w:right w:val="nil"/>
            </w:tcBorders>
            <w:shd w:val="clear" w:color="auto" w:fill="auto"/>
            <w:noWrap/>
            <w:hideMark/>
          </w:tcPr>
          <w:p w14:paraId="28E96187"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20,409</w:t>
            </w:r>
          </w:p>
        </w:tc>
        <w:tc>
          <w:tcPr>
            <w:tcW w:w="880" w:type="dxa"/>
            <w:tcBorders>
              <w:top w:val="nil"/>
              <w:left w:val="nil"/>
              <w:bottom w:val="nil"/>
              <w:right w:val="nil"/>
            </w:tcBorders>
            <w:shd w:val="clear" w:color="auto" w:fill="auto"/>
            <w:noWrap/>
            <w:hideMark/>
          </w:tcPr>
          <w:p w14:paraId="1C4F4E7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1,181</w:t>
            </w:r>
          </w:p>
        </w:tc>
        <w:tc>
          <w:tcPr>
            <w:tcW w:w="760" w:type="dxa"/>
            <w:tcBorders>
              <w:top w:val="nil"/>
              <w:left w:val="nil"/>
              <w:bottom w:val="nil"/>
              <w:right w:val="nil"/>
            </w:tcBorders>
            <w:shd w:val="clear" w:color="auto" w:fill="auto"/>
            <w:noWrap/>
            <w:hideMark/>
          </w:tcPr>
          <w:p w14:paraId="2980E2B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w:t>
            </w:r>
          </w:p>
        </w:tc>
        <w:tc>
          <w:tcPr>
            <w:tcW w:w="940" w:type="dxa"/>
            <w:tcBorders>
              <w:top w:val="nil"/>
              <w:left w:val="nil"/>
              <w:bottom w:val="nil"/>
              <w:right w:val="nil"/>
            </w:tcBorders>
            <w:shd w:val="clear" w:color="auto" w:fill="auto"/>
            <w:noWrap/>
            <w:hideMark/>
          </w:tcPr>
          <w:p w14:paraId="5086AA5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1,179</w:t>
            </w:r>
          </w:p>
        </w:tc>
      </w:tr>
      <w:tr w:rsidR="00B52DEF" w:rsidRPr="00B52DEF" w14:paraId="285C6F01" w14:textId="77777777" w:rsidTr="00B52DEF">
        <w:trPr>
          <w:trHeight w:val="495"/>
        </w:trPr>
        <w:tc>
          <w:tcPr>
            <w:tcW w:w="2200" w:type="dxa"/>
            <w:tcBorders>
              <w:top w:val="nil"/>
              <w:left w:val="nil"/>
              <w:bottom w:val="nil"/>
              <w:right w:val="nil"/>
            </w:tcBorders>
            <w:shd w:val="clear" w:color="auto" w:fill="auto"/>
            <w:hideMark/>
          </w:tcPr>
          <w:p w14:paraId="5361633B"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Regional and National Development</w:t>
            </w:r>
          </w:p>
        </w:tc>
        <w:tc>
          <w:tcPr>
            <w:tcW w:w="880" w:type="dxa"/>
            <w:tcBorders>
              <w:top w:val="nil"/>
              <w:left w:val="nil"/>
              <w:bottom w:val="nil"/>
              <w:right w:val="nil"/>
            </w:tcBorders>
            <w:shd w:val="clear" w:color="auto" w:fill="auto"/>
            <w:noWrap/>
            <w:hideMark/>
          </w:tcPr>
          <w:p w14:paraId="5A28B58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75,120</w:t>
            </w:r>
          </w:p>
        </w:tc>
        <w:tc>
          <w:tcPr>
            <w:tcW w:w="760" w:type="dxa"/>
            <w:tcBorders>
              <w:top w:val="nil"/>
              <w:left w:val="nil"/>
              <w:bottom w:val="nil"/>
              <w:right w:val="nil"/>
            </w:tcBorders>
            <w:shd w:val="clear" w:color="auto" w:fill="auto"/>
            <w:noWrap/>
            <w:hideMark/>
          </w:tcPr>
          <w:p w14:paraId="66C9203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980</w:t>
            </w:r>
          </w:p>
        </w:tc>
        <w:tc>
          <w:tcPr>
            <w:tcW w:w="900" w:type="dxa"/>
            <w:tcBorders>
              <w:top w:val="nil"/>
              <w:left w:val="nil"/>
              <w:bottom w:val="nil"/>
              <w:right w:val="nil"/>
            </w:tcBorders>
            <w:shd w:val="clear" w:color="auto" w:fill="auto"/>
            <w:noWrap/>
            <w:hideMark/>
          </w:tcPr>
          <w:p w14:paraId="4CE5907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76,100</w:t>
            </w:r>
          </w:p>
        </w:tc>
        <w:tc>
          <w:tcPr>
            <w:tcW w:w="880" w:type="dxa"/>
            <w:tcBorders>
              <w:top w:val="nil"/>
              <w:left w:val="nil"/>
              <w:bottom w:val="nil"/>
              <w:right w:val="nil"/>
            </w:tcBorders>
            <w:shd w:val="clear" w:color="auto" w:fill="auto"/>
            <w:noWrap/>
            <w:hideMark/>
          </w:tcPr>
          <w:p w14:paraId="1DE4A8DC"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65,171</w:t>
            </w:r>
          </w:p>
        </w:tc>
        <w:tc>
          <w:tcPr>
            <w:tcW w:w="760" w:type="dxa"/>
            <w:tcBorders>
              <w:top w:val="nil"/>
              <w:left w:val="nil"/>
              <w:bottom w:val="nil"/>
              <w:right w:val="nil"/>
            </w:tcBorders>
            <w:shd w:val="clear" w:color="auto" w:fill="auto"/>
            <w:noWrap/>
            <w:hideMark/>
          </w:tcPr>
          <w:p w14:paraId="682EC228"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365</w:t>
            </w:r>
          </w:p>
        </w:tc>
        <w:tc>
          <w:tcPr>
            <w:tcW w:w="940" w:type="dxa"/>
            <w:tcBorders>
              <w:top w:val="nil"/>
              <w:left w:val="nil"/>
              <w:bottom w:val="nil"/>
              <w:right w:val="nil"/>
            </w:tcBorders>
            <w:shd w:val="clear" w:color="auto" w:fill="auto"/>
            <w:noWrap/>
            <w:hideMark/>
          </w:tcPr>
          <w:p w14:paraId="64DB683F"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65,536</w:t>
            </w:r>
          </w:p>
        </w:tc>
        <w:tc>
          <w:tcPr>
            <w:tcW w:w="880" w:type="dxa"/>
            <w:tcBorders>
              <w:top w:val="nil"/>
              <w:left w:val="nil"/>
              <w:bottom w:val="nil"/>
              <w:right w:val="nil"/>
            </w:tcBorders>
            <w:shd w:val="clear" w:color="auto" w:fill="auto"/>
            <w:noWrap/>
            <w:hideMark/>
          </w:tcPr>
          <w:p w14:paraId="503B326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9,948</w:t>
            </w:r>
          </w:p>
        </w:tc>
        <w:tc>
          <w:tcPr>
            <w:tcW w:w="760" w:type="dxa"/>
            <w:tcBorders>
              <w:top w:val="nil"/>
              <w:left w:val="nil"/>
              <w:bottom w:val="nil"/>
              <w:right w:val="nil"/>
            </w:tcBorders>
            <w:shd w:val="clear" w:color="auto" w:fill="auto"/>
            <w:noWrap/>
            <w:hideMark/>
          </w:tcPr>
          <w:p w14:paraId="0A0A248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615</w:t>
            </w:r>
          </w:p>
        </w:tc>
        <w:tc>
          <w:tcPr>
            <w:tcW w:w="940" w:type="dxa"/>
            <w:tcBorders>
              <w:top w:val="nil"/>
              <w:left w:val="nil"/>
              <w:bottom w:val="nil"/>
              <w:right w:val="nil"/>
            </w:tcBorders>
            <w:shd w:val="clear" w:color="auto" w:fill="auto"/>
            <w:noWrap/>
            <w:hideMark/>
          </w:tcPr>
          <w:p w14:paraId="42288AA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10,564</w:t>
            </w:r>
          </w:p>
        </w:tc>
      </w:tr>
      <w:tr w:rsidR="00B52DEF" w:rsidRPr="00B52DEF" w14:paraId="615B8E48" w14:textId="77777777" w:rsidTr="00B52DEF">
        <w:trPr>
          <w:trHeight w:val="330"/>
        </w:trPr>
        <w:tc>
          <w:tcPr>
            <w:tcW w:w="2200" w:type="dxa"/>
            <w:tcBorders>
              <w:top w:val="nil"/>
              <w:left w:val="nil"/>
              <w:bottom w:val="nil"/>
              <w:right w:val="nil"/>
            </w:tcBorders>
            <w:shd w:val="clear" w:color="auto" w:fill="auto"/>
            <w:hideMark/>
          </w:tcPr>
          <w:p w14:paraId="7D1B4BA2"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Infrastructure and Platforms</w:t>
            </w:r>
          </w:p>
        </w:tc>
        <w:tc>
          <w:tcPr>
            <w:tcW w:w="880" w:type="dxa"/>
            <w:tcBorders>
              <w:top w:val="nil"/>
              <w:left w:val="nil"/>
              <w:bottom w:val="nil"/>
              <w:right w:val="nil"/>
            </w:tcBorders>
            <w:shd w:val="clear" w:color="auto" w:fill="auto"/>
            <w:noWrap/>
            <w:hideMark/>
          </w:tcPr>
          <w:p w14:paraId="1B3170A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18,556</w:t>
            </w:r>
          </w:p>
        </w:tc>
        <w:tc>
          <w:tcPr>
            <w:tcW w:w="760" w:type="dxa"/>
            <w:tcBorders>
              <w:top w:val="nil"/>
              <w:left w:val="nil"/>
              <w:bottom w:val="nil"/>
              <w:right w:val="nil"/>
            </w:tcBorders>
            <w:shd w:val="clear" w:color="auto" w:fill="auto"/>
            <w:noWrap/>
            <w:hideMark/>
          </w:tcPr>
          <w:p w14:paraId="52BA7DD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00" w:type="dxa"/>
            <w:tcBorders>
              <w:top w:val="nil"/>
              <w:left w:val="nil"/>
              <w:bottom w:val="nil"/>
              <w:right w:val="nil"/>
            </w:tcBorders>
            <w:shd w:val="clear" w:color="auto" w:fill="auto"/>
            <w:noWrap/>
            <w:hideMark/>
          </w:tcPr>
          <w:p w14:paraId="5779B70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18,556</w:t>
            </w:r>
          </w:p>
        </w:tc>
        <w:tc>
          <w:tcPr>
            <w:tcW w:w="880" w:type="dxa"/>
            <w:tcBorders>
              <w:top w:val="nil"/>
              <w:left w:val="nil"/>
              <w:bottom w:val="nil"/>
              <w:right w:val="nil"/>
            </w:tcBorders>
            <w:shd w:val="clear" w:color="auto" w:fill="auto"/>
            <w:noWrap/>
            <w:hideMark/>
          </w:tcPr>
          <w:p w14:paraId="736E99C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14,451</w:t>
            </w:r>
          </w:p>
        </w:tc>
        <w:tc>
          <w:tcPr>
            <w:tcW w:w="760" w:type="dxa"/>
            <w:tcBorders>
              <w:top w:val="nil"/>
              <w:left w:val="nil"/>
              <w:bottom w:val="nil"/>
              <w:right w:val="nil"/>
            </w:tcBorders>
            <w:shd w:val="clear" w:color="auto" w:fill="auto"/>
            <w:noWrap/>
            <w:hideMark/>
          </w:tcPr>
          <w:p w14:paraId="750E16C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388D703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14,451</w:t>
            </w:r>
          </w:p>
        </w:tc>
        <w:tc>
          <w:tcPr>
            <w:tcW w:w="880" w:type="dxa"/>
            <w:tcBorders>
              <w:top w:val="nil"/>
              <w:left w:val="nil"/>
              <w:bottom w:val="nil"/>
              <w:right w:val="nil"/>
            </w:tcBorders>
            <w:shd w:val="clear" w:color="auto" w:fill="auto"/>
            <w:noWrap/>
            <w:hideMark/>
          </w:tcPr>
          <w:p w14:paraId="2517D62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4,105</w:t>
            </w:r>
          </w:p>
        </w:tc>
        <w:tc>
          <w:tcPr>
            <w:tcW w:w="760" w:type="dxa"/>
            <w:tcBorders>
              <w:top w:val="nil"/>
              <w:left w:val="nil"/>
              <w:bottom w:val="nil"/>
              <w:right w:val="nil"/>
            </w:tcBorders>
            <w:shd w:val="clear" w:color="auto" w:fill="auto"/>
            <w:noWrap/>
            <w:hideMark/>
          </w:tcPr>
          <w:p w14:paraId="1E7FC25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264FE04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4,105</w:t>
            </w:r>
          </w:p>
        </w:tc>
      </w:tr>
      <w:tr w:rsidR="00B52DEF" w:rsidRPr="00B52DEF" w14:paraId="5CC4B597" w14:textId="77777777" w:rsidTr="00B52DEF">
        <w:trPr>
          <w:trHeight w:val="495"/>
        </w:trPr>
        <w:tc>
          <w:tcPr>
            <w:tcW w:w="2200" w:type="dxa"/>
            <w:tcBorders>
              <w:top w:val="nil"/>
              <w:left w:val="nil"/>
              <w:bottom w:val="nil"/>
              <w:right w:val="nil"/>
            </w:tcBorders>
            <w:shd w:val="clear" w:color="auto" w:fill="auto"/>
            <w:hideMark/>
          </w:tcPr>
          <w:p w14:paraId="106E4A7C"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Global Challenges and Partnerships</w:t>
            </w:r>
          </w:p>
        </w:tc>
        <w:tc>
          <w:tcPr>
            <w:tcW w:w="880" w:type="dxa"/>
            <w:tcBorders>
              <w:top w:val="nil"/>
              <w:left w:val="nil"/>
              <w:bottom w:val="nil"/>
              <w:right w:val="nil"/>
            </w:tcBorders>
            <w:shd w:val="clear" w:color="auto" w:fill="auto"/>
            <w:noWrap/>
            <w:hideMark/>
          </w:tcPr>
          <w:p w14:paraId="722C20D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15,056</w:t>
            </w:r>
          </w:p>
        </w:tc>
        <w:tc>
          <w:tcPr>
            <w:tcW w:w="760" w:type="dxa"/>
            <w:tcBorders>
              <w:top w:val="nil"/>
              <w:left w:val="nil"/>
              <w:bottom w:val="nil"/>
              <w:right w:val="nil"/>
            </w:tcBorders>
            <w:shd w:val="clear" w:color="auto" w:fill="auto"/>
            <w:noWrap/>
            <w:hideMark/>
          </w:tcPr>
          <w:p w14:paraId="21F5590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247</w:t>
            </w:r>
          </w:p>
        </w:tc>
        <w:tc>
          <w:tcPr>
            <w:tcW w:w="900" w:type="dxa"/>
            <w:tcBorders>
              <w:top w:val="nil"/>
              <w:left w:val="nil"/>
              <w:bottom w:val="nil"/>
              <w:right w:val="nil"/>
            </w:tcBorders>
            <w:shd w:val="clear" w:color="auto" w:fill="auto"/>
            <w:noWrap/>
            <w:hideMark/>
          </w:tcPr>
          <w:p w14:paraId="5C65824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15,303</w:t>
            </w:r>
          </w:p>
        </w:tc>
        <w:tc>
          <w:tcPr>
            <w:tcW w:w="880" w:type="dxa"/>
            <w:tcBorders>
              <w:top w:val="nil"/>
              <w:left w:val="nil"/>
              <w:bottom w:val="nil"/>
              <w:right w:val="nil"/>
            </w:tcBorders>
            <w:shd w:val="clear" w:color="auto" w:fill="auto"/>
            <w:noWrap/>
            <w:hideMark/>
          </w:tcPr>
          <w:p w14:paraId="3D4335E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13,461</w:t>
            </w:r>
          </w:p>
        </w:tc>
        <w:tc>
          <w:tcPr>
            <w:tcW w:w="760" w:type="dxa"/>
            <w:tcBorders>
              <w:top w:val="nil"/>
              <w:left w:val="nil"/>
              <w:bottom w:val="nil"/>
              <w:right w:val="nil"/>
            </w:tcBorders>
            <w:shd w:val="clear" w:color="auto" w:fill="auto"/>
            <w:noWrap/>
            <w:hideMark/>
          </w:tcPr>
          <w:p w14:paraId="5678D363"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74525454"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13,461</w:t>
            </w:r>
          </w:p>
        </w:tc>
        <w:tc>
          <w:tcPr>
            <w:tcW w:w="880" w:type="dxa"/>
            <w:tcBorders>
              <w:top w:val="nil"/>
              <w:left w:val="nil"/>
              <w:bottom w:val="nil"/>
              <w:right w:val="nil"/>
            </w:tcBorders>
            <w:shd w:val="clear" w:color="auto" w:fill="auto"/>
            <w:noWrap/>
            <w:hideMark/>
          </w:tcPr>
          <w:p w14:paraId="157A12C7"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1,595</w:t>
            </w:r>
          </w:p>
        </w:tc>
        <w:tc>
          <w:tcPr>
            <w:tcW w:w="760" w:type="dxa"/>
            <w:tcBorders>
              <w:top w:val="nil"/>
              <w:left w:val="nil"/>
              <w:bottom w:val="nil"/>
              <w:right w:val="nil"/>
            </w:tcBorders>
            <w:shd w:val="clear" w:color="auto" w:fill="auto"/>
            <w:noWrap/>
            <w:hideMark/>
          </w:tcPr>
          <w:p w14:paraId="072F244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247</w:t>
            </w:r>
          </w:p>
        </w:tc>
        <w:tc>
          <w:tcPr>
            <w:tcW w:w="940" w:type="dxa"/>
            <w:tcBorders>
              <w:top w:val="nil"/>
              <w:left w:val="nil"/>
              <w:bottom w:val="nil"/>
              <w:right w:val="nil"/>
            </w:tcBorders>
            <w:shd w:val="clear" w:color="auto" w:fill="auto"/>
            <w:noWrap/>
            <w:hideMark/>
          </w:tcPr>
          <w:p w14:paraId="369066C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1,842</w:t>
            </w:r>
          </w:p>
        </w:tc>
      </w:tr>
      <w:tr w:rsidR="00B52DEF" w:rsidRPr="00B52DEF" w14:paraId="72DECE74" w14:textId="77777777" w:rsidTr="00B52DEF">
        <w:trPr>
          <w:trHeight w:val="330"/>
        </w:trPr>
        <w:tc>
          <w:tcPr>
            <w:tcW w:w="2200" w:type="dxa"/>
            <w:tcBorders>
              <w:top w:val="nil"/>
              <w:left w:val="nil"/>
              <w:bottom w:val="nil"/>
              <w:right w:val="nil"/>
            </w:tcBorders>
            <w:shd w:val="clear" w:color="auto" w:fill="auto"/>
            <w:hideMark/>
          </w:tcPr>
          <w:p w14:paraId="01774A03"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IP and Innovation Ecosystems</w:t>
            </w:r>
          </w:p>
        </w:tc>
        <w:tc>
          <w:tcPr>
            <w:tcW w:w="880" w:type="dxa"/>
            <w:tcBorders>
              <w:top w:val="nil"/>
              <w:left w:val="nil"/>
              <w:bottom w:val="nil"/>
              <w:right w:val="nil"/>
            </w:tcBorders>
            <w:shd w:val="clear" w:color="auto" w:fill="auto"/>
            <w:noWrap/>
            <w:hideMark/>
          </w:tcPr>
          <w:p w14:paraId="585EF4A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26,560</w:t>
            </w:r>
          </w:p>
        </w:tc>
        <w:tc>
          <w:tcPr>
            <w:tcW w:w="760" w:type="dxa"/>
            <w:tcBorders>
              <w:top w:val="nil"/>
              <w:left w:val="nil"/>
              <w:bottom w:val="nil"/>
              <w:right w:val="nil"/>
            </w:tcBorders>
            <w:shd w:val="clear" w:color="auto" w:fill="auto"/>
            <w:noWrap/>
            <w:hideMark/>
          </w:tcPr>
          <w:p w14:paraId="4DDBD6C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425</w:t>
            </w:r>
          </w:p>
        </w:tc>
        <w:tc>
          <w:tcPr>
            <w:tcW w:w="900" w:type="dxa"/>
            <w:tcBorders>
              <w:top w:val="nil"/>
              <w:left w:val="nil"/>
              <w:bottom w:val="nil"/>
              <w:right w:val="nil"/>
            </w:tcBorders>
            <w:shd w:val="clear" w:color="auto" w:fill="auto"/>
            <w:noWrap/>
            <w:hideMark/>
          </w:tcPr>
          <w:p w14:paraId="05CA5846"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26,985</w:t>
            </w:r>
          </w:p>
        </w:tc>
        <w:tc>
          <w:tcPr>
            <w:tcW w:w="880" w:type="dxa"/>
            <w:tcBorders>
              <w:top w:val="nil"/>
              <w:left w:val="nil"/>
              <w:bottom w:val="nil"/>
              <w:right w:val="nil"/>
            </w:tcBorders>
            <w:shd w:val="clear" w:color="auto" w:fill="auto"/>
            <w:noWrap/>
            <w:hideMark/>
          </w:tcPr>
          <w:p w14:paraId="3EA924B6"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15,106</w:t>
            </w:r>
          </w:p>
        </w:tc>
        <w:tc>
          <w:tcPr>
            <w:tcW w:w="760" w:type="dxa"/>
            <w:tcBorders>
              <w:top w:val="nil"/>
              <w:left w:val="nil"/>
              <w:bottom w:val="nil"/>
              <w:right w:val="nil"/>
            </w:tcBorders>
            <w:shd w:val="clear" w:color="auto" w:fill="auto"/>
            <w:noWrap/>
            <w:hideMark/>
          </w:tcPr>
          <w:p w14:paraId="79F2253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489</w:t>
            </w:r>
          </w:p>
        </w:tc>
        <w:tc>
          <w:tcPr>
            <w:tcW w:w="940" w:type="dxa"/>
            <w:tcBorders>
              <w:top w:val="nil"/>
              <w:left w:val="nil"/>
              <w:bottom w:val="nil"/>
              <w:right w:val="nil"/>
            </w:tcBorders>
            <w:shd w:val="clear" w:color="auto" w:fill="auto"/>
            <w:noWrap/>
            <w:hideMark/>
          </w:tcPr>
          <w:p w14:paraId="5989C927"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15,596</w:t>
            </w:r>
          </w:p>
        </w:tc>
        <w:tc>
          <w:tcPr>
            <w:tcW w:w="880" w:type="dxa"/>
            <w:tcBorders>
              <w:top w:val="nil"/>
              <w:left w:val="nil"/>
              <w:bottom w:val="nil"/>
              <w:right w:val="nil"/>
            </w:tcBorders>
            <w:shd w:val="clear" w:color="auto" w:fill="auto"/>
            <w:noWrap/>
            <w:hideMark/>
          </w:tcPr>
          <w:p w14:paraId="15F6BCD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11,454</w:t>
            </w:r>
          </w:p>
        </w:tc>
        <w:tc>
          <w:tcPr>
            <w:tcW w:w="760" w:type="dxa"/>
            <w:tcBorders>
              <w:top w:val="nil"/>
              <w:left w:val="nil"/>
              <w:bottom w:val="nil"/>
              <w:right w:val="nil"/>
            </w:tcBorders>
            <w:shd w:val="clear" w:color="auto" w:fill="auto"/>
            <w:noWrap/>
            <w:hideMark/>
          </w:tcPr>
          <w:p w14:paraId="35B7CF50"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(64)</w:t>
            </w:r>
          </w:p>
        </w:tc>
        <w:tc>
          <w:tcPr>
            <w:tcW w:w="940" w:type="dxa"/>
            <w:tcBorders>
              <w:top w:val="nil"/>
              <w:left w:val="nil"/>
              <w:bottom w:val="nil"/>
              <w:right w:val="nil"/>
            </w:tcBorders>
            <w:shd w:val="clear" w:color="auto" w:fill="auto"/>
            <w:noWrap/>
            <w:hideMark/>
          </w:tcPr>
          <w:p w14:paraId="6798FAEA"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11,390</w:t>
            </w:r>
          </w:p>
        </w:tc>
      </w:tr>
      <w:tr w:rsidR="00B52DEF" w:rsidRPr="00B52DEF" w14:paraId="59199BE7" w14:textId="77777777" w:rsidTr="00B52DEF">
        <w:trPr>
          <w:trHeight w:val="495"/>
        </w:trPr>
        <w:tc>
          <w:tcPr>
            <w:tcW w:w="2200" w:type="dxa"/>
            <w:tcBorders>
              <w:top w:val="nil"/>
              <w:left w:val="nil"/>
              <w:bottom w:val="nil"/>
              <w:right w:val="nil"/>
            </w:tcBorders>
            <w:shd w:val="clear" w:color="auto" w:fill="auto"/>
            <w:hideMark/>
          </w:tcPr>
          <w:p w14:paraId="68A3241C" w14:textId="77777777" w:rsidR="00B52DEF" w:rsidRPr="00B52DEF" w:rsidRDefault="00B52DEF" w:rsidP="00B52DEF">
            <w:pPr>
              <w:spacing w:after="0" w:line="240" w:lineRule="auto"/>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Administration, Finance and Management</w:t>
            </w:r>
          </w:p>
        </w:tc>
        <w:tc>
          <w:tcPr>
            <w:tcW w:w="880" w:type="dxa"/>
            <w:tcBorders>
              <w:top w:val="nil"/>
              <w:left w:val="nil"/>
              <w:bottom w:val="nil"/>
              <w:right w:val="nil"/>
            </w:tcBorders>
            <w:shd w:val="clear" w:color="auto" w:fill="auto"/>
            <w:noWrap/>
            <w:hideMark/>
          </w:tcPr>
          <w:p w14:paraId="55AD3CA2"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760" w:type="dxa"/>
            <w:tcBorders>
              <w:top w:val="nil"/>
              <w:left w:val="nil"/>
              <w:bottom w:val="nil"/>
              <w:right w:val="nil"/>
            </w:tcBorders>
            <w:shd w:val="clear" w:color="auto" w:fill="auto"/>
            <w:noWrap/>
            <w:hideMark/>
          </w:tcPr>
          <w:p w14:paraId="71FBF35B"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00" w:type="dxa"/>
            <w:tcBorders>
              <w:top w:val="nil"/>
              <w:left w:val="nil"/>
              <w:bottom w:val="nil"/>
              <w:right w:val="nil"/>
            </w:tcBorders>
            <w:shd w:val="clear" w:color="auto" w:fill="auto"/>
            <w:noWrap/>
            <w:hideMark/>
          </w:tcPr>
          <w:p w14:paraId="69B3E876"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880" w:type="dxa"/>
            <w:tcBorders>
              <w:top w:val="nil"/>
              <w:left w:val="nil"/>
              <w:bottom w:val="nil"/>
              <w:right w:val="nil"/>
            </w:tcBorders>
            <w:shd w:val="clear" w:color="auto" w:fill="auto"/>
            <w:noWrap/>
            <w:hideMark/>
          </w:tcPr>
          <w:p w14:paraId="35E9E131"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469</w:t>
            </w:r>
          </w:p>
        </w:tc>
        <w:tc>
          <w:tcPr>
            <w:tcW w:w="760" w:type="dxa"/>
            <w:tcBorders>
              <w:top w:val="nil"/>
              <w:left w:val="nil"/>
              <w:bottom w:val="nil"/>
              <w:right w:val="nil"/>
            </w:tcBorders>
            <w:shd w:val="clear" w:color="auto" w:fill="auto"/>
            <w:noWrap/>
            <w:hideMark/>
          </w:tcPr>
          <w:p w14:paraId="6870E4F9"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4E0D0BEF"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469</w:t>
            </w:r>
          </w:p>
        </w:tc>
        <w:tc>
          <w:tcPr>
            <w:tcW w:w="880" w:type="dxa"/>
            <w:tcBorders>
              <w:top w:val="nil"/>
              <w:left w:val="nil"/>
              <w:bottom w:val="nil"/>
              <w:right w:val="nil"/>
            </w:tcBorders>
            <w:shd w:val="clear" w:color="auto" w:fill="auto"/>
            <w:noWrap/>
            <w:hideMark/>
          </w:tcPr>
          <w:p w14:paraId="658FA3B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(469)</w:t>
            </w:r>
          </w:p>
        </w:tc>
        <w:tc>
          <w:tcPr>
            <w:tcW w:w="760" w:type="dxa"/>
            <w:tcBorders>
              <w:top w:val="nil"/>
              <w:left w:val="nil"/>
              <w:bottom w:val="nil"/>
              <w:right w:val="nil"/>
            </w:tcBorders>
            <w:shd w:val="clear" w:color="auto" w:fill="auto"/>
            <w:noWrap/>
            <w:hideMark/>
          </w:tcPr>
          <w:p w14:paraId="52899AA5"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w:t>
            </w:r>
          </w:p>
        </w:tc>
        <w:tc>
          <w:tcPr>
            <w:tcW w:w="940" w:type="dxa"/>
            <w:tcBorders>
              <w:top w:val="nil"/>
              <w:left w:val="nil"/>
              <w:bottom w:val="nil"/>
              <w:right w:val="nil"/>
            </w:tcBorders>
            <w:shd w:val="clear" w:color="auto" w:fill="auto"/>
            <w:noWrap/>
            <w:hideMark/>
          </w:tcPr>
          <w:p w14:paraId="03FE97FE" w14:textId="77777777" w:rsidR="00B52DEF" w:rsidRPr="00B52DEF" w:rsidRDefault="00B52DEF" w:rsidP="00B52DEF">
            <w:pPr>
              <w:spacing w:after="0" w:line="240" w:lineRule="auto"/>
              <w:jc w:val="right"/>
              <w:rPr>
                <w:rFonts w:ascii="Arial Narrow" w:eastAsia="Times New Roman" w:hAnsi="Arial Narrow" w:cs="Times New Roman"/>
                <w:sz w:val="16"/>
                <w:szCs w:val="16"/>
                <w:lang w:val="en-US"/>
              </w:rPr>
            </w:pPr>
            <w:r w:rsidRPr="00B52DEF">
              <w:rPr>
                <w:rFonts w:ascii="Arial Narrow" w:eastAsia="Times New Roman" w:hAnsi="Arial Narrow" w:cs="Times New Roman"/>
                <w:sz w:val="16"/>
                <w:szCs w:val="16"/>
                <w:lang w:val="en-US"/>
              </w:rPr>
              <w:t>(469)</w:t>
            </w:r>
          </w:p>
        </w:tc>
      </w:tr>
      <w:tr w:rsidR="00B52DEF" w:rsidRPr="00B52DEF" w14:paraId="1D4BE6DA" w14:textId="77777777" w:rsidTr="00B52DEF">
        <w:trPr>
          <w:trHeight w:val="330"/>
        </w:trPr>
        <w:tc>
          <w:tcPr>
            <w:tcW w:w="2200" w:type="dxa"/>
            <w:tcBorders>
              <w:top w:val="single" w:sz="4" w:space="0" w:color="BFBFBF"/>
              <w:left w:val="nil"/>
              <w:bottom w:val="single" w:sz="8" w:space="0" w:color="BFBFBF"/>
              <w:right w:val="nil"/>
            </w:tcBorders>
            <w:shd w:val="clear" w:color="auto" w:fill="auto"/>
            <w:noWrap/>
            <w:vAlign w:val="center"/>
            <w:hideMark/>
          </w:tcPr>
          <w:p w14:paraId="467EC256"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TOTAL</w:t>
            </w:r>
          </w:p>
        </w:tc>
        <w:tc>
          <w:tcPr>
            <w:tcW w:w="880" w:type="dxa"/>
            <w:tcBorders>
              <w:top w:val="single" w:sz="4" w:space="0" w:color="BFBFBF"/>
              <w:left w:val="nil"/>
              <w:bottom w:val="single" w:sz="8" w:space="0" w:color="BFBFBF"/>
              <w:right w:val="nil"/>
            </w:tcBorders>
            <w:shd w:val="clear" w:color="auto" w:fill="auto"/>
            <w:noWrap/>
            <w:vAlign w:val="center"/>
            <w:hideMark/>
          </w:tcPr>
          <w:p w14:paraId="07F239C8"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180,406</w:t>
            </w:r>
          </w:p>
        </w:tc>
        <w:tc>
          <w:tcPr>
            <w:tcW w:w="760" w:type="dxa"/>
            <w:tcBorders>
              <w:top w:val="single" w:sz="4" w:space="0" w:color="BFBFBF"/>
              <w:left w:val="nil"/>
              <w:bottom w:val="single" w:sz="8" w:space="0" w:color="BFBFBF"/>
              <w:right w:val="nil"/>
            </w:tcBorders>
            <w:shd w:val="clear" w:color="auto" w:fill="auto"/>
            <w:noWrap/>
            <w:vAlign w:val="center"/>
            <w:hideMark/>
          </w:tcPr>
          <w:p w14:paraId="729F6DA4"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3,043</w:t>
            </w:r>
          </w:p>
        </w:tc>
        <w:tc>
          <w:tcPr>
            <w:tcW w:w="900" w:type="dxa"/>
            <w:tcBorders>
              <w:top w:val="single" w:sz="4" w:space="0" w:color="BFBFBF"/>
              <w:left w:val="nil"/>
              <w:bottom w:val="single" w:sz="8" w:space="0" w:color="BFBFBF"/>
              <w:right w:val="nil"/>
            </w:tcBorders>
            <w:shd w:val="clear" w:color="auto" w:fill="auto"/>
            <w:noWrap/>
            <w:vAlign w:val="center"/>
            <w:hideMark/>
          </w:tcPr>
          <w:p w14:paraId="693E316C"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183,449</w:t>
            </w:r>
          </w:p>
        </w:tc>
        <w:tc>
          <w:tcPr>
            <w:tcW w:w="880" w:type="dxa"/>
            <w:tcBorders>
              <w:top w:val="single" w:sz="4" w:space="0" w:color="BFBFBF"/>
              <w:left w:val="nil"/>
              <w:bottom w:val="single" w:sz="8" w:space="0" w:color="BFBFBF"/>
              <w:right w:val="nil"/>
            </w:tcBorders>
            <w:shd w:val="clear" w:color="auto" w:fill="auto"/>
            <w:noWrap/>
            <w:vAlign w:val="center"/>
            <w:hideMark/>
          </w:tcPr>
          <w:p w14:paraId="11FAFE63"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147,909</w:t>
            </w:r>
          </w:p>
        </w:tc>
        <w:tc>
          <w:tcPr>
            <w:tcW w:w="760" w:type="dxa"/>
            <w:tcBorders>
              <w:top w:val="single" w:sz="4" w:space="0" w:color="BFBFBF"/>
              <w:left w:val="nil"/>
              <w:bottom w:val="single" w:sz="8" w:space="0" w:color="BFBFBF"/>
              <w:right w:val="nil"/>
            </w:tcBorders>
            <w:shd w:val="clear" w:color="auto" w:fill="auto"/>
            <w:noWrap/>
            <w:vAlign w:val="center"/>
            <w:hideMark/>
          </w:tcPr>
          <w:p w14:paraId="64FDE2FF"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2,404</w:t>
            </w:r>
          </w:p>
        </w:tc>
        <w:tc>
          <w:tcPr>
            <w:tcW w:w="940" w:type="dxa"/>
            <w:tcBorders>
              <w:top w:val="single" w:sz="4" w:space="0" w:color="BFBFBF"/>
              <w:left w:val="nil"/>
              <w:bottom w:val="single" w:sz="8" w:space="0" w:color="BFBFBF"/>
              <w:right w:val="nil"/>
            </w:tcBorders>
            <w:shd w:val="clear" w:color="auto" w:fill="auto"/>
            <w:noWrap/>
            <w:vAlign w:val="center"/>
            <w:hideMark/>
          </w:tcPr>
          <w:p w14:paraId="7AFA31F7"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150,312</w:t>
            </w:r>
          </w:p>
        </w:tc>
        <w:tc>
          <w:tcPr>
            <w:tcW w:w="880" w:type="dxa"/>
            <w:tcBorders>
              <w:top w:val="single" w:sz="4" w:space="0" w:color="BFBFBF"/>
              <w:left w:val="nil"/>
              <w:bottom w:val="single" w:sz="8" w:space="0" w:color="BFBFBF"/>
              <w:right w:val="nil"/>
            </w:tcBorders>
            <w:shd w:val="clear" w:color="auto" w:fill="auto"/>
            <w:noWrap/>
            <w:vAlign w:val="center"/>
            <w:hideMark/>
          </w:tcPr>
          <w:p w14:paraId="6B5BCF0F"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32,498</w:t>
            </w:r>
          </w:p>
        </w:tc>
        <w:tc>
          <w:tcPr>
            <w:tcW w:w="760" w:type="dxa"/>
            <w:tcBorders>
              <w:top w:val="single" w:sz="4" w:space="0" w:color="BFBFBF"/>
              <w:left w:val="nil"/>
              <w:bottom w:val="single" w:sz="8" w:space="0" w:color="BFBFBF"/>
              <w:right w:val="nil"/>
            </w:tcBorders>
            <w:shd w:val="clear" w:color="auto" w:fill="auto"/>
            <w:noWrap/>
            <w:vAlign w:val="center"/>
            <w:hideMark/>
          </w:tcPr>
          <w:p w14:paraId="3C2355E1"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639</w:t>
            </w:r>
          </w:p>
        </w:tc>
        <w:tc>
          <w:tcPr>
            <w:tcW w:w="940" w:type="dxa"/>
            <w:tcBorders>
              <w:top w:val="single" w:sz="4" w:space="0" w:color="BFBFBF"/>
              <w:left w:val="nil"/>
              <w:bottom w:val="single" w:sz="8" w:space="0" w:color="BFBFBF"/>
              <w:right w:val="nil"/>
            </w:tcBorders>
            <w:shd w:val="clear" w:color="auto" w:fill="auto"/>
            <w:noWrap/>
            <w:vAlign w:val="center"/>
            <w:hideMark/>
          </w:tcPr>
          <w:p w14:paraId="32A27414"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33,137</w:t>
            </w:r>
          </w:p>
        </w:tc>
      </w:tr>
      <w:tr w:rsidR="00B52DEF" w:rsidRPr="00B52DEF" w14:paraId="37EC999C" w14:textId="77777777" w:rsidTr="00B52DEF">
        <w:trPr>
          <w:trHeight w:val="390"/>
        </w:trPr>
        <w:tc>
          <w:tcPr>
            <w:tcW w:w="3840" w:type="dxa"/>
            <w:gridSpan w:val="3"/>
            <w:tcBorders>
              <w:top w:val="nil"/>
              <w:left w:val="nil"/>
              <w:bottom w:val="single" w:sz="8" w:space="0" w:color="BFBFBF"/>
              <w:right w:val="nil"/>
            </w:tcBorders>
            <w:shd w:val="clear" w:color="auto" w:fill="auto"/>
            <w:noWrap/>
            <w:vAlign w:val="center"/>
            <w:hideMark/>
          </w:tcPr>
          <w:p w14:paraId="03E40CE5"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xml:space="preserve">Development Expenditure as </w:t>
            </w:r>
            <w:r w:rsidRPr="00B52DEF">
              <w:rPr>
                <w:rFonts w:ascii="Arial Narrow" w:eastAsia="Times New Roman" w:hAnsi="Arial Narrow" w:cs="Times New Roman"/>
                <w:b/>
                <w:bCs/>
                <w:sz w:val="16"/>
                <w:szCs w:val="16"/>
                <w:lang w:val="en-US"/>
              </w:rPr>
              <w:br/>
              <w:t>% of total budget</w:t>
            </w:r>
          </w:p>
        </w:tc>
        <w:tc>
          <w:tcPr>
            <w:tcW w:w="900" w:type="dxa"/>
            <w:tcBorders>
              <w:top w:val="nil"/>
              <w:left w:val="nil"/>
              <w:bottom w:val="single" w:sz="8" w:space="0" w:color="BFBFBF"/>
              <w:right w:val="single" w:sz="4" w:space="0" w:color="FFFFFF"/>
            </w:tcBorders>
            <w:shd w:val="clear" w:color="auto" w:fill="auto"/>
            <w:noWrap/>
            <w:vAlign w:val="center"/>
            <w:hideMark/>
          </w:tcPr>
          <w:p w14:paraId="5ECF5C8B"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21.4%</w:t>
            </w:r>
          </w:p>
        </w:tc>
        <w:tc>
          <w:tcPr>
            <w:tcW w:w="880" w:type="dxa"/>
            <w:tcBorders>
              <w:top w:val="nil"/>
              <w:left w:val="nil"/>
              <w:bottom w:val="single" w:sz="8" w:space="0" w:color="BFBFBF"/>
              <w:right w:val="nil"/>
            </w:tcBorders>
            <w:shd w:val="clear" w:color="auto" w:fill="auto"/>
            <w:noWrap/>
            <w:vAlign w:val="center"/>
            <w:hideMark/>
          </w:tcPr>
          <w:p w14:paraId="541E38E8"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760" w:type="dxa"/>
            <w:tcBorders>
              <w:top w:val="nil"/>
              <w:left w:val="nil"/>
              <w:bottom w:val="single" w:sz="8" w:space="0" w:color="BFBFBF"/>
              <w:right w:val="nil"/>
            </w:tcBorders>
            <w:shd w:val="clear" w:color="auto" w:fill="auto"/>
            <w:noWrap/>
            <w:vAlign w:val="center"/>
            <w:hideMark/>
          </w:tcPr>
          <w:p w14:paraId="2679F227"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940" w:type="dxa"/>
            <w:tcBorders>
              <w:top w:val="nil"/>
              <w:left w:val="nil"/>
              <w:bottom w:val="single" w:sz="8" w:space="0" w:color="BFBFBF"/>
              <w:right w:val="single" w:sz="4" w:space="0" w:color="FFFFFF"/>
            </w:tcBorders>
            <w:shd w:val="clear" w:color="auto" w:fill="auto"/>
            <w:noWrap/>
            <w:vAlign w:val="center"/>
            <w:hideMark/>
          </w:tcPr>
          <w:p w14:paraId="2F4B7BCA"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18.9%</w:t>
            </w:r>
          </w:p>
        </w:tc>
        <w:tc>
          <w:tcPr>
            <w:tcW w:w="880" w:type="dxa"/>
            <w:tcBorders>
              <w:top w:val="nil"/>
              <w:left w:val="nil"/>
              <w:bottom w:val="single" w:sz="8" w:space="0" w:color="BFBFBF"/>
              <w:right w:val="nil"/>
            </w:tcBorders>
            <w:shd w:val="clear" w:color="auto" w:fill="auto"/>
            <w:noWrap/>
            <w:vAlign w:val="center"/>
            <w:hideMark/>
          </w:tcPr>
          <w:p w14:paraId="7DD8C201"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760" w:type="dxa"/>
            <w:tcBorders>
              <w:top w:val="nil"/>
              <w:left w:val="nil"/>
              <w:bottom w:val="single" w:sz="8" w:space="0" w:color="BFBFBF"/>
              <w:right w:val="nil"/>
            </w:tcBorders>
            <w:shd w:val="clear" w:color="auto" w:fill="auto"/>
            <w:noWrap/>
            <w:vAlign w:val="center"/>
            <w:hideMark/>
          </w:tcPr>
          <w:p w14:paraId="7F97A775" w14:textId="77777777" w:rsidR="00B52DEF" w:rsidRPr="00B52DEF" w:rsidRDefault="00B52DEF" w:rsidP="00B52DEF">
            <w:pPr>
              <w:spacing w:after="0" w:line="240" w:lineRule="auto"/>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 </w:t>
            </w:r>
          </w:p>
        </w:tc>
        <w:tc>
          <w:tcPr>
            <w:tcW w:w="940" w:type="dxa"/>
            <w:tcBorders>
              <w:top w:val="nil"/>
              <w:left w:val="nil"/>
              <w:bottom w:val="single" w:sz="8" w:space="0" w:color="BFBFBF"/>
              <w:right w:val="single" w:sz="4" w:space="0" w:color="FFFFFF"/>
            </w:tcBorders>
            <w:shd w:val="clear" w:color="auto" w:fill="auto"/>
            <w:noWrap/>
            <w:vAlign w:val="center"/>
            <w:hideMark/>
          </w:tcPr>
          <w:p w14:paraId="78002085" w14:textId="77777777" w:rsidR="00B52DEF" w:rsidRPr="00B52DEF" w:rsidRDefault="00B52DEF" w:rsidP="00B52DEF">
            <w:pPr>
              <w:spacing w:after="0" w:line="240" w:lineRule="auto"/>
              <w:jc w:val="right"/>
              <w:rPr>
                <w:rFonts w:ascii="Arial Narrow" w:eastAsia="Times New Roman" w:hAnsi="Arial Narrow" w:cs="Times New Roman"/>
                <w:b/>
                <w:bCs/>
                <w:sz w:val="16"/>
                <w:szCs w:val="16"/>
                <w:lang w:val="en-US"/>
              </w:rPr>
            </w:pPr>
            <w:r w:rsidRPr="00B52DEF">
              <w:rPr>
                <w:rFonts w:ascii="Arial Narrow" w:eastAsia="Times New Roman" w:hAnsi="Arial Narrow" w:cs="Times New Roman"/>
                <w:b/>
                <w:bCs/>
                <w:sz w:val="16"/>
                <w:szCs w:val="16"/>
                <w:lang w:val="en-US"/>
              </w:rPr>
              <w:t>2.5%</w:t>
            </w:r>
          </w:p>
        </w:tc>
      </w:tr>
    </w:tbl>
    <w:p w14:paraId="5A9F9ED8" w14:textId="61760309" w:rsidR="00B52DEF" w:rsidRDefault="00B52DEF" w:rsidP="00C532EB">
      <w:pPr>
        <w:rPr>
          <w:rFonts w:asciiTheme="minorHAnsi" w:hAnsiTheme="minorHAnsi"/>
          <w:sz w:val="22"/>
        </w:rPr>
      </w:pPr>
    </w:p>
    <w:p w14:paraId="7D4B9C0E" w14:textId="77777777" w:rsidR="009719EF" w:rsidRDefault="009719EF" w:rsidP="002356E0">
      <w:pPr>
        <w:rPr>
          <w:highlight w:val="yellow"/>
          <w:lang w:val="en-US"/>
        </w:rPr>
        <w:sectPr w:rsidR="009719EF" w:rsidSect="001A1A90">
          <w:headerReference w:type="even" r:id="rId127"/>
          <w:footerReference w:type="even" r:id="rId128"/>
          <w:footerReference w:type="default" r:id="rId129"/>
          <w:headerReference w:type="first" r:id="rId130"/>
          <w:footerReference w:type="first" r:id="rId131"/>
          <w:pgSz w:w="11906" w:h="16838" w:code="9"/>
          <w:pgMar w:top="1134" w:right="1134" w:bottom="1134" w:left="1134" w:header="454" w:footer="340" w:gutter="0"/>
          <w:cols w:space="708"/>
          <w:titlePg/>
          <w:docGrid w:linePitch="360"/>
        </w:sectPr>
      </w:pPr>
    </w:p>
    <w:p w14:paraId="5E0B3493" w14:textId="77777777" w:rsidR="008377B2" w:rsidRPr="00D350B5" w:rsidRDefault="001E5120" w:rsidP="00196EB3">
      <w:pPr>
        <w:pStyle w:val="SectionTitleNumb"/>
        <w:spacing w:after="320"/>
        <w:rPr>
          <w:lang w:val="en-US"/>
        </w:rPr>
      </w:pPr>
      <w:bookmarkStart w:id="56" w:name="_Toc131176003"/>
      <w:r w:rsidRPr="00D350B5">
        <w:rPr>
          <w:lang w:val="en-US"/>
        </w:rPr>
        <w:t>APPENDICES</w:t>
      </w:r>
      <w:bookmarkEnd w:id="56"/>
    </w:p>
    <w:p w14:paraId="6EECD75F" w14:textId="1E24F373" w:rsidR="00122044" w:rsidRDefault="0079260D" w:rsidP="00196EB3">
      <w:pPr>
        <w:pStyle w:val="AppendixTitle"/>
        <w:pageBreakBefore w:val="0"/>
        <w:spacing w:after="120"/>
        <w:rPr>
          <w:lang w:val="en-US"/>
        </w:rPr>
      </w:pPr>
      <w:bookmarkStart w:id="57" w:name="_Toc131176004"/>
      <w:r>
        <w:rPr>
          <w:lang w:val="en-US"/>
        </w:rPr>
        <w:t xml:space="preserve">2024/25 </w:t>
      </w:r>
      <w:r w:rsidR="00504A10" w:rsidRPr="00D350B5">
        <w:rPr>
          <w:lang w:val="en-US"/>
        </w:rPr>
        <w:t>Member States’ Contributions</w:t>
      </w:r>
      <w:bookmarkEnd w:id="57"/>
    </w:p>
    <w:p w14:paraId="223385AA" w14:textId="277D23A4" w:rsidR="00BE1748" w:rsidRPr="00BE1748" w:rsidRDefault="00BE1748" w:rsidP="00BE1748">
      <w:pPr>
        <w:spacing w:after="60"/>
        <w:jc w:val="center"/>
        <w:rPr>
          <w:lang w:val="en-US"/>
        </w:rPr>
      </w:pPr>
      <w:r w:rsidRPr="00D350B5">
        <w:rPr>
          <w:i/>
          <w:sz w:val="16"/>
          <w:szCs w:val="16"/>
          <w:lang w:val="en-US"/>
        </w:rPr>
        <w:t>(in Swiss francs)</w:t>
      </w:r>
    </w:p>
    <w:tbl>
      <w:tblPr>
        <w:tblW w:w="9960" w:type="dxa"/>
        <w:tblLook w:val="04A0" w:firstRow="1" w:lastRow="0" w:firstColumn="1" w:lastColumn="0" w:noHBand="0" w:noVBand="1"/>
      </w:tblPr>
      <w:tblGrid>
        <w:gridCol w:w="2536"/>
        <w:gridCol w:w="1680"/>
        <w:gridCol w:w="1436"/>
        <w:gridCol w:w="1436"/>
        <w:gridCol w:w="1476"/>
        <w:gridCol w:w="1396"/>
      </w:tblGrid>
      <w:tr w:rsidR="006760B7" w:rsidRPr="006760B7" w14:paraId="5C7E918C" w14:textId="77777777" w:rsidTr="006760B7">
        <w:trPr>
          <w:trHeight w:val="270"/>
          <w:tblHeader/>
        </w:trPr>
        <w:tc>
          <w:tcPr>
            <w:tcW w:w="2536" w:type="dxa"/>
            <w:tcBorders>
              <w:top w:val="nil"/>
              <w:left w:val="nil"/>
              <w:bottom w:val="nil"/>
              <w:right w:val="nil"/>
            </w:tcBorders>
            <w:shd w:val="clear" w:color="000000" w:fill="C7CFD8"/>
            <w:noWrap/>
            <w:hideMark/>
          </w:tcPr>
          <w:p w14:paraId="4FA31955"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 xml:space="preserve">States Members of one or more </w:t>
            </w:r>
          </w:p>
        </w:tc>
        <w:tc>
          <w:tcPr>
            <w:tcW w:w="1680" w:type="dxa"/>
            <w:vMerge w:val="restart"/>
            <w:tcBorders>
              <w:top w:val="nil"/>
              <w:left w:val="nil"/>
              <w:bottom w:val="nil"/>
              <w:right w:val="nil"/>
            </w:tcBorders>
            <w:shd w:val="clear" w:color="000000" w:fill="C7CFD8"/>
            <w:hideMark/>
          </w:tcPr>
          <w:p w14:paraId="3F0FA38D"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Contribution Class</w:t>
            </w:r>
          </w:p>
        </w:tc>
        <w:tc>
          <w:tcPr>
            <w:tcW w:w="1436" w:type="dxa"/>
            <w:tcBorders>
              <w:top w:val="nil"/>
              <w:left w:val="nil"/>
              <w:bottom w:val="nil"/>
              <w:right w:val="nil"/>
            </w:tcBorders>
            <w:shd w:val="clear" w:color="000000" w:fill="C7CFD8"/>
            <w:noWrap/>
            <w:hideMark/>
          </w:tcPr>
          <w:p w14:paraId="5602319C"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Contribution Units</w:t>
            </w:r>
          </w:p>
        </w:tc>
        <w:tc>
          <w:tcPr>
            <w:tcW w:w="1436" w:type="dxa"/>
            <w:tcBorders>
              <w:top w:val="nil"/>
              <w:left w:val="nil"/>
              <w:bottom w:val="nil"/>
              <w:right w:val="nil"/>
            </w:tcBorders>
            <w:shd w:val="clear" w:color="000000" w:fill="C7CFD8"/>
            <w:noWrap/>
            <w:hideMark/>
          </w:tcPr>
          <w:p w14:paraId="2D362243"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Contribution</w:t>
            </w:r>
            <w:r w:rsidRPr="006760B7">
              <w:rPr>
                <w:rFonts w:ascii="Arial Narrow" w:eastAsia="Times New Roman" w:hAnsi="Arial Narrow" w:cs="Arial"/>
                <w:b/>
                <w:bCs/>
                <w:color w:val="000000"/>
                <w:sz w:val="16"/>
                <w:szCs w:val="16"/>
                <w:vertAlign w:val="superscript"/>
                <w:lang w:val="en-US"/>
              </w:rPr>
              <w:t xml:space="preserve"> </w:t>
            </w:r>
            <w:r w:rsidRPr="006760B7">
              <w:rPr>
                <w:rFonts w:ascii="Arial Narrow" w:eastAsia="Times New Roman" w:hAnsi="Arial Narrow" w:cs="Arial"/>
                <w:b/>
                <w:bCs/>
                <w:sz w:val="16"/>
                <w:szCs w:val="16"/>
                <w:vertAlign w:val="superscript"/>
                <w:lang w:val="en-US"/>
              </w:rPr>
              <w:t>1</w:t>
            </w:r>
          </w:p>
        </w:tc>
        <w:tc>
          <w:tcPr>
            <w:tcW w:w="1476" w:type="dxa"/>
            <w:tcBorders>
              <w:top w:val="nil"/>
              <w:left w:val="nil"/>
              <w:bottom w:val="nil"/>
              <w:right w:val="nil"/>
            </w:tcBorders>
            <w:shd w:val="clear" w:color="000000" w:fill="C7CFD8"/>
            <w:noWrap/>
            <w:hideMark/>
          </w:tcPr>
          <w:p w14:paraId="10CD3018"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 xml:space="preserve">Contribution </w:t>
            </w:r>
            <w:r w:rsidRPr="006760B7">
              <w:rPr>
                <w:rFonts w:ascii="Arial Narrow" w:eastAsia="Times New Roman" w:hAnsi="Arial Narrow" w:cs="Arial"/>
                <w:b/>
                <w:bCs/>
                <w:sz w:val="16"/>
                <w:szCs w:val="16"/>
                <w:vertAlign w:val="superscript"/>
                <w:lang w:val="en-US"/>
              </w:rPr>
              <w:t>1</w:t>
            </w:r>
          </w:p>
        </w:tc>
        <w:tc>
          <w:tcPr>
            <w:tcW w:w="1396" w:type="dxa"/>
            <w:tcBorders>
              <w:top w:val="nil"/>
              <w:left w:val="nil"/>
              <w:bottom w:val="nil"/>
              <w:right w:val="nil"/>
            </w:tcBorders>
            <w:shd w:val="clear" w:color="000000" w:fill="C7CFD8"/>
            <w:noWrap/>
            <w:hideMark/>
          </w:tcPr>
          <w:p w14:paraId="2ABAD4B3"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Contributions</w:t>
            </w:r>
          </w:p>
        </w:tc>
      </w:tr>
      <w:tr w:rsidR="006760B7" w:rsidRPr="006760B7" w14:paraId="597E82E9" w14:textId="77777777" w:rsidTr="006760B7">
        <w:trPr>
          <w:trHeight w:val="210"/>
          <w:tblHeader/>
        </w:trPr>
        <w:tc>
          <w:tcPr>
            <w:tcW w:w="2536" w:type="dxa"/>
            <w:tcBorders>
              <w:top w:val="nil"/>
              <w:left w:val="nil"/>
              <w:bottom w:val="nil"/>
              <w:right w:val="nil"/>
            </w:tcBorders>
            <w:shd w:val="clear" w:color="000000" w:fill="C7CFD8"/>
            <w:noWrap/>
            <w:hideMark/>
          </w:tcPr>
          <w:p w14:paraId="7EA27C60"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Contribution-Financed Unions</w:t>
            </w:r>
          </w:p>
        </w:tc>
        <w:tc>
          <w:tcPr>
            <w:tcW w:w="1680" w:type="dxa"/>
            <w:vMerge/>
            <w:tcBorders>
              <w:top w:val="nil"/>
              <w:left w:val="nil"/>
              <w:bottom w:val="nil"/>
              <w:right w:val="nil"/>
            </w:tcBorders>
            <w:vAlign w:val="center"/>
            <w:hideMark/>
          </w:tcPr>
          <w:p w14:paraId="3A8A6AE2"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p>
        </w:tc>
        <w:tc>
          <w:tcPr>
            <w:tcW w:w="1436" w:type="dxa"/>
            <w:tcBorders>
              <w:top w:val="nil"/>
              <w:left w:val="nil"/>
              <w:bottom w:val="nil"/>
              <w:right w:val="nil"/>
            </w:tcBorders>
            <w:shd w:val="clear" w:color="000000" w:fill="C7CFD8"/>
            <w:noWrap/>
            <w:hideMark/>
          </w:tcPr>
          <w:p w14:paraId="6B332B41"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2024/25</w:t>
            </w:r>
          </w:p>
        </w:tc>
        <w:tc>
          <w:tcPr>
            <w:tcW w:w="1436" w:type="dxa"/>
            <w:tcBorders>
              <w:top w:val="nil"/>
              <w:left w:val="nil"/>
              <w:bottom w:val="nil"/>
              <w:right w:val="nil"/>
            </w:tcBorders>
            <w:shd w:val="clear" w:color="000000" w:fill="C7CFD8"/>
            <w:noWrap/>
            <w:hideMark/>
          </w:tcPr>
          <w:p w14:paraId="250F3D93"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2024</w:t>
            </w:r>
          </w:p>
        </w:tc>
        <w:tc>
          <w:tcPr>
            <w:tcW w:w="1476" w:type="dxa"/>
            <w:tcBorders>
              <w:top w:val="nil"/>
              <w:left w:val="nil"/>
              <w:bottom w:val="nil"/>
              <w:right w:val="nil"/>
            </w:tcBorders>
            <w:shd w:val="clear" w:color="000000" w:fill="C7CFD8"/>
            <w:noWrap/>
            <w:hideMark/>
          </w:tcPr>
          <w:p w14:paraId="54B9E5AD"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2025</w:t>
            </w:r>
          </w:p>
        </w:tc>
        <w:tc>
          <w:tcPr>
            <w:tcW w:w="1396" w:type="dxa"/>
            <w:tcBorders>
              <w:top w:val="nil"/>
              <w:left w:val="nil"/>
              <w:bottom w:val="nil"/>
              <w:right w:val="nil"/>
            </w:tcBorders>
            <w:shd w:val="clear" w:color="000000" w:fill="C7CFD8"/>
            <w:noWrap/>
            <w:hideMark/>
          </w:tcPr>
          <w:p w14:paraId="7AACFD4E"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2024/25</w:t>
            </w:r>
          </w:p>
        </w:tc>
      </w:tr>
      <w:tr w:rsidR="006760B7" w:rsidRPr="006760B7" w14:paraId="104B1D1B" w14:textId="77777777" w:rsidTr="006760B7">
        <w:trPr>
          <w:trHeight w:val="210"/>
        </w:trPr>
        <w:tc>
          <w:tcPr>
            <w:tcW w:w="2536" w:type="dxa"/>
            <w:tcBorders>
              <w:top w:val="nil"/>
              <w:left w:val="nil"/>
              <w:bottom w:val="nil"/>
              <w:right w:val="nil"/>
            </w:tcBorders>
            <w:shd w:val="clear" w:color="auto" w:fill="auto"/>
            <w:noWrap/>
            <w:hideMark/>
          </w:tcPr>
          <w:p w14:paraId="6570FBE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Afghanistan </w:t>
            </w:r>
          </w:p>
        </w:tc>
        <w:tc>
          <w:tcPr>
            <w:tcW w:w="1680" w:type="dxa"/>
            <w:tcBorders>
              <w:top w:val="nil"/>
              <w:left w:val="nil"/>
              <w:bottom w:val="nil"/>
              <w:right w:val="nil"/>
            </w:tcBorders>
            <w:shd w:val="clear" w:color="auto" w:fill="auto"/>
            <w:noWrap/>
            <w:hideMark/>
          </w:tcPr>
          <w:p w14:paraId="3A7DF11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0C97D7F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38446D2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41B5B6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188DBAF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390362E" w14:textId="77777777" w:rsidTr="006760B7">
        <w:trPr>
          <w:trHeight w:val="210"/>
        </w:trPr>
        <w:tc>
          <w:tcPr>
            <w:tcW w:w="2536" w:type="dxa"/>
            <w:tcBorders>
              <w:top w:val="nil"/>
              <w:left w:val="nil"/>
              <w:bottom w:val="nil"/>
              <w:right w:val="nil"/>
            </w:tcBorders>
            <w:shd w:val="clear" w:color="auto" w:fill="auto"/>
            <w:noWrap/>
            <w:hideMark/>
          </w:tcPr>
          <w:p w14:paraId="2CA85A3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Albania</w:t>
            </w:r>
          </w:p>
        </w:tc>
        <w:tc>
          <w:tcPr>
            <w:tcW w:w="1680" w:type="dxa"/>
            <w:tcBorders>
              <w:top w:val="nil"/>
              <w:left w:val="nil"/>
              <w:bottom w:val="nil"/>
              <w:right w:val="nil"/>
            </w:tcBorders>
            <w:shd w:val="clear" w:color="auto" w:fill="auto"/>
            <w:noWrap/>
            <w:hideMark/>
          </w:tcPr>
          <w:p w14:paraId="5198EB4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2870F0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42598D7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0095C2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C55D3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547862C" w14:textId="77777777" w:rsidTr="006760B7">
        <w:trPr>
          <w:trHeight w:val="210"/>
        </w:trPr>
        <w:tc>
          <w:tcPr>
            <w:tcW w:w="2536" w:type="dxa"/>
            <w:tcBorders>
              <w:top w:val="nil"/>
              <w:left w:val="nil"/>
              <w:bottom w:val="nil"/>
              <w:right w:val="nil"/>
            </w:tcBorders>
            <w:shd w:val="clear" w:color="auto" w:fill="auto"/>
            <w:noWrap/>
            <w:hideMark/>
          </w:tcPr>
          <w:p w14:paraId="5E7B6EB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Algeria</w:t>
            </w:r>
          </w:p>
        </w:tc>
        <w:tc>
          <w:tcPr>
            <w:tcW w:w="1680" w:type="dxa"/>
            <w:tcBorders>
              <w:top w:val="nil"/>
              <w:left w:val="nil"/>
              <w:bottom w:val="nil"/>
              <w:right w:val="nil"/>
            </w:tcBorders>
            <w:shd w:val="clear" w:color="auto" w:fill="auto"/>
            <w:noWrap/>
            <w:hideMark/>
          </w:tcPr>
          <w:p w14:paraId="40536F7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5BE92F2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BC1F69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7B1D73B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3EC24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403F7C95" w14:textId="77777777" w:rsidTr="006760B7">
        <w:trPr>
          <w:trHeight w:val="210"/>
        </w:trPr>
        <w:tc>
          <w:tcPr>
            <w:tcW w:w="2536" w:type="dxa"/>
            <w:tcBorders>
              <w:top w:val="nil"/>
              <w:left w:val="nil"/>
              <w:bottom w:val="nil"/>
              <w:right w:val="nil"/>
            </w:tcBorders>
            <w:shd w:val="clear" w:color="auto" w:fill="auto"/>
            <w:noWrap/>
            <w:hideMark/>
          </w:tcPr>
          <w:p w14:paraId="23F2F57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Andorra</w:t>
            </w:r>
          </w:p>
        </w:tc>
        <w:tc>
          <w:tcPr>
            <w:tcW w:w="1680" w:type="dxa"/>
            <w:tcBorders>
              <w:top w:val="nil"/>
              <w:left w:val="nil"/>
              <w:bottom w:val="nil"/>
              <w:right w:val="nil"/>
            </w:tcBorders>
            <w:shd w:val="clear" w:color="auto" w:fill="auto"/>
            <w:noWrap/>
            <w:hideMark/>
          </w:tcPr>
          <w:p w14:paraId="3AC09C6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0A3C9C5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5245B02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5683DB7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1B87B53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6DB5404A" w14:textId="77777777" w:rsidTr="006760B7">
        <w:trPr>
          <w:trHeight w:val="210"/>
        </w:trPr>
        <w:tc>
          <w:tcPr>
            <w:tcW w:w="2536" w:type="dxa"/>
            <w:tcBorders>
              <w:top w:val="nil"/>
              <w:left w:val="nil"/>
              <w:bottom w:val="single" w:sz="4" w:space="0" w:color="BFBFBF"/>
              <w:right w:val="nil"/>
            </w:tcBorders>
            <w:shd w:val="clear" w:color="auto" w:fill="auto"/>
            <w:noWrap/>
            <w:hideMark/>
          </w:tcPr>
          <w:p w14:paraId="5E9B412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Angola </w:t>
            </w:r>
          </w:p>
        </w:tc>
        <w:tc>
          <w:tcPr>
            <w:tcW w:w="1680" w:type="dxa"/>
            <w:tcBorders>
              <w:top w:val="nil"/>
              <w:left w:val="nil"/>
              <w:bottom w:val="single" w:sz="4" w:space="0" w:color="BFBFBF"/>
              <w:right w:val="nil"/>
            </w:tcBorders>
            <w:shd w:val="clear" w:color="auto" w:fill="auto"/>
            <w:noWrap/>
            <w:hideMark/>
          </w:tcPr>
          <w:p w14:paraId="051FA45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Ster (2024) / Sbis (2025)</w:t>
            </w:r>
          </w:p>
        </w:tc>
        <w:tc>
          <w:tcPr>
            <w:tcW w:w="1436" w:type="dxa"/>
            <w:tcBorders>
              <w:top w:val="nil"/>
              <w:left w:val="nil"/>
              <w:bottom w:val="single" w:sz="4" w:space="0" w:color="BFBFBF"/>
              <w:right w:val="nil"/>
            </w:tcBorders>
            <w:shd w:val="clear" w:color="auto" w:fill="auto"/>
            <w:noWrap/>
            <w:hideMark/>
          </w:tcPr>
          <w:p w14:paraId="29F0DE1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0.03125/0.0625</w:t>
            </w:r>
          </w:p>
        </w:tc>
        <w:tc>
          <w:tcPr>
            <w:tcW w:w="1436" w:type="dxa"/>
            <w:tcBorders>
              <w:top w:val="nil"/>
              <w:left w:val="nil"/>
              <w:bottom w:val="single" w:sz="4" w:space="0" w:color="BFBFBF"/>
              <w:right w:val="nil"/>
            </w:tcBorders>
            <w:shd w:val="clear" w:color="auto" w:fill="auto"/>
            <w:noWrap/>
            <w:hideMark/>
          </w:tcPr>
          <w:p w14:paraId="188530E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48B22D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768BD69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4,273</w:t>
            </w:r>
          </w:p>
        </w:tc>
      </w:tr>
      <w:tr w:rsidR="006760B7" w:rsidRPr="006760B7" w14:paraId="171D1CA0" w14:textId="77777777" w:rsidTr="006760B7">
        <w:trPr>
          <w:trHeight w:val="210"/>
        </w:trPr>
        <w:tc>
          <w:tcPr>
            <w:tcW w:w="2536" w:type="dxa"/>
            <w:tcBorders>
              <w:top w:val="nil"/>
              <w:left w:val="nil"/>
              <w:bottom w:val="nil"/>
              <w:right w:val="nil"/>
            </w:tcBorders>
            <w:shd w:val="clear" w:color="auto" w:fill="auto"/>
            <w:noWrap/>
            <w:hideMark/>
          </w:tcPr>
          <w:p w14:paraId="5D704F7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Antigua and Barbuda</w:t>
            </w:r>
          </w:p>
        </w:tc>
        <w:tc>
          <w:tcPr>
            <w:tcW w:w="1680" w:type="dxa"/>
            <w:tcBorders>
              <w:top w:val="nil"/>
              <w:left w:val="nil"/>
              <w:bottom w:val="nil"/>
              <w:right w:val="nil"/>
            </w:tcBorders>
            <w:shd w:val="clear" w:color="auto" w:fill="auto"/>
            <w:noWrap/>
            <w:hideMark/>
          </w:tcPr>
          <w:p w14:paraId="38A485E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1AB2DA2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5A6894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790BC23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326EB4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747C16E" w14:textId="77777777" w:rsidTr="006760B7">
        <w:trPr>
          <w:trHeight w:val="210"/>
        </w:trPr>
        <w:tc>
          <w:tcPr>
            <w:tcW w:w="2536" w:type="dxa"/>
            <w:tcBorders>
              <w:top w:val="nil"/>
              <w:left w:val="nil"/>
              <w:bottom w:val="nil"/>
              <w:right w:val="nil"/>
            </w:tcBorders>
            <w:shd w:val="clear" w:color="auto" w:fill="auto"/>
            <w:noWrap/>
            <w:hideMark/>
          </w:tcPr>
          <w:p w14:paraId="52DFD61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Argentina</w:t>
            </w:r>
          </w:p>
        </w:tc>
        <w:tc>
          <w:tcPr>
            <w:tcW w:w="1680" w:type="dxa"/>
            <w:tcBorders>
              <w:top w:val="nil"/>
              <w:left w:val="nil"/>
              <w:bottom w:val="nil"/>
              <w:right w:val="nil"/>
            </w:tcBorders>
            <w:shd w:val="clear" w:color="auto" w:fill="auto"/>
            <w:noWrap/>
            <w:hideMark/>
          </w:tcPr>
          <w:p w14:paraId="7024A0B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nil"/>
              <w:right w:val="nil"/>
            </w:tcBorders>
            <w:shd w:val="clear" w:color="auto" w:fill="auto"/>
            <w:noWrap/>
            <w:hideMark/>
          </w:tcPr>
          <w:p w14:paraId="4835A7E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nil"/>
              <w:right w:val="nil"/>
            </w:tcBorders>
            <w:shd w:val="clear" w:color="auto" w:fill="auto"/>
            <w:noWrap/>
            <w:hideMark/>
          </w:tcPr>
          <w:p w14:paraId="4D78123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nil"/>
              <w:right w:val="nil"/>
            </w:tcBorders>
            <w:shd w:val="clear" w:color="auto" w:fill="auto"/>
            <w:noWrap/>
            <w:hideMark/>
          </w:tcPr>
          <w:p w14:paraId="126020D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nil"/>
              <w:right w:val="nil"/>
            </w:tcBorders>
            <w:shd w:val="clear" w:color="auto" w:fill="auto"/>
            <w:noWrap/>
            <w:hideMark/>
          </w:tcPr>
          <w:p w14:paraId="0CD80BC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7BFBA7C6" w14:textId="77777777" w:rsidTr="006760B7">
        <w:trPr>
          <w:trHeight w:val="210"/>
        </w:trPr>
        <w:tc>
          <w:tcPr>
            <w:tcW w:w="2536" w:type="dxa"/>
            <w:tcBorders>
              <w:top w:val="nil"/>
              <w:left w:val="nil"/>
              <w:bottom w:val="nil"/>
              <w:right w:val="nil"/>
            </w:tcBorders>
            <w:shd w:val="clear" w:color="auto" w:fill="auto"/>
            <w:noWrap/>
            <w:hideMark/>
          </w:tcPr>
          <w:p w14:paraId="76D47C6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Armenia</w:t>
            </w:r>
          </w:p>
        </w:tc>
        <w:tc>
          <w:tcPr>
            <w:tcW w:w="1680" w:type="dxa"/>
            <w:tcBorders>
              <w:top w:val="nil"/>
              <w:left w:val="nil"/>
              <w:bottom w:val="nil"/>
              <w:right w:val="nil"/>
            </w:tcBorders>
            <w:shd w:val="clear" w:color="auto" w:fill="auto"/>
            <w:noWrap/>
            <w:hideMark/>
          </w:tcPr>
          <w:p w14:paraId="50B4E39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468BFAF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03287B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30F061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268DD3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4917CCF" w14:textId="77777777" w:rsidTr="006760B7">
        <w:trPr>
          <w:trHeight w:val="210"/>
        </w:trPr>
        <w:tc>
          <w:tcPr>
            <w:tcW w:w="2536" w:type="dxa"/>
            <w:tcBorders>
              <w:top w:val="nil"/>
              <w:left w:val="nil"/>
              <w:bottom w:val="nil"/>
              <w:right w:val="nil"/>
            </w:tcBorders>
            <w:shd w:val="clear" w:color="auto" w:fill="auto"/>
            <w:noWrap/>
            <w:hideMark/>
          </w:tcPr>
          <w:p w14:paraId="00604F7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Australia</w:t>
            </w:r>
          </w:p>
        </w:tc>
        <w:tc>
          <w:tcPr>
            <w:tcW w:w="1680" w:type="dxa"/>
            <w:tcBorders>
              <w:top w:val="nil"/>
              <w:left w:val="nil"/>
              <w:bottom w:val="nil"/>
              <w:right w:val="nil"/>
            </w:tcBorders>
            <w:shd w:val="clear" w:color="auto" w:fill="auto"/>
            <w:noWrap/>
            <w:hideMark/>
          </w:tcPr>
          <w:p w14:paraId="09D6524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III</w:t>
            </w:r>
          </w:p>
        </w:tc>
        <w:tc>
          <w:tcPr>
            <w:tcW w:w="1436" w:type="dxa"/>
            <w:tcBorders>
              <w:top w:val="nil"/>
              <w:left w:val="nil"/>
              <w:bottom w:val="nil"/>
              <w:right w:val="nil"/>
            </w:tcBorders>
            <w:shd w:val="clear" w:color="auto" w:fill="auto"/>
            <w:noWrap/>
            <w:hideMark/>
          </w:tcPr>
          <w:p w14:paraId="7E1FBF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15</w:t>
            </w:r>
          </w:p>
        </w:tc>
        <w:tc>
          <w:tcPr>
            <w:tcW w:w="1436" w:type="dxa"/>
            <w:tcBorders>
              <w:top w:val="nil"/>
              <w:left w:val="nil"/>
              <w:bottom w:val="nil"/>
              <w:right w:val="nil"/>
            </w:tcBorders>
            <w:shd w:val="clear" w:color="auto" w:fill="auto"/>
            <w:noWrap/>
            <w:hideMark/>
          </w:tcPr>
          <w:p w14:paraId="230602D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476" w:type="dxa"/>
            <w:tcBorders>
              <w:top w:val="nil"/>
              <w:left w:val="nil"/>
              <w:bottom w:val="nil"/>
              <w:right w:val="nil"/>
            </w:tcBorders>
            <w:shd w:val="clear" w:color="auto" w:fill="auto"/>
            <w:noWrap/>
            <w:hideMark/>
          </w:tcPr>
          <w:p w14:paraId="38A82B4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396" w:type="dxa"/>
            <w:tcBorders>
              <w:top w:val="nil"/>
              <w:left w:val="nil"/>
              <w:bottom w:val="nil"/>
              <w:right w:val="nil"/>
            </w:tcBorders>
            <w:shd w:val="clear" w:color="auto" w:fill="auto"/>
            <w:noWrap/>
            <w:hideMark/>
          </w:tcPr>
          <w:p w14:paraId="269030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1,367,370</w:t>
            </w:r>
          </w:p>
        </w:tc>
      </w:tr>
      <w:tr w:rsidR="006760B7" w:rsidRPr="006760B7" w14:paraId="46C3370B" w14:textId="77777777" w:rsidTr="006760B7">
        <w:trPr>
          <w:trHeight w:val="210"/>
        </w:trPr>
        <w:tc>
          <w:tcPr>
            <w:tcW w:w="2536" w:type="dxa"/>
            <w:tcBorders>
              <w:top w:val="nil"/>
              <w:left w:val="nil"/>
              <w:bottom w:val="single" w:sz="4" w:space="0" w:color="BFBFBF"/>
              <w:right w:val="nil"/>
            </w:tcBorders>
            <w:shd w:val="clear" w:color="auto" w:fill="auto"/>
            <w:noWrap/>
            <w:hideMark/>
          </w:tcPr>
          <w:p w14:paraId="5C6DC93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Austria</w:t>
            </w:r>
          </w:p>
        </w:tc>
        <w:tc>
          <w:tcPr>
            <w:tcW w:w="1680" w:type="dxa"/>
            <w:tcBorders>
              <w:top w:val="nil"/>
              <w:left w:val="nil"/>
              <w:bottom w:val="single" w:sz="4" w:space="0" w:color="BFBFBF"/>
              <w:right w:val="nil"/>
            </w:tcBorders>
            <w:shd w:val="clear" w:color="auto" w:fill="auto"/>
            <w:noWrap/>
            <w:hideMark/>
          </w:tcPr>
          <w:p w14:paraId="7ACE4AA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IVbis</w:t>
            </w:r>
          </w:p>
        </w:tc>
        <w:tc>
          <w:tcPr>
            <w:tcW w:w="1436" w:type="dxa"/>
            <w:tcBorders>
              <w:top w:val="nil"/>
              <w:left w:val="nil"/>
              <w:bottom w:val="single" w:sz="4" w:space="0" w:color="BFBFBF"/>
              <w:right w:val="nil"/>
            </w:tcBorders>
            <w:shd w:val="clear" w:color="auto" w:fill="auto"/>
            <w:noWrap/>
            <w:hideMark/>
          </w:tcPr>
          <w:p w14:paraId="5711ED0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7.5</w:t>
            </w:r>
          </w:p>
        </w:tc>
        <w:tc>
          <w:tcPr>
            <w:tcW w:w="1436" w:type="dxa"/>
            <w:tcBorders>
              <w:top w:val="nil"/>
              <w:left w:val="nil"/>
              <w:bottom w:val="single" w:sz="4" w:space="0" w:color="BFBFBF"/>
              <w:right w:val="nil"/>
            </w:tcBorders>
            <w:shd w:val="clear" w:color="auto" w:fill="auto"/>
            <w:noWrap/>
            <w:hideMark/>
          </w:tcPr>
          <w:p w14:paraId="65BF577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476" w:type="dxa"/>
            <w:tcBorders>
              <w:top w:val="nil"/>
              <w:left w:val="nil"/>
              <w:bottom w:val="single" w:sz="4" w:space="0" w:color="BFBFBF"/>
              <w:right w:val="nil"/>
            </w:tcBorders>
            <w:shd w:val="clear" w:color="auto" w:fill="auto"/>
            <w:noWrap/>
            <w:hideMark/>
          </w:tcPr>
          <w:p w14:paraId="788C8C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396" w:type="dxa"/>
            <w:tcBorders>
              <w:top w:val="nil"/>
              <w:left w:val="nil"/>
              <w:bottom w:val="single" w:sz="4" w:space="0" w:color="BFBFBF"/>
              <w:right w:val="nil"/>
            </w:tcBorders>
            <w:shd w:val="clear" w:color="auto" w:fill="auto"/>
            <w:noWrap/>
            <w:hideMark/>
          </w:tcPr>
          <w:p w14:paraId="42EADA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683,684</w:t>
            </w:r>
          </w:p>
        </w:tc>
      </w:tr>
      <w:tr w:rsidR="006760B7" w:rsidRPr="006760B7" w14:paraId="61CB0611" w14:textId="77777777" w:rsidTr="006760B7">
        <w:trPr>
          <w:trHeight w:val="210"/>
        </w:trPr>
        <w:tc>
          <w:tcPr>
            <w:tcW w:w="2536" w:type="dxa"/>
            <w:tcBorders>
              <w:top w:val="nil"/>
              <w:left w:val="nil"/>
              <w:bottom w:val="nil"/>
              <w:right w:val="nil"/>
            </w:tcBorders>
            <w:shd w:val="clear" w:color="auto" w:fill="auto"/>
            <w:noWrap/>
            <w:hideMark/>
          </w:tcPr>
          <w:p w14:paraId="4A23758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Azerbaijan</w:t>
            </w:r>
          </w:p>
        </w:tc>
        <w:tc>
          <w:tcPr>
            <w:tcW w:w="1680" w:type="dxa"/>
            <w:tcBorders>
              <w:top w:val="nil"/>
              <w:left w:val="nil"/>
              <w:bottom w:val="nil"/>
              <w:right w:val="nil"/>
            </w:tcBorders>
            <w:shd w:val="clear" w:color="auto" w:fill="auto"/>
            <w:noWrap/>
            <w:hideMark/>
          </w:tcPr>
          <w:p w14:paraId="4D601E9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B829EA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5D0D936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6CDBF64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4D8426A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2BDEE0AD" w14:textId="77777777" w:rsidTr="006760B7">
        <w:trPr>
          <w:trHeight w:val="210"/>
        </w:trPr>
        <w:tc>
          <w:tcPr>
            <w:tcW w:w="2536" w:type="dxa"/>
            <w:tcBorders>
              <w:top w:val="nil"/>
              <w:left w:val="nil"/>
              <w:bottom w:val="nil"/>
              <w:right w:val="nil"/>
            </w:tcBorders>
            <w:shd w:val="clear" w:color="auto" w:fill="auto"/>
            <w:noWrap/>
            <w:hideMark/>
          </w:tcPr>
          <w:p w14:paraId="44B4A59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Bahamas </w:t>
            </w:r>
          </w:p>
        </w:tc>
        <w:tc>
          <w:tcPr>
            <w:tcW w:w="1680" w:type="dxa"/>
            <w:tcBorders>
              <w:top w:val="nil"/>
              <w:left w:val="nil"/>
              <w:bottom w:val="nil"/>
              <w:right w:val="nil"/>
            </w:tcBorders>
            <w:shd w:val="clear" w:color="auto" w:fill="auto"/>
            <w:noWrap/>
            <w:hideMark/>
          </w:tcPr>
          <w:p w14:paraId="6142B0BB"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5682EC5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7B0DF5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577475A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9D357D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AF93E71" w14:textId="77777777" w:rsidTr="006760B7">
        <w:trPr>
          <w:trHeight w:val="210"/>
        </w:trPr>
        <w:tc>
          <w:tcPr>
            <w:tcW w:w="2536" w:type="dxa"/>
            <w:tcBorders>
              <w:top w:val="nil"/>
              <w:left w:val="nil"/>
              <w:bottom w:val="nil"/>
              <w:right w:val="nil"/>
            </w:tcBorders>
            <w:shd w:val="clear" w:color="auto" w:fill="auto"/>
            <w:noWrap/>
            <w:hideMark/>
          </w:tcPr>
          <w:p w14:paraId="205E1E7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Bahrain</w:t>
            </w:r>
          </w:p>
        </w:tc>
        <w:tc>
          <w:tcPr>
            <w:tcW w:w="1680" w:type="dxa"/>
            <w:tcBorders>
              <w:top w:val="nil"/>
              <w:left w:val="nil"/>
              <w:bottom w:val="nil"/>
              <w:right w:val="nil"/>
            </w:tcBorders>
            <w:shd w:val="clear" w:color="auto" w:fill="auto"/>
            <w:noWrap/>
            <w:hideMark/>
          </w:tcPr>
          <w:p w14:paraId="55C2CDD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2D5F5D1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3E8306B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43A629C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589E463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338517E7" w14:textId="77777777" w:rsidTr="006760B7">
        <w:trPr>
          <w:trHeight w:val="210"/>
        </w:trPr>
        <w:tc>
          <w:tcPr>
            <w:tcW w:w="2536" w:type="dxa"/>
            <w:tcBorders>
              <w:top w:val="nil"/>
              <w:left w:val="nil"/>
              <w:bottom w:val="nil"/>
              <w:right w:val="nil"/>
            </w:tcBorders>
            <w:shd w:val="clear" w:color="auto" w:fill="auto"/>
            <w:noWrap/>
            <w:hideMark/>
          </w:tcPr>
          <w:p w14:paraId="56DD5C4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Bangladesh</w:t>
            </w:r>
          </w:p>
        </w:tc>
        <w:tc>
          <w:tcPr>
            <w:tcW w:w="1680" w:type="dxa"/>
            <w:tcBorders>
              <w:top w:val="nil"/>
              <w:left w:val="nil"/>
              <w:bottom w:val="nil"/>
              <w:right w:val="nil"/>
            </w:tcBorders>
            <w:shd w:val="clear" w:color="auto" w:fill="auto"/>
            <w:noWrap/>
            <w:hideMark/>
          </w:tcPr>
          <w:p w14:paraId="052ADB5B"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582DDC5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7269FA5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66B609E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70A6367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7F7E1507" w14:textId="77777777" w:rsidTr="006760B7">
        <w:trPr>
          <w:trHeight w:val="210"/>
        </w:trPr>
        <w:tc>
          <w:tcPr>
            <w:tcW w:w="2536" w:type="dxa"/>
            <w:tcBorders>
              <w:top w:val="nil"/>
              <w:left w:val="nil"/>
              <w:bottom w:val="single" w:sz="4" w:space="0" w:color="BFBFBF"/>
              <w:right w:val="nil"/>
            </w:tcBorders>
            <w:shd w:val="clear" w:color="auto" w:fill="auto"/>
            <w:noWrap/>
            <w:hideMark/>
          </w:tcPr>
          <w:p w14:paraId="13F2BF4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Barbados</w:t>
            </w:r>
          </w:p>
        </w:tc>
        <w:tc>
          <w:tcPr>
            <w:tcW w:w="1680" w:type="dxa"/>
            <w:tcBorders>
              <w:top w:val="nil"/>
              <w:left w:val="nil"/>
              <w:bottom w:val="single" w:sz="4" w:space="0" w:color="BFBFBF"/>
              <w:right w:val="nil"/>
            </w:tcBorders>
            <w:shd w:val="clear" w:color="auto" w:fill="auto"/>
            <w:noWrap/>
            <w:hideMark/>
          </w:tcPr>
          <w:p w14:paraId="62A0CFC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4E4FB59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62F774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4A43B12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21EF96E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9116963" w14:textId="77777777" w:rsidTr="006760B7">
        <w:trPr>
          <w:trHeight w:val="210"/>
        </w:trPr>
        <w:tc>
          <w:tcPr>
            <w:tcW w:w="2536" w:type="dxa"/>
            <w:tcBorders>
              <w:top w:val="nil"/>
              <w:left w:val="nil"/>
              <w:bottom w:val="nil"/>
              <w:right w:val="nil"/>
            </w:tcBorders>
            <w:shd w:val="clear" w:color="auto" w:fill="auto"/>
            <w:noWrap/>
            <w:hideMark/>
          </w:tcPr>
          <w:p w14:paraId="22F9B55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Belarus</w:t>
            </w:r>
          </w:p>
        </w:tc>
        <w:tc>
          <w:tcPr>
            <w:tcW w:w="1680" w:type="dxa"/>
            <w:tcBorders>
              <w:top w:val="nil"/>
              <w:left w:val="nil"/>
              <w:bottom w:val="nil"/>
              <w:right w:val="nil"/>
            </w:tcBorders>
            <w:shd w:val="clear" w:color="auto" w:fill="auto"/>
            <w:noWrap/>
            <w:hideMark/>
          </w:tcPr>
          <w:p w14:paraId="60AD9CF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F6CC1C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0A537CD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3FE7F8F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4147584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3E8A98FC" w14:textId="77777777" w:rsidTr="006760B7">
        <w:trPr>
          <w:trHeight w:val="210"/>
        </w:trPr>
        <w:tc>
          <w:tcPr>
            <w:tcW w:w="2536" w:type="dxa"/>
            <w:tcBorders>
              <w:top w:val="nil"/>
              <w:left w:val="nil"/>
              <w:bottom w:val="nil"/>
              <w:right w:val="nil"/>
            </w:tcBorders>
            <w:shd w:val="clear" w:color="auto" w:fill="auto"/>
            <w:noWrap/>
            <w:hideMark/>
          </w:tcPr>
          <w:p w14:paraId="5C04E88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Belgium</w:t>
            </w:r>
          </w:p>
        </w:tc>
        <w:tc>
          <w:tcPr>
            <w:tcW w:w="1680" w:type="dxa"/>
            <w:tcBorders>
              <w:top w:val="nil"/>
              <w:left w:val="nil"/>
              <w:bottom w:val="nil"/>
              <w:right w:val="nil"/>
            </w:tcBorders>
            <w:shd w:val="clear" w:color="auto" w:fill="auto"/>
            <w:noWrap/>
            <w:hideMark/>
          </w:tcPr>
          <w:p w14:paraId="4358B27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3CC481D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59B6B8F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51E22E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6D2EFC1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0C835AA8" w14:textId="77777777" w:rsidTr="006760B7">
        <w:trPr>
          <w:trHeight w:val="210"/>
        </w:trPr>
        <w:tc>
          <w:tcPr>
            <w:tcW w:w="2536" w:type="dxa"/>
            <w:tcBorders>
              <w:top w:val="nil"/>
              <w:left w:val="nil"/>
              <w:bottom w:val="nil"/>
              <w:right w:val="nil"/>
            </w:tcBorders>
            <w:shd w:val="clear" w:color="auto" w:fill="auto"/>
            <w:noWrap/>
            <w:hideMark/>
          </w:tcPr>
          <w:p w14:paraId="661BDB1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Belize</w:t>
            </w:r>
          </w:p>
        </w:tc>
        <w:tc>
          <w:tcPr>
            <w:tcW w:w="1680" w:type="dxa"/>
            <w:tcBorders>
              <w:top w:val="nil"/>
              <w:left w:val="nil"/>
              <w:bottom w:val="nil"/>
              <w:right w:val="nil"/>
            </w:tcBorders>
            <w:shd w:val="clear" w:color="auto" w:fill="auto"/>
            <w:noWrap/>
            <w:hideMark/>
          </w:tcPr>
          <w:p w14:paraId="55B07ECF"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6EFD9E4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12AE8DF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4D8849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007B128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28DC7238" w14:textId="77777777" w:rsidTr="006760B7">
        <w:trPr>
          <w:trHeight w:val="210"/>
        </w:trPr>
        <w:tc>
          <w:tcPr>
            <w:tcW w:w="2536" w:type="dxa"/>
            <w:tcBorders>
              <w:top w:val="nil"/>
              <w:left w:val="nil"/>
              <w:bottom w:val="nil"/>
              <w:right w:val="nil"/>
            </w:tcBorders>
            <w:shd w:val="clear" w:color="auto" w:fill="auto"/>
            <w:noWrap/>
            <w:hideMark/>
          </w:tcPr>
          <w:p w14:paraId="263991B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Benin</w:t>
            </w:r>
          </w:p>
        </w:tc>
        <w:tc>
          <w:tcPr>
            <w:tcW w:w="1680" w:type="dxa"/>
            <w:tcBorders>
              <w:top w:val="nil"/>
              <w:left w:val="nil"/>
              <w:bottom w:val="nil"/>
              <w:right w:val="nil"/>
            </w:tcBorders>
            <w:shd w:val="clear" w:color="auto" w:fill="auto"/>
            <w:noWrap/>
            <w:hideMark/>
          </w:tcPr>
          <w:p w14:paraId="0996C3D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7E33E4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3D9B42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1E00F0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7BACA2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6A68C751" w14:textId="77777777" w:rsidTr="006760B7">
        <w:trPr>
          <w:trHeight w:val="210"/>
        </w:trPr>
        <w:tc>
          <w:tcPr>
            <w:tcW w:w="2536" w:type="dxa"/>
            <w:tcBorders>
              <w:top w:val="nil"/>
              <w:left w:val="nil"/>
              <w:bottom w:val="single" w:sz="4" w:space="0" w:color="BFBFBF"/>
              <w:right w:val="nil"/>
            </w:tcBorders>
            <w:shd w:val="clear" w:color="auto" w:fill="auto"/>
            <w:noWrap/>
            <w:hideMark/>
          </w:tcPr>
          <w:p w14:paraId="2C16920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Bhutan </w:t>
            </w:r>
          </w:p>
        </w:tc>
        <w:tc>
          <w:tcPr>
            <w:tcW w:w="1680" w:type="dxa"/>
            <w:tcBorders>
              <w:top w:val="nil"/>
              <w:left w:val="nil"/>
              <w:bottom w:val="single" w:sz="4" w:space="0" w:color="BFBFBF"/>
              <w:right w:val="nil"/>
            </w:tcBorders>
            <w:shd w:val="clear" w:color="auto" w:fill="auto"/>
            <w:noWrap/>
            <w:hideMark/>
          </w:tcPr>
          <w:p w14:paraId="78EC0B06"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126FDD2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6883809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17E860B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48D33A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6EC80EB" w14:textId="77777777" w:rsidTr="006760B7">
        <w:trPr>
          <w:trHeight w:val="210"/>
        </w:trPr>
        <w:tc>
          <w:tcPr>
            <w:tcW w:w="2536" w:type="dxa"/>
            <w:tcBorders>
              <w:top w:val="nil"/>
              <w:left w:val="nil"/>
              <w:bottom w:val="nil"/>
              <w:right w:val="nil"/>
            </w:tcBorders>
            <w:shd w:val="clear" w:color="auto" w:fill="auto"/>
            <w:noWrap/>
            <w:hideMark/>
          </w:tcPr>
          <w:p w14:paraId="50B3606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Bolivia (Plurinational State of)</w:t>
            </w:r>
          </w:p>
        </w:tc>
        <w:tc>
          <w:tcPr>
            <w:tcW w:w="1680" w:type="dxa"/>
            <w:tcBorders>
              <w:top w:val="nil"/>
              <w:left w:val="nil"/>
              <w:bottom w:val="nil"/>
              <w:right w:val="nil"/>
            </w:tcBorders>
            <w:shd w:val="clear" w:color="auto" w:fill="auto"/>
            <w:noWrap/>
            <w:hideMark/>
          </w:tcPr>
          <w:p w14:paraId="0C85C0BC"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23FAF1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602BA63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5948F0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F400A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52F9DA0" w14:textId="77777777" w:rsidTr="006760B7">
        <w:trPr>
          <w:trHeight w:val="210"/>
        </w:trPr>
        <w:tc>
          <w:tcPr>
            <w:tcW w:w="2536" w:type="dxa"/>
            <w:tcBorders>
              <w:top w:val="nil"/>
              <w:left w:val="nil"/>
              <w:bottom w:val="nil"/>
              <w:right w:val="nil"/>
            </w:tcBorders>
            <w:shd w:val="clear" w:color="auto" w:fill="auto"/>
            <w:noWrap/>
            <w:hideMark/>
          </w:tcPr>
          <w:p w14:paraId="7A1A94A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Bosnia and Herzegovina</w:t>
            </w:r>
          </w:p>
        </w:tc>
        <w:tc>
          <w:tcPr>
            <w:tcW w:w="1680" w:type="dxa"/>
            <w:tcBorders>
              <w:top w:val="nil"/>
              <w:left w:val="nil"/>
              <w:bottom w:val="nil"/>
              <w:right w:val="nil"/>
            </w:tcBorders>
            <w:shd w:val="clear" w:color="auto" w:fill="auto"/>
            <w:noWrap/>
            <w:hideMark/>
          </w:tcPr>
          <w:p w14:paraId="68C5D056"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7D6753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495CAAF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31848C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5AC11B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14F9B84" w14:textId="77777777" w:rsidTr="006760B7">
        <w:trPr>
          <w:trHeight w:val="210"/>
        </w:trPr>
        <w:tc>
          <w:tcPr>
            <w:tcW w:w="2536" w:type="dxa"/>
            <w:tcBorders>
              <w:top w:val="nil"/>
              <w:left w:val="nil"/>
              <w:bottom w:val="nil"/>
              <w:right w:val="nil"/>
            </w:tcBorders>
            <w:shd w:val="clear" w:color="auto" w:fill="auto"/>
            <w:noWrap/>
            <w:hideMark/>
          </w:tcPr>
          <w:p w14:paraId="4EBEEA4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Botswana</w:t>
            </w:r>
          </w:p>
        </w:tc>
        <w:tc>
          <w:tcPr>
            <w:tcW w:w="1680" w:type="dxa"/>
            <w:tcBorders>
              <w:top w:val="nil"/>
              <w:left w:val="nil"/>
              <w:bottom w:val="nil"/>
              <w:right w:val="nil"/>
            </w:tcBorders>
            <w:shd w:val="clear" w:color="auto" w:fill="auto"/>
            <w:noWrap/>
            <w:hideMark/>
          </w:tcPr>
          <w:p w14:paraId="0D2F6A6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6F11065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B2D488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1343D5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C562E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6006A50" w14:textId="77777777" w:rsidTr="006760B7">
        <w:trPr>
          <w:trHeight w:val="210"/>
        </w:trPr>
        <w:tc>
          <w:tcPr>
            <w:tcW w:w="2536" w:type="dxa"/>
            <w:tcBorders>
              <w:top w:val="nil"/>
              <w:left w:val="nil"/>
              <w:bottom w:val="nil"/>
              <w:right w:val="nil"/>
            </w:tcBorders>
            <w:shd w:val="clear" w:color="auto" w:fill="auto"/>
            <w:noWrap/>
            <w:hideMark/>
          </w:tcPr>
          <w:p w14:paraId="660DCD4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Brazil</w:t>
            </w:r>
          </w:p>
        </w:tc>
        <w:tc>
          <w:tcPr>
            <w:tcW w:w="1680" w:type="dxa"/>
            <w:tcBorders>
              <w:top w:val="nil"/>
              <w:left w:val="nil"/>
              <w:bottom w:val="nil"/>
              <w:right w:val="nil"/>
            </w:tcBorders>
            <w:shd w:val="clear" w:color="auto" w:fill="auto"/>
            <w:noWrap/>
            <w:hideMark/>
          </w:tcPr>
          <w:p w14:paraId="3A88EAB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nil"/>
              <w:right w:val="nil"/>
            </w:tcBorders>
            <w:shd w:val="clear" w:color="auto" w:fill="auto"/>
            <w:noWrap/>
            <w:hideMark/>
          </w:tcPr>
          <w:p w14:paraId="31A1768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nil"/>
              <w:right w:val="nil"/>
            </w:tcBorders>
            <w:shd w:val="clear" w:color="auto" w:fill="auto"/>
            <w:noWrap/>
            <w:hideMark/>
          </w:tcPr>
          <w:p w14:paraId="1A4DD3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nil"/>
              <w:right w:val="nil"/>
            </w:tcBorders>
            <w:shd w:val="clear" w:color="auto" w:fill="auto"/>
            <w:noWrap/>
            <w:hideMark/>
          </w:tcPr>
          <w:p w14:paraId="36BE15C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nil"/>
              <w:right w:val="nil"/>
            </w:tcBorders>
            <w:shd w:val="clear" w:color="auto" w:fill="auto"/>
            <w:noWrap/>
            <w:hideMark/>
          </w:tcPr>
          <w:p w14:paraId="3557024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56AA79F5" w14:textId="77777777" w:rsidTr="006760B7">
        <w:trPr>
          <w:trHeight w:val="210"/>
        </w:trPr>
        <w:tc>
          <w:tcPr>
            <w:tcW w:w="2536" w:type="dxa"/>
            <w:tcBorders>
              <w:top w:val="nil"/>
              <w:left w:val="nil"/>
              <w:bottom w:val="single" w:sz="4" w:space="0" w:color="BFBFBF"/>
              <w:right w:val="nil"/>
            </w:tcBorders>
            <w:shd w:val="clear" w:color="auto" w:fill="auto"/>
            <w:noWrap/>
            <w:hideMark/>
          </w:tcPr>
          <w:p w14:paraId="38FB623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Brunei Darussalam </w:t>
            </w:r>
          </w:p>
        </w:tc>
        <w:tc>
          <w:tcPr>
            <w:tcW w:w="1680" w:type="dxa"/>
            <w:tcBorders>
              <w:top w:val="nil"/>
              <w:left w:val="nil"/>
              <w:bottom w:val="single" w:sz="4" w:space="0" w:color="BFBFBF"/>
              <w:right w:val="nil"/>
            </w:tcBorders>
            <w:shd w:val="clear" w:color="auto" w:fill="auto"/>
            <w:noWrap/>
            <w:hideMark/>
          </w:tcPr>
          <w:p w14:paraId="1EF2D78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single" w:sz="4" w:space="0" w:color="BFBFBF"/>
              <w:right w:val="nil"/>
            </w:tcBorders>
            <w:shd w:val="clear" w:color="auto" w:fill="auto"/>
            <w:noWrap/>
            <w:hideMark/>
          </w:tcPr>
          <w:p w14:paraId="65442FA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single" w:sz="4" w:space="0" w:color="BFBFBF"/>
              <w:right w:val="nil"/>
            </w:tcBorders>
            <w:shd w:val="clear" w:color="auto" w:fill="auto"/>
            <w:noWrap/>
            <w:hideMark/>
          </w:tcPr>
          <w:p w14:paraId="03E6494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single" w:sz="4" w:space="0" w:color="BFBFBF"/>
              <w:right w:val="nil"/>
            </w:tcBorders>
            <w:shd w:val="clear" w:color="auto" w:fill="auto"/>
            <w:noWrap/>
            <w:hideMark/>
          </w:tcPr>
          <w:p w14:paraId="3495260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single" w:sz="4" w:space="0" w:color="BFBFBF"/>
              <w:right w:val="nil"/>
            </w:tcBorders>
            <w:shd w:val="clear" w:color="auto" w:fill="auto"/>
            <w:noWrap/>
            <w:hideMark/>
          </w:tcPr>
          <w:p w14:paraId="58E14F4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35B4562C" w14:textId="77777777" w:rsidTr="006760B7">
        <w:trPr>
          <w:trHeight w:val="210"/>
        </w:trPr>
        <w:tc>
          <w:tcPr>
            <w:tcW w:w="2536" w:type="dxa"/>
            <w:tcBorders>
              <w:top w:val="nil"/>
              <w:left w:val="nil"/>
              <w:bottom w:val="nil"/>
              <w:right w:val="nil"/>
            </w:tcBorders>
            <w:shd w:val="clear" w:color="auto" w:fill="auto"/>
            <w:noWrap/>
            <w:hideMark/>
          </w:tcPr>
          <w:p w14:paraId="651583D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Bulgaria</w:t>
            </w:r>
          </w:p>
        </w:tc>
        <w:tc>
          <w:tcPr>
            <w:tcW w:w="1680" w:type="dxa"/>
            <w:tcBorders>
              <w:top w:val="nil"/>
              <w:left w:val="nil"/>
              <w:bottom w:val="nil"/>
              <w:right w:val="nil"/>
            </w:tcBorders>
            <w:shd w:val="clear" w:color="auto" w:fill="auto"/>
            <w:noWrap/>
            <w:hideMark/>
          </w:tcPr>
          <w:p w14:paraId="056EE4A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nil"/>
              <w:right w:val="nil"/>
            </w:tcBorders>
            <w:shd w:val="clear" w:color="auto" w:fill="auto"/>
            <w:noWrap/>
            <w:hideMark/>
          </w:tcPr>
          <w:p w14:paraId="0A45F06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nil"/>
              <w:right w:val="nil"/>
            </w:tcBorders>
            <w:shd w:val="clear" w:color="auto" w:fill="auto"/>
            <w:noWrap/>
            <w:hideMark/>
          </w:tcPr>
          <w:p w14:paraId="3825235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nil"/>
              <w:right w:val="nil"/>
            </w:tcBorders>
            <w:shd w:val="clear" w:color="auto" w:fill="auto"/>
            <w:noWrap/>
            <w:hideMark/>
          </w:tcPr>
          <w:p w14:paraId="03C9C51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nil"/>
              <w:right w:val="nil"/>
            </w:tcBorders>
            <w:shd w:val="clear" w:color="auto" w:fill="auto"/>
            <w:noWrap/>
            <w:hideMark/>
          </w:tcPr>
          <w:p w14:paraId="6E9A6F7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3F5B6928" w14:textId="77777777" w:rsidTr="006760B7">
        <w:trPr>
          <w:trHeight w:val="210"/>
        </w:trPr>
        <w:tc>
          <w:tcPr>
            <w:tcW w:w="2536" w:type="dxa"/>
            <w:tcBorders>
              <w:top w:val="nil"/>
              <w:left w:val="nil"/>
              <w:bottom w:val="nil"/>
              <w:right w:val="nil"/>
            </w:tcBorders>
            <w:shd w:val="clear" w:color="auto" w:fill="auto"/>
            <w:noWrap/>
            <w:hideMark/>
          </w:tcPr>
          <w:p w14:paraId="625A935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Burkina Faso</w:t>
            </w:r>
          </w:p>
        </w:tc>
        <w:tc>
          <w:tcPr>
            <w:tcW w:w="1680" w:type="dxa"/>
            <w:tcBorders>
              <w:top w:val="nil"/>
              <w:left w:val="nil"/>
              <w:bottom w:val="nil"/>
              <w:right w:val="nil"/>
            </w:tcBorders>
            <w:shd w:val="clear" w:color="auto" w:fill="auto"/>
            <w:noWrap/>
            <w:hideMark/>
          </w:tcPr>
          <w:p w14:paraId="47D3B47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1FBF321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04F175A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E3C0EB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210E5EE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7026CC4C" w14:textId="77777777" w:rsidTr="006760B7">
        <w:trPr>
          <w:trHeight w:val="210"/>
        </w:trPr>
        <w:tc>
          <w:tcPr>
            <w:tcW w:w="2536" w:type="dxa"/>
            <w:tcBorders>
              <w:top w:val="nil"/>
              <w:left w:val="nil"/>
              <w:bottom w:val="nil"/>
              <w:right w:val="nil"/>
            </w:tcBorders>
            <w:shd w:val="clear" w:color="auto" w:fill="auto"/>
            <w:noWrap/>
            <w:hideMark/>
          </w:tcPr>
          <w:p w14:paraId="30DE07F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Burundi</w:t>
            </w:r>
          </w:p>
        </w:tc>
        <w:tc>
          <w:tcPr>
            <w:tcW w:w="1680" w:type="dxa"/>
            <w:tcBorders>
              <w:top w:val="nil"/>
              <w:left w:val="nil"/>
              <w:bottom w:val="nil"/>
              <w:right w:val="nil"/>
            </w:tcBorders>
            <w:shd w:val="clear" w:color="auto" w:fill="auto"/>
            <w:noWrap/>
            <w:hideMark/>
          </w:tcPr>
          <w:p w14:paraId="50E344F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39D8F20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52CA930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4078014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56D623C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5EC11A3" w14:textId="77777777" w:rsidTr="006760B7">
        <w:trPr>
          <w:trHeight w:val="210"/>
        </w:trPr>
        <w:tc>
          <w:tcPr>
            <w:tcW w:w="2536" w:type="dxa"/>
            <w:tcBorders>
              <w:top w:val="nil"/>
              <w:left w:val="nil"/>
              <w:bottom w:val="nil"/>
              <w:right w:val="nil"/>
            </w:tcBorders>
            <w:shd w:val="clear" w:color="auto" w:fill="auto"/>
            <w:noWrap/>
            <w:hideMark/>
          </w:tcPr>
          <w:p w14:paraId="1B78855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Cabo Verde</w:t>
            </w:r>
          </w:p>
        </w:tc>
        <w:tc>
          <w:tcPr>
            <w:tcW w:w="1680" w:type="dxa"/>
            <w:tcBorders>
              <w:top w:val="nil"/>
              <w:left w:val="nil"/>
              <w:bottom w:val="nil"/>
              <w:right w:val="nil"/>
            </w:tcBorders>
            <w:shd w:val="clear" w:color="auto" w:fill="auto"/>
            <w:noWrap/>
            <w:hideMark/>
          </w:tcPr>
          <w:p w14:paraId="79A0D6BC"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2A5AF2F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E27D38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58EBE90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6D57372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10EA89B" w14:textId="77777777" w:rsidTr="006760B7">
        <w:trPr>
          <w:trHeight w:val="210"/>
        </w:trPr>
        <w:tc>
          <w:tcPr>
            <w:tcW w:w="2536" w:type="dxa"/>
            <w:tcBorders>
              <w:top w:val="nil"/>
              <w:left w:val="nil"/>
              <w:bottom w:val="single" w:sz="4" w:space="0" w:color="BFBFBF"/>
              <w:right w:val="nil"/>
            </w:tcBorders>
            <w:shd w:val="clear" w:color="auto" w:fill="auto"/>
            <w:noWrap/>
            <w:hideMark/>
          </w:tcPr>
          <w:p w14:paraId="0C6D69D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Cambodia</w:t>
            </w:r>
          </w:p>
        </w:tc>
        <w:tc>
          <w:tcPr>
            <w:tcW w:w="1680" w:type="dxa"/>
            <w:tcBorders>
              <w:top w:val="nil"/>
              <w:left w:val="nil"/>
              <w:bottom w:val="single" w:sz="4" w:space="0" w:color="BFBFBF"/>
              <w:right w:val="nil"/>
            </w:tcBorders>
            <w:shd w:val="clear" w:color="auto" w:fill="auto"/>
            <w:noWrap/>
            <w:hideMark/>
          </w:tcPr>
          <w:p w14:paraId="5C83205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2D7CC0B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25FAD44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22AF45F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391B22B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15427E5B" w14:textId="77777777" w:rsidTr="006760B7">
        <w:trPr>
          <w:trHeight w:val="210"/>
        </w:trPr>
        <w:tc>
          <w:tcPr>
            <w:tcW w:w="2536" w:type="dxa"/>
            <w:tcBorders>
              <w:top w:val="nil"/>
              <w:left w:val="nil"/>
              <w:bottom w:val="nil"/>
              <w:right w:val="nil"/>
            </w:tcBorders>
            <w:shd w:val="clear" w:color="auto" w:fill="auto"/>
            <w:noWrap/>
            <w:hideMark/>
          </w:tcPr>
          <w:p w14:paraId="0A67270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Cameroon</w:t>
            </w:r>
          </w:p>
        </w:tc>
        <w:tc>
          <w:tcPr>
            <w:tcW w:w="1680" w:type="dxa"/>
            <w:tcBorders>
              <w:top w:val="nil"/>
              <w:left w:val="nil"/>
              <w:bottom w:val="nil"/>
              <w:right w:val="nil"/>
            </w:tcBorders>
            <w:shd w:val="clear" w:color="auto" w:fill="auto"/>
            <w:noWrap/>
            <w:hideMark/>
          </w:tcPr>
          <w:p w14:paraId="32507CBA"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54CDAED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1B9E5B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3AF903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013CD19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C57D820" w14:textId="77777777" w:rsidTr="006760B7">
        <w:trPr>
          <w:trHeight w:val="210"/>
        </w:trPr>
        <w:tc>
          <w:tcPr>
            <w:tcW w:w="2536" w:type="dxa"/>
            <w:tcBorders>
              <w:top w:val="nil"/>
              <w:left w:val="nil"/>
              <w:bottom w:val="nil"/>
              <w:right w:val="nil"/>
            </w:tcBorders>
            <w:shd w:val="clear" w:color="auto" w:fill="auto"/>
            <w:noWrap/>
            <w:hideMark/>
          </w:tcPr>
          <w:p w14:paraId="32F6286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Canada</w:t>
            </w:r>
          </w:p>
        </w:tc>
        <w:tc>
          <w:tcPr>
            <w:tcW w:w="1680" w:type="dxa"/>
            <w:tcBorders>
              <w:top w:val="nil"/>
              <w:left w:val="nil"/>
              <w:bottom w:val="nil"/>
              <w:right w:val="nil"/>
            </w:tcBorders>
            <w:shd w:val="clear" w:color="auto" w:fill="auto"/>
            <w:noWrap/>
            <w:hideMark/>
          </w:tcPr>
          <w:p w14:paraId="2877BC8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1487B05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3483D08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3FE3BCF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1ED56A3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46C9BE51" w14:textId="77777777" w:rsidTr="006760B7">
        <w:trPr>
          <w:trHeight w:val="210"/>
        </w:trPr>
        <w:tc>
          <w:tcPr>
            <w:tcW w:w="2536" w:type="dxa"/>
            <w:tcBorders>
              <w:top w:val="nil"/>
              <w:left w:val="nil"/>
              <w:bottom w:val="nil"/>
              <w:right w:val="nil"/>
            </w:tcBorders>
            <w:shd w:val="clear" w:color="auto" w:fill="auto"/>
            <w:noWrap/>
            <w:hideMark/>
          </w:tcPr>
          <w:p w14:paraId="510B4D4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Central African Republic </w:t>
            </w:r>
          </w:p>
        </w:tc>
        <w:tc>
          <w:tcPr>
            <w:tcW w:w="1680" w:type="dxa"/>
            <w:tcBorders>
              <w:top w:val="nil"/>
              <w:left w:val="nil"/>
              <w:bottom w:val="nil"/>
              <w:right w:val="nil"/>
            </w:tcBorders>
            <w:shd w:val="clear" w:color="auto" w:fill="auto"/>
            <w:noWrap/>
            <w:hideMark/>
          </w:tcPr>
          <w:p w14:paraId="39A01D7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4E97506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1DF512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DC74B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41A735D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3217F045" w14:textId="77777777" w:rsidTr="006760B7">
        <w:trPr>
          <w:trHeight w:val="210"/>
        </w:trPr>
        <w:tc>
          <w:tcPr>
            <w:tcW w:w="2536" w:type="dxa"/>
            <w:tcBorders>
              <w:top w:val="nil"/>
              <w:left w:val="nil"/>
              <w:bottom w:val="nil"/>
              <w:right w:val="nil"/>
            </w:tcBorders>
            <w:shd w:val="clear" w:color="auto" w:fill="auto"/>
            <w:noWrap/>
            <w:hideMark/>
          </w:tcPr>
          <w:p w14:paraId="4497064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Chad</w:t>
            </w:r>
          </w:p>
        </w:tc>
        <w:tc>
          <w:tcPr>
            <w:tcW w:w="1680" w:type="dxa"/>
            <w:tcBorders>
              <w:top w:val="nil"/>
              <w:left w:val="nil"/>
              <w:bottom w:val="nil"/>
              <w:right w:val="nil"/>
            </w:tcBorders>
            <w:shd w:val="clear" w:color="auto" w:fill="auto"/>
            <w:noWrap/>
            <w:hideMark/>
          </w:tcPr>
          <w:p w14:paraId="70D8143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2C8BDCE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0CA5F41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592DBD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7E08C9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3ACF9911" w14:textId="77777777" w:rsidTr="006760B7">
        <w:trPr>
          <w:trHeight w:val="210"/>
        </w:trPr>
        <w:tc>
          <w:tcPr>
            <w:tcW w:w="2536" w:type="dxa"/>
            <w:tcBorders>
              <w:top w:val="nil"/>
              <w:left w:val="nil"/>
              <w:bottom w:val="single" w:sz="4" w:space="0" w:color="BFBFBF"/>
              <w:right w:val="nil"/>
            </w:tcBorders>
            <w:shd w:val="clear" w:color="auto" w:fill="auto"/>
            <w:noWrap/>
            <w:hideMark/>
          </w:tcPr>
          <w:p w14:paraId="5B694A6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Chile</w:t>
            </w:r>
          </w:p>
        </w:tc>
        <w:tc>
          <w:tcPr>
            <w:tcW w:w="1680" w:type="dxa"/>
            <w:tcBorders>
              <w:top w:val="nil"/>
              <w:left w:val="nil"/>
              <w:bottom w:val="single" w:sz="4" w:space="0" w:color="BFBFBF"/>
              <w:right w:val="nil"/>
            </w:tcBorders>
            <w:shd w:val="clear" w:color="auto" w:fill="auto"/>
            <w:noWrap/>
            <w:hideMark/>
          </w:tcPr>
          <w:p w14:paraId="71591CC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single" w:sz="4" w:space="0" w:color="BFBFBF"/>
              <w:right w:val="nil"/>
            </w:tcBorders>
            <w:shd w:val="clear" w:color="auto" w:fill="auto"/>
            <w:noWrap/>
            <w:hideMark/>
          </w:tcPr>
          <w:p w14:paraId="02B0D3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single" w:sz="4" w:space="0" w:color="BFBFBF"/>
              <w:right w:val="nil"/>
            </w:tcBorders>
            <w:shd w:val="clear" w:color="auto" w:fill="auto"/>
            <w:noWrap/>
            <w:hideMark/>
          </w:tcPr>
          <w:p w14:paraId="54BB63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single" w:sz="4" w:space="0" w:color="BFBFBF"/>
              <w:right w:val="nil"/>
            </w:tcBorders>
            <w:shd w:val="clear" w:color="auto" w:fill="auto"/>
            <w:noWrap/>
            <w:hideMark/>
          </w:tcPr>
          <w:p w14:paraId="33E0414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single" w:sz="4" w:space="0" w:color="BFBFBF"/>
              <w:right w:val="nil"/>
            </w:tcBorders>
            <w:shd w:val="clear" w:color="auto" w:fill="auto"/>
            <w:noWrap/>
            <w:hideMark/>
          </w:tcPr>
          <w:p w14:paraId="3D3524B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74386303" w14:textId="77777777" w:rsidTr="006760B7">
        <w:trPr>
          <w:trHeight w:val="210"/>
        </w:trPr>
        <w:tc>
          <w:tcPr>
            <w:tcW w:w="2536" w:type="dxa"/>
            <w:tcBorders>
              <w:top w:val="nil"/>
              <w:left w:val="nil"/>
              <w:bottom w:val="nil"/>
              <w:right w:val="nil"/>
            </w:tcBorders>
            <w:shd w:val="clear" w:color="auto" w:fill="auto"/>
            <w:noWrap/>
            <w:hideMark/>
          </w:tcPr>
          <w:p w14:paraId="492FE74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China</w:t>
            </w:r>
          </w:p>
        </w:tc>
        <w:tc>
          <w:tcPr>
            <w:tcW w:w="1680" w:type="dxa"/>
            <w:tcBorders>
              <w:top w:val="nil"/>
              <w:left w:val="nil"/>
              <w:bottom w:val="nil"/>
              <w:right w:val="nil"/>
            </w:tcBorders>
            <w:shd w:val="clear" w:color="auto" w:fill="auto"/>
            <w:noWrap/>
            <w:hideMark/>
          </w:tcPr>
          <w:p w14:paraId="4DC99C2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4A77CDC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711DDD5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21C196E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1AC78B5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5169A6E3" w14:textId="77777777" w:rsidTr="006760B7">
        <w:trPr>
          <w:trHeight w:val="210"/>
        </w:trPr>
        <w:tc>
          <w:tcPr>
            <w:tcW w:w="2536" w:type="dxa"/>
            <w:tcBorders>
              <w:top w:val="nil"/>
              <w:left w:val="nil"/>
              <w:bottom w:val="nil"/>
              <w:right w:val="nil"/>
            </w:tcBorders>
            <w:shd w:val="clear" w:color="auto" w:fill="auto"/>
            <w:noWrap/>
            <w:hideMark/>
          </w:tcPr>
          <w:p w14:paraId="323B59F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Colombia</w:t>
            </w:r>
          </w:p>
        </w:tc>
        <w:tc>
          <w:tcPr>
            <w:tcW w:w="1680" w:type="dxa"/>
            <w:tcBorders>
              <w:top w:val="nil"/>
              <w:left w:val="nil"/>
              <w:bottom w:val="nil"/>
              <w:right w:val="nil"/>
            </w:tcBorders>
            <w:shd w:val="clear" w:color="auto" w:fill="auto"/>
            <w:noWrap/>
            <w:hideMark/>
          </w:tcPr>
          <w:p w14:paraId="29F6ED3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00F6147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7B7C04C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5FCF2CB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29F259B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261C5D89" w14:textId="77777777" w:rsidTr="006760B7">
        <w:trPr>
          <w:trHeight w:val="210"/>
        </w:trPr>
        <w:tc>
          <w:tcPr>
            <w:tcW w:w="2536" w:type="dxa"/>
            <w:tcBorders>
              <w:top w:val="nil"/>
              <w:left w:val="nil"/>
              <w:bottom w:val="nil"/>
              <w:right w:val="nil"/>
            </w:tcBorders>
            <w:shd w:val="clear" w:color="auto" w:fill="auto"/>
            <w:noWrap/>
            <w:hideMark/>
          </w:tcPr>
          <w:p w14:paraId="5D343CA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Comoros</w:t>
            </w:r>
          </w:p>
        </w:tc>
        <w:tc>
          <w:tcPr>
            <w:tcW w:w="1680" w:type="dxa"/>
            <w:tcBorders>
              <w:top w:val="nil"/>
              <w:left w:val="nil"/>
              <w:bottom w:val="nil"/>
              <w:right w:val="nil"/>
            </w:tcBorders>
            <w:shd w:val="clear" w:color="auto" w:fill="auto"/>
            <w:noWrap/>
            <w:hideMark/>
          </w:tcPr>
          <w:p w14:paraId="380721D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04A9184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615555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B7742D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94B3AD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94721E1" w14:textId="77777777" w:rsidTr="006760B7">
        <w:trPr>
          <w:trHeight w:val="210"/>
        </w:trPr>
        <w:tc>
          <w:tcPr>
            <w:tcW w:w="2536" w:type="dxa"/>
            <w:tcBorders>
              <w:top w:val="nil"/>
              <w:left w:val="nil"/>
              <w:bottom w:val="nil"/>
              <w:right w:val="nil"/>
            </w:tcBorders>
            <w:shd w:val="clear" w:color="auto" w:fill="auto"/>
            <w:noWrap/>
            <w:hideMark/>
          </w:tcPr>
          <w:p w14:paraId="293D230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Congo </w:t>
            </w:r>
          </w:p>
        </w:tc>
        <w:tc>
          <w:tcPr>
            <w:tcW w:w="1680" w:type="dxa"/>
            <w:tcBorders>
              <w:top w:val="nil"/>
              <w:left w:val="nil"/>
              <w:bottom w:val="nil"/>
              <w:right w:val="nil"/>
            </w:tcBorders>
            <w:shd w:val="clear" w:color="auto" w:fill="auto"/>
            <w:noWrap/>
            <w:hideMark/>
          </w:tcPr>
          <w:p w14:paraId="2976216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33EC666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F214C2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B73E3C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77F691D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E16BE4C" w14:textId="77777777" w:rsidTr="006760B7">
        <w:trPr>
          <w:trHeight w:val="210"/>
        </w:trPr>
        <w:tc>
          <w:tcPr>
            <w:tcW w:w="2536" w:type="dxa"/>
            <w:tcBorders>
              <w:top w:val="nil"/>
              <w:left w:val="nil"/>
              <w:bottom w:val="single" w:sz="4" w:space="0" w:color="BFBFBF"/>
              <w:right w:val="nil"/>
            </w:tcBorders>
            <w:shd w:val="clear" w:color="auto" w:fill="auto"/>
            <w:noWrap/>
            <w:hideMark/>
          </w:tcPr>
          <w:p w14:paraId="48EB96F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Cook Islands</w:t>
            </w:r>
          </w:p>
        </w:tc>
        <w:tc>
          <w:tcPr>
            <w:tcW w:w="1680" w:type="dxa"/>
            <w:tcBorders>
              <w:top w:val="nil"/>
              <w:left w:val="nil"/>
              <w:bottom w:val="single" w:sz="4" w:space="0" w:color="BFBFBF"/>
              <w:right w:val="nil"/>
            </w:tcBorders>
            <w:shd w:val="clear" w:color="auto" w:fill="auto"/>
            <w:noWrap/>
            <w:hideMark/>
          </w:tcPr>
          <w:p w14:paraId="110B86F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024516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2F89BB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51DF7AD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0579008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6A3E514" w14:textId="77777777" w:rsidTr="006760B7">
        <w:trPr>
          <w:trHeight w:val="210"/>
        </w:trPr>
        <w:tc>
          <w:tcPr>
            <w:tcW w:w="2536" w:type="dxa"/>
            <w:tcBorders>
              <w:top w:val="nil"/>
              <w:left w:val="nil"/>
              <w:bottom w:val="nil"/>
              <w:right w:val="nil"/>
            </w:tcBorders>
            <w:shd w:val="clear" w:color="auto" w:fill="auto"/>
            <w:noWrap/>
            <w:hideMark/>
          </w:tcPr>
          <w:p w14:paraId="198F2F5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Costa Rica</w:t>
            </w:r>
          </w:p>
        </w:tc>
        <w:tc>
          <w:tcPr>
            <w:tcW w:w="1680" w:type="dxa"/>
            <w:tcBorders>
              <w:top w:val="nil"/>
              <w:left w:val="nil"/>
              <w:bottom w:val="nil"/>
              <w:right w:val="nil"/>
            </w:tcBorders>
            <w:shd w:val="clear" w:color="auto" w:fill="auto"/>
            <w:noWrap/>
            <w:hideMark/>
          </w:tcPr>
          <w:p w14:paraId="2519071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4C328E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4A906E8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21EC2DB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7CA1CF8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6D0FB9C5" w14:textId="77777777" w:rsidTr="006760B7">
        <w:trPr>
          <w:trHeight w:val="210"/>
        </w:trPr>
        <w:tc>
          <w:tcPr>
            <w:tcW w:w="2536" w:type="dxa"/>
            <w:tcBorders>
              <w:top w:val="nil"/>
              <w:left w:val="nil"/>
              <w:bottom w:val="nil"/>
              <w:right w:val="nil"/>
            </w:tcBorders>
            <w:shd w:val="clear" w:color="auto" w:fill="auto"/>
            <w:noWrap/>
            <w:hideMark/>
          </w:tcPr>
          <w:p w14:paraId="38982B8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Côte d'Ivoire</w:t>
            </w:r>
          </w:p>
        </w:tc>
        <w:tc>
          <w:tcPr>
            <w:tcW w:w="1680" w:type="dxa"/>
            <w:tcBorders>
              <w:top w:val="nil"/>
              <w:left w:val="nil"/>
              <w:bottom w:val="nil"/>
              <w:right w:val="nil"/>
            </w:tcBorders>
            <w:shd w:val="clear" w:color="auto" w:fill="auto"/>
            <w:noWrap/>
            <w:hideMark/>
          </w:tcPr>
          <w:p w14:paraId="40CA85C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347BE64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103F40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659CA25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450BB4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0A17D86C" w14:textId="77777777" w:rsidTr="006760B7">
        <w:trPr>
          <w:trHeight w:val="210"/>
        </w:trPr>
        <w:tc>
          <w:tcPr>
            <w:tcW w:w="2536" w:type="dxa"/>
            <w:tcBorders>
              <w:top w:val="nil"/>
              <w:left w:val="nil"/>
              <w:bottom w:val="nil"/>
              <w:right w:val="nil"/>
            </w:tcBorders>
            <w:shd w:val="clear" w:color="auto" w:fill="auto"/>
            <w:noWrap/>
            <w:hideMark/>
          </w:tcPr>
          <w:p w14:paraId="0F569A5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Croatia</w:t>
            </w:r>
          </w:p>
        </w:tc>
        <w:tc>
          <w:tcPr>
            <w:tcW w:w="1680" w:type="dxa"/>
            <w:tcBorders>
              <w:top w:val="nil"/>
              <w:left w:val="nil"/>
              <w:bottom w:val="nil"/>
              <w:right w:val="nil"/>
            </w:tcBorders>
            <w:shd w:val="clear" w:color="auto" w:fill="auto"/>
            <w:noWrap/>
            <w:hideMark/>
          </w:tcPr>
          <w:p w14:paraId="086B416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15B847A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59A0F56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0EF4662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51000DA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42D47C6F" w14:textId="77777777" w:rsidTr="006760B7">
        <w:trPr>
          <w:trHeight w:val="210"/>
        </w:trPr>
        <w:tc>
          <w:tcPr>
            <w:tcW w:w="2536" w:type="dxa"/>
            <w:tcBorders>
              <w:top w:val="nil"/>
              <w:left w:val="nil"/>
              <w:bottom w:val="nil"/>
              <w:right w:val="nil"/>
            </w:tcBorders>
            <w:shd w:val="clear" w:color="auto" w:fill="auto"/>
            <w:noWrap/>
            <w:hideMark/>
          </w:tcPr>
          <w:p w14:paraId="4FD64F2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Cuba</w:t>
            </w:r>
          </w:p>
        </w:tc>
        <w:tc>
          <w:tcPr>
            <w:tcW w:w="1680" w:type="dxa"/>
            <w:tcBorders>
              <w:top w:val="nil"/>
              <w:left w:val="nil"/>
              <w:bottom w:val="nil"/>
              <w:right w:val="nil"/>
            </w:tcBorders>
            <w:shd w:val="clear" w:color="auto" w:fill="auto"/>
            <w:noWrap/>
            <w:hideMark/>
          </w:tcPr>
          <w:p w14:paraId="6BA81DB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2B88709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2C54F2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51D4E8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6FE1C1C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662A46EB" w14:textId="77777777" w:rsidTr="006760B7">
        <w:trPr>
          <w:trHeight w:val="210"/>
        </w:trPr>
        <w:tc>
          <w:tcPr>
            <w:tcW w:w="2536" w:type="dxa"/>
            <w:tcBorders>
              <w:top w:val="nil"/>
              <w:left w:val="nil"/>
              <w:bottom w:val="single" w:sz="4" w:space="0" w:color="BFBFBF"/>
              <w:right w:val="nil"/>
            </w:tcBorders>
            <w:shd w:val="clear" w:color="auto" w:fill="auto"/>
            <w:noWrap/>
            <w:hideMark/>
          </w:tcPr>
          <w:p w14:paraId="6CB6998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Cyprus</w:t>
            </w:r>
          </w:p>
        </w:tc>
        <w:tc>
          <w:tcPr>
            <w:tcW w:w="1680" w:type="dxa"/>
            <w:tcBorders>
              <w:top w:val="nil"/>
              <w:left w:val="nil"/>
              <w:bottom w:val="single" w:sz="4" w:space="0" w:color="BFBFBF"/>
              <w:right w:val="nil"/>
            </w:tcBorders>
            <w:shd w:val="clear" w:color="auto" w:fill="auto"/>
            <w:noWrap/>
            <w:hideMark/>
          </w:tcPr>
          <w:p w14:paraId="342D66E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single" w:sz="4" w:space="0" w:color="BFBFBF"/>
              <w:right w:val="nil"/>
            </w:tcBorders>
            <w:shd w:val="clear" w:color="auto" w:fill="auto"/>
            <w:noWrap/>
            <w:hideMark/>
          </w:tcPr>
          <w:p w14:paraId="4CD26EA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single" w:sz="4" w:space="0" w:color="BFBFBF"/>
              <w:right w:val="nil"/>
            </w:tcBorders>
            <w:shd w:val="clear" w:color="auto" w:fill="auto"/>
            <w:noWrap/>
            <w:hideMark/>
          </w:tcPr>
          <w:p w14:paraId="3FEB23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single" w:sz="4" w:space="0" w:color="BFBFBF"/>
              <w:right w:val="nil"/>
            </w:tcBorders>
            <w:shd w:val="clear" w:color="auto" w:fill="auto"/>
            <w:noWrap/>
            <w:hideMark/>
          </w:tcPr>
          <w:p w14:paraId="3AB260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single" w:sz="4" w:space="0" w:color="BFBFBF"/>
              <w:right w:val="nil"/>
            </w:tcBorders>
            <w:shd w:val="clear" w:color="auto" w:fill="auto"/>
            <w:noWrap/>
            <w:hideMark/>
          </w:tcPr>
          <w:p w14:paraId="68281E9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53D183D4" w14:textId="77777777" w:rsidTr="006760B7">
        <w:trPr>
          <w:trHeight w:val="210"/>
        </w:trPr>
        <w:tc>
          <w:tcPr>
            <w:tcW w:w="2536" w:type="dxa"/>
            <w:tcBorders>
              <w:top w:val="nil"/>
              <w:left w:val="nil"/>
              <w:bottom w:val="nil"/>
              <w:right w:val="nil"/>
            </w:tcBorders>
            <w:shd w:val="clear" w:color="auto" w:fill="auto"/>
            <w:noWrap/>
            <w:hideMark/>
          </w:tcPr>
          <w:p w14:paraId="7EEF8AD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Czech Republic </w:t>
            </w:r>
          </w:p>
        </w:tc>
        <w:tc>
          <w:tcPr>
            <w:tcW w:w="1680" w:type="dxa"/>
            <w:tcBorders>
              <w:top w:val="nil"/>
              <w:left w:val="nil"/>
              <w:bottom w:val="nil"/>
              <w:right w:val="nil"/>
            </w:tcBorders>
            <w:shd w:val="clear" w:color="auto" w:fill="auto"/>
            <w:noWrap/>
            <w:hideMark/>
          </w:tcPr>
          <w:p w14:paraId="46AD983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0CB6696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4CF656F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2172B3D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486B34B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5E2E0912" w14:textId="77777777" w:rsidTr="006760B7">
        <w:trPr>
          <w:trHeight w:val="210"/>
        </w:trPr>
        <w:tc>
          <w:tcPr>
            <w:tcW w:w="2536" w:type="dxa"/>
            <w:tcBorders>
              <w:top w:val="nil"/>
              <w:left w:val="nil"/>
              <w:bottom w:val="nil"/>
              <w:right w:val="nil"/>
            </w:tcBorders>
            <w:shd w:val="clear" w:color="auto" w:fill="auto"/>
            <w:noWrap/>
            <w:hideMark/>
          </w:tcPr>
          <w:p w14:paraId="27BB3CD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Democratic People's Republic of Korea</w:t>
            </w:r>
          </w:p>
        </w:tc>
        <w:tc>
          <w:tcPr>
            <w:tcW w:w="1680" w:type="dxa"/>
            <w:tcBorders>
              <w:top w:val="nil"/>
              <w:left w:val="nil"/>
              <w:bottom w:val="nil"/>
              <w:right w:val="nil"/>
            </w:tcBorders>
            <w:shd w:val="clear" w:color="auto" w:fill="auto"/>
            <w:noWrap/>
            <w:hideMark/>
          </w:tcPr>
          <w:p w14:paraId="5519383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438DFCA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392283B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7C24A0C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439F30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172EA6FD" w14:textId="77777777" w:rsidTr="006760B7">
        <w:trPr>
          <w:trHeight w:val="210"/>
        </w:trPr>
        <w:tc>
          <w:tcPr>
            <w:tcW w:w="2536" w:type="dxa"/>
            <w:tcBorders>
              <w:top w:val="nil"/>
              <w:left w:val="nil"/>
              <w:bottom w:val="nil"/>
              <w:right w:val="nil"/>
            </w:tcBorders>
            <w:shd w:val="clear" w:color="auto" w:fill="auto"/>
            <w:noWrap/>
            <w:hideMark/>
          </w:tcPr>
          <w:p w14:paraId="271EDF1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Democratic Republic of the Congo </w:t>
            </w:r>
          </w:p>
        </w:tc>
        <w:tc>
          <w:tcPr>
            <w:tcW w:w="1680" w:type="dxa"/>
            <w:tcBorders>
              <w:top w:val="nil"/>
              <w:left w:val="nil"/>
              <w:bottom w:val="nil"/>
              <w:right w:val="nil"/>
            </w:tcBorders>
            <w:shd w:val="clear" w:color="auto" w:fill="auto"/>
            <w:noWrap/>
            <w:hideMark/>
          </w:tcPr>
          <w:p w14:paraId="6661503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3E50410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27DB6F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8553A6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68AEDBA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72C696D" w14:textId="77777777" w:rsidTr="006760B7">
        <w:trPr>
          <w:trHeight w:val="210"/>
        </w:trPr>
        <w:tc>
          <w:tcPr>
            <w:tcW w:w="2536" w:type="dxa"/>
            <w:tcBorders>
              <w:top w:val="nil"/>
              <w:left w:val="nil"/>
              <w:bottom w:val="nil"/>
              <w:right w:val="nil"/>
            </w:tcBorders>
            <w:shd w:val="clear" w:color="auto" w:fill="auto"/>
            <w:noWrap/>
            <w:hideMark/>
          </w:tcPr>
          <w:p w14:paraId="73C8E64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Denmark</w:t>
            </w:r>
          </w:p>
        </w:tc>
        <w:tc>
          <w:tcPr>
            <w:tcW w:w="1680" w:type="dxa"/>
            <w:tcBorders>
              <w:top w:val="nil"/>
              <w:left w:val="nil"/>
              <w:bottom w:val="nil"/>
              <w:right w:val="nil"/>
            </w:tcBorders>
            <w:shd w:val="clear" w:color="auto" w:fill="auto"/>
            <w:noWrap/>
            <w:hideMark/>
          </w:tcPr>
          <w:p w14:paraId="7D378F6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5786543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57589E9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7DC7CE1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7539D85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162DCE4A" w14:textId="77777777" w:rsidTr="006760B7">
        <w:trPr>
          <w:trHeight w:val="210"/>
        </w:trPr>
        <w:tc>
          <w:tcPr>
            <w:tcW w:w="2536" w:type="dxa"/>
            <w:tcBorders>
              <w:top w:val="nil"/>
              <w:left w:val="nil"/>
              <w:bottom w:val="single" w:sz="4" w:space="0" w:color="BFBFBF"/>
              <w:right w:val="nil"/>
            </w:tcBorders>
            <w:shd w:val="clear" w:color="auto" w:fill="auto"/>
            <w:noWrap/>
            <w:hideMark/>
          </w:tcPr>
          <w:p w14:paraId="0DD557E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Djibouti</w:t>
            </w:r>
          </w:p>
        </w:tc>
        <w:tc>
          <w:tcPr>
            <w:tcW w:w="1680" w:type="dxa"/>
            <w:tcBorders>
              <w:top w:val="nil"/>
              <w:left w:val="nil"/>
              <w:bottom w:val="single" w:sz="4" w:space="0" w:color="BFBFBF"/>
              <w:right w:val="nil"/>
            </w:tcBorders>
            <w:shd w:val="clear" w:color="auto" w:fill="auto"/>
            <w:noWrap/>
            <w:hideMark/>
          </w:tcPr>
          <w:p w14:paraId="4C995869"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31E18F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3555CB1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375E011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2C5D666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27EF7DDA" w14:textId="77777777" w:rsidTr="006760B7">
        <w:trPr>
          <w:trHeight w:val="270"/>
        </w:trPr>
        <w:tc>
          <w:tcPr>
            <w:tcW w:w="2536" w:type="dxa"/>
            <w:tcBorders>
              <w:top w:val="nil"/>
              <w:left w:val="nil"/>
              <w:bottom w:val="nil"/>
              <w:right w:val="nil"/>
            </w:tcBorders>
            <w:shd w:val="clear" w:color="auto" w:fill="auto"/>
            <w:noWrap/>
            <w:hideMark/>
          </w:tcPr>
          <w:p w14:paraId="764FBD0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Dominica </w:t>
            </w:r>
          </w:p>
        </w:tc>
        <w:tc>
          <w:tcPr>
            <w:tcW w:w="1680" w:type="dxa"/>
            <w:tcBorders>
              <w:top w:val="nil"/>
              <w:left w:val="nil"/>
              <w:bottom w:val="nil"/>
              <w:right w:val="nil"/>
            </w:tcBorders>
            <w:shd w:val="clear" w:color="auto" w:fill="auto"/>
            <w:noWrap/>
            <w:hideMark/>
          </w:tcPr>
          <w:p w14:paraId="6C14A98F"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6FB9CD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46061B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7346BDF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7BF2AD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2C01E42D" w14:textId="77777777" w:rsidTr="006760B7">
        <w:trPr>
          <w:trHeight w:val="270"/>
        </w:trPr>
        <w:tc>
          <w:tcPr>
            <w:tcW w:w="2536" w:type="dxa"/>
            <w:tcBorders>
              <w:top w:val="nil"/>
              <w:left w:val="nil"/>
              <w:bottom w:val="nil"/>
              <w:right w:val="nil"/>
            </w:tcBorders>
            <w:shd w:val="clear" w:color="auto" w:fill="auto"/>
            <w:noWrap/>
            <w:hideMark/>
          </w:tcPr>
          <w:p w14:paraId="29BBD90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Dominican Republic </w:t>
            </w:r>
          </w:p>
        </w:tc>
        <w:tc>
          <w:tcPr>
            <w:tcW w:w="1680" w:type="dxa"/>
            <w:tcBorders>
              <w:top w:val="nil"/>
              <w:left w:val="nil"/>
              <w:bottom w:val="nil"/>
              <w:right w:val="nil"/>
            </w:tcBorders>
            <w:shd w:val="clear" w:color="auto" w:fill="auto"/>
            <w:noWrap/>
            <w:hideMark/>
          </w:tcPr>
          <w:p w14:paraId="2682C52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01D2458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7AC3310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2D3BB3B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666AD88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29E0695D" w14:textId="77777777" w:rsidTr="006760B7">
        <w:trPr>
          <w:trHeight w:val="270"/>
        </w:trPr>
        <w:tc>
          <w:tcPr>
            <w:tcW w:w="2536" w:type="dxa"/>
            <w:tcBorders>
              <w:top w:val="nil"/>
              <w:left w:val="nil"/>
              <w:bottom w:val="nil"/>
              <w:right w:val="nil"/>
            </w:tcBorders>
            <w:shd w:val="clear" w:color="auto" w:fill="auto"/>
            <w:noWrap/>
            <w:hideMark/>
          </w:tcPr>
          <w:p w14:paraId="5F9B551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Ecuador</w:t>
            </w:r>
          </w:p>
        </w:tc>
        <w:tc>
          <w:tcPr>
            <w:tcW w:w="1680" w:type="dxa"/>
            <w:tcBorders>
              <w:top w:val="nil"/>
              <w:left w:val="nil"/>
              <w:bottom w:val="nil"/>
              <w:right w:val="nil"/>
            </w:tcBorders>
            <w:shd w:val="clear" w:color="auto" w:fill="auto"/>
            <w:noWrap/>
            <w:hideMark/>
          </w:tcPr>
          <w:p w14:paraId="651CE6F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20D488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147B5A1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5B3BD43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2149DE4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0A7722A0" w14:textId="77777777" w:rsidTr="006760B7">
        <w:trPr>
          <w:trHeight w:val="270"/>
        </w:trPr>
        <w:tc>
          <w:tcPr>
            <w:tcW w:w="2536" w:type="dxa"/>
            <w:tcBorders>
              <w:top w:val="nil"/>
              <w:left w:val="nil"/>
              <w:bottom w:val="nil"/>
              <w:right w:val="nil"/>
            </w:tcBorders>
            <w:shd w:val="clear" w:color="auto" w:fill="auto"/>
            <w:noWrap/>
            <w:hideMark/>
          </w:tcPr>
          <w:p w14:paraId="2136D10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Egypt</w:t>
            </w:r>
          </w:p>
        </w:tc>
        <w:tc>
          <w:tcPr>
            <w:tcW w:w="1680" w:type="dxa"/>
            <w:tcBorders>
              <w:top w:val="nil"/>
              <w:left w:val="nil"/>
              <w:bottom w:val="nil"/>
              <w:right w:val="nil"/>
            </w:tcBorders>
            <w:shd w:val="clear" w:color="auto" w:fill="auto"/>
            <w:noWrap/>
            <w:hideMark/>
          </w:tcPr>
          <w:p w14:paraId="4EFDD4E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ADCA5A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7DCD24A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20330A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F6E030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D9F3B6F" w14:textId="77777777" w:rsidTr="006760B7">
        <w:trPr>
          <w:trHeight w:val="270"/>
        </w:trPr>
        <w:tc>
          <w:tcPr>
            <w:tcW w:w="2536" w:type="dxa"/>
            <w:tcBorders>
              <w:top w:val="nil"/>
              <w:left w:val="nil"/>
              <w:bottom w:val="single" w:sz="4" w:space="0" w:color="BFBFBF"/>
              <w:right w:val="nil"/>
            </w:tcBorders>
            <w:shd w:val="clear" w:color="auto" w:fill="auto"/>
            <w:noWrap/>
            <w:hideMark/>
          </w:tcPr>
          <w:p w14:paraId="17780A0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El Salvador</w:t>
            </w:r>
          </w:p>
        </w:tc>
        <w:tc>
          <w:tcPr>
            <w:tcW w:w="1680" w:type="dxa"/>
            <w:tcBorders>
              <w:top w:val="nil"/>
              <w:left w:val="nil"/>
              <w:bottom w:val="single" w:sz="4" w:space="0" w:color="BFBFBF"/>
              <w:right w:val="nil"/>
            </w:tcBorders>
            <w:shd w:val="clear" w:color="auto" w:fill="auto"/>
            <w:noWrap/>
            <w:hideMark/>
          </w:tcPr>
          <w:p w14:paraId="73246C7A"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5762734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76EDB82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18BF451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7CCADD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FBDD70F" w14:textId="77777777" w:rsidTr="006760B7">
        <w:trPr>
          <w:trHeight w:val="285"/>
        </w:trPr>
        <w:tc>
          <w:tcPr>
            <w:tcW w:w="2536" w:type="dxa"/>
            <w:tcBorders>
              <w:top w:val="nil"/>
              <w:left w:val="nil"/>
              <w:bottom w:val="nil"/>
              <w:right w:val="nil"/>
            </w:tcBorders>
            <w:shd w:val="clear" w:color="auto" w:fill="auto"/>
            <w:noWrap/>
            <w:hideMark/>
          </w:tcPr>
          <w:p w14:paraId="30B7C81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Equatorial Guinea</w:t>
            </w:r>
          </w:p>
        </w:tc>
        <w:tc>
          <w:tcPr>
            <w:tcW w:w="1680" w:type="dxa"/>
            <w:tcBorders>
              <w:top w:val="nil"/>
              <w:left w:val="nil"/>
              <w:bottom w:val="nil"/>
              <w:right w:val="nil"/>
            </w:tcBorders>
            <w:shd w:val="clear" w:color="auto" w:fill="auto"/>
            <w:noWrap/>
            <w:hideMark/>
          </w:tcPr>
          <w:p w14:paraId="1584387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C769E0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3D99048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324F794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DED32A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2120A209" w14:textId="77777777" w:rsidTr="006760B7">
        <w:trPr>
          <w:trHeight w:val="285"/>
        </w:trPr>
        <w:tc>
          <w:tcPr>
            <w:tcW w:w="2536" w:type="dxa"/>
            <w:tcBorders>
              <w:top w:val="nil"/>
              <w:left w:val="nil"/>
              <w:bottom w:val="nil"/>
              <w:right w:val="nil"/>
            </w:tcBorders>
            <w:shd w:val="clear" w:color="auto" w:fill="auto"/>
            <w:noWrap/>
            <w:hideMark/>
          </w:tcPr>
          <w:p w14:paraId="30F04DD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Eritrea</w:t>
            </w:r>
            <w:r w:rsidRPr="006760B7">
              <w:rPr>
                <w:rFonts w:ascii="Arial Narrow" w:eastAsia="Times New Roman" w:hAnsi="Arial Narrow" w:cs="Arial"/>
                <w:color w:val="FF0000"/>
                <w:sz w:val="16"/>
                <w:szCs w:val="16"/>
                <w:lang w:val="en-US"/>
              </w:rPr>
              <w:t xml:space="preserve"> </w:t>
            </w:r>
            <w:r w:rsidRPr="006760B7">
              <w:rPr>
                <w:rFonts w:ascii="Arial Narrow" w:eastAsia="Times New Roman" w:hAnsi="Arial Narrow" w:cs="Arial"/>
                <w:sz w:val="16"/>
                <w:szCs w:val="16"/>
                <w:vertAlign w:val="superscript"/>
                <w:lang w:val="en-US"/>
              </w:rPr>
              <w:t>2</w:t>
            </w:r>
          </w:p>
        </w:tc>
        <w:tc>
          <w:tcPr>
            <w:tcW w:w="1680" w:type="dxa"/>
            <w:tcBorders>
              <w:top w:val="nil"/>
              <w:left w:val="nil"/>
              <w:bottom w:val="nil"/>
              <w:right w:val="nil"/>
            </w:tcBorders>
            <w:shd w:val="clear" w:color="auto" w:fill="auto"/>
            <w:noWrap/>
            <w:hideMark/>
          </w:tcPr>
          <w:p w14:paraId="0DE7007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20949B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95CE63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BF7A60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56A8B47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D3644BC" w14:textId="77777777" w:rsidTr="006760B7">
        <w:trPr>
          <w:trHeight w:val="285"/>
        </w:trPr>
        <w:tc>
          <w:tcPr>
            <w:tcW w:w="2536" w:type="dxa"/>
            <w:tcBorders>
              <w:top w:val="nil"/>
              <w:left w:val="nil"/>
              <w:bottom w:val="nil"/>
              <w:right w:val="nil"/>
            </w:tcBorders>
            <w:shd w:val="clear" w:color="auto" w:fill="auto"/>
            <w:noWrap/>
            <w:hideMark/>
          </w:tcPr>
          <w:p w14:paraId="7BF4F47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Estonia</w:t>
            </w:r>
          </w:p>
        </w:tc>
        <w:tc>
          <w:tcPr>
            <w:tcW w:w="1680" w:type="dxa"/>
            <w:tcBorders>
              <w:top w:val="nil"/>
              <w:left w:val="nil"/>
              <w:bottom w:val="nil"/>
              <w:right w:val="nil"/>
            </w:tcBorders>
            <w:shd w:val="clear" w:color="auto" w:fill="auto"/>
            <w:noWrap/>
            <w:hideMark/>
          </w:tcPr>
          <w:p w14:paraId="7F53076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2F4F6D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5382A6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26BEC7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00865C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4106C97B" w14:textId="77777777" w:rsidTr="006760B7">
        <w:trPr>
          <w:trHeight w:val="285"/>
        </w:trPr>
        <w:tc>
          <w:tcPr>
            <w:tcW w:w="2536" w:type="dxa"/>
            <w:tcBorders>
              <w:top w:val="nil"/>
              <w:left w:val="nil"/>
              <w:bottom w:val="nil"/>
              <w:right w:val="nil"/>
            </w:tcBorders>
            <w:shd w:val="clear" w:color="auto" w:fill="auto"/>
            <w:noWrap/>
            <w:hideMark/>
          </w:tcPr>
          <w:p w14:paraId="05F7C34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Eswatini</w:t>
            </w:r>
          </w:p>
        </w:tc>
        <w:tc>
          <w:tcPr>
            <w:tcW w:w="1680" w:type="dxa"/>
            <w:tcBorders>
              <w:top w:val="nil"/>
              <w:left w:val="nil"/>
              <w:bottom w:val="nil"/>
              <w:right w:val="nil"/>
            </w:tcBorders>
            <w:shd w:val="clear" w:color="auto" w:fill="auto"/>
            <w:noWrap/>
            <w:hideMark/>
          </w:tcPr>
          <w:p w14:paraId="0D0B6040"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878287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4B5B72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4A3F023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6E43FB2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BCAE6E0" w14:textId="77777777" w:rsidTr="006760B7">
        <w:trPr>
          <w:trHeight w:val="285"/>
        </w:trPr>
        <w:tc>
          <w:tcPr>
            <w:tcW w:w="2536" w:type="dxa"/>
            <w:tcBorders>
              <w:top w:val="nil"/>
              <w:left w:val="nil"/>
              <w:bottom w:val="single" w:sz="4" w:space="0" w:color="BFBFBF"/>
              <w:right w:val="nil"/>
            </w:tcBorders>
            <w:shd w:val="clear" w:color="auto" w:fill="auto"/>
            <w:noWrap/>
            <w:hideMark/>
          </w:tcPr>
          <w:p w14:paraId="3C6C441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Ethiopia </w:t>
            </w:r>
            <w:r w:rsidRPr="006760B7">
              <w:rPr>
                <w:rFonts w:ascii="Arial Narrow" w:eastAsia="Times New Roman" w:hAnsi="Arial Narrow" w:cs="Arial"/>
                <w:sz w:val="16"/>
                <w:szCs w:val="16"/>
                <w:vertAlign w:val="superscript"/>
                <w:lang w:val="en-US"/>
              </w:rPr>
              <w:t>2</w:t>
            </w:r>
          </w:p>
        </w:tc>
        <w:tc>
          <w:tcPr>
            <w:tcW w:w="1680" w:type="dxa"/>
            <w:tcBorders>
              <w:top w:val="nil"/>
              <w:left w:val="nil"/>
              <w:bottom w:val="single" w:sz="4" w:space="0" w:color="BFBFBF"/>
              <w:right w:val="nil"/>
            </w:tcBorders>
            <w:shd w:val="clear" w:color="auto" w:fill="auto"/>
            <w:noWrap/>
            <w:hideMark/>
          </w:tcPr>
          <w:p w14:paraId="207CAFA6"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6A6B3AD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2EBDF5A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488682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6B4D33D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710E956D" w14:textId="77777777" w:rsidTr="006760B7">
        <w:trPr>
          <w:trHeight w:val="210"/>
        </w:trPr>
        <w:tc>
          <w:tcPr>
            <w:tcW w:w="2536" w:type="dxa"/>
            <w:tcBorders>
              <w:top w:val="nil"/>
              <w:left w:val="nil"/>
              <w:bottom w:val="nil"/>
              <w:right w:val="nil"/>
            </w:tcBorders>
            <w:shd w:val="clear" w:color="auto" w:fill="auto"/>
            <w:noWrap/>
            <w:hideMark/>
          </w:tcPr>
          <w:p w14:paraId="0207C72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Fiji</w:t>
            </w:r>
          </w:p>
        </w:tc>
        <w:tc>
          <w:tcPr>
            <w:tcW w:w="1680" w:type="dxa"/>
            <w:tcBorders>
              <w:top w:val="nil"/>
              <w:left w:val="nil"/>
              <w:bottom w:val="nil"/>
              <w:right w:val="nil"/>
            </w:tcBorders>
            <w:shd w:val="clear" w:color="auto" w:fill="auto"/>
            <w:noWrap/>
            <w:hideMark/>
          </w:tcPr>
          <w:p w14:paraId="7F705B0A"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146185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C3BE13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203C636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47BE78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3CADF6DB" w14:textId="77777777" w:rsidTr="006760B7">
        <w:trPr>
          <w:trHeight w:val="210"/>
        </w:trPr>
        <w:tc>
          <w:tcPr>
            <w:tcW w:w="2536" w:type="dxa"/>
            <w:tcBorders>
              <w:top w:val="nil"/>
              <w:left w:val="nil"/>
              <w:bottom w:val="nil"/>
              <w:right w:val="nil"/>
            </w:tcBorders>
            <w:shd w:val="clear" w:color="auto" w:fill="auto"/>
            <w:noWrap/>
            <w:hideMark/>
          </w:tcPr>
          <w:p w14:paraId="5787795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Finland</w:t>
            </w:r>
          </w:p>
        </w:tc>
        <w:tc>
          <w:tcPr>
            <w:tcW w:w="1680" w:type="dxa"/>
            <w:tcBorders>
              <w:top w:val="nil"/>
              <w:left w:val="nil"/>
              <w:bottom w:val="nil"/>
              <w:right w:val="nil"/>
            </w:tcBorders>
            <w:shd w:val="clear" w:color="auto" w:fill="auto"/>
            <w:noWrap/>
            <w:hideMark/>
          </w:tcPr>
          <w:p w14:paraId="034723D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5B361CF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4602C66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7381C8C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5501AF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77EA02AA" w14:textId="77777777" w:rsidTr="006760B7">
        <w:trPr>
          <w:trHeight w:val="210"/>
        </w:trPr>
        <w:tc>
          <w:tcPr>
            <w:tcW w:w="2536" w:type="dxa"/>
            <w:tcBorders>
              <w:top w:val="nil"/>
              <w:left w:val="nil"/>
              <w:bottom w:val="nil"/>
              <w:right w:val="nil"/>
            </w:tcBorders>
            <w:shd w:val="clear" w:color="auto" w:fill="auto"/>
            <w:noWrap/>
            <w:hideMark/>
          </w:tcPr>
          <w:p w14:paraId="78E4150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France</w:t>
            </w:r>
          </w:p>
        </w:tc>
        <w:tc>
          <w:tcPr>
            <w:tcW w:w="1680" w:type="dxa"/>
            <w:tcBorders>
              <w:top w:val="nil"/>
              <w:left w:val="nil"/>
              <w:bottom w:val="nil"/>
              <w:right w:val="nil"/>
            </w:tcBorders>
            <w:shd w:val="clear" w:color="auto" w:fill="auto"/>
            <w:noWrap/>
            <w:hideMark/>
          </w:tcPr>
          <w:p w14:paraId="6106EBA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w:t>
            </w:r>
          </w:p>
        </w:tc>
        <w:tc>
          <w:tcPr>
            <w:tcW w:w="1436" w:type="dxa"/>
            <w:tcBorders>
              <w:top w:val="nil"/>
              <w:left w:val="nil"/>
              <w:bottom w:val="nil"/>
              <w:right w:val="nil"/>
            </w:tcBorders>
            <w:shd w:val="clear" w:color="auto" w:fill="auto"/>
            <w:noWrap/>
            <w:hideMark/>
          </w:tcPr>
          <w:p w14:paraId="618C59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25</w:t>
            </w:r>
          </w:p>
        </w:tc>
        <w:tc>
          <w:tcPr>
            <w:tcW w:w="1436" w:type="dxa"/>
            <w:tcBorders>
              <w:top w:val="nil"/>
              <w:left w:val="nil"/>
              <w:bottom w:val="nil"/>
              <w:right w:val="nil"/>
            </w:tcBorders>
            <w:shd w:val="clear" w:color="auto" w:fill="auto"/>
            <w:noWrap/>
            <w:hideMark/>
          </w:tcPr>
          <w:p w14:paraId="604289E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476" w:type="dxa"/>
            <w:tcBorders>
              <w:top w:val="nil"/>
              <w:left w:val="nil"/>
              <w:bottom w:val="nil"/>
              <w:right w:val="nil"/>
            </w:tcBorders>
            <w:shd w:val="clear" w:color="auto" w:fill="auto"/>
            <w:noWrap/>
            <w:hideMark/>
          </w:tcPr>
          <w:p w14:paraId="73B0D50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396" w:type="dxa"/>
            <w:tcBorders>
              <w:top w:val="nil"/>
              <w:left w:val="nil"/>
              <w:bottom w:val="nil"/>
              <w:right w:val="nil"/>
            </w:tcBorders>
            <w:shd w:val="clear" w:color="auto" w:fill="auto"/>
            <w:noWrap/>
            <w:hideMark/>
          </w:tcPr>
          <w:p w14:paraId="61EA632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2,278,950</w:t>
            </w:r>
          </w:p>
        </w:tc>
      </w:tr>
      <w:tr w:rsidR="006760B7" w:rsidRPr="006760B7" w14:paraId="12349D19" w14:textId="77777777" w:rsidTr="006760B7">
        <w:trPr>
          <w:trHeight w:val="210"/>
        </w:trPr>
        <w:tc>
          <w:tcPr>
            <w:tcW w:w="2536" w:type="dxa"/>
            <w:tcBorders>
              <w:top w:val="nil"/>
              <w:left w:val="nil"/>
              <w:bottom w:val="nil"/>
              <w:right w:val="nil"/>
            </w:tcBorders>
            <w:shd w:val="clear" w:color="auto" w:fill="auto"/>
            <w:noWrap/>
            <w:hideMark/>
          </w:tcPr>
          <w:p w14:paraId="6775228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Gabon</w:t>
            </w:r>
          </w:p>
        </w:tc>
        <w:tc>
          <w:tcPr>
            <w:tcW w:w="1680" w:type="dxa"/>
            <w:tcBorders>
              <w:top w:val="nil"/>
              <w:left w:val="nil"/>
              <w:bottom w:val="nil"/>
              <w:right w:val="nil"/>
            </w:tcBorders>
            <w:shd w:val="clear" w:color="auto" w:fill="auto"/>
            <w:noWrap/>
            <w:hideMark/>
          </w:tcPr>
          <w:p w14:paraId="13B9745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4CB056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23E943F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46E04FF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668814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683C17D" w14:textId="77777777" w:rsidTr="006760B7">
        <w:trPr>
          <w:trHeight w:val="210"/>
        </w:trPr>
        <w:tc>
          <w:tcPr>
            <w:tcW w:w="2536" w:type="dxa"/>
            <w:tcBorders>
              <w:top w:val="nil"/>
              <w:left w:val="nil"/>
              <w:bottom w:val="single" w:sz="4" w:space="0" w:color="BFBFBF"/>
              <w:right w:val="nil"/>
            </w:tcBorders>
            <w:shd w:val="clear" w:color="auto" w:fill="auto"/>
            <w:noWrap/>
            <w:hideMark/>
          </w:tcPr>
          <w:p w14:paraId="077B77D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Gambia </w:t>
            </w:r>
          </w:p>
        </w:tc>
        <w:tc>
          <w:tcPr>
            <w:tcW w:w="1680" w:type="dxa"/>
            <w:tcBorders>
              <w:top w:val="nil"/>
              <w:left w:val="nil"/>
              <w:bottom w:val="single" w:sz="4" w:space="0" w:color="BFBFBF"/>
              <w:right w:val="nil"/>
            </w:tcBorders>
            <w:shd w:val="clear" w:color="auto" w:fill="auto"/>
            <w:noWrap/>
            <w:hideMark/>
          </w:tcPr>
          <w:p w14:paraId="26B0351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50F1749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5A13B34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40D0A6F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1FA34B1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12340B68" w14:textId="77777777" w:rsidTr="006760B7">
        <w:trPr>
          <w:trHeight w:val="210"/>
        </w:trPr>
        <w:tc>
          <w:tcPr>
            <w:tcW w:w="2536" w:type="dxa"/>
            <w:tcBorders>
              <w:top w:val="nil"/>
              <w:left w:val="nil"/>
              <w:bottom w:val="nil"/>
              <w:right w:val="nil"/>
            </w:tcBorders>
            <w:shd w:val="clear" w:color="auto" w:fill="auto"/>
            <w:noWrap/>
            <w:hideMark/>
          </w:tcPr>
          <w:p w14:paraId="17A2AAF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Georgia</w:t>
            </w:r>
          </w:p>
        </w:tc>
        <w:tc>
          <w:tcPr>
            <w:tcW w:w="1680" w:type="dxa"/>
            <w:tcBorders>
              <w:top w:val="nil"/>
              <w:left w:val="nil"/>
              <w:bottom w:val="nil"/>
              <w:right w:val="nil"/>
            </w:tcBorders>
            <w:shd w:val="clear" w:color="auto" w:fill="auto"/>
            <w:noWrap/>
            <w:hideMark/>
          </w:tcPr>
          <w:p w14:paraId="56863F7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73DA1B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27253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6EDFA3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2A580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2BFB6D1B" w14:textId="77777777" w:rsidTr="006760B7">
        <w:trPr>
          <w:trHeight w:val="210"/>
        </w:trPr>
        <w:tc>
          <w:tcPr>
            <w:tcW w:w="2536" w:type="dxa"/>
            <w:tcBorders>
              <w:top w:val="nil"/>
              <w:left w:val="nil"/>
              <w:bottom w:val="nil"/>
              <w:right w:val="nil"/>
            </w:tcBorders>
            <w:shd w:val="clear" w:color="auto" w:fill="auto"/>
            <w:noWrap/>
            <w:hideMark/>
          </w:tcPr>
          <w:p w14:paraId="71A6575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Germany</w:t>
            </w:r>
          </w:p>
        </w:tc>
        <w:tc>
          <w:tcPr>
            <w:tcW w:w="1680" w:type="dxa"/>
            <w:tcBorders>
              <w:top w:val="nil"/>
              <w:left w:val="nil"/>
              <w:bottom w:val="nil"/>
              <w:right w:val="nil"/>
            </w:tcBorders>
            <w:shd w:val="clear" w:color="auto" w:fill="auto"/>
            <w:noWrap/>
            <w:hideMark/>
          </w:tcPr>
          <w:p w14:paraId="1570A3A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w:t>
            </w:r>
          </w:p>
        </w:tc>
        <w:tc>
          <w:tcPr>
            <w:tcW w:w="1436" w:type="dxa"/>
            <w:tcBorders>
              <w:top w:val="nil"/>
              <w:left w:val="nil"/>
              <w:bottom w:val="nil"/>
              <w:right w:val="nil"/>
            </w:tcBorders>
            <w:shd w:val="clear" w:color="auto" w:fill="auto"/>
            <w:noWrap/>
            <w:hideMark/>
          </w:tcPr>
          <w:p w14:paraId="1D4326C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25</w:t>
            </w:r>
          </w:p>
        </w:tc>
        <w:tc>
          <w:tcPr>
            <w:tcW w:w="1436" w:type="dxa"/>
            <w:tcBorders>
              <w:top w:val="nil"/>
              <w:left w:val="nil"/>
              <w:bottom w:val="nil"/>
              <w:right w:val="nil"/>
            </w:tcBorders>
            <w:shd w:val="clear" w:color="auto" w:fill="auto"/>
            <w:noWrap/>
            <w:hideMark/>
          </w:tcPr>
          <w:p w14:paraId="34340D8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476" w:type="dxa"/>
            <w:tcBorders>
              <w:top w:val="nil"/>
              <w:left w:val="nil"/>
              <w:bottom w:val="nil"/>
              <w:right w:val="nil"/>
            </w:tcBorders>
            <w:shd w:val="clear" w:color="auto" w:fill="auto"/>
            <w:noWrap/>
            <w:hideMark/>
          </w:tcPr>
          <w:p w14:paraId="4BF75DA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396" w:type="dxa"/>
            <w:tcBorders>
              <w:top w:val="nil"/>
              <w:left w:val="nil"/>
              <w:bottom w:val="nil"/>
              <w:right w:val="nil"/>
            </w:tcBorders>
            <w:shd w:val="clear" w:color="auto" w:fill="auto"/>
            <w:noWrap/>
            <w:hideMark/>
          </w:tcPr>
          <w:p w14:paraId="6BD02A8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2,278,950</w:t>
            </w:r>
          </w:p>
        </w:tc>
      </w:tr>
      <w:tr w:rsidR="006760B7" w:rsidRPr="006760B7" w14:paraId="26C89C4C" w14:textId="77777777" w:rsidTr="006760B7">
        <w:trPr>
          <w:trHeight w:val="210"/>
        </w:trPr>
        <w:tc>
          <w:tcPr>
            <w:tcW w:w="2536" w:type="dxa"/>
            <w:tcBorders>
              <w:top w:val="nil"/>
              <w:left w:val="nil"/>
              <w:bottom w:val="nil"/>
              <w:right w:val="nil"/>
            </w:tcBorders>
            <w:shd w:val="clear" w:color="auto" w:fill="auto"/>
            <w:noWrap/>
            <w:hideMark/>
          </w:tcPr>
          <w:p w14:paraId="6795815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Ghana</w:t>
            </w:r>
          </w:p>
        </w:tc>
        <w:tc>
          <w:tcPr>
            <w:tcW w:w="1680" w:type="dxa"/>
            <w:tcBorders>
              <w:top w:val="nil"/>
              <w:left w:val="nil"/>
              <w:bottom w:val="nil"/>
              <w:right w:val="nil"/>
            </w:tcBorders>
            <w:shd w:val="clear" w:color="auto" w:fill="auto"/>
            <w:noWrap/>
            <w:hideMark/>
          </w:tcPr>
          <w:p w14:paraId="6D8FF35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46766F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4897AC3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7DB6A75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633FEF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43ECC88E" w14:textId="77777777" w:rsidTr="006760B7">
        <w:trPr>
          <w:trHeight w:val="210"/>
        </w:trPr>
        <w:tc>
          <w:tcPr>
            <w:tcW w:w="2536" w:type="dxa"/>
            <w:tcBorders>
              <w:top w:val="nil"/>
              <w:left w:val="nil"/>
              <w:bottom w:val="nil"/>
              <w:right w:val="nil"/>
            </w:tcBorders>
            <w:shd w:val="clear" w:color="auto" w:fill="auto"/>
            <w:noWrap/>
            <w:hideMark/>
          </w:tcPr>
          <w:p w14:paraId="7920D37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Greece</w:t>
            </w:r>
          </w:p>
        </w:tc>
        <w:tc>
          <w:tcPr>
            <w:tcW w:w="1680" w:type="dxa"/>
            <w:tcBorders>
              <w:top w:val="nil"/>
              <w:left w:val="nil"/>
              <w:bottom w:val="nil"/>
              <w:right w:val="nil"/>
            </w:tcBorders>
            <w:shd w:val="clear" w:color="auto" w:fill="auto"/>
            <w:noWrap/>
            <w:hideMark/>
          </w:tcPr>
          <w:p w14:paraId="7B5E785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723B8D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71A7B76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4A32F5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1FF98E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3C74D45B" w14:textId="77777777" w:rsidTr="006760B7">
        <w:trPr>
          <w:trHeight w:val="210"/>
        </w:trPr>
        <w:tc>
          <w:tcPr>
            <w:tcW w:w="2536" w:type="dxa"/>
            <w:tcBorders>
              <w:top w:val="nil"/>
              <w:left w:val="nil"/>
              <w:bottom w:val="single" w:sz="4" w:space="0" w:color="BFBFBF"/>
              <w:right w:val="nil"/>
            </w:tcBorders>
            <w:shd w:val="clear" w:color="auto" w:fill="auto"/>
            <w:noWrap/>
            <w:hideMark/>
          </w:tcPr>
          <w:p w14:paraId="6DD6BAB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Grenada</w:t>
            </w:r>
          </w:p>
        </w:tc>
        <w:tc>
          <w:tcPr>
            <w:tcW w:w="1680" w:type="dxa"/>
            <w:tcBorders>
              <w:top w:val="nil"/>
              <w:left w:val="nil"/>
              <w:bottom w:val="single" w:sz="4" w:space="0" w:color="BFBFBF"/>
              <w:right w:val="nil"/>
            </w:tcBorders>
            <w:shd w:val="clear" w:color="auto" w:fill="auto"/>
            <w:noWrap/>
            <w:hideMark/>
          </w:tcPr>
          <w:p w14:paraId="61C6C59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21981A0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632BAAB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1D418B2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7683E1A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B064ACE" w14:textId="77777777" w:rsidTr="006760B7">
        <w:trPr>
          <w:trHeight w:val="210"/>
        </w:trPr>
        <w:tc>
          <w:tcPr>
            <w:tcW w:w="2536" w:type="dxa"/>
            <w:tcBorders>
              <w:top w:val="nil"/>
              <w:left w:val="nil"/>
              <w:bottom w:val="nil"/>
              <w:right w:val="nil"/>
            </w:tcBorders>
            <w:shd w:val="clear" w:color="auto" w:fill="auto"/>
            <w:noWrap/>
            <w:hideMark/>
          </w:tcPr>
          <w:p w14:paraId="6903774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Guatemala</w:t>
            </w:r>
          </w:p>
        </w:tc>
        <w:tc>
          <w:tcPr>
            <w:tcW w:w="1680" w:type="dxa"/>
            <w:tcBorders>
              <w:top w:val="nil"/>
              <w:left w:val="nil"/>
              <w:bottom w:val="nil"/>
              <w:right w:val="nil"/>
            </w:tcBorders>
            <w:shd w:val="clear" w:color="auto" w:fill="auto"/>
            <w:noWrap/>
            <w:hideMark/>
          </w:tcPr>
          <w:p w14:paraId="4504D9C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66239D7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7F5C562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1461653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7775BDF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6DB82880" w14:textId="77777777" w:rsidTr="006760B7">
        <w:trPr>
          <w:trHeight w:val="210"/>
        </w:trPr>
        <w:tc>
          <w:tcPr>
            <w:tcW w:w="2536" w:type="dxa"/>
            <w:tcBorders>
              <w:top w:val="nil"/>
              <w:left w:val="nil"/>
              <w:bottom w:val="nil"/>
              <w:right w:val="nil"/>
            </w:tcBorders>
            <w:shd w:val="clear" w:color="auto" w:fill="auto"/>
            <w:noWrap/>
            <w:hideMark/>
          </w:tcPr>
          <w:p w14:paraId="3B70AE2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Guinea</w:t>
            </w:r>
          </w:p>
        </w:tc>
        <w:tc>
          <w:tcPr>
            <w:tcW w:w="1680" w:type="dxa"/>
            <w:tcBorders>
              <w:top w:val="nil"/>
              <w:left w:val="nil"/>
              <w:bottom w:val="nil"/>
              <w:right w:val="nil"/>
            </w:tcBorders>
            <w:shd w:val="clear" w:color="auto" w:fill="auto"/>
            <w:noWrap/>
            <w:hideMark/>
          </w:tcPr>
          <w:p w14:paraId="6CD60EF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6B09232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589647B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184AFCE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FD4B1D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4451A4C" w14:textId="77777777" w:rsidTr="006760B7">
        <w:trPr>
          <w:trHeight w:val="210"/>
        </w:trPr>
        <w:tc>
          <w:tcPr>
            <w:tcW w:w="2536" w:type="dxa"/>
            <w:tcBorders>
              <w:top w:val="nil"/>
              <w:left w:val="nil"/>
              <w:bottom w:val="nil"/>
              <w:right w:val="nil"/>
            </w:tcBorders>
            <w:shd w:val="clear" w:color="auto" w:fill="auto"/>
            <w:noWrap/>
            <w:hideMark/>
          </w:tcPr>
          <w:p w14:paraId="4CF69FB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Guinea-Bissau</w:t>
            </w:r>
          </w:p>
        </w:tc>
        <w:tc>
          <w:tcPr>
            <w:tcW w:w="1680" w:type="dxa"/>
            <w:tcBorders>
              <w:top w:val="nil"/>
              <w:left w:val="nil"/>
              <w:bottom w:val="nil"/>
              <w:right w:val="nil"/>
            </w:tcBorders>
            <w:shd w:val="clear" w:color="auto" w:fill="auto"/>
            <w:noWrap/>
            <w:hideMark/>
          </w:tcPr>
          <w:p w14:paraId="2C5970C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E47E7C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27933ED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6DF9D7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5BA7ED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0306A065" w14:textId="77777777" w:rsidTr="006760B7">
        <w:trPr>
          <w:trHeight w:val="210"/>
        </w:trPr>
        <w:tc>
          <w:tcPr>
            <w:tcW w:w="2536" w:type="dxa"/>
            <w:tcBorders>
              <w:top w:val="nil"/>
              <w:left w:val="nil"/>
              <w:bottom w:val="nil"/>
              <w:right w:val="nil"/>
            </w:tcBorders>
            <w:shd w:val="clear" w:color="auto" w:fill="auto"/>
            <w:noWrap/>
            <w:hideMark/>
          </w:tcPr>
          <w:p w14:paraId="7A0EA6F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Guyana</w:t>
            </w:r>
          </w:p>
        </w:tc>
        <w:tc>
          <w:tcPr>
            <w:tcW w:w="1680" w:type="dxa"/>
            <w:tcBorders>
              <w:top w:val="nil"/>
              <w:left w:val="nil"/>
              <w:bottom w:val="nil"/>
              <w:right w:val="nil"/>
            </w:tcBorders>
            <w:shd w:val="clear" w:color="auto" w:fill="auto"/>
            <w:noWrap/>
            <w:hideMark/>
          </w:tcPr>
          <w:p w14:paraId="1F28CF1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7B9C779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3CA4F9C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201029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71F9E3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88F17B5" w14:textId="77777777" w:rsidTr="006760B7">
        <w:trPr>
          <w:trHeight w:val="210"/>
        </w:trPr>
        <w:tc>
          <w:tcPr>
            <w:tcW w:w="2536" w:type="dxa"/>
            <w:tcBorders>
              <w:top w:val="nil"/>
              <w:left w:val="nil"/>
              <w:bottom w:val="single" w:sz="4" w:space="0" w:color="BFBFBF"/>
              <w:right w:val="nil"/>
            </w:tcBorders>
            <w:shd w:val="clear" w:color="auto" w:fill="auto"/>
            <w:noWrap/>
            <w:hideMark/>
          </w:tcPr>
          <w:p w14:paraId="3043FD7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Haiti</w:t>
            </w:r>
          </w:p>
        </w:tc>
        <w:tc>
          <w:tcPr>
            <w:tcW w:w="1680" w:type="dxa"/>
            <w:tcBorders>
              <w:top w:val="nil"/>
              <w:left w:val="nil"/>
              <w:bottom w:val="single" w:sz="4" w:space="0" w:color="BFBFBF"/>
              <w:right w:val="nil"/>
            </w:tcBorders>
            <w:shd w:val="clear" w:color="auto" w:fill="auto"/>
            <w:noWrap/>
            <w:hideMark/>
          </w:tcPr>
          <w:p w14:paraId="3B5E74C0"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31B1CA0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0CA07E6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041E2C0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148BF6F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0D2A185B" w14:textId="77777777" w:rsidTr="006760B7">
        <w:trPr>
          <w:trHeight w:val="210"/>
        </w:trPr>
        <w:tc>
          <w:tcPr>
            <w:tcW w:w="2536" w:type="dxa"/>
            <w:tcBorders>
              <w:top w:val="nil"/>
              <w:left w:val="nil"/>
              <w:bottom w:val="nil"/>
              <w:right w:val="nil"/>
            </w:tcBorders>
            <w:shd w:val="clear" w:color="auto" w:fill="auto"/>
            <w:noWrap/>
            <w:hideMark/>
          </w:tcPr>
          <w:p w14:paraId="048D65C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Holy See </w:t>
            </w:r>
          </w:p>
        </w:tc>
        <w:tc>
          <w:tcPr>
            <w:tcW w:w="1680" w:type="dxa"/>
            <w:tcBorders>
              <w:top w:val="nil"/>
              <w:left w:val="nil"/>
              <w:bottom w:val="nil"/>
              <w:right w:val="nil"/>
            </w:tcBorders>
            <w:shd w:val="clear" w:color="auto" w:fill="auto"/>
            <w:noWrap/>
            <w:hideMark/>
          </w:tcPr>
          <w:p w14:paraId="3F855F4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AA4E92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239261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1A02E5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91F9F2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3DEEF0F0" w14:textId="77777777" w:rsidTr="006760B7">
        <w:trPr>
          <w:trHeight w:val="210"/>
        </w:trPr>
        <w:tc>
          <w:tcPr>
            <w:tcW w:w="2536" w:type="dxa"/>
            <w:tcBorders>
              <w:top w:val="nil"/>
              <w:left w:val="nil"/>
              <w:bottom w:val="nil"/>
              <w:right w:val="nil"/>
            </w:tcBorders>
            <w:shd w:val="clear" w:color="auto" w:fill="auto"/>
            <w:noWrap/>
            <w:hideMark/>
          </w:tcPr>
          <w:p w14:paraId="22F5057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Honduras</w:t>
            </w:r>
          </w:p>
        </w:tc>
        <w:tc>
          <w:tcPr>
            <w:tcW w:w="1680" w:type="dxa"/>
            <w:tcBorders>
              <w:top w:val="nil"/>
              <w:left w:val="nil"/>
              <w:bottom w:val="nil"/>
              <w:right w:val="nil"/>
            </w:tcBorders>
            <w:shd w:val="clear" w:color="auto" w:fill="auto"/>
            <w:noWrap/>
            <w:hideMark/>
          </w:tcPr>
          <w:p w14:paraId="2CDF9F1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19E70EA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502AA3B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ED87FE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2AF662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5C2A25B" w14:textId="77777777" w:rsidTr="006760B7">
        <w:trPr>
          <w:trHeight w:val="210"/>
        </w:trPr>
        <w:tc>
          <w:tcPr>
            <w:tcW w:w="2536" w:type="dxa"/>
            <w:tcBorders>
              <w:top w:val="nil"/>
              <w:left w:val="nil"/>
              <w:bottom w:val="nil"/>
              <w:right w:val="nil"/>
            </w:tcBorders>
            <w:shd w:val="clear" w:color="auto" w:fill="auto"/>
            <w:noWrap/>
            <w:hideMark/>
          </w:tcPr>
          <w:p w14:paraId="129DE9F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Hungary</w:t>
            </w:r>
          </w:p>
        </w:tc>
        <w:tc>
          <w:tcPr>
            <w:tcW w:w="1680" w:type="dxa"/>
            <w:tcBorders>
              <w:top w:val="nil"/>
              <w:left w:val="nil"/>
              <w:bottom w:val="nil"/>
              <w:right w:val="nil"/>
            </w:tcBorders>
            <w:shd w:val="clear" w:color="auto" w:fill="auto"/>
            <w:noWrap/>
            <w:hideMark/>
          </w:tcPr>
          <w:p w14:paraId="4F24E30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5527200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59053A4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3899D8C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011D8D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70F13376" w14:textId="77777777" w:rsidTr="006760B7">
        <w:trPr>
          <w:trHeight w:val="210"/>
        </w:trPr>
        <w:tc>
          <w:tcPr>
            <w:tcW w:w="2536" w:type="dxa"/>
            <w:tcBorders>
              <w:top w:val="nil"/>
              <w:left w:val="nil"/>
              <w:bottom w:val="nil"/>
              <w:right w:val="nil"/>
            </w:tcBorders>
            <w:shd w:val="clear" w:color="auto" w:fill="auto"/>
            <w:noWrap/>
            <w:hideMark/>
          </w:tcPr>
          <w:p w14:paraId="76DB5FA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Iceland</w:t>
            </w:r>
          </w:p>
        </w:tc>
        <w:tc>
          <w:tcPr>
            <w:tcW w:w="1680" w:type="dxa"/>
            <w:tcBorders>
              <w:top w:val="nil"/>
              <w:left w:val="nil"/>
              <w:bottom w:val="nil"/>
              <w:right w:val="nil"/>
            </w:tcBorders>
            <w:shd w:val="clear" w:color="auto" w:fill="auto"/>
            <w:noWrap/>
            <w:hideMark/>
          </w:tcPr>
          <w:p w14:paraId="58F1E38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52B3C6E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55E18F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493B27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7D6D9B7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0747C107" w14:textId="77777777" w:rsidTr="006760B7">
        <w:trPr>
          <w:trHeight w:val="210"/>
        </w:trPr>
        <w:tc>
          <w:tcPr>
            <w:tcW w:w="2536" w:type="dxa"/>
            <w:tcBorders>
              <w:top w:val="nil"/>
              <w:left w:val="nil"/>
              <w:bottom w:val="single" w:sz="4" w:space="0" w:color="BFBFBF"/>
              <w:right w:val="nil"/>
            </w:tcBorders>
            <w:shd w:val="clear" w:color="auto" w:fill="auto"/>
            <w:noWrap/>
            <w:hideMark/>
          </w:tcPr>
          <w:p w14:paraId="705027F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India</w:t>
            </w:r>
          </w:p>
        </w:tc>
        <w:tc>
          <w:tcPr>
            <w:tcW w:w="1680" w:type="dxa"/>
            <w:tcBorders>
              <w:top w:val="nil"/>
              <w:left w:val="nil"/>
              <w:bottom w:val="single" w:sz="4" w:space="0" w:color="BFBFBF"/>
              <w:right w:val="nil"/>
            </w:tcBorders>
            <w:shd w:val="clear" w:color="auto" w:fill="auto"/>
            <w:noWrap/>
            <w:hideMark/>
          </w:tcPr>
          <w:p w14:paraId="4E1ABA9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single" w:sz="4" w:space="0" w:color="BFBFBF"/>
              <w:right w:val="nil"/>
            </w:tcBorders>
            <w:shd w:val="clear" w:color="auto" w:fill="auto"/>
            <w:noWrap/>
            <w:hideMark/>
          </w:tcPr>
          <w:p w14:paraId="7275678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single" w:sz="4" w:space="0" w:color="BFBFBF"/>
              <w:right w:val="nil"/>
            </w:tcBorders>
            <w:shd w:val="clear" w:color="auto" w:fill="auto"/>
            <w:noWrap/>
            <w:hideMark/>
          </w:tcPr>
          <w:p w14:paraId="1D10BD9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single" w:sz="4" w:space="0" w:color="BFBFBF"/>
              <w:right w:val="nil"/>
            </w:tcBorders>
            <w:shd w:val="clear" w:color="auto" w:fill="auto"/>
            <w:noWrap/>
            <w:hideMark/>
          </w:tcPr>
          <w:p w14:paraId="2646424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single" w:sz="4" w:space="0" w:color="BFBFBF"/>
              <w:right w:val="nil"/>
            </w:tcBorders>
            <w:shd w:val="clear" w:color="auto" w:fill="auto"/>
            <w:noWrap/>
            <w:hideMark/>
          </w:tcPr>
          <w:p w14:paraId="706900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151AF496" w14:textId="77777777" w:rsidTr="006760B7">
        <w:trPr>
          <w:trHeight w:val="210"/>
        </w:trPr>
        <w:tc>
          <w:tcPr>
            <w:tcW w:w="2536" w:type="dxa"/>
            <w:tcBorders>
              <w:top w:val="nil"/>
              <w:left w:val="nil"/>
              <w:bottom w:val="nil"/>
              <w:right w:val="nil"/>
            </w:tcBorders>
            <w:shd w:val="clear" w:color="auto" w:fill="auto"/>
            <w:noWrap/>
            <w:hideMark/>
          </w:tcPr>
          <w:p w14:paraId="66C4D0E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Indonesia</w:t>
            </w:r>
          </w:p>
        </w:tc>
        <w:tc>
          <w:tcPr>
            <w:tcW w:w="1680" w:type="dxa"/>
            <w:tcBorders>
              <w:top w:val="nil"/>
              <w:left w:val="nil"/>
              <w:bottom w:val="nil"/>
              <w:right w:val="nil"/>
            </w:tcBorders>
            <w:shd w:val="clear" w:color="auto" w:fill="auto"/>
            <w:noWrap/>
            <w:hideMark/>
          </w:tcPr>
          <w:p w14:paraId="278E2F7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nil"/>
              <w:right w:val="nil"/>
            </w:tcBorders>
            <w:shd w:val="clear" w:color="auto" w:fill="auto"/>
            <w:noWrap/>
            <w:hideMark/>
          </w:tcPr>
          <w:p w14:paraId="14BEC48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nil"/>
              <w:right w:val="nil"/>
            </w:tcBorders>
            <w:shd w:val="clear" w:color="auto" w:fill="auto"/>
            <w:noWrap/>
            <w:hideMark/>
          </w:tcPr>
          <w:p w14:paraId="7585B3D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nil"/>
              <w:right w:val="nil"/>
            </w:tcBorders>
            <w:shd w:val="clear" w:color="auto" w:fill="auto"/>
            <w:noWrap/>
            <w:hideMark/>
          </w:tcPr>
          <w:p w14:paraId="255179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nil"/>
              <w:right w:val="nil"/>
            </w:tcBorders>
            <w:shd w:val="clear" w:color="auto" w:fill="auto"/>
            <w:noWrap/>
            <w:hideMark/>
          </w:tcPr>
          <w:p w14:paraId="419BE7D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6280121D" w14:textId="77777777" w:rsidTr="006760B7">
        <w:trPr>
          <w:trHeight w:val="210"/>
        </w:trPr>
        <w:tc>
          <w:tcPr>
            <w:tcW w:w="2536" w:type="dxa"/>
            <w:tcBorders>
              <w:top w:val="nil"/>
              <w:left w:val="nil"/>
              <w:bottom w:val="nil"/>
              <w:right w:val="nil"/>
            </w:tcBorders>
            <w:shd w:val="clear" w:color="auto" w:fill="auto"/>
            <w:noWrap/>
            <w:hideMark/>
          </w:tcPr>
          <w:p w14:paraId="4625D62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Iran (Islamic Republic of)</w:t>
            </w:r>
          </w:p>
        </w:tc>
        <w:tc>
          <w:tcPr>
            <w:tcW w:w="1680" w:type="dxa"/>
            <w:tcBorders>
              <w:top w:val="nil"/>
              <w:left w:val="nil"/>
              <w:bottom w:val="nil"/>
              <w:right w:val="nil"/>
            </w:tcBorders>
            <w:shd w:val="clear" w:color="auto" w:fill="auto"/>
            <w:noWrap/>
            <w:hideMark/>
          </w:tcPr>
          <w:p w14:paraId="3495E18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nil"/>
              <w:right w:val="nil"/>
            </w:tcBorders>
            <w:shd w:val="clear" w:color="auto" w:fill="auto"/>
            <w:noWrap/>
            <w:hideMark/>
          </w:tcPr>
          <w:p w14:paraId="74F9AA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nil"/>
              <w:right w:val="nil"/>
            </w:tcBorders>
            <w:shd w:val="clear" w:color="auto" w:fill="auto"/>
            <w:noWrap/>
            <w:hideMark/>
          </w:tcPr>
          <w:p w14:paraId="290DA0C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nil"/>
              <w:right w:val="nil"/>
            </w:tcBorders>
            <w:shd w:val="clear" w:color="auto" w:fill="auto"/>
            <w:noWrap/>
            <w:hideMark/>
          </w:tcPr>
          <w:p w14:paraId="0ADE9ED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nil"/>
              <w:right w:val="nil"/>
            </w:tcBorders>
            <w:shd w:val="clear" w:color="auto" w:fill="auto"/>
            <w:noWrap/>
            <w:hideMark/>
          </w:tcPr>
          <w:p w14:paraId="19801A5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6F35A405" w14:textId="77777777" w:rsidTr="006760B7">
        <w:trPr>
          <w:trHeight w:val="210"/>
        </w:trPr>
        <w:tc>
          <w:tcPr>
            <w:tcW w:w="2536" w:type="dxa"/>
            <w:tcBorders>
              <w:top w:val="nil"/>
              <w:left w:val="nil"/>
              <w:bottom w:val="nil"/>
              <w:right w:val="nil"/>
            </w:tcBorders>
            <w:shd w:val="clear" w:color="auto" w:fill="auto"/>
            <w:noWrap/>
            <w:hideMark/>
          </w:tcPr>
          <w:p w14:paraId="6643C27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Iraq</w:t>
            </w:r>
          </w:p>
        </w:tc>
        <w:tc>
          <w:tcPr>
            <w:tcW w:w="1680" w:type="dxa"/>
            <w:tcBorders>
              <w:top w:val="nil"/>
              <w:left w:val="nil"/>
              <w:bottom w:val="nil"/>
              <w:right w:val="nil"/>
            </w:tcBorders>
            <w:shd w:val="clear" w:color="auto" w:fill="auto"/>
            <w:noWrap/>
            <w:hideMark/>
          </w:tcPr>
          <w:p w14:paraId="5087561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2FDD56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0EF049E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334FDE0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1A05E52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37DD1AC" w14:textId="77777777" w:rsidTr="006760B7">
        <w:trPr>
          <w:trHeight w:val="210"/>
        </w:trPr>
        <w:tc>
          <w:tcPr>
            <w:tcW w:w="2536" w:type="dxa"/>
            <w:tcBorders>
              <w:top w:val="nil"/>
              <w:left w:val="nil"/>
              <w:bottom w:val="nil"/>
              <w:right w:val="nil"/>
            </w:tcBorders>
            <w:shd w:val="clear" w:color="auto" w:fill="auto"/>
            <w:noWrap/>
            <w:hideMark/>
          </w:tcPr>
          <w:p w14:paraId="77E2484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Ireland</w:t>
            </w:r>
          </w:p>
        </w:tc>
        <w:tc>
          <w:tcPr>
            <w:tcW w:w="1680" w:type="dxa"/>
            <w:tcBorders>
              <w:top w:val="nil"/>
              <w:left w:val="nil"/>
              <w:bottom w:val="nil"/>
              <w:right w:val="nil"/>
            </w:tcBorders>
            <w:shd w:val="clear" w:color="auto" w:fill="auto"/>
            <w:noWrap/>
            <w:hideMark/>
          </w:tcPr>
          <w:p w14:paraId="3EFAC9F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362204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521E4B8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6F43DF2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19D4604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2ED10D57" w14:textId="77777777" w:rsidTr="006760B7">
        <w:trPr>
          <w:trHeight w:val="210"/>
        </w:trPr>
        <w:tc>
          <w:tcPr>
            <w:tcW w:w="2536" w:type="dxa"/>
            <w:tcBorders>
              <w:top w:val="nil"/>
              <w:left w:val="nil"/>
              <w:bottom w:val="single" w:sz="4" w:space="0" w:color="BFBFBF"/>
              <w:right w:val="nil"/>
            </w:tcBorders>
            <w:shd w:val="clear" w:color="auto" w:fill="auto"/>
            <w:noWrap/>
            <w:hideMark/>
          </w:tcPr>
          <w:p w14:paraId="0CE1531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Israel</w:t>
            </w:r>
          </w:p>
        </w:tc>
        <w:tc>
          <w:tcPr>
            <w:tcW w:w="1680" w:type="dxa"/>
            <w:tcBorders>
              <w:top w:val="nil"/>
              <w:left w:val="nil"/>
              <w:bottom w:val="single" w:sz="4" w:space="0" w:color="BFBFBF"/>
              <w:right w:val="nil"/>
            </w:tcBorders>
            <w:shd w:val="clear" w:color="auto" w:fill="auto"/>
            <w:noWrap/>
            <w:hideMark/>
          </w:tcPr>
          <w:p w14:paraId="3B3DFF5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single" w:sz="4" w:space="0" w:color="BFBFBF"/>
              <w:right w:val="nil"/>
            </w:tcBorders>
            <w:shd w:val="clear" w:color="auto" w:fill="auto"/>
            <w:noWrap/>
            <w:hideMark/>
          </w:tcPr>
          <w:p w14:paraId="547864F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single" w:sz="4" w:space="0" w:color="BFBFBF"/>
              <w:right w:val="nil"/>
            </w:tcBorders>
            <w:shd w:val="clear" w:color="auto" w:fill="auto"/>
            <w:noWrap/>
            <w:hideMark/>
          </w:tcPr>
          <w:p w14:paraId="29C768A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single" w:sz="4" w:space="0" w:color="BFBFBF"/>
              <w:right w:val="nil"/>
            </w:tcBorders>
            <w:shd w:val="clear" w:color="auto" w:fill="auto"/>
            <w:noWrap/>
            <w:hideMark/>
          </w:tcPr>
          <w:p w14:paraId="620766C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single" w:sz="4" w:space="0" w:color="BFBFBF"/>
              <w:right w:val="nil"/>
            </w:tcBorders>
            <w:shd w:val="clear" w:color="auto" w:fill="auto"/>
            <w:noWrap/>
            <w:hideMark/>
          </w:tcPr>
          <w:p w14:paraId="50FDAC8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3576DE4C" w14:textId="77777777" w:rsidTr="006760B7">
        <w:trPr>
          <w:trHeight w:val="210"/>
        </w:trPr>
        <w:tc>
          <w:tcPr>
            <w:tcW w:w="2536" w:type="dxa"/>
            <w:tcBorders>
              <w:top w:val="nil"/>
              <w:left w:val="nil"/>
              <w:bottom w:val="nil"/>
              <w:right w:val="nil"/>
            </w:tcBorders>
            <w:shd w:val="clear" w:color="auto" w:fill="auto"/>
            <w:noWrap/>
            <w:hideMark/>
          </w:tcPr>
          <w:p w14:paraId="24F988F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Italy</w:t>
            </w:r>
          </w:p>
        </w:tc>
        <w:tc>
          <w:tcPr>
            <w:tcW w:w="1680" w:type="dxa"/>
            <w:tcBorders>
              <w:top w:val="nil"/>
              <w:left w:val="nil"/>
              <w:bottom w:val="nil"/>
              <w:right w:val="nil"/>
            </w:tcBorders>
            <w:shd w:val="clear" w:color="auto" w:fill="auto"/>
            <w:noWrap/>
            <w:hideMark/>
          </w:tcPr>
          <w:p w14:paraId="140834B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III</w:t>
            </w:r>
          </w:p>
        </w:tc>
        <w:tc>
          <w:tcPr>
            <w:tcW w:w="1436" w:type="dxa"/>
            <w:tcBorders>
              <w:top w:val="nil"/>
              <w:left w:val="nil"/>
              <w:bottom w:val="nil"/>
              <w:right w:val="nil"/>
            </w:tcBorders>
            <w:shd w:val="clear" w:color="auto" w:fill="auto"/>
            <w:noWrap/>
            <w:hideMark/>
          </w:tcPr>
          <w:p w14:paraId="19DB00D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15</w:t>
            </w:r>
          </w:p>
        </w:tc>
        <w:tc>
          <w:tcPr>
            <w:tcW w:w="1436" w:type="dxa"/>
            <w:tcBorders>
              <w:top w:val="nil"/>
              <w:left w:val="nil"/>
              <w:bottom w:val="nil"/>
              <w:right w:val="nil"/>
            </w:tcBorders>
            <w:shd w:val="clear" w:color="auto" w:fill="auto"/>
            <w:noWrap/>
            <w:hideMark/>
          </w:tcPr>
          <w:p w14:paraId="01BAE51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476" w:type="dxa"/>
            <w:tcBorders>
              <w:top w:val="nil"/>
              <w:left w:val="nil"/>
              <w:bottom w:val="nil"/>
              <w:right w:val="nil"/>
            </w:tcBorders>
            <w:shd w:val="clear" w:color="auto" w:fill="auto"/>
            <w:noWrap/>
            <w:hideMark/>
          </w:tcPr>
          <w:p w14:paraId="79F429D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396" w:type="dxa"/>
            <w:tcBorders>
              <w:top w:val="nil"/>
              <w:left w:val="nil"/>
              <w:bottom w:val="nil"/>
              <w:right w:val="nil"/>
            </w:tcBorders>
            <w:shd w:val="clear" w:color="auto" w:fill="auto"/>
            <w:noWrap/>
            <w:hideMark/>
          </w:tcPr>
          <w:p w14:paraId="26F58EE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1,367,370</w:t>
            </w:r>
          </w:p>
        </w:tc>
      </w:tr>
      <w:tr w:rsidR="006760B7" w:rsidRPr="006760B7" w14:paraId="32E98F83" w14:textId="77777777" w:rsidTr="006760B7">
        <w:trPr>
          <w:trHeight w:val="210"/>
        </w:trPr>
        <w:tc>
          <w:tcPr>
            <w:tcW w:w="2536" w:type="dxa"/>
            <w:tcBorders>
              <w:top w:val="nil"/>
              <w:left w:val="nil"/>
              <w:bottom w:val="nil"/>
              <w:right w:val="nil"/>
            </w:tcBorders>
            <w:shd w:val="clear" w:color="auto" w:fill="auto"/>
            <w:noWrap/>
            <w:hideMark/>
          </w:tcPr>
          <w:p w14:paraId="2C3AE8E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Jamaica</w:t>
            </w:r>
          </w:p>
        </w:tc>
        <w:tc>
          <w:tcPr>
            <w:tcW w:w="1680" w:type="dxa"/>
            <w:tcBorders>
              <w:top w:val="nil"/>
              <w:left w:val="nil"/>
              <w:bottom w:val="nil"/>
              <w:right w:val="nil"/>
            </w:tcBorders>
            <w:shd w:val="clear" w:color="auto" w:fill="auto"/>
            <w:noWrap/>
            <w:hideMark/>
          </w:tcPr>
          <w:p w14:paraId="6B065B02"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6DDE3B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19163C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41AE6E5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BCBC24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395AED4" w14:textId="77777777" w:rsidTr="006760B7">
        <w:trPr>
          <w:trHeight w:val="210"/>
        </w:trPr>
        <w:tc>
          <w:tcPr>
            <w:tcW w:w="2536" w:type="dxa"/>
            <w:tcBorders>
              <w:top w:val="nil"/>
              <w:left w:val="nil"/>
              <w:bottom w:val="nil"/>
              <w:right w:val="nil"/>
            </w:tcBorders>
            <w:shd w:val="clear" w:color="auto" w:fill="auto"/>
            <w:noWrap/>
            <w:hideMark/>
          </w:tcPr>
          <w:p w14:paraId="45336D6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Japan</w:t>
            </w:r>
          </w:p>
        </w:tc>
        <w:tc>
          <w:tcPr>
            <w:tcW w:w="1680" w:type="dxa"/>
            <w:tcBorders>
              <w:top w:val="nil"/>
              <w:left w:val="nil"/>
              <w:bottom w:val="nil"/>
              <w:right w:val="nil"/>
            </w:tcBorders>
            <w:shd w:val="clear" w:color="auto" w:fill="auto"/>
            <w:noWrap/>
            <w:hideMark/>
          </w:tcPr>
          <w:p w14:paraId="60F8057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w:t>
            </w:r>
          </w:p>
        </w:tc>
        <w:tc>
          <w:tcPr>
            <w:tcW w:w="1436" w:type="dxa"/>
            <w:tcBorders>
              <w:top w:val="nil"/>
              <w:left w:val="nil"/>
              <w:bottom w:val="nil"/>
              <w:right w:val="nil"/>
            </w:tcBorders>
            <w:shd w:val="clear" w:color="auto" w:fill="auto"/>
            <w:noWrap/>
            <w:hideMark/>
          </w:tcPr>
          <w:p w14:paraId="25F5ACC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25</w:t>
            </w:r>
          </w:p>
        </w:tc>
        <w:tc>
          <w:tcPr>
            <w:tcW w:w="1436" w:type="dxa"/>
            <w:tcBorders>
              <w:top w:val="nil"/>
              <w:left w:val="nil"/>
              <w:bottom w:val="nil"/>
              <w:right w:val="nil"/>
            </w:tcBorders>
            <w:shd w:val="clear" w:color="auto" w:fill="auto"/>
            <w:noWrap/>
            <w:hideMark/>
          </w:tcPr>
          <w:p w14:paraId="5CF1F0E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476" w:type="dxa"/>
            <w:tcBorders>
              <w:top w:val="nil"/>
              <w:left w:val="nil"/>
              <w:bottom w:val="nil"/>
              <w:right w:val="nil"/>
            </w:tcBorders>
            <w:shd w:val="clear" w:color="auto" w:fill="auto"/>
            <w:noWrap/>
            <w:hideMark/>
          </w:tcPr>
          <w:p w14:paraId="48B3F15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396" w:type="dxa"/>
            <w:tcBorders>
              <w:top w:val="nil"/>
              <w:left w:val="nil"/>
              <w:bottom w:val="nil"/>
              <w:right w:val="nil"/>
            </w:tcBorders>
            <w:shd w:val="clear" w:color="auto" w:fill="auto"/>
            <w:noWrap/>
            <w:hideMark/>
          </w:tcPr>
          <w:p w14:paraId="3A3E502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2,278,950</w:t>
            </w:r>
          </w:p>
        </w:tc>
      </w:tr>
      <w:tr w:rsidR="006760B7" w:rsidRPr="006760B7" w14:paraId="1F6AC942" w14:textId="77777777" w:rsidTr="006760B7">
        <w:trPr>
          <w:trHeight w:val="210"/>
        </w:trPr>
        <w:tc>
          <w:tcPr>
            <w:tcW w:w="2536" w:type="dxa"/>
            <w:tcBorders>
              <w:top w:val="nil"/>
              <w:left w:val="nil"/>
              <w:bottom w:val="nil"/>
              <w:right w:val="nil"/>
            </w:tcBorders>
            <w:shd w:val="clear" w:color="auto" w:fill="auto"/>
            <w:noWrap/>
            <w:hideMark/>
          </w:tcPr>
          <w:p w14:paraId="2060B98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Jordan</w:t>
            </w:r>
          </w:p>
        </w:tc>
        <w:tc>
          <w:tcPr>
            <w:tcW w:w="1680" w:type="dxa"/>
            <w:tcBorders>
              <w:top w:val="nil"/>
              <w:left w:val="nil"/>
              <w:bottom w:val="nil"/>
              <w:right w:val="nil"/>
            </w:tcBorders>
            <w:shd w:val="clear" w:color="auto" w:fill="auto"/>
            <w:noWrap/>
            <w:hideMark/>
          </w:tcPr>
          <w:p w14:paraId="39B9766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1B0161B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1F0F21D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229320C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015E72E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615A60EB" w14:textId="77777777" w:rsidTr="006760B7">
        <w:trPr>
          <w:trHeight w:val="210"/>
        </w:trPr>
        <w:tc>
          <w:tcPr>
            <w:tcW w:w="2536" w:type="dxa"/>
            <w:tcBorders>
              <w:top w:val="nil"/>
              <w:left w:val="nil"/>
              <w:bottom w:val="single" w:sz="4" w:space="0" w:color="BFBFBF"/>
              <w:right w:val="nil"/>
            </w:tcBorders>
            <w:shd w:val="clear" w:color="auto" w:fill="auto"/>
            <w:noWrap/>
            <w:hideMark/>
          </w:tcPr>
          <w:p w14:paraId="5EB7AB7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Kazakhstan</w:t>
            </w:r>
          </w:p>
        </w:tc>
        <w:tc>
          <w:tcPr>
            <w:tcW w:w="1680" w:type="dxa"/>
            <w:tcBorders>
              <w:top w:val="nil"/>
              <w:left w:val="nil"/>
              <w:bottom w:val="single" w:sz="4" w:space="0" w:color="BFBFBF"/>
              <w:right w:val="nil"/>
            </w:tcBorders>
            <w:shd w:val="clear" w:color="auto" w:fill="auto"/>
            <w:noWrap/>
            <w:hideMark/>
          </w:tcPr>
          <w:p w14:paraId="4738D17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single" w:sz="4" w:space="0" w:color="BFBFBF"/>
              <w:right w:val="nil"/>
            </w:tcBorders>
            <w:shd w:val="clear" w:color="auto" w:fill="auto"/>
            <w:noWrap/>
            <w:hideMark/>
          </w:tcPr>
          <w:p w14:paraId="69C7FE3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single" w:sz="4" w:space="0" w:color="BFBFBF"/>
              <w:right w:val="nil"/>
            </w:tcBorders>
            <w:shd w:val="clear" w:color="auto" w:fill="auto"/>
            <w:noWrap/>
            <w:hideMark/>
          </w:tcPr>
          <w:p w14:paraId="386FA0B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single" w:sz="4" w:space="0" w:color="BFBFBF"/>
              <w:right w:val="nil"/>
            </w:tcBorders>
            <w:shd w:val="clear" w:color="auto" w:fill="auto"/>
            <w:noWrap/>
            <w:hideMark/>
          </w:tcPr>
          <w:p w14:paraId="2D74D96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single" w:sz="4" w:space="0" w:color="BFBFBF"/>
              <w:right w:val="nil"/>
            </w:tcBorders>
            <w:shd w:val="clear" w:color="auto" w:fill="auto"/>
            <w:noWrap/>
            <w:hideMark/>
          </w:tcPr>
          <w:p w14:paraId="76C43CB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0369079" w14:textId="77777777" w:rsidTr="006760B7">
        <w:trPr>
          <w:trHeight w:val="210"/>
        </w:trPr>
        <w:tc>
          <w:tcPr>
            <w:tcW w:w="2536" w:type="dxa"/>
            <w:tcBorders>
              <w:top w:val="nil"/>
              <w:left w:val="nil"/>
              <w:bottom w:val="nil"/>
              <w:right w:val="nil"/>
            </w:tcBorders>
            <w:shd w:val="clear" w:color="auto" w:fill="auto"/>
            <w:noWrap/>
            <w:hideMark/>
          </w:tcPr>
          <w:p w14:paraId="6344FDC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Kenya</w:t>
            </w:r>
          </w:p>
        </w:tc>
        <w:tc>
          <w:tcPr>
            <w:tcW w:w="1680" w:type="dxa"/>
            <w:tcBorders>
              <w:top w:val="nil"/>
              <w:left w:val="nil"/>
              <w:bottom w:val="nil"/>
              <w:right w:val="nil"/>
            </w:tcBorders>
            <w:shd w:val="clear" w:color="auto" w:fill="auto"/>
            <w:noWrap/>
            <w:hideMark/>
          </w:tcPr>
          <w:p w14:paraId="68C9608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108A4B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248EC3B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13F74BC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1122D44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7A2B1350" w14:textId="77777777" w:rsidTr="006760B7">
        <w:trPr>
          <w:trHeight w:val="210"/>
        </w:trPr>
        <w:tc>
          <w:tcPr>
            <w:tcW w:w="2536" w:type="dxa"/>
            <w:tcBorders>
              <w:top w:val="nil"/>
              <w:left w:val="nil"/>
              <w:bottom w:val="nil"/>
              <w:right w:val="nil"/>
            </w:tcBorders>
            <w:shd w:val="clear" w:color="auto" w:fill="auto"/>
            <w:noWrap/>
            <w:hideMark/>
          </w:tcPr>
          <w:p w14:paraId="48511BE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Kiribati</w:t>
            </w:r>
          </w:p>
        </w:tc>
        <w:tc>
          <w:tcPr>
            <w:tcW w:w="1680" w:type="dxa"/>
            <w:tcBorders>
              <w:top w:val="nil"/>
              <w:left w:val="nil"/>
              <w:bottom w:val="nil"/>
              <w:right w:val="nil"/>
            </w:tcBorders>
            <w:shd w:val="clear" w:color="auto" w:fill="auto"/>
            <w:noWrap/>
            <w:hideMark/>
          </w:tcPr>
          <w:p w14:paraId="6AA8D56B"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6A106A4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12CACC3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09081A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16EC169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374D5808" w14:textId="77777777" w:rsidTr="006760B7">
        <w:trPr>
          <w:trHeight w:val="210"/>
        </w:trPr>
        <w:tc>
          <w:tcPr>
            <w:tcW w:w="2536" w:type="dxa"/>
            <w:tcBorders>
              <w:top w:val="nil"/>
              <w:left w:val="nil"/>
              <w:bottom w:val="nil"/>
              <w:right w:val="nil"/>
            </w:tcBorders>
            <w:shd w:val="clear" w:color="auto" w:fill="auto"/>
            <w:noWrap/>
            <w:hideMark/>
          </w:tcPr>
          <w:p w14:paraId="6190E55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Kuwait</w:t>
            </w:r>
          </w:p>
        </w:tc>
        <w:tc>
          <w:tcPr>
            <w:tcW w:w="1680" w:type="dxa"/>
            <w:tcBorders>
              <w:top w:val="nil"/>
              <w:left w:val="nil"/>
              <w:bottom w:val="nil"/>
              <w:right w:val="nil"/>
            </w:tcBorders>
            <w:shd w:val="clear" w:color="auto" w:fill="auto"/>
            <w:noWrap/>
            <w:hideMark/>
          </w:tcPr>
          <w:p w14:paraId="0EBA14A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13B6A49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60D59DA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7E0E1D9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7E91B80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160DE86D" w14:textId="77777777" w:rsidTr="006760B7">
        <w:trPr>
          <w:trHeight w:val="210"/>
        </w:trPr>
        <w:tc>
          <w:tcPr>
            <w:tcW w:w="2536" w:type="dxa"/>
            <w:tcBorders>
              <w:top w:val="nil"/>
              <w:left w:val="nil"/>
              <w:bottom w:val="nil"/>
              <w:right w:val="nil"/>
            </w:tcBorders>
            <w:shd w:val="clear" w:color="auto" w:fill="auto"/>
            <w:noWrap/>
            <w:hideMark/>
          </w:tcPr>
          <w:p w14:paraId="2D36F80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Kyrgyzstan</w:t>
            </w:r>
          </w:p>
        </w:tc>
        <w:tc>
          <w:tcPr>
            <w:tcW w:w="1680" w:type="dxa"/>
            <w:tcBorders>
              <w:top w:val="nil"/>
              <w:left w:val="nil"/>
              <w:bottom w:val="nil"/>
              <w:right w:val="nil"/>
            </w:tcBorders>
            <w:shd w:val="clear" w:color="auto" w:fill="auto"/>
            <w:noWrap/>
            <w:hideMark/>
          </w:tcPr>
          <w:p w14:paraId="30D53B0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F46F86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60B548D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25B9030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45B6EF7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39B3264A" w14:textId="77777777" w:rsidTr="006760B7">
        <w:trPr>
          <w:trHeight w:val="210"/>
        </w:trPr>
        <w:tc>
          <w:tcPr>
            <w:tcW w:w="2536" w:type="dxa"/>
            <w:tcBorders>
              <w:top w:val="nil"/>
              <w:left w:val="nil"/>
              <w:bottom w:val="single" w:sz="4" w:space="0" w:color="BFBFBF"/>
              <w:right w:val="nil"/>
            </w:tcBorders>
            <w:shd w:val="clear" w:color="auto" w:fill="auto"/>
            <w:noWrap/>
            <w:hideMark/>
          </w:tcPr>
          <w:p w14:paraId="2E9A4D8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Lao People's Democratic Republic </w:t>
            </w:r>
          </w:p>
        </w:tc>
        <w:tc>
          <w:tcPr>
            <w:tcW w:w="1680" w:type="dxa"/>
            <w:tcBorders>
              <w:top w:val="nil"/>
              <w:left w:val="nil"/>
              <w:bottom w:val="single" w:sz="4" w:space="0" w:color="BFBFBF"/>
              <w:right w:val="nil"/>
            </w:tcBorders>
            <w:shd w:val="clear" w:color="auto" w:fill="auto"/>
            <w:noWrap/>
            <w:hideMark/>
          </w:tcPr>
          <w:p w14:paraId="709DFDA6"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7818CAE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6A2DEF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7F4D59A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557662A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7AA41A93" w14:textId="77777777" w:rsidTr="006760B7">
        <w:trPr>
          <w:trHeight w:val="210"/>
        </w:trPr>
        <w:tc>
          <w:tcPr>
            <w:tcW w:w="2536" w:type="dxa"/>
            <w:tcBorders>
              <w:top w:val="nil"/>
              <w:left w:val="nil"/>
              <w:bottom w:val="nil"/>
              <w:right w:val="nil"/>
            </w:tcBorders>
            <w:shd w:val="clear" w:color="auto" w:fill="auto"/>
            <w:noWrap/>
            <w:hideMark/>
          </w:tcPr>
          <w:p w14:paraId="28D0B04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Latvia</w:t>
            </w:r>
          </w:p>
        </w:tc>
        <w:tc>
          <w:tcPr>
            <w:tcW w:w="1680" w:type="dxa"/>
            <w:tcBorders>
              <w:top w:val="nil"/>
              <w:left w:val="nil"/>
              <w:bottom w:val="nil"/>
              <w:right w:val="nil"/>
            </w:tcBorders>
            <w:shd w:val="clear" w:color="auto" w:fill="auto"/>
            <w:noWrap/>
            <w:hideMark/>
          </w:tcPr>
          <w:p w14:paraId="6906C9D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447A0C3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934061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7BDA148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7851F1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626F7E04" w14:textId="77777777" w:rsidTr="006760B7">
        <w:trPr>
          <w:trHeight w:val="210"/>
        </w:trPr>
        <w:tc>
          <w:tcPr>
            <w:tcW w:w="2536" w:type="dxa"/>
            <w:tcBorders>
              <w:top w:val="nil"/>
              <w:left w:val="nil"/>
              <w:bottom w:val="nil"/>
              <w:right w:val="nil"/>
            </w:tcBorders>
            <w:shd w:val="clear" w:color="auto" w:fill="auto"/>
            <w:noWrap/>
            <w:hideMark/>
          </w:tcPr>
          <w:p w14:paraId="049C6B5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Lebanon</w:t>
            </w:r>
          </w:p>
        </w:tc>
        <w:tc>
          <w:tcPr>
            <w:tcW w:w="1680" w:type="dxa"/>
            <w:tcBorders>
              <w:top w:val="nil"/>
              <w:left w:val="nil"/>
              <w:bottom w:val="nil"/>
              <w:right w:val="nil"/>
            </w:tcBorders>
            <w:shd w:val="clear" w:color="auto" w:fill="auto"/>
            <w:noWrap/>
            <w:hideMark/>
          </w:tcPr>
          <w:p w14:paraId="7FCFD9A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63DCBF3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26A096F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79CD6B5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589B8CA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72356833" w14:textId="77777777" w:rsidTr="006760B7">
        <w:trPr>
          <w:trHeight w:val="210"/>
        </w:trPr>
        <w:tc>
          <w:tcPr>
            <w:tcW w:w="2536" w:type="dxa"/>
            <w:tcBorders>
              <w:top w:val="nil"/>
              <w:left w:val="nil"/>
              <w:bottom w:val="nil"/>
              <w:right w:val="nil"/>
            </w:tcBorders>
            <w:shd w:val="clear" w:color="auto" w:fill="auto"/>
            <w:noWrap/>
            <w:hideMark/>
          </w:tcPr>
          <w:p w14:paraId="6A4244C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Lesotho</w:t>
            </w:r>
          </w:p>
        </w:tc>
        <w:tc>
          <w:tcPr>
            <w:tcW w:w="1680" w:type="dxa"/>
            <w:tcBorders>
              <w:top w:val="nil"/>
              <w:left w:val="nil"/>
              <w:bottom w:val="nil"/>
              <w:right w:val="nil"/>
            </w:tcBorders>
            <w:shd w:val="clear" w:color="auto" w:fill="auto"/>
            <w:noWrap/>
            <w:hideMark/>
          </w:tcPr>
          <w:p w14:paraId="0B549022"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462A310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5BA7E1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272F96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1FD6102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2E8A693" w14:textId="77777777" w:rsidTr="006760B7">
        <w:trPr>
          <w:trHeight w:val="210"/>
        </w:trPr>
        <w:tc>
          <w:tcPr>
            <w:tcW w:w="2536" w:type="dxa"/>
            <w:tcBorders>
              <w:top w:val="nil"/>
              <w:left w:val="nil"/>
              <w:bottom w:val="nil"/>
              <w:right w:val="nil"/>
            </w:tcBorders>
            <w:shd w:val="clear" w:color="auto" w:fill="auto"/>
            <w:noWrap/>
            <w:hideMark/>
          </w:tcPr>
          <w:p w14:paraId="05EB5EC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Liberia</w:t>
            </w:r>
          </w:p>
        </w:tc>
        <w:tc>
          <w:tcPr>
            <w:tcW w:w="1680" w:type="dxa"/>
            <w:tcBorders>
              <w:top w:val="nil"/>
              <w:left w:val="nil"/>
              <w:bottom w:val="nil"/>
              <w:right w:val="nil"/>
            </w:tcBorders>
            <w:shd w:val="clear" w:color="auto" w:fill="auto"/>
            <w:noWrap/>
            <w:hideMark/>
          </w:tcPr>
          <w:p w14:paraId="31A06BBC"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251EAE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4BAD976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D97260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A9A0CC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1D6DC50" w14:textId="77777777" w:rsidTr="006760B7">
        <w:trPr>
          <w:trHeight w:val="210"/>
        </w:trPr>
        <w:tc>
          <w:tcPr>
            <w:tcW w:w="2536" w:type="dxa"/>
            <w:tcBorders>
              <w:top w:val="nil"/>
              <w:left w:val="nil"/>
              <w:bottom w:val="single" w:sz="4" w:space="0" w:color="BFBFBF"/>
              <w:right w:val="nil"/>
            </w:tcBorders>
            <w:shd w:val="clear" w:color="auto" w:fill="auto"/>
            <w:noWrap/>
            <w:hideMark/>
          </w:tcPr>
          <w:p w14:paraId="424B3A6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Libya </w:t>
            </w:r>
          </w:p>
        </w:tc>
        <w:tc>
          <w:tcPr>
            <w:tcW w:w="1680" w:type="dxa"/>
            <w:tcBorders>
              <w:top w:val="nil"/>
              <w:left w:val="nil"/>
              <w:bottom w:val="single" w:sz="4" w:space="0" w:color="BFBFBF"/>
              <w:right w:val="nil"/>
            </w:tcBorders>
            <w:shd w:val="clear" w:color="auto" w:fill="auto"/>
            <w:noWrap/>
            <w:hideMark/>
          </w:tcPr>
          <w:p w14:paraId="5B0C7BED"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08FB0C4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2212460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32152C4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71512A7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E29E67F" w14:textId="77777777" w:rsidTr="006760B7">
        <w:trPr>
          <w:trHeight w:val="210"/>
        </w:trPr>
        <w:tc>
          <w:tcPr>
            <w:tcW w:w="2536" w:type="dxa"/>
            <w:tcBorders>
              <w:top w:val="nil"/>
              <w:left w:val="nil"/>
              <w:bottom w:val="nil"/>
              <w:right w:val="nil"/>
            </w:tcBorders>
            <w:shd w:val="clear" w:color="auto" w:fill="auto"/>
            <w:noWrap/>
            <w:hideMark/>
          </w:tcPr>
          <w:p w14:paraId="3ACED52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Liechtenstein</w:t>
            </w:r>
          </w:p>
        </w:tc>
        <w:tc>
          <w:tcPr>
            <w:tcW w:w="1680" w:type="dxa"/>
            <w:tcBorders>
              <w:top w:val="nil"/>
              <w:left w:val="nil"/>
              <w:bottom w:val="nil"/>
              <w:right w:val="nil"/>
            </w:tcBorders>
            <w:shd w:val="clear" w:color="auto" w:fill="auto"/>
            <w:noWrap/>
            <w:hideMark/>
          </w:tcPr>
          <w:p w14:paraId="2BD54A0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30860C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219CF3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1D39A45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4761CE0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168C358C" w14:textId="77777777" w:rsidTr="006760B7">
        <w:trPr>
          <w:trHeight w:val="210"/>
        </w:trPr>
        <w:tc>
          <w:tcPr>
            <w:tcW w:w="2536" w:type="dxa"/>
            <w:tcBorders>
              <w:top w:val="nil"/>
              <w:left w:val="nil"/>
              <w:bottom w:val="nil"/>
              <w:right w:val="nil"/>
            </w:tcBorders>
            <w:shd w:val="clear" w:color="auto" w:fill="auto"/>
            <w:noWrap/>
            <w:hideMark/>
          </w:tcPr>
          <w:p w14:paraId="787C449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Lithuania</w:t>
            </w:r>
          </w:p>
        </w:tc>
        <w:tc>
          <w:tcPr>
            <w:tcW w:w="1680" w:type="dxa"/>
            <w:tcBorders>
              <w:top w:val="nil"/>
              <w:left w:val="nil"/>
              <w:bottom w:val="nil"/>
              <w:right w:val="nil"/>
            </w:tcBorders>
            <w:shd w:val="clear" w:color="auto" w:fill="auto"/>
            <w:noWrap/>
            <w:hideMark/>
          </w:tcPr>
          <w:p w14:paraId="5260465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52788B8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758E35F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6BB89F0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24BA34E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6D8A1389" w14:textId="77777777" w:rsidTr="006760B7">
        <w:trPr>
          <w:trHeight w:val="210"/>
        </w:trPr>
        <w:tc>
          <w:tcPr>
            <w:tcW w:w="2536" w:type="dxa"/>
            <w:tcBorders>
              <w:top w:val="nil"/>
              <w:left w:val="nil"/>
              <w:bottom w:val="nil"/>
              <w:right w:val="nil"/>
            </w:tcBorders>
            <w:shd w:val="clear" w:color="auto" w:fill="auto"/>
            <w:noWrap/>
            <w:hideMark/>
          </w:tcPr>
          <w:p w14:paraId="1BEEF51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Luxembourg</w:t>
            </w:r>
          </w:p>
        </w:tc>
        <w:tc>
          <w:tcPr>
            <w:tcW w:w="1680" w:type="dxa"/>
            <w:tcBorders>
              <w:top w:val="nil"/>
              <w:left w:val="nil"/>
              <w:bottom w:val="nil"/>
              <w:right w:val="nil"/>
            </w:tcBorders>
            <w:shd w:val="clear" w:color="auto" w:fill="auto"/>
            <w:noWrap/>
            <w:hideMark/>
          </w:tcPr>
          <w:p w14:paraId="393DDDF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nil"/>
              <w:right w:val="nil"/>
            </w:tcBorders>
            <w:shd w:val="clear" w:color="auto" w:fill="auto"/>
            <w:noWrap/>
            <w:hideMark/>
          </w:tcPr>
          <w:p w14:paraId="1578CEF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nil"/>
              <w:right w:val="nil"/>
            </w:tcBorders>
            <w:shd w:val="clear" w:color="auto" w:fill="auto"/>
            <w:noWrap/>
            <w:hideMark/>
          </w:tcPr>
          <w:p w14:paraId="56A937E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nil"/>
              <w:right w:val="nil"/>
            </w:tcBorders>
            <w:shd w:val="clear" w:color="auto" w:fill="auto"/>
            <w:noWrap/>
            <w:hideMark/>
          </w:tcPr>
          <w:p w14:paraId="34D2155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nil"/>
              <w:right w:val="nil"/>
            </w:tcBorders>
            <w:shd w:val="clear" w:color="auto" w:fill="auto"/>
            <w:noWrap/>
            <w:hideMark/>
          </w:tcPr>
          <w:p w14:paraId="7A88CF6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31C04BC9" w14:textId="77777777" w:rsidTr="006760B7">
        <w:trPr>
          <w:trHeight w:val="210"/>
        </w:trPr>
        <w:tc>
          <w:tcPr>
            <w:tcW w:w="2536" w:type="dxa"/>
            <w:tcBorders>
              <w:top w:val="nil"/>
              <w:left w:val="nil"/>
              <w:bottom w:val="nil"/>
              <w:right w:val="nil"/>
            </w:tcBorders>
            <w:shd w:val="clear" w:color="auto" w:fill="auto"/>
            <w:noWrap/>
            <w:hideMark/>
          </w:tcPr>
          <w:p w14:paraId="651C5CB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Madagascar</w:t>
            </w:r>
          </w:p>
        </w:tc>
        <w:tc>
          <w:tcPr>
            <w:tcW w:w="1680" w:type="dxa"/>
            <w:tcBorders>
              <w:top w:val="nil"/>
              <w:left w:val="nil"/>
              <w:bottom w:val="nil"/>
              <w:right w:val="nil"/>
            </w:tcBorders>
            <w:shd w:val="clear" w:color="auto" w:fill="auto"/>
            <w:noWrap/>
            <w:hideMark/>
          </w:tcPr>
          <w:p w14:paraId="0C1CB7C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44C275E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7332E6E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02D0212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5949FB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6E6403E4" w14:textId="77777777" w:rsidTr="006760B7">
        <w:trPr>
          <w:trHeight w:val="210"/>
        </w:trPr>
        <w:tc>
          <w:tcPr>
            <w:tcW w:w="2536" w:type="dxa"/>
            <w:tcBorders>
              <w:top w:val="nil"/>
              <w:left w:val="nil"/>
              <w:bottom w:val="single" w:sz="4" w:space="0" w:color="BFBFBF"/>
              <w:right w:val="nil"/>
            </w:tcBorders>
            <w:shd w:val="clear" w:color="auto" w:fill="auto"/>
            <w:noWrap/>
            <w:hideMark/>
          </w:tcPr>
          <w:p w14:paraId="392824B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Malawi</w:t>
            </w:r>
          </w:p>
        </w:tc>
        <w:tc>
          <w:tcPr>
            <w:tcW w:w="1680" w:type="dxa"/>
            <w:tcBorders>
              <w:top w:val="nil"/>
              <w:left w:val="nil"/>
              <w:bottom w:val="single" w:sz="4" w:space="0" w:color="BFBFBF"/>
              <w:right w:val="nil"/>
            </w:tcBorders>
            <w:shd w:val="clear" w:color="auto" w:fill="auto"/>
            <w:noWrap/>
            <w:hideMark/>
          </w:tcPr>
          <w:p w14:paraId="54166999"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7ADDE93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2E4822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205F207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7C6CA0D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148AA9DB" w14:textId="77777777" w:rsidTr="006760B7">
        <w:trPr>
          <w:trHeight w:val="210"/>
        </w:trPr>
        <w:tc>
          <w:tcPr>
            <w:tcW w:w="2536" w:type="dxa"/>
            <w:tcBorders>
              <w:top w:val="nil"/>
              <w:left w:val="nil"/>
              <w:bottom w:val="nil"/>
              <w:right w:val="nil"/>
            </w:tcBorders>
            <w:shd w:val="clear" w:color="auto" w:fill="auto"/>
            <w:noWrap/>
            <w:hideMark/>
          </w:tcPr>
          <w:p w14:paraId="0DF6384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Malaysia</w:t>
            </w:r>
          </w:p>
        </w:tc>
        <w:tc>
          <w:tcPr>
            <w:tcW w:w="1680" w:type="dxa"/>
            <w:tcBorders>
              <w:top w:val="nil"/>
              <w:left w:val="nil"/>
              <w:bottom w:val="nil"/>
              <w:right w:val="nil"/>
            </w:tcBorders>
            <w:shd w:val="clear" w:color="auto" w:fill="auto"/>
            <w:noWrap/>
            <w:hideMark/>
          </w:tcPr>
          <w:p w14:paraId="39DA4F7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0727673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0DB0754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4590617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4EF7D3F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629140CA" w14:textId="77777777" w:rsidTr="006760B7">
        <w:trPr>
          <w:trHeight w:val="250"/>
        </w:trPr>
        <w:tc>
          <w:tcPr>
            <w:tcW w:w="2536" w:type="dxa"/>
            <w:tcBorders>
              <w:top w:val="nil"/>
              <w:left w:val="nil"/>
              <w:bottom w:val="nil"/>
              <w:right w:val="nil"/>
            </w:tcBorders>
            <w:shd w:val="clear" w:color="auto" w:fill="auto"/>
            <w:noWrap/>
            <w:hideMark/>
          </w:tcPr>
          <w:p w14:paraId="26A3003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Maldives </w:t>
            </w:r>
            <w:r w:rsidRPr="006760B7">
              <w:rPr>
                <w:rFonts w:ascii="Arial Narrow" w:eastAsia="Times New Roman" w:hAnsi="Arial Narrow" w:cs="Arial"/>
                <w:sz w:val="16"/>
                <w:szCs w:val="16"/>
                <w:vertAlign w:val="superscript"/>
                <w:lang w:val="en-US"/>
              </w:rPr>
              <w:t>2</w:t>
            </w:r>
          </w:p>
        </w:tc>
        <w:tc>
          <w:tcPr>
            <w:tcW w:w="1680" w:type="dxa"/>
            <w:tcBorders>
              <w:top w:val="nil"/>
              <w:left w:val="nil"/>
              <w:bottom w:val="nil"/>
              <w:right w:val="nil"/>
            </w:tcBorders>
            <w:shd w:val="clear" w:color="auto" w:fill="auto"/>
            <w:noWrap/>
            <w:hideMark/>
          </w:tcPr>
          <w:p w14:paraId="564C06A9"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3DA8629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FDA91C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7F18044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76897B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3078C235" w14:textId="77777777" w:rsidTr="006760B7">
        <w:trPr>
          <w:trHeight w:val="210"/>
        </w:trPr>
        <w:tc>
          <w:tcPr>
            <w:tcW w:w="2536" w:type="dxa"/>
            <w:tcBorders>
              <w:top w:val="nil"/>
              <w:left w:val="nil"/>
              <w:bottom w:val="nil"/>
              <w:right w:val="nil"/>
            </w:tcBorders>
            <w:shd w:val="clear" w:color="auto" w:fill="auto"/>
            <w:noWrap/>
            <w:hideMark/>
          </w:tcPr>
          <w:p w14:paraId="796F622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Mali</w:t>
            </w:r>
          </w:p>
        </w:tc>
        <w:tc>
          <w:tcPr>
            <w:tcW w:w="1680" w:type="dxa"/>
            <w:tcBorders>
              <w:top w:val="nil"/>
              <w:left w:val="nil"/>
              <w:bottom w:val="nil"/>
              <w:right w:val="nil"/>
            </w:tcBorders>
            <w:shd w:val="clear" w:color="auto" w:fill="auto"/>
            <w:noWrap/>
            <w:hideMark/>
          </w:tcPr>
          <w:p w14:paraId="4114FA56"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5CD4877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05CB77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5FF8348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50037A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8CB7A6E" w14:textId="77777777" w:rsidTr="006760B7">
        <w:trPr>
          <w:trHeight w:val="210"/>
        </w:trPr>
        <w:tc>
          <w:tcPr>
            <w:tcW w:w="2536" w:type="dxa"/>
            <w:tcBorders>
              <w:top w:val="nil"/>
              <w:left w:val="nil"/>
              <w:bottom w:val="nil"/>
              <w:right w:val="nil"/>
            </w:tcBorders>
            <w:shd w:val="clear" w:color="auto" w:fill="auto"/>
            <w:noWrap/>
            <w:hideMark/>
          </w:tcPr>
          <w:p w14:paraId="23BF2EF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Malta</w:t>
            </w:r>
          </w:p>
        </w:tc>
        <w:tc>
          <w:tcPr>
            <w:tcW w:w="1680" w:type="dxa"/>
            <w:tcBorders>
              <w:top w:val="nil"/>
              <w:left w:val="nil"/>
              <w:bottom w:val="nil"/>
              <w:right w:val="nil"/>
            </w:tcBorders>
            <w:shd w:val="clear" w:color="auto" w:fill="auto"/>
            <w:noWrap/>
            <w:hideMark/>
          </w:tcPr>
          <w:p w14:paraId="787A818A"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EC87EF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3CBBE96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FF5F1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693246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157D0172" w14:textId="77777777" w:rsidTr="006760B7">
        <w:trPr>
          <w:trHeight w:val="250"/>
        </w:trPr>
        <w:tc>
          <w:tcPr>
            <w:tcW w:w="2536" w:type="dxa"/>
            <w:tcBorders>
              <w:top w:val="nil"/>
              <w:left w:val="nil"/>
              <w:bottom w:val="single" w:sz="4" w:space="0" w:color="BFBFBF"/>
              <w:right w:val="nil"/>
            </w:tcBorders>
            <w:shd w:val="clear" w:color="auto" w:fill="auto"/>
            <w:noWrap/>
            <w:hideMark/>
          </w:tcPr>
          <w:p w14:paraId="4124AAC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Marshall Islands</w:t>
            </w:r>
            <w:r w:rsidRPr="006760B7">
              <w:rPr>
                <w:rFonts w:ascii="Arial Narrow" w:eastAsia="Times New Roman" w:hAnsi="Arial Narrow" w:cs="Arial"/>
                <w:color w:val="000000"/>
                <w:sz w:val="16"/>
                <w:szCs w:val="16"/>
                <w:vertAlign w:val="superscript"/>
                <w:lang w:val="en-US"/>
              </w:rPr>
              <w:t xml:space="preserve"> 2</w:t>
            </w:r>
          </w:p>
        </w:tc>
        <w:tc>
          <w:tcPr>
            <w:tcW w:w="1680" w:type="dxa"/>
            <w:tcBorders>
              <w:top w:val="nil"/>
              <w:left w:val="nil"/>
              <w:bottom w:val="single" w:sz="4" w:space="0" w:color="BFBFBF"/>
              <w:right w:val="nil"/>
            </w:tcBorders>
            <w:shd w:val="clear" w:color="auto" w:fill="auto"/>
            <w:noWrap/>
            <w:hideMark/>
          </w:tcPr>
          <w:p w14:paraId="36B92FF9"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7972317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2CE032B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30066ED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01D64E0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9B4AE17" w14:textId="77777777" w:rsidTr="006760B7">
        <w:trPr>
          <w:trHeight w:val="210"/>
        </w:trPr>
        <w:tc>
          <w:tcPr>
            <w:tcW w:w="2536" w:type="dxa"/>
            <w:tcBorders>
              <w:top w:val="nil"/>
              <w:left w:val="nil"/>
              <w:bottom w:val="nil"/>
              <w:right w:val="nil"/>
            </w:tcBorders>
            <w:shd w:val="clear" w:color="auto" w:fill="auto"/>
            <w:noWrap/>
            <w:hideMark/>
          </w:tcPr>
          <w:p w14:paraId="77AD392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Mauritania</w:t>
            </w:r>
          </w:p>
        </w:tc>
        <w:tc>
          <w:tcPr>
            <w:tcW w:w="1680" w:type="dxa"/>
            <w:tcBorders>
              <w:top w:val="nil"/>
              <w:left w:val="nil"/>
              <w:bottom w:val="nil"/>
              <w:right w:val="nil"/>
            </w:tcBorders>
            <w:shd w:val="clear" w:color="auto" w:fill="auto"/>
            <w:noWrap/>
            <w:hideMark/>
          </w:tcPr>
          <w:p w14:paraId="4B76434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12FF67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B28595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05F831B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1D978AC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1B52975B" w14:textId="77777777" w:rsidTr="006760B7">
        <w:trPr>
          <w:trHeight w:val="210"/>
        </w:trPr>
        <w:tc>
          <w:tcPr>
            <w:tcW w:w="2536" w:type="dxa"/>
            <w:tcBorders>
              <w:top w:val="nil"/>
              <w:left w:val="nil"/>
              <w:bottom w:val="nil"/>
              <w:right w:val="nil"/>
            </w:tcBorders>
            <w:shd w:val="clear" w:color="auto" w:fill="auto"/>
            <w:noWrap/>
            <w:hideMark/>
          </w:tcPr>
          <w:p w14:paraId="03879D7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Mauritius</w:t>
            </w:r>
          </w:p>
        </w:tc>
        <w:tc>
          <w:tcPr>
            <w:tcW w:w="1680" w:type="dxa"/>
            <w:tcBorders>
              <w:top w:val="nil"/>
              <w:left w:val="nil"/>
              <w:bottom w:val="nil"/>
              <w:right w:val="nil"/>
            </w:tcBorders>
            <w:shd w:val="clear" w:color="auto" w:fill="auto"/>
            <w:noWrap/>
            <w:hideMark/>
          </w:tcPr>
          <w:p w14:paraId="04B0DAC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FC5405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1D41E06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0349F1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46CF57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2D0A079C" w14:textId="77777777" w:rsidTr="006760B7">
        <w:trPr>
          <w:trHeight w:val="210"/>
        </w:trPr>
        <w:tc>
          <w:tcPr>
            <w:tcW w:w="2536" w:type="dxa"/>
            <w:tcBorders>
              <w:top w:val="nil"/>
              <w:left w:val="nil"/>
              <w:bottom w:val="nil"/>
              <w:right w:val="nil"/>
            </w:tcBorders>
            <w:shd w:val="clear" w:color="auto" w:fill="auto"/>
            <w:noWrap/>
            <w:hideMark/>
          </w:tcPr>
          <w:p w14:paraId="4A85408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Mexico</w:t>
            </w:r>
          </w:p>
        </w:tc>
        <w:tc>
          <w:tcPr>
            <w:tcW w:w="1680" w:type="dxa"/>
            <w:tcBorders>
              <w:top w:val="nil"/>
              <w:left w:val="nil"/>
              <w:bottom w:val="nil"/>
              <w:right w:val="nil"/>
            </w:tcBorders>
            <w:shd w:val="clear" w:color="auto" w:fill="auto"/>
            <w:noWrap/>
            <w:hideMark/>
          </w:tcPr>
          <w:p w14:paraId="75090C9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IVbis</w:t>
            </w:r>
          </w:p>
        </w:tc>
        <w:tc>
          <w:tcPr>
            <w:tcW w:w="1436" w:type="dxa"/>
            <w:tcBorders>
              <w:top w:val="nil"/>
              <w:left w:val="nil"/>
              <w:bottom w:val="nil"/>
              <w:right w:val="nil"/>
            </w:tcBorders>
            <w:shd w:val="clear" w:color="auto" w:fill="auto"/>
            <w:noWrap/>
            <w:hideMark/>
          </w:tcPr>
          <w:p w14:paraId="7734509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7.5</w:t>
            </w:r>
          </w:p>
        </w:tc>
        <w:tc>
          <w:tcPr>
            <w:tcW w:w="1436" w:type="dxa"/>
            <w:tcBorders>
              <w:top w:val="nil"/>
              <w:left w:val="nil"/>
              <w:bottom w:val="nil"/>
              <w:right w:val="nil"/>
            </w:tcBorders>
            <w:shd w:val="clear" w:color="auto" w:fill="auto"/>
            <w:noWrap/>
            <w:hideMark/>
          </w:tcPr>
          <w:p w14:paraId="2D03E3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476" w:type="dxa"/>
            <w:tcBorders>
              <w:top w:val="nil"/>
              <w:left w:val="nil"/>
              <w:bottom w:val="nil"/>
              <w:right w:val="nil"/>
            </w:tcBorders>
            <w:shd w:val="clear" w:color="auto" w:fill="auto"/>
            <w:noWrap/>
            <w:hideMark/>
          </w:tcPr>
          <w:p w14:paraId="094B004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396" w:type="dxa"/>
            <w:tcBorders>
              <w:top w:val="nil"/>
              <w:left w:val="nil"/>
              <w:bottom w:val="nil"/>
              <w:right w:val="nil"/>
            </w:tcBorders>
            <w:shd w:val="clear" w:color="auto" w:fill="auto"/>
            <w:noWrap/>
            <w:hideMark/>
          </w:tcPr>
          <w:p w14:paraId="1D56FBE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683,684</w:t>
            </w:r>
          </w:p>
        </w:tc>
      </w:tr>
      <w:tr w:rsidR="006760B7" w:rsidRPr="006760B7" w14:paraId="08D7D805" w14:textId="77777777" w:rsidTr="006760B7">
        <w:trPr>
          <w:trHeight w:val="210"/>
        </w:trPr>
        <w:tc>
          <w:tcPr>
            <w:tcW w:w="2536" w:type="dxa"/>
            <w:tcBorders>
              <w:top w:val="nil"/>
              <w:left w:val="nil"/>
              <w:bottom w:val="nil"/>
              <w:right w:val="nil"/>
            </w:tcBorders>
            <w:shd w:val="clear" w:color="auto" w:fill="auto"/>
            <w:noWrap/>
            <w:hideMark/>
          </w:tcPr>
          <w:p w14:paraId="74D2C4D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Micronesia (Federates States of)</w:t>
            </w:r>
          </w:p>
        </w:tc>
        <w:tc>
          <w:tcPr>
            <w:tcW w:w="1680" w:type="dxa"/>
            <w:tcBorders>
              <w:top w:val="nil"/>
              <w:left w:val="nil"/>
              <w:bottom w:val="nil"/>
              <w:right w:val="nil"/>
            </w:tcBorders>
            <w:shd w:val="clear" w:color="auto" w:fill="auto"/>
            <w:noWrap/>
            <w:hideMark/>
          </w:tcPr>
          <w:p w14:paraId="54D6256D"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36669EC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19E67D3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3A5E1B3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4746F9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306D68F" w14:textId="77777777" w:rsidTr="006760B7">
        <w:trPr>
          <w:trHeight w:val="210"/>
        </w:trPr>
        <w:tc>
          <w:tcPr>
            <w:tcW w:w="2536" w:type="dxa"/>
            <w:tcBorders>
              <w:top w:val="nil"/>
              <w:left w:val="nil"/>
              <w:bottom w:val="single" w:sz="4" w:space="0" w:color="BFBFBF"/>
              <w:right w:val="nil"/>
            </w:tcBorders>
            <w:shd w:val="clear" w:color="auto" w:fill="auto"/>
            <w:noWrap/>
            <w:hideMark/>
          </w:tcPr>
          <w:p w14:paraId="5B86FCC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Monaco</w:t>
            </w:r>
          </w:p>
        </w:tc>
        <w:tc>
          <w:tcPr>
            <w:tcW w:w="1680" w:type="dxa"/>
            <w:tcBorders>
              <w:top w:val="nil"/>
              <w:left w:val="nil"/>
              <w:bottom w:val="single" w:sz="4" w:space="0" w:color="BFBFBF"/>
              <w:right w:val="nil"/>
            </w:tcBorders>
            <w:shd w:val="clear" w:color="auto" w:fill="auto"/>
            <w:noWrap/>
            <w:hideMark/>
          </w:tcPr>
          <w:p w14:paraId="649B2FC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single" w:sz="4" w:space="0" w:color="BFBFBF"/>
              <w:right w:val="nil"/>
            </w:tcBorders>
            <w:shd w:val="clear" w:color="auto" w:fill="auto"/>
            <w:noWrap/>
            <w:hideMark/>
          </w:tcPr>
          <w:p w14:paraId="30850A4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single" w:sz="4" w:space="0" w:color="BFBFBF"/>
              <w:right w:val="nil"/>
            </w:tcBorders>
            <w:shd w:val="clear" w:color="auto" w:fill="auto"/>
            <w:noWrap/>
            <w:hideMark/>
          </w:tcPr>
          <w:p w14:paraId="7AE86B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single" w:sz="4" w:space="0" w:color="BFBFBF"/>
              <w:right w:val="nil"/>
            </w:tcBorders>
            <w:shd w:val="clear" w:color="auto" w:fill="auto"/>
            <w:noWrap/>
            <w:hideMark/>
          </w:tcPr>
          <w:p w14:paraId="416998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single" w:sz="4" w:space="0" w:color="BFBFBF"/>
              <w:right w:val="nil"/>
            </w:tcBorders>
            <w:shd w:val="clear" w:color="auto" w:fill="auto"/>
            <w:noWrap/>
            <w:hideMark/>
          </w:tcPr>
          <w:p w14:paraId="0B1BC2A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5AA7125B" w14:textId="77777777" w:rsidTr="006760B7">
        <w:trPr>
          <w:trHeight w:val="210"/>
        </w:trPr>
        <w:tc>
          <w:tcPr>
            <w:tcW w:w="2536" w:type="dxa"/>
            <w:tcBorders>
              <w:top w:val="nil"/>
              <w:left w:val="nil"/>
              <w:bottom w:val="nil"/>
              <w:right w:val="nil"/>
            </w:tcBorders>
            <w:shd w:val="clear" w:color="auto" w:fill="auto"/>
            <w:noWrap/>
            <w:hideMark/>
          </w:tcPr>
          <w:p w14:paraId="786202A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Mongolia</w:t>
            </w:r>
          </w:p>
        </w:tc>
        <w:tc>
          <w:tcPr>
            <w:tcW w:w="1680" w:type="dxa"/>
            <w:tcBorders>
              <w:top w:val="nil"/>
              <w:left w:val="nil"/>
              <w:bottom w:val="nil"/>
              <w:right w:val="nil"/>
            </w:tcBorders>
            <w:shd w:val="clear" w:color="auto" w:fill="auto"/>
            <w:noWrap/>
            <w:hideMark/>
          </w:tcPr>
          <w:p w14:paraId="630C2D7C"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6539DB1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796000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508BF91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4E0AF0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31F3770D" w14:textId="77777777" w:rsidTr="006760B7">
        <w:trPr>
          <w:trHeight w:val="210"/>
        </w:trPr>
        <w:tc>
          <w:tcPr>
            <w:tcW w:w="2536" w:type="dxa"/>
            <w:tcBorders>
              <w:top w:val="nil"/>
              <w:left w:val="nil"/>
              <w:bottom w:val="nil"/>
              <w:right w:val="nil"/>
            </w:tcBorders>
            <w:shd w:val="clear" w:color="auto" w:fill="auto"/>
            <w:noWrap/>
            <w:hideMark/>
          </w:tcPr>
          <w:p w14:paraId="5678081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Montenegro</w:t>
            </w:r>
          </w:p>
        </w:tc>
        <w:tc>
          <w:tcPr>
            <w:tcW w:w="1680" w:type="dxa"/>
            <w:tcBorders>
              <w:top w:val="nil"/>
              <w:left w:val="nil"/>
              <w:bottom w:val="nil"/>
              <w:right w:val="nil"/>
            </w:tcBorders>
            <w:shd w:val="clear" w:color="auto" w:fill="auto"/>
            <w:noWrap/>
            <w:hideMark/>
          </w:tcPr>
          <w:p w14:paraId="55DB752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5F2A63B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7840115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CE5F0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2C436E8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65812229" w14:textId="77777777" w:rsidTr="006760B7">
        <w:trPr>
          <w:trHeight w:val="210"/>
        </w:trPr>
        <w:tc>
          <w:tcPr>
            <w:tcW w:w="2536" w:type="dxa"/>
            <w:tcBorders>
              <w:top w:val="nil"/>
              <w:left w:val="nil"/>
              <w:bottom w:val="nil"/>
              <w:right w:val="nil"/>
            </w:tcBorders>
            <w:shd w:val="clear" w:color="auto" w:fill="auto"/>
            <w:noWrap/>
            <w:hideMark/>
          </w:tcPr>
          <w:p w14:paraId="642AF0E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Morocco</w:t>
            </w:r>
          </w:p>
        </w:tc>
        <w:tc>
          <w:tcPr>
            <w:tcW w:w="1680" w:type="dxa"/>
            <w:tcBorders>
              <w:top w:val="nil"/>
              <w:left w:val="nil"/>
              <w:bottom w:val="nil"/>
              <w:right w:val="nil"/>
            </w:tcBorders>
            <w:shd w:val="clear" w:color="auto" w:fill="auto"/>
            <w:noWrap/>
            <w:hideMark/>
          </w:tcPr>
          <w:p w14:paraId="5E69D80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1D91E1F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0096442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1FC259D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7DFCC79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2012B692" w14:textId="77777777" w:rsidTr="006760B7">
        <w:trPr>
          <w:trHeight w:val="210"/>
        </w:trPr>
        <w:tc>
          <w:tcPr>
            <w:tcW w:w="2536" w:type="dxa"/>
            <w:tcBorders>
              <w:top w:val="nil"/>
              <w:left w:val="nil"/>
              <w:bottom w:val="nil"/>
              <w:right w:val="nil"/>
            </w:tcBorders>
            <w:shd w:val="clear" w:color="auto" w:fill="auto"/>
            <w:noWrap/>
            <w:hideMark/>
          </w:tcPr>
          <w:p w14:paraId="260879B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Mozambique </w:t>
            </w:r>
          </w:p>
        </w:tc>
        <w:tc>
          <w:tcPr>
            <w:tcW w:w="1680" w:type="dxa"/>
            <w:tcBorders>
              <w:top w:val="nil"/>
              <w:left w:val="nil"/>
              <w:bottom w:val="nil"/>
              <w:right w:val="nil"/>
            </w:tcBorders>
            <w:shd w:val="clear" w:color="auto" w:fill="auto"/>
            <w:noWrap/>
            <w:hideMark/>
          </w:tcPr>
          <w:p w14:paraId="2E31BD1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452F04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37C7B07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02CA8E8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2FCB29E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2C38DF4C" w14:textId="77777777" w:rsidTr="006760B7">
        <w:trPr>
          <w:trHeight w:val="250"/>
        </w:trPr>
        <w:tc>
          <w:tcPr>
            <w:tcW w:w="2536" w:type="dxa"/>
            <w:tcBorders>
              <w:top w:val="nil"/>
              <w:left w:val="nil"/>
              <w:bottom w:val="single" w:sz="4" w:space="0" w:color="BFBFBF"/>
              <w:right w:val="nil"/>
            </w:tcBorders>
            <w:shd w:val="clear" w:color="auto" w:fill="auto"/>
            <w:noWrap/>
            <w:hideMark/>
          </w:tcPr>
          <w:p w14:paraId="08F2C60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Myanmar </w:t>
            </w:r>
            <w:r w:rsidRPr="006760B7">
              <w:rPr>
                <w:rFonts w:ascii="Arial Narrow" w:eastAsia="Times New Roman" w:hAnsi="Arial Narrow" w:cs="Arial"/>
                <w:sz w:val="16"/>
                <w:szCs w:val="16"/>
                <w:vertAlign w:val="superscript"/>
                <w:lang w:val="en-US"/>
              </w:rPr>
              <w:t>2</w:t>
            </w:r>
          </w:p>
        </w:tc>
        <w:tc>
          <w:tcPr>
            <w:tcW w:w="1680" w:type="dxa"/>
            <w:tcBorders>
              <w:top w:val="nil"/>
              <w:left w:val="nil"/>
              <w:bottom w:val="single" w:sz="4" w:space="0" w:color="BFBFBF"/>
              <w:right w:val="nil"/>
            </w:tcBorders>
            <w:shd w:val="clear" w:color="auto" w:fill="auto"/>
            <w:noWrap/>
            <w:hideMark/>
          </w:tcPr>
          <w:p w14:paraId="64A2A200"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4E2DB6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4AAF4CE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4225E46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42B81CE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6CA65DF1" w14:textId="77777777" w:rsidTr="006760B7">
        <w:trPr>
          <w:trHeight w:val="210"/>
        </w:trPr>
        <w:tc>
          <w:tcPr>
            <w:tcW w:w="2536" w:type="dxa"/>
            <w:tcBorders>
              <w:top w:val="nil"/>
              <w:left w:val="nil"/>
              <w:bottom w:val="nil"/>
              <w:right w:val="nil"/>
            </w:tcBorders>
            <w:shd w:val="clear" w:color="auto" w:fill="auto"/>
            <w:noWrap/>
            <w:hideMark/>
          </w:tcPr>
          <w:p w14:paraId="1CDB2E3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Namibia</w:t>
            </w:r>
          </w:p>
        </w:tc>
        <w:tc>
          <w:tcPr>
            <w:tcW w:w="1680" w:type="dxa"/>
            <w:tcBorders>
              <w:top w:val="nil"/>
              <w:left w:val="nil"/>
              <w:bottom w:val="nil"/>
              <w:right w:val="nil"/>
            </w:tcBorders>
            <w:shd w:val="clear" w:color="auto" w:fill="auto"/>
            <w:noWrap/>
            <w:hideMark/>
          </w:tcPr>
          <w:p w14:paraId="1F89CCE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4858AB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1228349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2B75C2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FC391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AAF0B1E" w14:textId="77777777" w:rsidTr="006760B7">
        <w:trPr>
          <w:trHeight w:val="210"/>
        </w:trPr>
        <w:tc>
          <w:tcPr>
            <w:tcW w:w="2536" w:type="dxa"/>
            <w:tcBorders>
              <w:top w:val="nil"/>
              <w:left w:val="nil"/>
              <w:bottom w:val="nil"/>
              <w:right w:val="nil"/>
            </w:tcBorders>
            <w:shd w:val="clear" w:color="auto" w:fill="auto"/>
            <w:noWrap/>
            <w:hideMark/>
          </w:tcPr>
          <w:p w14:paraId="456ECF8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Nauru</w:t>
            </w:r>
          </w:p>
        </w:tc>
        <w:tc>
          <w:tcPr>
            <w:tcW w:w="1680" w:type="dxa"/>
            <w:tcBorders>
              <w:top w:val="nil"/>
              <w:left w:val="nil"/>
              <w:bottom w:val="nil"/>
              <w:right w:val="nil"/>
            </w:tcBorders>
            <w:shd w:val="clear" w:color="auto" w:fill="auto"/>
            <w:noWrap/>
            <w:hideMark/>
          </w:tcPr>
          <w:p w14:paraId="471C33F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2001DD2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28ED06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3BDDDD1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4977240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89BB3A6" w14:textId="77777777" w:rsidTr="006760B7">
        <w:trPr>
          <w:trHeight w:val="210"/>
        </w:trPr>
        <w:tc>
          <w:tcPr>
            <w:tcW w:w="2536" w:type="dxa"/>
            <w:tcBorders>
              <w:top w:val="nil"/>
              <w:left w:val="nil"/>
              <w:bottom w:val="nil"/>
              <w:right w:val="nil"/>
            </w:tcBorders>
            <w:shd w:val="clear" w:color="auto" w:fill="auto"/>
            <w:noWrap/>
            <w:hideMark/>
          </w:tcPr>
          <w:p w14:paraId="284A7C8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Nepal </w:t>
            </w:r>
          </w:p>
        </w:tc>
        <w:tc>
          <w:tcPr>
            <w:tcW w:w="1680" w:type="dxa"/>
            <w:tcBorders>
              <w:top w:val="nil"/>
              <w:left w:val="nil"/>
              <w:bottom w:val="nil"/>
              <w:right w:val="nil"/>
            </w:tcBorders>
            <w:shd w:val="clear" w:color="auto" w:fill="auto"/>
            <w:noWrap/>
            <w:hideMark/>
          </w:tcPr>
          <w:p w14:paraId="4C981FFB"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030FD1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10DE41A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988AD9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4B7813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64ADE5D2" w14:textId="77777777" w:rsidTr="006760B7">
        <w:trPr>
          <w:trHeight w:val="210"/>
        </w:trPr>
        <w:tc>
          <w:tcPr>
            <w:tcW w:w="2536" w:type="dxa"/>
            <w:tcBorders>
              <w:top w:val="nil"/>
              <w:left w:val="nil"/>
              <w:bottom w:val="nil"/>
              <w:right w:val="nil"/>
            </w:tcBorders>
            <w:shd w:val="clear" w:color="auto" w:fill="auto"/>
            <w:noWrap/>
            <w:hideMark/>
          </w:tcPr>
          <w:p w14:paraId="6847D8E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Netherlands</w:t>
            </w:r>
          </w:p>
        </w:tc>
        <w:tc>
          <w:tcPr>
            <w:tcW w:w="1680" w:type="dxa"/>
            <w:tcBorders>
              <w:top w:val="nil"/>
              <w:left w:val="nil"/>
              <w:bottom w:val="nil"/>
              <w:right w:val="nil"/>
            </w:tcBorders>
            <w:shd w:val="clear" w:color="auto" w:fill="auto"/>
            <w:noWrap/>
            <w:hideMark/>
          </w:tcPr>
          <w:p w14:paraId="2758B11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III</w:t>
            </w:r>
          </w:p>
        </w:tc>
        <w:tc>
          <w:tcPr>
            <w:tcW w:w="1436" w:type="dxa"/>
            <w:tcBorders>
              <w:top w:val="nil"/>
              <w:left w:val="nil"/>
              <w:bottom w:val="nil"/>
              <w:right w:val="nil"/>
            </w:tcBorders>
            <w:shd w:val="clear" w:color="auto" w:fill="auto"/>
            <w:noWrap/>
            <w:hideMark/>
          </w:tcPr>
          <w:p w14:paraId="108FA34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15</w:t>
            </w:r>
          </w:p>
        </w:tc>
        <w:tc>
          <w:tcPr>
            <w:tcW w:w="1436" w:type="dxa"/>
            <w:tcBorders>
              <w:top w:val="nil"/>
              <w:left w:val="nil"/>
              <w:bottom w:val="nil"/>
              <w:right w:val="nil"/>
            </w:tcBorders>
            <w:shd w:val="clear" w:color="auto" w:fill="auto"/>
            <w:noWrap/>
            <w:hideMark/>
          </w:tcPr>
          <w:p w14:paraId="7177399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476" w:type="dxa"/>
            <w:tcBorders>
              <w:top w:val="nil"/>
              <w:left w:val="nil"/>
              <w:bottom w:val="nil"/>
              <w:right w:val="nil"/>
            </w:tcBorders>
            <w:shd w:val="clear" w:color="auto" w:fill="auto"/>
            <w:noWrap/>
            <w:hideMark/>
          </w:tcPr>
          <w:p w14:paraId="05E990E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396" w:type="dxa"/>
            <w:tcBorders>
              <w:top w:val="nil"/>
              <w:left w:val="nil"/>
              <w:bottom w:val="nil"/>
              <w:right w:val="nil"/>
            </w:tcBorders>
            <w:shd w:val="clear" w:color="auto" w:fill="auto"/>
            <w:noWrap/>
            <w:hideMark/>
          </w:tcPr>
          <w:p w14:paraId="6C67C99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1,367,370</w:t>
            </w:r>
          </w:p>
        </w:tc>
      </w:tr>
      <w:tr w:rsidR="006760B7" w:rsidRPr="006760B7" w14:paraId="2977521E" w14:textId="77777777" w:rsidTr="006760B7">
        <w:trPr>
          <w:trHeight w:val="210"/>
        </w:trPr>
        <w:tc>
          <w:tcPr>
            <w:tcW w:w="2536" w:type="dxa"/>
            <w:tcBorders>
              <w:top w:val="nil"/>
              <w:left w:val="nil"/>
              <w:bottom w:val="nil"/>
              <w:right w:val="nil"/>
            </w:tcBorders>
            <w:shd w:val="clear" w:color="auto" w:fill="auto"/>
            <w:noWrap/>
            <w:hideMark/>
          </w:tcPr>
          <w:p w14:paraId="7E56913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New Zealand</w:t>
            </w:r>
          </w:p>
        </w:tc>
        <w:tc>
          <w:tcPr>
            <w:tcW w:w="1680" w:type="dxa"/>
            <w:tcBorders>
              <w:top w:val="nil"/>
              <w:left w:val="nil"/>
              <w:bottom w:val="nil"/>
              <w:right w:val="nil"/>
            </w:tcBorders>
            <w:shd w:val="clear" w:color="auto" w:fill="auto"/>
            <w:noWrap/>
            <w:hideMark/>
          </w:tcPr>
          <w:p w14:paraId="5A0DC25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5CE5A26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709339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5B02A0C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0EDF597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5A0F16D2" w14:textId="77777777" w:rsidTr="006760B7">
        <w:trPr>
          <w:trHeight w:val="210"/>
        </w:trPr>
        <w:tc>
          <w:tcPr>
            <w:tcW w:w="2536" w:type="dxa"/>
            <w:tcBorders>
              <w:top w:val="nil"/>
              <w:left w:val="nil"/>
              <w:bottom w:val="single" w:sz="4" w:space="0" w:color="BFBFBF"/>
              <w:right w:val="nil"/>
            </w:tcBorders>
            <w:shd w:val="clear" w:color="auto" w:fill="auto"/>
            <w:noWrap/>
            <w:hideMark/>
          </w:tcPr>
          <w:p w14:paraId="61960B5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Nicaragua</w:t>
            </w:r>
          </w:p>
        </w:tc>
        <w:tc>
          <w:tcPr>
            <w:tcW w:w="1680" w:type="dxa"/>
            <w:tcBorders>
              <w:top w:val="nil"/>
              <w:left w:val="nil"/>
              <w:bottom w:val="single" w:sz="4" w:space="0" w:color="BFBFBF"/>
              <w:right w:val="nil"/>
            </w:tcBorders>
            <w:shd w:val="clear" w:color="auto" w:fill="auto"/>
            <w:noWrap/>
            <w:hideMark/>
          </w:tcPr>
          <w:p w14:paraId="543EA6A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028D4E6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0204D20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0DFA3AE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53B1762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BFFF151" w14:textId="77777777" w:rsidTr="006760B7">
        <w:trPr>
          <w:trHeight w:val="210"/>
        </w:trPr>
        <w:tc>
          <w:tcPr>
            <w:tcW w:w="2536" w:type="dxa"/>
            <w:tcBorders>
              <w:top w:val="nil"/>
              <w:left w:val="nil"/>
              <w:bottom w:val="nil"/>
              <w:right w:val="nil"/>
            </w:tcBorders>
            <w:shd w:val="clear" w:color="auto" w:fill="auto"/>
            <w:noWrap/>
            <w:hideMark/>
          </w:tcPr>
          <w:p w14:paraId="0FEB5DB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Niger </w:t>
            </w:r>
          </w:p>
        </w:tc>
        <w:tc>
          <w:tcPr>
            <w:tcW w:w="1680" w:type="dxa"/>
            <w:tcBorders>
              <w:top w:val="nil"/>
              <w:left w:val="nil"/>
              <w:bottom w:val="nil"/>
              <w:right w:val="nil"/>
            </w:tcBorders>
            <w:shd w:val="clear" w:color="auto" w:fill="auto"/>
            <w:noWrap/>
            <w:hideMark/>
          </w:tcPr>
          <w:p w14:paraId="53761C40"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526B1F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688748F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906468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70CB8D7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1A4EB8D3" w14:textId="77777777" w:rsidTr="006760B7">
        <w:trPr>
          <w:trHeight w:val="210"/>
        </w:trPr>
        <w:tc>
          <w:tcPr>
            <w:tcW w:w="2536" w:type="dxa"/>
            <w:tcBorders>
              <w:top w:val="nil"/>
              <w:left w:val="nil"/>
              <w:bottom w:val="nil"/>
              <w:right w:val="nil"/>
            </w:tcBorders>
            <w:shd w:val="clear" w:color="auto" w:fill="auto"/>
            <w:noWrap/>
            <w:hideMark/>
          </w:tcPr>
          <w:p w14:paraId="34D9827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Nigeria</w:t>
            </w:r>
          </w:p>
        </w:tc>
        <w:tc>
          <w:tcPr>
            <w:tcW w:w="1680" w:type="dxa"/>
            <w:tcBorders>
              <w:top w:val="nil"/>
              <w:left w:val="nil"/>
              <w:bottom w:val="nil"/>
              <w:right w:val="nil"/>
            </w:tcBorders>
            <w:shd w:val="clear" w:color="auto" w:fill="auto"/>
            <w:noWrap/>
            <w:hideMark/>
          </w:tcPr>
          <w:p w14:paraId="176F31D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1FD74BA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217D79D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65B80D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60F7B7B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63FCE493" w14:textId="77777777" w:rsidTr="006760B7">
        <w:trPr>
          <w:trHeight w:val="210"/>
        </w:trPr>
        <w:tc>
          <w:tcPr>
            <w:tcW w:w="2536" w:type="dxa"/>
            <w:tcBorders>
              <w:top w:val="nil"/>
              <w:left w:val="nil"/>
              <w:bottom w:val="nil"/>
              <w:right w:val="nil"/>
            </w:tcBorders>
            <w:shd w:val="clear" w:color="auto" w:fill="auto"/>
            <w:noWrap/>
            <w:hideMark/>
          </w:tcPr>
          <w:p w14:paraId="591540F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Niue</w:t>
            </w:r>
          </w:p>
        </w:tc>
        <w:tc>
          <w:tcPr>
            <w:tcW w:w="1680" w:type="dxa"/>
            <w:tcBorders>
              <w:top w:val="nil"/>
              <w:left w:val="nil"/>
              <w:bottom w:val="nil"/>
              <w:right w:val="nil"/>
            </w:tcBorders>
            <w:shd w:val="clear" w:color="auto" w:fill="auto"/>
            <w:noWrap/>
            <w:hideMark/>
          </w:tcPr>
          <w:p w14:paraId="1F6ABE3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5D10266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4F9F641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0CF92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2627E80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6013064" w14:textId="77777777" w:rsidTr="006760B7">
        <w:trPr>
          <w:trHeight w:val="210"/>
        </w:trPr>
        <w:tc>
          <w:tcPr>
            <w:tcW w:w="2536" w:type="dxa"/>
            <w:tcBorders>
              <w:top w:val="nil"/>
              <w:left w:val="nil"/>
              <w:bottom w:val="nil"/>
              <w:right w:val="nil"/>
            </w:tcBorders>
            <w:shd w:val="clear" w:color="auto" w:fill="auto"/>
            <w:noWrap/>
            <w:hideMark/>
          </w:tcPr>
          <w:p w14:paraId="77D9D6A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North Macedonia</w:t>
            </w:r>
          </w:p>
        </w:tc>
        <w:tc>
          <w:tcPr>
            <w:tcW w:w="1680" w:type="dxa"/>
            <w:tcBorders>
              <w:top w:val="nil"/>
              <w:left w:val="nil"/>
              <w:bottom w:val="nil"/>
              <w:right w:val="nil"/>
            </w:tcBorders>
            <w:shd w:val="clear" w:color="auto" w:fill="auto"/>
            <w:noWrap/>
            <w:hideMark/>
          </w:tcPr>
          <w:p w14:paraId="7B0CE38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38811BC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4C13F05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33F74EC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3195419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7665D789" w14:textId="77777777" w:rsidTr="006760B7">
        <w:trPr>
          <w:trHeight w:val="210"/>
        </w:trPr>
        <w:tc>
          <w:tcPr>
            <w:tcW w:w="2536" w:type="dxa"/>
            <w:tcBorders>
              <w:top w:val="nil"/>
              <w:left w:val="nil"/>
              <w:bottom w:val="single" w:sz="4" w:space="0" w:color="BFBFBF"/>
              <w:right w:val="nil"/>
            </w:tcBorders>
            <w:shd w:val="clear" w:color="auto" w:fill="auto"/>
            <w:noWrap/>
            <w:hideMark/>
          </w:tcPr>
          <w:p w14:paraId="36AA489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Norway</w:t>
            </w:r>
          </w:p>
        </w:tc>
        <w:tc>
          <w:tcPr>
            <w:tcW w:w="1680" w:type="dxa"/>
            <w:tcBorders>
              <w:top w:val="nil"/>
              <w:left w:val="nil"/>
              <w:bottom w:val="single" w:sz="4" w:space="0" w:color="BFBFBF"/>
              <w:right w:val="nil"/>
            </w:tcBorders>
            <w:shd w:val="clear" w:color="auto" w:fill="auto"/>
            <w:noWrap/>
            <w:hideMark/>
          </w:tcPr>
          <w:p w14:paraId="3DAEAD2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single" w:sz="4" w:space="0" w:color="BFBFBF"/>
              <w:right w:val="nil"/>
            </w:tcBorders>
            <w:shd w:val="clear" w:color="auto" w:fill="auto"/>
            <w:noWrap/>
            <w:hideMark/>
          </w:tcPr>
          <w:p w14:paraId="7135A02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single" w:sz="4" w:space="0" w:color="BFBFBF"/>
              <w:right w:val="nil"/>
            </w:tcBorders>
            <w:shd w:val="clear" w:color="auto" w:fill="auto"/>
            <w:noWrap/>
            <w:hideMark/>
          </w:tcPr>
          <w:p w14:paraId="314D38E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single" w:sz="4" w:space="0" w:color="BFBFBF"/>
              <w:right w:val="nil"/>
            </w:tcBorders>
            <w:shd w:val="clear" w:color="auto" w:fill="auto"/>
            <w:noWrap/>
            <w:hideMark/>
          </w:tcPr>
          <w:p w14:paraId="7A8DD09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single" w:sz="4" w:space="0" w:color="BFBFBF"/>
              <w:right w:val="nil"/>
            </w:tcBorders>
            <w:shd w:val="clear" w:color="auto" w:fill="auto"/>
            <w:noWrap/>
            <w:hideMark/>
          </w:tcPr>
          <w:p w14:paraId="2D88DBD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69D3842C" w14:textId="77777777" w:rsidTr="006760B7">
        <w:trPr>
          <w:trHeight w:val="210"/>
        </w:trPr>
        <w:tc>
          <w:tcPr>
            <w:tcW w:w="2536" w:type="dxa"/>
            <w:tcBorders>
              <w:top w:val="nil"/>
              <w:left w:val="nil"/>
              <w:bottom w:val="nil"/>
              <w:right w:val="nil"/>
            </w:tcBorders>
            <w:shd w:val="clear" w:color="auto" w:fill="auto"/>
            <w:noWrap/>
            <w:hideMark/>
          </w:tcPr>
          <w:p w14:paraId="3C0A913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Oman </w:t>
            </w:r>
          </w:p>
        </w:tc>
        <w:tc>
          <w:tcPr>
            <w:tcW w:w="1680" w:type="dxa"/>
            <w:tcBorders>
              <w:top w:val="nil"/>
              <w:left w:val="nil"/>
              <w:bottom w:val="nil"/>
              <w:right w:val="nil"/>
            </w:tcBorders>
            <w:shd w:val="clear" w:color="auto" w:fill="auto"/>
            <w:noWrap/>
            <w:hideMark/>
          </w:tcPr>
          <w:p w14:paraId="7C71BAE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321D0F0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FD6865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03EC88A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2444433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4CBFF81B" w14:textId="77777777" w:rsidTr="006760B7">
        <w:trPr>
          <w:trHeight w:val="210"/>
        </w:trPr>
        <w:tc>
          <w:tcPr>
            <w:tcW w:w="2536" w:type="dxa"/>
            <w:tcBorders>
              <w:top w:val="nil"/>
              <w:left w:val="nil"/>
              <w:bottom w:val="nil"/>
              <w:right w:val="nil"/>
            </w:tcBorders>
            <w:shd w:val="clear" w:color="auto" w:fill="auto"/>
            <w:noWrap/>
            <w:hideMark/>
          </w:tcPr>
          <w:p w14:paraId="72827B1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Pakistan</w:t>
            </w:r>
          </w:p>
        </w:tc>
        <w:tc>
          <w:tcPr>
            <w:tcW w:w="1680" w:type="dxa"/>
            <w:tcBorders>
              <w:top w:val="nil"/>
              <w:left w:val="nil"/>
              <w:bottom w:val="nil"/>
              <w:right w:val="nil"/>
            </w:tcBorders>
            <w:shd w:val="clear" w:color="auto" w:fill="auto"/>
            <w:noWrap/>
            <w:hideMark/>
          </w:tcPr>
          <w:p w14:paraId="12B97C9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0EDBFA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6BDDCA0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369D15B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4355C6F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434F9927" w14:textId="77777777" w:rsidTr="006760B7">
        <w:trPr>
          <w:trHeight w:val="210"/>
        </w:trPr>
        <w:tc>
          <w:tcPr>
            <w:tcW w:w="2536" w:type="dxa"/>
            <w:tcBorders>
              <w:top w:val="nil"/>
              <w:left w:val="nil"/>
              <w:bottom w:val="nil"/>
              <w:right w:val="nil"/>
            </w:tcBorders>
            <w:shd w:val="clear" w:color="auto" w:fill="auto"/>
            <w:noWrap/>
            <w:hideMark/>
          </w:tcPr>
          <w:p w14:paraId="7B9E0AF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Panama</w:t>
            </w:r>
          </w:p>
        </w:tc>
        <w:tc>
          <w:tcPr>
            <w:tcW w:w="1680" w:type="dxa"/>
            <w:tcBorders>
              <w:top w:val="nil"/>
              <w:left w:val="nil"/>
              <w:bottom w:val="nil"/>
              <w:right w:val="nil"/>
            </w:tcBorders>
            <w:shd w:val="clear" w:color="auto" w:fill="auto"/>
            <w:noWrap/>
            <w:hideMark/>
          </w:tcPr>
          <w:p w14:paraId="791843F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32F3E2C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514EA40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50F6CCC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271A9E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7C47ED33" w14:textId="77777777" w:rsidTr="006760B7">
        <w:trPr>
          <w:trHeight w:val="210"/>
        </w:trPr>
        <w:tc>
          <w:tcPr>
            <w:tcW w:w="2536" w:type="dxa"/>
            <w:tcBorders>
              <w:top w:val="nil"/>
              <w:left w:val="nil"/>
              <w:bottom w:val="nil"/>
              <w:right w:val="nil"/>
            </w:tcBorders>
            <w:shd w:val="clear" w:color="auto" w:fill="auto"/>
            <w:noWrap/>
            <w:hideMark/>
          </w:tcPr>
          <w:p w14:paraId="5FB349B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Papua New Guinea </w:t>
            </w:r>
          </w:p>
        </w:tc>
        <w:tc>
          <w:tcPr>
            <w:tcW w:w="1680" w:type="dxa"/>
            <w:tcBorders>
              <w:top w:val="nil"/>
              <w:left w:val="nil"/>
              <w:bottom w:val="nil"/>
              <w:right w:val="nil"/>
            </w:tcBorders>
            <w:shd w:val="clear" w:color="auto" w:fill="auto"/>
            <w:noWrap/>
            <w:hideMark/>
          </w:tcPr>
          <w:p w14:paraId="7C1F64BD"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5B68AB8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5988760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63243E7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007DFC6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4A44CB6" w14:textId="77777777" w:rsidTr="006760B7">
        <w:trPr>
          <w:trHeight w:val="210"/>
        </w:trPr>
        <w:tc>
          <w:tcPr>
            <w:tcW w:w="2536" w:type="dxa"/>
            <w:tcBorders>
              <w:top w:val="nil"/>
              <w:left w:val="nil"/>
              <w:bottom w:val="single" w:sz="4" w:space="0" w:color="BFBFBF"/>
              <w:right w:val="nil"/>
            </w:tcBorders>
            <w:shd w:val="clear" w:color="auto" w:fill="auto"/>
            <w:noWrap/>
            <w:hideMark/>
          </w:tcPr>
          <w:p w14:paraId="6E63C72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Paraguay</w:t>
            </w:r>
          </w:p>
        </w:tc>
        <w:tc>
          <w:tcPr>
            <w:tcW w:w="1680" w:type="dxa"/>
            <w:tcBorders>
              <w:top w:val="nil"/>
              <w:left w:val="nil"/>
              <w:bottom w:val="single" w:sz="4" w:space="0" w:color="BFBFBF"/>
              <w:right w:val="nil"/>
            </w:tcBorders>
            <w:shd w:val="clear" w:color="auto" w:fill="auto"/>
            <w:noWrap/>
            <w:hideMark/>
          </w:tcPr>
          <w:p w14:paraId="04DCBBE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single" w:sz="4" w:space="0" w:color="BFBFBF"/>
              <w:right w:val="nil"/>
            </w:tcBorders>
            <w:shd w:val="clear" w:color="auto" w:fill="auto"/>
            <w:noWrap/>
            <w:hideMark/>
          </w:tcPr>
          <w:p w14:paraId="23223DF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single" w:sz="4" w:space="0" w:color="BFBFBF"/>
              <w:right w:val="nil"/>
            </w:tcBorders>
            <w:shd w:val="clear" w:color="auto" w:fill="auto"/>
            <w:noWrap/>
            <w:hideMark/>
          </w:tcPr>
          <w:p w14:paraId="73AF7EB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single" w:sz="4" w:space="0" w:color="BFBFBF"/>
              <w:right w:val="nil"/>
            </w:tcBorders>
            <w:shd w:val="clear" w:color="auto" w:fill="auto"/>
            <w:noWrap/>
            <w:hideMark/>
          </w:tcPr>
          <w:p w14:paraId="2E9D6B2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single" w:sz="4" w:space="0" w:color="BFBFBF"/>
              <w:right w:val="nil"/>
            </w:tcBorders>
            <w:shd w:val="clear" w:color="auto" w:fill="auto"/>
            <w:noWrap/>
            <w:hideMark/>
          </w:tcPr>
          <w:p w14:paraId="682593C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247A2062" w14:textId="77777777" w:rsidTr="006760B7">
        <w:trPr>
          <w:trHeight w:val="210"/>
        </w:trPr>
        <w:tc>
          <w:tcPr>
            <w:tcW w:w="2536" w:type="dxa"/>
            <w:tcBorders>
              <w:top w:val="nil"/>
              <w:left w:val="nil"/>
              <w:bottom w:val="nil"/>
              <w:right w:val="nil"/>
            </w:tcBorders>
            <w:shd w:val="clear" w:color="auto" w:fill="auto"/>
            <w:noWrap/>
            <w:hideMark/>
          </w:tcPr>
          <w:p w14:paraId="2E1F93C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Peru</w:t>
            </w:r>
          </w:p>
        </w:tc>
        <w:tc>
          <w:tcPr>
            <w:tcW w:w="1680" w:type="dxa"/>
            <w:tcBorders>
              <w:top w:val="nil"/>
              <w:left w:val="nil"/>
              <w:bottom w:val="nil"/>
              <w:right w:val="nil"/>
            </w:tcBorders>
            <w:shd w:val="clear" w:color="auto" w:fill="auto"/>
            <w:noWrap/>
            <w:hideMark/>
          </w:tcPr>
          <w:p w14:paraId="0C75BCF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1BE04BD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06CA62B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1D3966F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E2ECCF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F4E71EC" w14:textId="77777777" w:rsidTr="006760B7">
        <w:trPr>
          <w:trHeight w:val="210"/>
        </w:trPr>
        <w:tc>
          <w:tcPr>
            <w:tcW w:w="2536" w:type="dxa"/>
            <w:tcBorders>
              <w:top w:val="nil"/>
              <w:left w:val="nil"/>
              <w:bottom w:val="nil"/>
              <w:right w:val="nil"/>
            </w:tcBorders>
            <w:shd w:val="clear" w:color="auto" w:fill="auto"/>
            <w:noWrap/>
            <w:hideMark/>
          </w:tcPr>
          <w:p w14:paraId="7C3924B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Philippines </w:t>
            </w:r>
          </w:p>
        </w:tc>
        <w:tc>
          <w:tcPr>
            <w:tcW w:w="1680" w:type="dxa"/>
            <w:tcBorders>
              <w:top w:val="nil"/>
              <w:left w:val="nil"/>
              <w:bottom w:val="nil"/>
              <w:right w:val="nil"/>
            </w:tcBorders>
            <w:shd w:val="clear" w:color="auto" w:fill="auto"/>
            <w:noWrap/>
            <w:hideMark/>
          </w:tcPr>
          <w:p w14:paraId="37428DD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0F49749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00975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55FD049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66A627B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73D52E84" w14:textId="77777777" w:rsidTr="006760B7">
        <w:trPr>
          <w:trHeight w:val="210"/>
        </w:trPr>
        <w:tc>
          <w:tcPr>
            <w:tcW w:w="2536" w:type="dxa"/>
            <w:tcBorders>
              <w:top w:val="nil"/>
              <w:left w:val="nil"/>
              <w:bottom w:val="nil"/>
              <w:right w:val="nil"/>
            </w:tcBorders>
            <w:shd w:val="clear" w:color="auto" w:fill="auto"/>
            <w:noWrap/>
            <w:hideMark/>
          </w:tcPr>
          <w:p w14:paraId="4F75276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Poland</w:t>
            </w:r>
          </w:p>
        </w:tc>
        <w:tc>
          <w:tcPr>
            <w:tcW w:w="1680" w:type="dxa"/>
            <w:tcBorders>
              <w:top w:val="nil"/>
              <w:left w:val="nil"/>
              <w:bottom w:val="nil"/>
              <w:right w:val="nil"/>
            </w:tcBorders>
            <w:shd w:val="clear" w:color="auto" w:fill="auto"/>
            <w:noWrap/>
            <w:hideMark/>
          </w:tcPr>
          <w:p w14:paraId="5C765F6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443603D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673D8B9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3F212D2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76CEBA7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417E4E41" w14:textId="77777777" w:rsidTr="006760B7">
        <w:trPr>
          <w:trHeight w:val="210"/>
        </w:trPr>
        <w:tc>
          <w:tcPr>
            <w:tcW w:w="2536" w:type="dxa"/>
            <w:tcBorders>
              <w:top w:val="nil"/>
              <w:left w:val="nil"/>
              <w:bottom w:val="nil"/>
              <w:right w:val="nil"/>
            </w:tcBorders>
            <w:shd w:val="clear" w:color="auto" w:fill="auto"/>
            <w:noWrap/>
            <w:hideMark/>
          </w:tcPr>
          <w:p w14:paraId="5466676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Portugal</w:t>
            </w:r>
          </w:p>
        </w:tc>
        <w:tc>
          <w:tcPr>
            <w:tcW w:w="1680" w:type="dxa"/>
            <w:tcBorders>
              <w:top w:val="nil"/>
              <w:left w:val="nil"/>
              <w:bottom w:val="nil"/>
              <w:right w:val="nil"/>
            </w:tcBorders>
            <w:shd w:val="clear" w:color="auto" w:fill="auto"/>
            <w:noWrap/>
            <w:hideMark/>
          </w:tcPr>
          <w:p w14:paraId="7798BD9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IVbis</w:t>
            </w:r>
          </w:p>
        </w:tc>
        <w:tc>
          <w:tcPr>
            <w:tcW w:w="1436" w:type="dxa"/>
            <w:tcBorders>
              <w:top w:val="nil"/>
              <w:left w:val="nil"/>
              <w:bottom w:val="nil"/>
              <w:right w:val="nil"/>
            </w:tcBorders>
            <w:shd w:val="clear" w:color="auto" w:fill="auto"/>
            <w:noWrap/>
            <w:hideMark/>
          </w:tcPr>
          <w:p w14:paraId="39AE436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7.5</w:t>
            </w:r>
          </w:p>
        </w:tc>
        <w:tc>
          <w:tcPr>
            <w:tcW w:w="1436" w:type="dxa"/>
            <w:tcBorders>
              <w:top w:val="nil"/>
              <w:left w:val="nil"/>
              <w:bottom w:val="nil"/>
              <w:right w:val="nil"/>
            </w:tcBorders>
            <w:shd w:val="clear" w:color="auto" w:fill="auto"/>
            <w:noWrap/>
            <w:hideMark/>
          </w:tcPr>
          <w:p w14:paraId="6D5C1EC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476" w:type="dxa"/>
            <w:tcBorders>
              <w:top w:val="nil"/>
              <w:left w:val="nil"/>
              <w:bottom w:val="nil"/>
              <w:right w:val="nil"/>
            </w:tcBorders>
            <w:shd w:val="clear" w:color="auto" w:fill="auto"/>
            <w:noWrap/>
            <w:hideMark/>
          </w:tcPr>
          <w:p w14:paraId="0215B52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396" w:type="dxa"/>
            <w:tcBorders>
              <w:top w:val="nil"/>
              <w:left w:val="nil"/>
              <w:bottom w:val="nil"/>
              <w:right w:val="nil"/>
            </w:tcBorders>
            <w:shd w:val="clear" w:color="auto" w:fill="auto"/>
            <w:noWrap/>
            <w:hideMark/>
          </w:tcPr>
          <w:p w14:paraId="15D257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683,684</w:t>
            </w:r>
          </w:p>
        </w:tc>
      </w:tr>
      <w:tr w:rsidR="006760B7" w:rsidRPr="006760B7" w14:paraId="173C6612" w14:textId="77777777" w:rsidTr="006760B7">
        <w:trPr>
          <w:trHeight w:val="210"/>
        </w:trPr>
        <w:tc>
          <w:tcPr>
            <w:tcW w:w="2536" w:type="dxa"/>
            <w:tcBorders>
              <w:top w:val="nil"/>
              <w:left w:val="nil"/>
              <w:bottom w:val="single" w:sz="4" w:space="0" w:color="BFBFBF"/>
              <w:right w:val="nil"/>
            </w:tcBorders>
            <w:shd w:val="clear" w:color="auto" w:fill="auto"/>
            <w:noWrap/>
            <w:hideMark/>
          </w:tcPr>
          <w:p w14:paraId="258CDFB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Qatar </w:t>
            </w:r>
          </w:p>
        </w:tc>
        <w:tc>
          <w:tcPr>
            <w:tcW w:w="1680" w:type="dxa"/>
            <w:tcBorders>
              <w:top w:val="nil"/>
              <w:left w:val="nil"/>
              <w:bottom w:val="single" w:sz="4" w:space="0" w:color="BFBFBF"/>
              <w:right w:val="nil"/>
            </w:tcBorders>
            <w:shd w:val="clear" w:color="auto" w:fill="auto"/>
            <w:noWrap/>
            <w:hideMark/>
          </w:tcPr>
          <w:p w14:paraId="2870447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single" w:sz="4" w:space="0" w:color="BFBFBF"/>
              <w:right w:val="nil"/>
            </w:tcBorders>
            <w:shd w:val="clear" w:color="auto" w:fill="auto"/>
            <w:noWrap/>
            <w:hideMark/>
          </w:tcPr>
          <w:p w14:paraId="75FFEEF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single" w:sz="4" w:space="0" w:color="BFBFBF"/>
              <w:right w:val="nil"/>
            </w:tcBorders>
            <w:shd w:val="clear" w:color="auto" w:fill="auto"/>
            <w:noWrap/>
            <w:hideMark/>
          </w:tcPr>
          <w:p w14:paraId="767F29C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single" w:sz="4" w:space="0" w:color="BFBFBF"/>
              <w:right w:val="nil"/>
            </w:tcBorders>
            <w:shd w:val="clear" w:color="auto" w:fill="auto"/>
            <w:noWrap/>
            <w:hideMark/>
          </w:tcPr>
          <w:p w14:paraId="0771E1F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single" w:sz="4" w:space="0" w:color="BFBFBF"/>
              <w:right w:val="nil"/>
            </w:tcBorders>
            <w:shd w:val="clear" w:color="auto" w:fill="auto"/>
            <w:noWrap/>
            <w:hideMark/>
          </w:tcPr>
          <w:p w14:paraId="36F6057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7CF770B4" w14:textId="77777777" w:rsidTr="006760B7">
        <w:trPr>
          <w:trHeight w:val="210"/>
        </w:trPr>
        <w:tc>
          <w:tcPr>
            <w:tcW w:w="2536" w:type="dxa"/>
            <w:tcBorders>
              <w:top w:val="nil"/>
              <w:left w:val="nil"/>
              <w:bottom w:val="nil"/>
              <w:right w:val="nil"/>
            </w:tcBorders>
            <w:shd w:val="clear" w:color="auto" w:fill="auto"/>
            <w:noWrap/>
            <w:hideMark/>
          </w:tcPr>
          <w:p w14:paraId="0324911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Republic of Korea </w:t>
            </w:r>
          </w:p>
        </w:tc>
        <w:tc>
          <w:tcPr>
            <w:tcW w:w="1680" w:type="dxa"/>
            <w:tcBorders>
              <w:top w:val="nil"/>
              <w:left w:val="nil"/>
              <w:bottom w:val="nil"/>
              <w:right w:val="nil"/>
            </w:tcBorders>
            <w:shd w:val="clear" w:color="auto" w:fill="auto"/>
            <w:noWrap/>
            <w:hideMark/>
          </w:tcPr>
          <w:p w14:paraId="2CDEDCF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7CCF15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2F7C455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4D7D858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637790B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0A2C22A1" w14:textId="77777777" w:rsidTr="006760B7">
        <w:trPr>
          <w:trHeight w:val="210"/>
        </w:trPr>
        <w:tc>
          <w:tcPr>
            <w:tcW w:w="2536" w:type="dxa"/>
            <w:tcBorders>
              <w:top w:val="nil"/>
              <w:left w:val="nil"/>
              <w:bottom w:val="nil"/>
              <w:right w:val="nil"/>
            </w:tcBorders>
            <w:shd w:val="clear" w:color="auto" w:fill="auto"/>
            <w:noWrap/>
            <w:hideMark/>
          </w:tcPr>
          <w:p w14:paraId="3BAB9A6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Republic of Moldova </w:t>
            </w:r>
          </w:p>
        </w:tc>
        <w:tc>
          <w:tcPr>
            <w:tcW w:w="1680" w:type="dxa"/>
            <w:tcBorders>
              <w:top w:val="nil"/>
              <w:left w:val="nil"/>
              <w:bottom w:val="nil"/>
              <w:right w:val="nil"/>
            </w:tcBorders>
            <w:shd w:val="clear" w:color="auto" w:fill="auto"/>
            <w:noWrap/>
            <w:hideMark/>
          </w:tcPr>
          <w:p w14:paraId="414E782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A63F56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67CAB26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662B23F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200F68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34F178EC" w14:textId="77777777" w:rsidTr="006760B7">
        <w:trPr>
          <w:trHeight w:val="210"/>
        </w:trPr>
        <w:tc>
          <w:tcPr>
            <w:tcW w:w="2536" w:type="dxa"/>
            <w:tcBorders>
              <w:top w:val="nil"/>
              <w:left w:val="nil"/>
              <w:bottom w:val="nil"/>
              <w:right w:val="nil"/>
            </w:tcBorders>
            <w:shd w:val="clear" w:color="auto" w:fill="auto"/>
            <w:noWrap/>
            <w:hideMark/>
          </w:tcPr>
          <w:p w14:paraId="5A392FB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Romania</w:t>
            </w:r>
          </w:p>
        </w:tc>
        <w:tc>
          <w:tcPr>
            <w:tcW w:w="1680" w:type="dxa"/>
            <w:tcBorders>
              <w:top w:val="nil"/>
              <w:left w:val="nil"/>
              <w:bottom w:val="nil"/>
              <w:right w:val="nil"/>
            </w:tcBorders>
            <w:shd w:val="clear" w:color="auto" w:fill="auto"/>
            <w:noWrap/>
            <w:hideMark/>
          </w:tcPr>
          <w:p w14:paraId="5EE74B6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nil"/>
              <w:right w:val="nil"/>
            </w:tcBorders>
            <w:shd w:val="clear" w:color="auto" w:fill="auto"/>
            <w:noWrap/>
            <w:hideMark/>
          </w:tcPr>
          <w:p w14:paraId="6A45824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nil"/>
              <w:right w:val="nil"/>
            </w:tcBorders>
            <w:shd w:val="clear" w:color="auto" w:fill="auto"/>
            <w:noWrap/>
            <w:hideMark/>
          </w:tcPr>
          <w:p w14:paraId="07A44E1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nil"/>
              <w:right w:val="nil"/>
            </w:tcBorders>
            <w:shd w:val="clear" w:color="auto" w:fill="auto"/>
            <w:noWrap/>
            <w:hideMark/>
          </w:tcPr>
          <w:p w14:paraId="45548FD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nil"/>
              <w:right w:val="nil"/>
            </w:tcBorders>
            <w:shd w:val="clear" w:color="auto" w:fill="auto"/>
            <w:noWrap/>
            <w:hideMark/>
          </w:tcPr>
          <w:p w14:paraId="581EE98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3A56D6E5" w14:textId="77777777" w:rsidTr="006760B7">
        <w:trPr>
          <w:trHeight w:val="210"/>
        </w:trPr>
        <w:tc>
          <w:tcPr>
            <w:tcW w:w="2536" w:type="dxa"/>
            <w:tcBorders>
              <w:top w:val="nil"/>
              <w:left w:val="nil"/>
              <w:bottom w:val="nil"/>
              <w:right w:val="nil"/>
            </w:tcBorders>
            <w:shd w:val="clear" w:color="auto" w:fill="auto"/>
            <w:noWrap/>
            <w:hideMark/>
          </w:tcPr>
          <w:p w14:paraId="2EB8B4E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Russian Federation </w:t>
            </w:r>
          </w:p>
        </w:tc>
        <w:tc>
          <w:tcPr>
            <w:tcW w:w="1680" w:type="dxa"/>
            <w:tcBorders>
              <w:top w:val="nil"/>
              <w:left w:val="nil"/>
              <w:bottom w:val="nil"/>
              <w:right w:val="nil"/>
            </w:tcBorders>
            <w:shd w:val="clear" w:color="auto" w:fill="auto"/>
            <w:noWrap/>
            <w:hideMark/>
          </w:tcPr>
          <w:p w14:paraId="7F00BA1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59F0CD3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05FD995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6CF14B3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7FDF734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57CD16BF" w14:textId="77777777" w:rsidTr="006760B7">
        <w:trPr>
          <w:trHeight w:val="210"/>
        </w:trPr>
        <w:tc>
          <w:tcPr>
            <w:tcW w:w="2536" w:type="dxa"/>
            <w:tcBorders>
              <w:top w:val="nil"/>
              <w:left w:val="nil"/>
              <w:bottom w:val="single" w:sz="4" w:space="0" w:color="BFBFBF"/>
              <w:right w:val="nil"/>
            </w:tcBorders>
            <w:shd w:val="clear" w:color="auto" w:fill="auto"/>
            <w:noWrap/>
            <w:hideMark/>
          </w:tcPr>
          <w:p w14:paraId="307ED02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Rwanda</w:t>
            </w:r>
          </w:p>
        </w:tc>
        <w:tc>
          <w:tcPr>
            <w:tcW w:w="1680" w:type="dxa"/>
            <w:tcBorders>
              <w:top w:val="nil"/>
              <w:left w:val="nil"/>
              <w:bottom w:val="single" w:sz="4" w:space="0" w:color="BFBFBF"/>
              <w:right w:val="nil"/>
            </w:tcBorders>
            <w:shd w:val="clear" w:color="auto" w:fill="auto"/>
            <w:noWrap/>
            <w:hideMark/>
          </w:tcPr>
          <w:p w14:paraId="0C04548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1D2B187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1956057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141B77B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7CCCCC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A57403E" w14:textId="77777777" w:rsidTr="006760B7">
        <w:trPr>
          <w:trHeight w:val="210"/>
        </w:trPr>
        <w:tc>
          <w:tcPr>
            <w:tcW w:w="2536" w:type="dxa"/>
            <w:tcBorders>
              <w:top w:val="nil"/>
              <w:left w:val="nil"/>
              <w:bottom w:val="nil"/>
              <w:right w:val="nil"/>
            </w:tcBorders>
            <w:shd w:val="clear" w:color="auto" w:fill="auto"/>
            <w:noWrap/>
            <w:hideMark/>
          </w:tcPr>
          <w:p w14:paraId="71EE80A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Saint Kitts and Nevis</w:t>
            </w:r>
          </w:p>
        </w:tc>
        <w:tc>
          <w:tcPr>
            <w:tcW w:w="1680" w:type="dxa"/>
            <w:tcBorders>
              <w:top w:val="nil"/>
              <w:left w:val="nil"/>
              <w:bottom w:val="nil"/>
              <w:right w:val="nil"/>
            </w:tcBorders>
            <w:shd w:val="clear" w:color="auto" w:fill="auto"/>
            <w:noWrap/>
            <w:hideMark/>
          </w:tcPr>
          <w:p w14:paraId="65CAED72"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350419A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958594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4D65FB8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C6FDBF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19835F4D" w14:textId="77777777" w:rsidTr="006760B7">
        <w:trPr>
          <w:trHeight w:val="210"/>
        </w:trPr>
        <w:tc>
          <w:tcPr>
            <w:tcW w:w="2536" w:type="dxa"/>
            <w:tcBorders>
              <w:top w:val="nil"/>
              <w:left w:val="nil"/>
              <w:bottom w:val="nil"/>
              <w:right w:val="nil"/>
            </w:tcBorders>
            <w:shd w:val="clear" w:color="auto" w:fill="auto"/>
            <w:noWrap/>
            <w:hideMark/>
          </w:tcPr>
          <w:p w14:paraId="1048615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Saint Lucia</w:t>
            </w:r>
          </w:p>
        </w:tc>
        <w:tc>
          <w:tcPr>
            <w:tcW w:w="1680" w:type="dxa"/>
            <w:tcBorders>
              <w:top w:val="nil"/>
              <w:left w:val="nil"/>
              <w:bottom w:val="nil"/>
              <w:right w:val="nil"/>
            </w:tcBorders>
            <w:shd w:val="clear" w:color="auto" w:fill="auto"/>
            <w:noWrap/>
            <w:hideMark/>
          </w:tcPr>
          <w:p w14:paraId="43CC1AA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0826774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46BA51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74CE02D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1E50B6D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731B1A8" w14:textId="77777777" w:rsidTr="006760B7">
        <w:trPr>
          <w:trHeight w:val="210"/>
        </w:trPr>
        <w:tc>
          <w:tcPr>
            <w:tcW w:w="2536" w:type="dxa"/>
            <w:tcBorders>
              <w:top w:val="nil"/>
              <w:left w:val="nil"/>
              <w:bottom w:val="nil"/>
              <w:right w:val="nil"/>
            </w:tcBorders>
            <w:shd w:val="clear" w:color="auto" w:fill="auto"/>
            <w:noWrap/>
            <w:hideMark/>
          </w:tcPr>
          <w:p w14:paraId="5FEBD6D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Saint Vincent and the Grenadines</w:t>
            </w:r>
          </w:p>
        </w:tc>
        <w:tc>
          <w:tcPr>
            <w:tcW w:w="1680" w:type="dxa"/>
            <w:tcBorders>
              <w:top w:val="nil"/>
              <w:left w:val="nil"/>
              <w:bottom w:val="nil"/>
              <w:right w:val="nil"/>
            </w:tcBorders>
            <w:shd w:val="clear" w:color="auto" w:fill="auto"/>
            <w:noWrap/>
            <w:hideMark/>
          </w:tcPr>
          <w:p w14:paraId="759E46C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540E3B7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410C827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17F63CE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5C8BB87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439B7DC3" w14:textId="77777777" w:rsidTr="006760B7">
        <w:trPr>
          <w:trHeight w:val="210"/>
        </w:trPr>
        <w:tc>
          <w:tcPr>
            <w:tcW w:w="2536" w:type="dxa"/>
            <w:tcBorders>
              <w:top w:val="nil"/>
              <w:left w:val="nil"/>
              <w:bottom w:val="nil"/>
              <w:right w:val="nil"/>
            </w:tcBorders>
            <w:shd w:val="clear" w:color="auto" w:fill="auto"/>
            <w:noWrap/>
            <w:hideMark/>
          </w:tcPr>
          <w:p w14:paraId="48796BD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Samoa </w:t>
            </w:r>
          </w:p>
        </w:tc>
        <w:tc>
          <w:tcPr>
            <w:tcW w:w="1680" w:type="dxa"/>
            <w:tcBorders>
              <w:top w:val="nil"/>
              <w:left w:val="nil"/>
              <w:bottom w:val="nil"/>
              <w:right w:val="nil"/>
            </w:tcBorders>
            <w:shd w:val="clear" w:color="auto" w:fill="auto"/>
            <w:noWrap/>
            <w:hideMark/>
          </w:tcPr>
          <w:p w14:paraId="752B3A5F"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166B46D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2C89C1E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3BDFC6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12D9AB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5BAD70A6" w14:textId="77777777" w:rsidTr="006760B7">
        <w:trPr>
          <w:trHeight w:val="210"/>
        </w:trPr>
        <w:tc>
          <w:tcPr>
            <w:tcW w:w="2536" w:type="dxa"/>
            <w:tcBorders>
              <w:top w:val="nil"/>
              <w:left w:val="nil"/>
              <w:bottom w:val="single" w:sz="4" w:space="0" w:color="BFBFBF"/>
              <w:right w:val="nil"/>
            </w:tcBorders>
            <w:shd w:val="clear" w:color="auto" w:fill="auto"/>
            <w:noWrap/>
            <w:hideMark/>
          </w:tcPr>
          <w:p w14:paraId="3F3475F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San Marino</w:t>
            </w:r>
          </w:p>
        </w:tc>
        <w:tc>
          <w:tcPr>
            <w:tcW w:w="1680" w:type="dxa"/>
            <w:tcBorders>
              <w:top w:val="nil"/>
              <w:left w:val="nil"/>
              <w:bottom w:val="single" w:sz="4" w:space="0" w:color="BFBFBF"/>
              <w:right w:val="nil"/>
            </w:tcBorders>
            <w:shd w:val="clear" w:color="auto" w:fill="auto"/>
            <w:noWrap/>
            <w:hideMark/>
          </w:tcPr>
          <w:p w14:paraId="5A9F1DB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single" w:sz="4" w:space="0" w:color="BFBFBF"/>
              <w:right w:val="nil"/>
            </w:tcBorders>
            <w:shd w:val="clear" w:color="auto" w:fill="auto"/>
            <w:noWrap/>
            <w:hideMark/>
          </w:tcPr>
          <w:p w14:paraId="2543AEC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single" w:sz="4" w:space="0" w:color="BFBFBF"/>
              <w:right w:val="nil"/>
            </w:tcBorders>
            <w:shd w:val="clear" w:color="auto" w:fill="auto"/>
            <w:noWrap/>
            <w:hideMark/>
          </w:tcPr>
          <w:p w14:paraId="3095C69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single" w:sz="4" w:space="0" w:color="BFBFBF"/>
              <w:right w:val="nil"/>
            </w:tcBorders>
            <w:shd w:val="clear" w:color="auto" w:fill="auto"/>
            <w:noWrap/>
            <w:hideMark/>
          </w:tcPr>
          <w:p w14:paraId="7CF059B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single" w:sz="4" w:space="0" w:color="BFBFBF"/>
              <w:right w:val="nil"/>
            </w:tcBorders>
            <w:shd w:val="clear" w:color="auto" w:fill="auto"/>
            <w:noWrap/>
            <w:hideMark/>
          </w:tcPr>
          <w:p w14:paraId="2BAE60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2738BE5B" w14:textId="77777777" w:rsidTr="006760B7">
        <w:trPr>
          <w:trHeight w:val="210"/>
        </w:trPr>
        <w:tc>
          <w:tcPr>
            <w:tcW w:w="2536" w:type="dxa"/>
            <w:tcBorders>
              <w:top w:val="nil"/>
              <w:left w:val="nil"/>
              <w:bottom w:val="nil"/>
              <w:right w:val="nil"/>
            </w:tcBorders>
            <w:shd w:val="clear" w:color="auto" w:fill="auto"/>
            <w:noWrap/>
            <w:hideMark/>
          </w:tcPr>
          <w:p w14:paraId="27C76E4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Sao Tome and Principe</w:t>
            </w:r>
          </w:p>
        </w:tc>
        <w:tc>
          <w:tcPr>
            <w:tcW w:w="1680" w:type="dxa"/>
            <w:tcBorders>
              <w:top w:val="nil"/>
              <w:left w:val="nil"/>
              <w:bottom w:val="nil"/>
              <w:right w:val="nil"/>
            </w:tcBorders>
            <w:shd w:val="clear" w:color="auto" w:fill="auto"/>
            <w:noWrap/>
            <w:hideMark/>
          </w:tcPr>
          <w:p w14:paraId="28DDF80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 (2024) / Sbis (2025)</w:t>
            </w:r>
          </w:p>
        </w:tc>
        <w:tc>
          <w:tcPr>
            <w:tcW w:w="1436" w:type="dxa"/>
            <w:tcBorders>
              <w:top w:val="nil"/>
              <w:left w:val="nil"/>
              <w:bottom w:val="nil"/>
              <w:right w:val="nil"/>
            </w:tcBorders>
            <w:shd w:val="clear" w:color="auto" w:fill="auto"/>
            <w:noWrap/>
            <w:hideMark/>
          </w:tcPr>
          <w:p w14:paraId="667FF4E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0.03125/0.0625</w:t>
            </w:r>
          </w:p>
        </w:tc>
        <w:tc>
          <w:tcPr>
            <w:tcW w:w="1436" w:type="dxa"/>
            <w:tcBorders>
              <w:top w:val="nil"/>
              <w:left w:val="nil"/>
              <w:bottom w:val="nil"/>
              <w:right w:val="nil"/>
            </w:tcBorders>
            <w:shd w:val="clear" w:color="auto" w:fill="auto"/>
            <w:noWrap/>
            <w:hideMark/>
          </w:tcPr>
          <w:p w14:paraId="55E3717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11851F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3B0AC51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4,273</w:t>
            </w:r>
          </w:p>
        </w:tc>
      </w:tr>
      <w:tr w:rsidR="006760B7" w:rsidRPr="006760B7" w14:paraId="00C89270" w14:textId="77777777" w:rsidTr="006760B7">
        <w:trPr>
          <w:trHeight w:val="210"/>
        </w:trPr>
        <w:tc>
          <w:tcPr>
            <w:tcW w:w="2536" w:type="dxa"/>
            <w:tcBorders>
              <w:top w:val="nil"/>
              <w:left w:val="nil"/>
              <w:bottom w:val="nil"/>
              <w:right w:val="nil"/>
            </w:tcBorders>
            <w:shd w:val="clear" w:color="auto" w:fill="auto"/>
            <w:noWrap/>
            <w:hideMark/>
          </w:tcPr>
          <w:p w14:paraId="46EB743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Saudi Arabia</w:t>
            </w:r>
          </w:p>
        </w:tc>
        <w:tc>
          <w:tcPr>
            <w:tcW w:w="1680" w:type="dxa"/>
            <w:tcBorders>
              <w:top w:val="nil"/>
              <w:left w:val="nil"/>
              <w:bottom w:val="nil"/>
              <w:right w:val="nil"/>
            </w:tcBorders>
            <w:shd w:val="clear" w:color="auto" w:fill="auto"/>
            <w:noWrap/>
            <w:hideMark/>
          </w:tcPr>
          <w:p w14:paraId="51D61C9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nil"/>
              <w:right w:val="nil"/>
            </w:tcBorders>
            <w:shd w:val="clear" w:color="auto" w:fill="auto"/>
            <w:noWrap/>
            <w:hideMark/>
          </w:tcPr>
          <w:p w14:paraId="1E130EE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nil"/>
              <w:right w:val="nil"/>
            </w:tcBorders>
            <w:shd w:val="clear" w:color="auto" w:fill="auto"/>
            <w:noWrap/>
            <w:hideMark/>
          </w:tcPr>
          <w:p w14:paraId="5C2F125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nil"/>
              <w:right w:val="nil"/>
            </w:tcBorders>
            <w:shd w:val="clear" w:color="auto" w:fill="auto"/>
            <w:noWrap/>
            <w:hideMark/>
          </w:tcPr>
          <w:p w14:paraId="14DFD22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nil"/>
              <w:right w:val="nil"/>
            </w:tcBorders>
            <w:shd w:val="clear" w:color="auto" w:fill="auto"/>
            <w:noWrap/>
            <w:hideMark/>
          </w:tcPr>
          <w:p w14:paraId="698DD24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30A13F89" w14:textId="77777777" w:rsidTr="006760B7">
        <w:trPr>
          <w:trHeight w:val="210"/>
        </w:trPr>
        <w:tc>
          <w:tcPr>
            <w:tcW w:w="2536" w:type="dxa"/>
            <w:tcBorders>
              <w:top w:val="nil"/>
              <w:left w:val="nil"/>
              <w:bottom w:val="nil"/>
              <w:right w:val="nil"/>
            </w:tcBorders>
            <w:shd w:val="clear" w:color="auto" w:fill="auto"/>
            <w:noWrap/>
            <w:hideMark/>
          </w:tcPr>
          <w:p w14:paraId="29A67F5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Senegal</w:t>
            </w:r>
          </w:p>
        </w:tc>
        <w:tc>
          <w:tcPr>
            <w:tcW w:w="1680" w:type="dxa"/>
            <w:tcBorders>
              <w:top w:val="nil"/>
              <w:left w:val="nil"/>
              <w:bottom w:val="nil"/>
              <w:right w:val="nil"/>
            </w:tcBorders>
            <w:shd w:val="clear" w:color="auto" w:fill="auto"/>
            <w:noWrap/>
            <w:hideMark/>
          </w:tcPr>
          <w:p w14:paraId="737036B2"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32EF4D4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2175642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F901C9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46A4857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A07DEC0" w14:textId="77777777" w:rsidTr="006760B7">
        <w:trPr>
          <w:trHeight w:val="210"/>
        </w:trPr>
        <w:tc>
          <w:tcPr>
            <w:tcW w:w="2536" w:type="dxa"/>
            <w:tcBorders>
              <w:top w:val="nil"/>
              <w:left w:val="nil"/>
              <w:bottom w:val="nil"/>
              <w:right w:val="nil"/>
            </w:tcBorders>
            <w:shd w:val="clear" w:color="auto" w:fill="auto"/>
            <w:noWrap/>
            <w:hideMark/>
          </w:tcPr>
          <w:p w14:paraId="350F36A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Serbia</w:t>
            </w:r>
          </w:p>
        </w:tc>
        <w:tc>
          <w:tcPr>
            <w:tcW w:w="1680" w:type="dxa"/>
            <w:tcBorders>
              <w:top w:val="nil"/>
              <w:left w:val="nil"/>
              <w:bottom w:val="nil"/>
              <w:right w:val="nil"/>
            </w:tcBorders>
            <w:shd w:val="clear" w:color="auto" w:fill="auto"/>
            <w:noWrap/>
            <w:hideMark/>
          </w:tcPr>
          <w:p w14:paraId="23B13E6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VIII</w:t>
            </w:r>
          </w:p>
        </w:tc>
        <w:tc>
          <w:tcPr>
            <w:tcW w:w="1436" w:type="dxa"/>
            <w:tcBorders>
              <w:top w:val="nil"/>
              <w:left w:val="nil"/>
              <w:bottom w:val="nil"/>
              <w:right w:val="nil"/>
            </w:tcBorders>
            <w:shd w:val="clear" w:color="auto" w:fill="auto"/>
            <w:noWrap/>
            <w:hideMark/>
          </w:tcPr>
          <w:p w14:paraId="61B3A7B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0.5</w:t>
            </w:r>
          </w:p>
        </w:tc>
        <w:tc>
          <w:tcPr>
            <w:tcW w:w="1436" w:type="dxa"/>
            <w:tcBorders>
              <w:top w:val="nil"/>
              <w:left w:val="nil"/>
              <w:bottom w:val="nil"/>
              <w:right w:val="nil"/>
            </w:tcBorders>
            <w:shd w:val="clear" w:color="auto" w:fill="auto"/>
            <w:noWrap/>
            <w:hideMark/>
          </w:tcPr>
          <w:p w14:paraId="44352CE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476" w:type="dxa"/>
            <w:tcBorders>
              <w:top w:val="nil"/>
              <w:left w:val="nil"/>
              <w:bottom w:val="nil"/>
              <w:right w:val="nil"/>
            </w:tcBorders>
            <w:shd w:val="clear" w:color="auto" w:fill="auto"/>
            <w:noWrap/>
            <w:hideMark/>
          </w:tcPr>
          <w:p w14:paraId="47099B6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w:t>
            </w:r>
          </w:p>
        </w:tc>
        <w:tc>
          <w:tcPr>
            <w:tcW w:w="1396" w:type="dxa"/>
            <w:tcBorders>
              <w:top w:val="nil"/>
              <w:left w:val="nil"/>
              <w:bottom w:val="nil"/>
              <w:right w:val="nil"/>
            </w:tcBorders>
            <w:shd w:val="clear" w:color="auto" w:fill="auto"/>
            <w:noWrap/>
            <w:hideMark/>
          </w:tcPr>
          <w:p w14:paraId="569C6CD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45,578</w:t>
            </w:r>
          </w:p>
        </w:tc>
      </w:tr>
      <w:tr w:rsidR="006760B7" w:rsidRPr="006760B7" w14:paraId="18CDD660" w14:textId="77777777" w:rsidTr="006760B7">
        <w:trPr>
          <w:trHeight w:val="210"/>
        </w:trPr>
        <w:tc>
          <w:tcPr>
            <w:tcW w:w="2536" w:type="dxa"/>
            <w:tcBorders>
              <w:top w:val="nil"/>
              <w:left w:val="nil"/>
              <w:bottom w:val="single" w:sz="4" w:space="0" w:color="BFBFBF"/>
              <w:right w:val="nil"/>
            </w:tcBorders>
            <w:shd w:val="clear" w:color="auto" w:fill="auto"/>
            <w:noWrap/>
            <w:hideMark/>
          </w:tcPr>
          <w:p w14:paraId="2AF94E8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Seychelles </w:t>
            </w:r>
          </w:p>
        </w:tc>
        <w:tc>
          <w:tcPr>
            <w:tcW w:w="1680" w:type="dxa"/>
            <w:tcBorders>
              <w:top w:val="nil"/>
              <w:left w:val="nil"/>
              <w:bottom w:val="single" w:sz="4" w:space="0" w:color="BFBFBF"/>
              <w:right w:val="nil"/>
            </w:tcBorders>
            <w:shd w:val="clear" w:color="auto" w:fill="auto"/>
            <w:noWrap/>
            <w:hideMark/>
          </w:tcPr>
          <w:p w14:paraId="3945942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4" w:space="0" w:color="BFBFBF"/>
              <w:right w:val="nil"/>
            </w:tcBorders>
            <w:shd w:val="clear" w:color="auto" w:fill="auto"/>
            <w:noWrap/>
            <w:hideMark/>
          </w:tcPr>
          <w:p w14:paraId="3D50E46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4" w:space="0" w:color="BFBFBF"/>
              <w:right w:val="nil"/>
            </w:tcBorders>
            <w:shd w:val="clear" w:color="auto" w:fill="auto"/>
            <w:noWrap/>
            <w:hideMark/>
          </w:tcPr>
          <w:p w14:paraId="6357D7A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4" w:space="0" w:color="BFBFBF"/>
              <w:right w:val="nil"/>
            </w:tcBorders>
            <w:shd w:val="clear" w:color="auto" w:fill="auto"/>
            <w:noWrap/>
            <w:hideMark/>
          </w:tcPr>
          <w:p w14:paraId="3BF9FCE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00675FA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109DCB58" w14:textId="77777777" w:rsidTr="006760B7">
        <w:trPr>
          <w:trHeight w:val="210"/>
        </w:trPr>
        <w:tc>
          <w:tcPr>
            <w:tcW w:w="2536" w:type="dxa"/>
            <w:tcBorders>
              <w:top w:val="nil"/>
              <w:left w:val="nil"/>
              <w:bottom w:val="nil"/>
              <w:right w:val="nil"/>
            </w:tcBorders>
            <w:shd w:val="clear" w:color="auto" w:fill="auto"/>
            <w:noWrap/>
            <w:hideMark/>
          </w:tcPr>
          <w:p w14:paraId="2BA5DDA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Sierra Leone</w:t>
            </w:r>
          </w:p>
        </w:tc>
        <w:tc>
          <w:tcPr>
            <w:tcW w:w="1680" w:type="dxa"/>
            <w:tcBorders>
              <w:top w:val="nil"/>
              <w:left w:val="nil"/>
              <w:bottom w:val="nil"/>
              <w:right w:val="nil"/>
            </w:tcBorders>
            <w:shd w:val="clear" w:color="auto" w:fill="auto"/>
            <w:noWrap/>
            <w:hideMark/>
          </w:tcPr>
          <w:p w14:paraId="1534D0B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2637333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2EB413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4D49E14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265471C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25E2FF83" w14:textId="77777777" w:rsidTr="006760B7">
        <w:trPr>
          <w:trHeight w:val="210"/>
        </w:trPr>
        <w:tc>
          <w:tcPr>
            <w:tcW w:w="2536" w:type="dxa"/>
            <w:tcBorders>
              <w:top w:val="nil"/>
              <w:left w:val="nil"/>
              <w:bottom w:val="nil"/>
              <w:right w:val="nil"/>
            </w:tcBorders>
            <w:shd w:val="clear" w:color="auto" w:fill="auto"/>
            <w:noWrap/>
            <w:hideMark/>
          </w:tcPr>
          <w:p w14:paraId="108E9F9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Singapore</w:t>
            </w:r>
          </w:p>
        </w:tc>
        <w:tc>
          <w:tcPr>
            <w:tcW w:w="1680" w:type="dxa"/>
            <w:tcBorders>
              <w:top w:val="nil"/>
              <w:left w:val="nil"/>
              <w:bottom w:val="nil"/>
              <w:right w:val="nil"/>
            </w:tcBorders>
            <w:shd w:val="clear" w:color="auto" w:fill="auto"/>
            <w:noWrap/>
            <w:hideMark/>
          </w:tcPr>
          <w:p w14:paraId="4A8D860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325A8A8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5681901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4382D3B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D02221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2CE69DA" w14:textId="77777777" w:rsidTr="006760B7">
        <w:trPr>
          <w:trHeight w:val="210"/>
        </w:trPr>
        <w:tc>
          <w:tcPr>
            <w:tcW w:w="2536" w:type="dxa"/>
            <w:tcBorders>
              <w:top w:val="nil"/>
              <w:left w:val="nil"/>
              <w:bottom w:val="nil"/>
              <w:right w:val="nil"/>
            </w:tcBorders>
            <w:shd w:val="clear" w:color="auto" w:fill="auto"/>
            <w:noWrap/>
            <w:hideMark/>
          </w:tcPr>
          <w:p w14:paraId="107103A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Slovakia</w:t>
            </w:r>
          </w:p>
        </w:tc>
        <w:tc>
          <w:tcPr>
            <w:tcW w:w="1680" w:type="dxa"/>
            <w:tcBorders>
              <w:top w:val="nil"/>
              <w:left w:val="nil"/>
              <w:bottom w:val="nil"/>
              <w:right w:val="nil"/>
            </w:tcBorders>
            <w:shd w:val="clear" w:color="auto" w:fill="auto"/>
            <w:noWrap/>
            <w:hideMark/>
          </w:tcPr>
          <w:p w14:paraId="5AA701C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w:t>
            </w:r>
          </w:p>
        </w:tc>
        <w:tc>
          <w:tcPr>
            <w:tcW w:w="1436" w:type="dxa"/>
            <w:tcBorders>
              <w:top w:val="nil"/>
              <w:left w:val="nil"/>
              <w:bottom w:val="nil"/>
              <w:right w:val="nil"/>
            </w:tcBorders>
            <w:shd w:val="clear" w:color="auto" w:fill="auto"/>
            <w:noWrap/>
            <w:hideMark/>
          </w:tcPr>
          <w:p w14:paraId="53FCFC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w:t>
            </w:r>
          </w:p>
        </w:tc>
        <w:tc>
          <w:tcPr>
            <w:tcW w:w="1436" w:type="dxa"/>
            <w:tcBorders>
              <w:top w:val="nil"/>
              <w:left w:val="nil"/>
              <w:bottom w:val="nil"/>
              <w:right w:val="nil"/>
            </w:tcBorders>
            <w:shd w:val="clear" w:color="auto" w:fill="auto"/>
            <w:noWrap/>
            <w:hideMark/>
          </w:tcPr>
          <w:p w14:paraId="2B66EB5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476" w:type="dxa"/>
            <w:tcBorders>
              <w:top w:val="nil"/>
              <w:left w:val="nil"/>
              <w:bottom w:val="nil"/>
              <w:right w:val="nil"/>
            </w:tcBorders>
            <w:shd w:val="clear" w:color="auto" w:fill="auto"/>
            <w:noWrap/>
            <w:hideMark/>
          </w:tcPr>
          <w:p w14:paraId="266011C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w:t>
            </w:r>
          </w:p>
        </w:tc>
        <w:tc>
          <w:tcPr>
            <w:tcW w:w="1396" w:type="dxa"/>
            <w:tcBorders>
              <w:top w:val="nil"/>
              <w:left w:val="nil"/>
              <w:bottom w:val="nil"/>
              <w:right w:val="nil"/>
            </w:tcBorders>
            <w:shd w:val="clear" w:color="auto" w:fill="auto"/>
            <w:noWrap/>
            <w:hideMark/>
          </w:tcPr>
          <w:p w14:paraId="4E969B3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273,474</w:t>
            </w:r>
          </w:p>
        </w:tc>
      </w:tr>
      <w:tr w:rsidR="006760B7" w:rsidRPr="006760B7" w14:paraId="025B3E20" w14:textId="77777777" w:rsidTr="006760B7">
        <w:trPr>
          <w:trHeight w:val="210"/>
        </w:trPr>
        <w:tc>
          <w:tcPr>
            <w:tcW w:w="2536" w:type="dxa"/>
            <w:tcBorders>
              <w:top w:val="nil"/>
              <w:left w:val="nil"/>
              <w:bottom w:val="nil"/>
              <w:right w:val="nil"/>
            </w:tcBorders>
            <w:shd w:val="clear" w:color="auto" w:fill="auto"/>
            <w:noWrap/>
            <w:hideMark/>
          </w:tcPr>
          <w:p w14:paraId="43BF78E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Slovenia</w:t>
            </w:r>
          </w:p>
        </w:tc>
        <w:tc>
          <w:tcPr>
            <w:tcW w:w="1680" w:type="dxa"/>
            <w:tcBorders>
              <w:top w:val="nil"/>
              <w:left w:val="nil"/>
              <w:bottom w:val="nil"/>
              <w:right w:val="nil"/>
            </w:tcBorders>
            <w:shd w:val="clear" w:color="auto" w:fill="auto"/>
            <w:noWrap/>
            <w:hideMark/>
          </w:tcPr>
          <w:p w14:paraId="238D41C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VII</w:t>
            </w:r>
          </w:p>
        </w:tc>
        <w:tc>
          <w:tcPr>
            <w:tcW w:w="1436" w:type="dxa"/>
            <w:tcBorders>
              <w:top w:val="nil"/>
              <w:left w:val="nil"/>
              <w:bottom w:val="nil"/>
              <w:right w:val="nil"/>
            </w:tcBorders>
            <w:shd w:val="clear" w:color="auto" w:fill="auto"/>
            <w:noWrap/>
            <w:hideMark/>
          </w:tcPr>
          <w:p w14:paraId="7D2171A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w:t>
            </w:r>
          </w:p>
        </w:tc>
        <w:tc>
          <w:tcPr>
            <w:tcW w:w="1436" w:type="dxa"/>
            <w:tcBorders>
              <w:top w:val="nil"/>
              <w:left w:val="nil"/>
              <w:bottom w:val="nil"/>
              <w:right w:val="nil"/>
            </w:tcBorders>
            <w:shd w:val="clear" w:color="auto" w:fill="auto"/>
            <w:noWrap/>
            <w:hideMark/>
          </w:tcPr>
          <w:p w14:paraId="0712891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476" w:type="dxa"/>
            <w:tcBorders>
              <w:top w:val="nil"/>
              <w:left w:val="nil"/>
              <w:bottom w:val="nil"/>
              <w:right w:val="nil"/>
            </w:tcBorders>
            <w:shd w:val="clear" w:color="auto" w:fill="auto"/>
            <w:noWrap/>
            <w:hideMark/>
          </w:tcPr>
          <w:p w14:paraId="6D20D97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w:t>
            </w:r>
          </w:p>
        </w:tc>
        <w:tc>
          <w:tcPr>
            <w:tcW w:w="1396" w:type="dxa"/>
            <w:tcBorders>
              <w:top w:val="nil"/>
              <w:left w:val="nil"/>
              <w:bottom w:val="nil"/>
              <w:right w:val="nil"/>
            </w:tcBorders>
            <w:shd w:val="clear" w:color="auto" w:fill="auto"/>
            <w:noWrap/>
            <w:hideMark/>
          </w:tcPr>
          <w:p w14:paraId="204496D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r>
      <w:tr w:rsidR="006760B7" w:rsidRPr="006760B7" w14:paraId="64FD8B8F" w14:textId="77777777" w:rsidTr="006760B7">
        <w:trPr>
          <w:trHeight w:val="210"/>
        </w:trPr>
        <w:tc>
          <w:tcPr>
            <w:tcW w:w="2536" w:type="dxa"/>
            <w:tcBorders>
              <w:top w:val="nil"/>
              <w:left w:val="nil"/>
              <w:bottom w:val="single" w:sz="4" w:space="0" w:color="BFBFBF"/>
              <w:right w:val="nil"/>
            </w:tcBorders>
            <w:shd w:val="clear" w:color="auto" w:fill="auto"/>
            <w:noWrap/>
            <w:hideMark/>
          </w:tcPr>
          <w:p w14:paraId="016B15D0"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Solomon Islands</w:t>
            </w:r>
          </w:p>
        </w:tc>
        <w:tc>
          <w:tcPr>
            <w:tcW w:w="1680" w:type="dxa"/>
            <w:tcBorders>
              <w:top w:val="nil"/>
              <w:left w:val="nil"/>
              <w:bottom w:val="single" w:sz="4" w:space="0" w:color="BFBFBF"/>
              <w:right w:val="nil"/>
            </w:tcBorders>
            <w:shd w:val="clear" w:color="auto" w:fill="auto"/>
            <w:noWrap/>
            <w:hideMark/>
          </w:tcPr>
          <w:p w14:paraId="04308B4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Ster (2024) / Sbis (2025)</w:t>
            </w:r>
          </w:p>
        </w:tc>
        <w:tc>
          <w:tcPr>
            <w:tcW w:w="1436" w:type="dxa"/>
            <w:tcBorders>
              <w:top w:val="nil"/>
              <w:left w:val="nil"/>
              <w:bottom w:val="single" w:sz="4" w:space="0" w:color="BFBFBF"/>
              <w:right w:val="nil"/>
            </w:tcBorders>
            <w:shd w:val="clear" w:color="auto" w:fill="auto"/>
            <w:noWrap/>
            <w:hideMark/>
          </w:tcPr>
          <w:p w14:paraId="555C14E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0.03125/0.0625</w:t>
            </w:r>
          </w:p>
        </w:tc>
        <w:tc>
          <w:tcPr>
            <w:tcW w:w="1436" w:type="dxa"/>
            <w:tcBorders>
              <w:top w:val="nil"/>
              <w:left w:val="nil"/>
              <w:bottom w:val="single" w:sz="4" w:space="0" w:color="BFBFBF"/>
              <w:right w:val="nil"/>
            </w:tcBorders>
            <w:shd w:val="clear" w:color="auto" w:fill="auto"/>
            <w:noWrap/>
            <w:hideMark/>
          </w:tcPr>
          <w:p w14:paraId="489AC12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73F011E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4" w:space="0" w:color="BFBFBF"/>
              <w:right w:val="nil"/>
            </w:tcBorders>
            <w:shd w:val="clear" w:color="auto" w:fill="auto"/>
            <w:noWrap/>
            <w:hideMark/>
          </w:tcPr>
          <w:p w14:paraId="5BEB17D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4,273</w:t>
            </w:r>
          </w:p>
        </w:tc>
      </w:tr>
      <w:tr w:rsidR="006760B7" w:rsidRPr="006760B7" w14:paraId="6FDECA14" w14:textId="77777777" w:rsidTr="006760B7">
        <w:trPr>
          <w:trHeight w:val="250"/>
        </w:trPr>
        <w:tc>
          <w:tcPr>
            <w:tcW w:w="2536" w:type="dxa"/>
            <w:tcBorders>
              <w:top w:val="nil"/>
              <w:left w:val="nil"/>
              <w:bottom w:val="nil"/>
              <w:right w:val="nil"/>
            </w:tcBorders>
            <w:shd w:val="clear" w:color="auto" w:fill="auto"/>
            <w:noWrap/>
            <w:hideMark/>
          </w:tcPr>
          <w:p w14:paraId="6DDFD69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Somalia </w:t>
            </w:r>
            <w:r w:rsidRPr="006760B7">
              <w:rPr>
                <w:rFonts w:ascii="Arial Narrow" w:eastAsia="Times New Roman" w:hAnsi="Arial Narrow" w:cs="Arial"/>
                <w:sz w:val="16"/>
                <w:szCs w:val="16"/>
                <w:vertAlign w:val="superscript"/>
                <w:lang w:val="en-US"/>
              </w:rPr>
              <w:t>2</w:t>
            </w:r>
          </w:p>
        </w:tc>
        <w:tc>
          <w:tcPr>
            <w:tcW w:w="1680" w:type="dxa"/>
            <w:tcBorders>
              <w:top w:val="nil"/>
              <w:left w:val="nil"/>
              <w:bottom w:val="nil"/>
              <w:right w:val="nil"/>
            </w:tcBorders>
            <w:shd w:val="clear" w:color="auto" w:fill="auto"/>
            <w:noWrap/>
            <w:hideMark/>
          </w:tcPr>
          <w:p w14:paraId="3F3889C4"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70A0A7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5740E83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7018CC5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264CB7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060BFB6" w14:textId="77777777" w:rsidTr="006760B7">
        <w:trPr>
          <w:trHeight w:val="210"/>
        </w:trPr>
        <w:tc>
          <w:tcPr>
            <w:tcW w:w="2536" w:type="dxa"/>
            <w:tcBorders>
              <w:top w:val="nil"/>
              <w:left w:val="nil"/>
              <w:bottom w:val="nil"/>
              <w:right w:val="nil"/>
            </w:tcBorders>
            <w:shd w:val="clear" w:color="auto" w:fill="auto"/>
            <w:noWrap/>
            <w:hideMark/>
          </w:tcPr>
          <w:p w14:paraId="50FB5B6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South Africa</w:t>
            </w:r>
          </w:p>
        </w:tc>
        <w:tc>
          <w:tcPr>
            <w:tcW w:w="1680" w:type="dxa"/>
            <w:tcBorders>
              <w:top w:val="nil"/>
              <w:left w:val="nil"/>
              <w:bottom w:val="nil"/>
              <w:right w:val="nil"/>
            </w:tcBorders>
            <w:shd w:val="clear" w:color="auto" w:fill="auto"/>
            <w:noWrap/>
            <w:hideMark/>
          </w:tcPr>
          <w:p w14:paraId="55EE4BD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IVbis</w:t>
            </w:r>
          </w:p>
        </w:tc>
        <w:tc>
          <w:tcPr>
            <w:tcW w:w="1436" w:type="dxa"/>
            <w:tcBorders>
              <w:top w:val="nil"/>
              <w:left w:val="nil"/>
              <w:bottom w:val="nil"/>
              <w:right w:val="nil"/>
            </w:tcBorders>
            <w:shd w:val="clear" w:color="auto" w:fill="auto"/>
            <w:noWrap/>
            <w:hideMark/>
          </w:tcPr>
          <w:p w14:paraId="31DF831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7.5</w:t>
            </w:r>
          </w:p>
        </w:tc>
        <w:tc>
          <w:tcPr>
            <w:tcW w:w="1436" w:type="dxa"/>
            <w:tcBorders>
              <w:top w:val="nil"/>
              <w:left w:val="nil"/>
              <w:bottom w:val="nil"/>
              <w:right w:val="nil"/>
            </w:tcBorders>
            <w:shd w:val="clear" w:color="auto" w:fill="auto"/>
            <w:noWrap/>
            <w:hideMark/>
          </w:tcPr>
          <w:p w14:paraId="66B5E8D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476" w:type="dxa"/>
            <w:tcBorders>
              <w:top w:val="nil"/>
              <w:left w:val="nil"/>
              <w:bottom w:val="nil"/>
              <w:right w:val="nil"/>
            </w:tcBorders>
            <w:shd w:val="clear" w:color="auto" w:fill="auto"/>
            <w:noWrap/>
            <w:hideMark/>
          </w:tcPr>
          <w:p w14:paraId="6BB2833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341,842</w:t>
            </w:r>
          </w:p>
        </w:tc>
        <w:tc>
          <w:tcPr>
            <w:tcW w:w="1396" w:type="dxa"/>
            <w:tcBorders>
              <w:top w:val="nil"/>
              <w:left w:val="nil"/>
              <w:bottom w:val="nil"/>
              <w:right w:val="nil"/>
            </w:tcBorders>
            <w:shd w:val="clear" w:color="auto" w:fill="auto"/>
            <w:noWrap/>
            <w:hideMark/>
          </w:tcPr>
          <w:p w14:paraId="3A6143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683,684</w:t>
            </w:r>
          </w:p>
        </w:tc>
      </w:tr>
      <w:tr w:rsidR="006760B7" w:rsidRPr="006760B7" w14:paraId="45ED209B" w14:textId="77777777" w:rsidTr="006760B7">
        <w:trPr>
          <w:trHeight w:val="210"/>
        </w:trPr>
        <w:tc>
          <w:tcPr>
            <w:tcW w:w="2536" w:type="dxa"/>
            <w:tcBorders>
              <w:top w:val="nil"/>
              <w:left w:val="nil"/>
              <w:bottom w:val="nil"/>
              <w:right w:val="nil"/>
            </w:tcBorders>
            <w:shd w:val="clear" w:color="auto" w:fill="auto"/>
            <w:noWrap/>
            <w:hideMark/>
          </w:tcPr>
          <w:p w14:paraId="5AA78CE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Spain</w:t>
            </w:r>
          </w:p>
        </w:tc>
        <w:tc>
          <w:tcPr>
            <w:tcW w:w="1680" w:type="dxa"/>
            <w:tcBorders>
              <w:top w:val="nil"/>
              <w:left w:val="nil"/>
              <w:bottom w:val="nil"/>
              <w:right w:val="nil"/>
            </w:tcBorders>
            <w:shd w:val="clear" w:color="auto" w:fill="auto"/>
            <w:noWrap/>
            <w:hideMark/>
          </w:tcPr>
          <w:p w14:paraId="68D6117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IV</w:t>
            </w:r>
          </w:p>
        </w:tc>
        <w:tc>
          <w:tcPr>
            <w:tcW w:w="1436" w:type="dxa"/>
            <w:tcBorders>
              <w:top w:val="nil"/>
              <w:left w:val="nil"/>
              <w:bottom w:val="nil"/>
              <w:right w:val="nil"/>
            </w:tcBorders>
            <w:shd w:val="clear" w:color="auto" w:fill="auto"/>
            <w:noWrap/>
            <w:hideMark/>
          </w:tcPr>
          <w:p w14:paraId="776943B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10</w:t>
            </w:r>
          </w:p>
        </w:tc>
        <w:tc>
          <w:tcPr>
            <w:tcW w:w="1436" w:type="dxa"/>
            <w:tcBorders>
              <w:top w:val="nil"/>
              <w:left w:val="nil"/>
              <w:bottom w:val="nil"/>
              <w:right w:val="nil"/>
            </w:tcBorders>
            <w:shd w:val="clear" w:color="auto" w:fill="auto"/>
            <w:noWrap/>
            <w:hideMark/>
          </w:tcPr>
          <w:p w14:paraId="1C56DD5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476" w:type="dxa"/>
            <w:tcBorders>
              <w:top w:val="nil"/>
              <w:left w:val="nil"/>
              <w:bottom w:val="nil"/>
              <w:right w:val="nil"/>
            </w:tcBorders>
            <w:shd w:val="clear" w:color="auto" w:fill="auto"/>
            <w:noWrap/>
            <w:hideMark/>
          </w:tcPr>
          <w:p w14:paraId="4B76AFD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455,790</w:t>
            </w:r>
          </w:p>
        </w:tc>
        <w:tc>
          <w:tcPr>
            <w:tcW w:w="1396" w:type="dxa"/>
            <w:tcBorders>
              <w:top w:val="nil"/>
              <w:left w:val="nil"/>
              <w:bottom w:val="nil"/>
              <w:right w:val="nil"/>
            </w:tcBorders>
            <w:shd w:val="clear" w:color="auto" w:fill="auto"/>
            <w:noWrap/>
            <w:hideMark/>
          </w:tcPr>
          <w:p w14:paraId="2345C04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911,580</w:t>
            </w:r>
          </w:p>
        </w:tc>
      </w:tr>
      <w:tr w:rsidR="006760B7" w:rsidRPr="006760B7" w14:paraId="0192B237" w14:textId="77777777" w:rsidTr="006760B7">
        <w:trPr>
          <w:trHeight w:val="210"/>
        </w:trPr>
        <w:tc>
          <w:tcPr>
            <w:tcW w:w="2536" w:type="dxa"/>
            <w:tcBorders>
              <w:top w:val="nil"/>
              <w:left w:val="nil"/>
              <w:bottom w:val="nil"/>
              <w:right w:val="nil"/>
            </w:tcBorders>
            <w:shd w:val="clear" w:color="auto" w:fill="auto"/>
            <w:noWrap/>
            <w:hideMark/>
          </w:tcPr>
          <w:p w14:paraId="3508AD7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Sri Lanka</w:t>
            </w:r>
          </w:p>
        </w:tc>
        <w:tc>
          <w:tcPr>
            <w:tcW w:w="1680" w:type="dxa"/>
            <w:tcBorders>
              <w:top w:val="nil"/>
              <w:left w:val="nil"/>
              <w:bottom w:val="nil"/>
              <w:right w:val="nil"/>
            </w:tcBorders>
            <w:shd w:val="clear" w:color="auto" w:fill="auto"/>
            <w:noWrap/>
            <w:hideMark/>
          </w:tcPr>
          <w:p w14:paraId="28F412F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36893C7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49E08E4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46BFCBE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46FD618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3D8FBEA3" w14:textId="77777777" w:rsidTr="006760B7">
        <w:trPr>
          <w:trHeight w:val="210"/>
        </w:trPr>
        <w:tc>
          <w:tcPr>
            <w:tcW w:w="2536" w:type="dxa"/>
            <w:tcBorders>
              <w:top w:val="nil"/>
              <w:left w:val="nil"/>
              <w:bottom w:val="single" w:sz="4" w:space="0" w:color="BFBFBF"/>
              <w:right w:val="nil"/>
            </w:tcBorders>
            <w:shd w:val="clear" w:color="auto" w:fill="auto"/>
            <w:noWrap/>
            <w:hideMark/>
          </w:tcPr>
          <w:p w14:paraId="73CB905D"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Sudan </w:t>
            </w:r>
          </w:p>
        </w:tc>
        <w:tc>
          <w:tcPr>
            <w:tcW w:w="1680" w:type="dxa"/>
            <w:tcBorders>
              <w:top w:val="nil"/>
              <w:left w:val="nil"/>
              <w:bottom w:val="single" w:sz="4" w:space="0" w:color="BFBFBF"/>
              <w:right w:val="nil"/>
            </w:tcBorders>
            <w:shd w:val="clear" w:color="auto" w:fill="auto"/>
            <w:noWrap/>
            <w:hideMark/>
          </w:tcPr>
          <w:p w14:paraId="636E3C51"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170CD07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61A5FAF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37997CC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16545D6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70E34A3" w14:textId="77777777" w:rsidTr="006760B7">
        <w:trPr>
          <w:trHeight w:val="210"/>
        </w:trPr>
        <w:tc>
          <w:tcPr>
            <w:tcW w:w="2536" w:type="dxa"/>
            <w:tcBorders>
              <w:top w:val="nil"/>
              <w:left w:val="nil"/>
              <w:bottom w:val="nil"/>
              <w:right w:val="nil"/>
            </w:tcBorders>
            <w:shd w:val="clear" w:color="auto" w:fill="auto"/>
            <w:noWrap/>
            <w:hideMark/>
          </w:tcPr>
          <w:p w14:paraId="4E914FF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Suriname</w:t>
            </w:r>
          </w:p>
        </w:tc>
        <w:tc>
          <w:tcPr>
            <w:tcW w:w="1680" w:type="dxa"/>
            <w:tcBorders>
              <w:top w:val="nil"/>
              <w:left w:val="nil"/>
              <w:bottom w:val="nil"/>
              <w:right w:val="nil"/>
            </w:tcBorders>
            <w:shd w:val="clear" w:color="auto" w:fill="auto"/>
            <w:noWrap/>
            <w:hideMark/>
          </w:tcPr>
          <w:p w14:paraId="37B5FEB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5BF984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E60E4C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3635A88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438EC45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170F9987" w14:textId="77777777" w:rsidTr="006760B7">
        <w:trPr>
          <w:trHeight w:val="210"/>
        </w:trPr>
        <w:tc>
          <w:tcPr>
            <w:tcW w:w="2536" w:type="dxa"/>
            <w:tcBorders>
              <w:top w:val="nil"/>
              <w:left w:val="nil"/>
              <w:bottom w:val="nil"/>
              <w:right w:val="nil"/>
            </w:tcBorders>
            <w:shd w:val="clear" w:color="auto" w:fill="auto"/>
            <w:noWrap/>
            <w:hideMark/>
          </w:tcPr>
          <w:p w14:paraId="5706298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Sweden</w:t>
            </w:r>
          </w:p>
        </w:tc>
        <w:tc>
          <w:tcPr>
            <w:tcW w:w="1680" w:type="dxa"/>
            <w:tcBorders>
              <w:top w:val="nil"/>
              <w:left w:val="nil"/>
              <w:bottom w:val="nil"/>
              <w:right w:val="nil"/>
            </w:tcBorders>
            <w:shd w:val="clear" w:color="auto" w:fill="auto"/>
            <w:noWrap/>
            <w:hideMark/>
          </w:tcPr>
          <w:p w14:paraId="22750C5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III</w:t>
            </w:r>
          </w:p>
        </w:tc>
        <w:tc>
          <w:tcPr>
            <w:tcW w:w="1436" w:type="dxa"/>
            <w:tcBorders>
              <w:top w:val="nil"/>
              <w:left w:val="nil"/>
              <w:bottom w:val="nil"/>
              <w:right w:val="nil"/>
            </w:tcBorders>
            <w:shd w:val="clear" w:color="auto" w:fill="auto"/>
            <w:noWrap/>
            <w:hideMark/>
          </w:tcPr>
          <w:p w14:paraId="7F676B0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15</w:t>
            </w:r>
          </w:p>
        </w:tc>
        <w:tc>
          <w:tcPr>
            <w:tcW w:w="1436" w:type="dxa"/>
            <w:tcBorders>
              <w:top w:val="nil"/>
              <w:left w:val="nil"/>
              <w:bottom w:val="nil"/>
              <w:right w:val="nil"/>
            </w:tcBorders>
            <w:shd w:val="clear" w:color="auto" w:fill="auto"/>
            <w:noWrap/>
            <w:hideMark/>
          </w:tcPr>
          <w:p w14:paraId="3D82BED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476" w:type="dxa"/>
            <w:tcBorders>
              <w:top w:val="nil"/>
              <w:left w:val="nil"/>
              <w:bottom w:val="nil"/>
              <w:right w:val="nil"/>
            </w:tcBorders>
            <w:shd w:val="clear" w:color="auto" w:fill="auto"/>
            <w:noWrap/>
            <w:hideMark/>
          </w:tcPr>
          <w:p w14:paraId="5BDF43B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396" w:type="dxa"/>
            <w:tcBorders>
              <w:top w:val="nil"/>
              <w:left w:val="nil"/>
              <w:bottom w:val="nil"/>
              <w:right w:val="nil"/>
            </w:tcBorders>
            <w:shd w:val="clear" w:color="auto" w:fill="auto"/>
            <w:noWrap/>
            <w:hideMark/>
          </w:tcPr>
          <w:p w14:paraId="1F36DED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1,367,370</w:t>
            </w:r>
          </w:p>
        </w:tc>
      </w:tr>
      <w:tr w:rsidR="006760B7" w:rsidRPr="006760B7" w14:paraId="4821B37A" w14:textId="77777777" w:rsidTr="006760B7">
        <w:trPr>
          <w:trHeight w:val="210"/>
        </w:trPr>
        <w:tc>
          <w:tcPr>
            <w:tcW w:w="2536" w:type="dxa"/>
            <w:tcBorders>
              <w:top w:val="nil"/>
              <w:left w:val="nil"/>
              <w:bottom w:val="nil"/>
              <w:right w:val="nil"/>
            </w:tcBorders>
            <w:shd w:val="clear" w:color="auto" w:fill="auto"/>
            <w:noWrap/>
            <w:hideMark/>
          </w:tcPr>
          <w:p w14:paraId="4C81851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Switzerland</w:t>
            </w:r>
          </w:p>
        </w:tc>
        <w:tc>
          <w:tcPr>
            <w:tcW w:w="1680" w:type="dxa"/>
            <w:tcBorders>
              <w:top w:val="nil"/>
              <w:left w:val="nil"/>
              <w:bottom w:val="nil"/>
              <w:right w:val="nil"/>
            </w:tcBorders>
            <w:shd w:val="clear" w:color="auto" w:fill="auto"/>
            <w:noWrap/>
            <w:hideMark/>
          </w:tcPr>
          <w:p w14:paraId="1FDBB44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III</w:t>
            </w:r>
          </w:p>
        </w:tc>
        <w:tc>
          <w:tcPr>
            <w:tcW w:w="1436" w:type="dxa"/>
            <w:tcBorders>
              <w:top w:val="nil"/>
              <w:left w:val="nil"/>
              <w:bottom w:val="nil"/>
              <w:right w:val="nil"/>
            </w:tcBorders>
            <w:shd w:val="clear" w:color="auto" w:fill="auto"/>
            <w:noWrap/>
            <w:hideMark/>
          </w:tcPr>
          <w:p w14:paraId="4A9FB1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15</w:t>
            </w:r>
          </w:p>
        </w:tc>
        <w:tc>
          <w:tcPr>
            <w:tcW w:w="1436" w:type="dxa"/>
            <w:tcBorders>
              <w:top w:val="nil"/>
              <w:left w:val="nil"/>
              <w:bottom w:val="nil"/>
              <w:right w:val="nil"/>
            </w:tcBorders>
            <w:shd w:val="clear" w:color="auto" w:fill="auto"/>
            <w:noWrap/>
            <w:hideMark/>
          </w:tcPr>
          <w:p w14:paraId="6B56497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476" w:type="dxa"/>
            <w:tcBorders>
              <w:top w:val="nil"/>
              <w:left w:val="nil"/>
              <w:bottom w:val="nil"/>
              <w:right w:val="nil"/>
            </w:tcBorders>
            <w:shd w:val="clear" w:color="auto" w:fill="auto"/>
            <w:noWrap/>
            <w:hideMark/>
          </w:tcPr>
          <w:p w14:paraId="684CDC0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683,685</w:t>
            </w:r>
          </w:p>
        </w:tc>
        <w:tc>
          <w:tcPr>
            <w:tcW w:w="1396" w:type="dxa"/>
            <w:tcBorders>
              <w:top w:val="nil"/>
              <w:left w:val="nil"/>
              <w:bottom w:val="nil"/>
              <w:right w:val="nil"/>
            </w:tcBorders>
            <w:shd w:val="clear" w:color="auto" w:fill="auto"/>
            <w:noWrap/>
            <w:hideMark/>
          </w:tcPr>
          <w:p w14:paraId="67A1E02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1,367,370</w:t>
            </w:r>
          </w:p>
        </w:tc>
      </w:tr>
      <w:tr w:rsidR="006760B7" w:rsidRPr="006760B7" w14:paraId="2929EEDC" w14:textId="77777777" w:rsidTr="006760B7">
        <w:trPr>
          <w:trHeight w:val="210"/>
        </w:trPr>
        <w:tc>
          <w:tcPr>
            <w:tcW w:w="2536" w:type="dxa"/>
            <w:tcBorders>
              <w:top w:val="nil"/>
              <w:left w:val="nil"/>
              <w:bottom w:val="nil"/>
              <w:right w:val="nil"/>
            </w:tcBorders>
            <w:shd w:val="clear" w:color="auto" w:fill="auto"/>
            <w:noWrap/>
            <w:hideMark/>
          </w:tcPr>
          <w:p w14:paraId="4FEF31B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Syrian Arab Republic </w:t>
            </w:r>
          </w:p>
        </w:tc>
        <w:tc>
          <w:tcPr>
            <w:tcW w:w="1680" w:type="dxa"/>
            <w:tcBorders>
              <w:top w:val="nil"/>
              <w:left w:val="nil"/>
              <w:bottom w:val="nil"/>
              <w:right w:val="nil"/>
            </w:tcBorders>
            <w:shd w:val="clear" w:color="auto" w:fill="auto"/>
            <w:noWrap/>
            <w:hideMark/>
          </w:tcPr>
          <w:p w14:paraId="26528CD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47F14A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0EC7C88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2164503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066F74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38FCFF93" w14:textId="77777777" w:rsidTr="006760B7">
        <w:trPr>
          <w:trHeight w:val="210"/>
        </w:trPr>
        <w:tc>
          <w:tcPr>
            <w:tcW w:w="2536" w:type="dxa"/>
            <w:tcBorders>
              <w:top w:val="nil"/>
              <w:left w:val="nil"/>
              <w:bottom w:val="single" w:sz="4" w:space="0" w:color="BFBFBF"/>
              <w:right w:val="nil"/>
            </w:tcBorders>
            <w:shd w:val="clear" w:color="auto" w:fill="auto"/>
            <w:noWrap/>
            <w:hideMark/>
          </w:tcPr>
          <w:p w14:paraId="48BD360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Tajikistan</w:t>
            </w:r>
          </w:p>
        </w:tc>
        <w:tc>
          <w:tcPr>
            <w:tcW w:w="1680" w:type="dxa"/>
            <w:tcBorders>
              <w:top w:val="nil"/>
              <w:left w:val="nil"/>
              <w:bottom w:val="single" w:sz="4" w:space="0" w:color="BFBFBF"/>
              <w:right w:val="nil"/>
            </w:tcBorders>
            <w:shd w:val="clear" w:color="auto" w:fill="auto"/>
            <w:noWrap/>
            <w:hideMark/>
          </w:tcPr>
          <w:p w14:paraId="1DCD942A"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single" w:sz="4" w:space="0" w:color="BFBFBF"/>
              <w:right w:val="nil"/>
            </w:tcBorders>
            <w:shd w:val="clear" w:color="auto" w:fill="auto"/>
            <w:noWrap/>
            <w:hideMark/>
          </w:tcPr>
          <w:p w14:paraId="72B9D3E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single" w:sz="4" w:space="0" w:color="BFBFBF"/>
              <w:right w:val="nil"/>
            </w:tcBorders>
            <w:shd w:val="clear" w:color="auto" w:fill="auto"/>
            <w:noWrap/>
            <w:hideMark/>
          </w:tcPr>
          <w:p w14:paraId="5E02BA5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single" w:sz="4" w:space="0" w:color="BFBFBF"/>
              <w:right w:val="nil"/>
            </w:tcBorders>
            <w:shd w:val="clear" w:color="auto" w:fill="auto"/>
            <w:noWrap/>
            <w:hideMark/>
          </w:tcPr>
          <w:p w14:paraId="29B3F78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single" w:sz="4" w:space="0" w:color="BFBFBF"/>
              <w:right w:val="nil"/>
            </w:tcBorders>
            <w:shd w:val="clear" w:color="auto" w:fill="auto"/>
            <w:noWrap/>
            <w:hideMark/>
          </w:tcPr>
          <w:p w14:paraId="782B879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1E048A97" w14:textId="77777777" w:rsidTr="006760B7">
        <w:trPr>
          <w:trHeight w:val="210"/>
        </w:trPr>
        <w:tc>
          <w:tcPr>
            <w:tcW w:w="2536" w:type="dxa"/>
            <w:tcBorders>
              <w:top w:val="nil"/>
              <w:left w:val="nil"/>
              <w:bottom w:val="nil"/>
              <w:right w:val="nil"/>
            </w:tcBorders>
            <w:shd w:val="clear" w:color="auto" w:fill="auto"/>
            <w:noWrap/>
            <w:hideMark/>
          </w:tcPr>
          <w:p w14:paraId="5CE576E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Thailand</w:t>
            </w:r>
          </w:p>
        </w:tc>
        <w:tc>
          <w:tcPr>
            <w:tcW w:w="1680" w:type="dxa"/>
            <w:tcBorders>
              <w:top w:val="nil"/>
              <w:left w:val="nil"/>
              <w:bottom w:val="nil"/>
              <w:right w:val="nil"/>
            </w:tcBorders>
            <w:shd w:val="clear" w:color="auto" w:fill="auto"/>
            <w:noWrap/>
            <w:hideMark/>
          </w:tcPr>
          <w:p w14:paraId="6A0F673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6BF7870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2037CB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2AD477C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340424C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3AFC946C" w14:textId="77777777" w:rsidTr="006760B7">
        <w:trPr>
          <w:trHeight w:val="250"/>
        </w:trPr>
        <w:tc>
          <w:tcPr>
            <w:tcW w:w="2536" w:type="dxa"/>
            <w:tcBorders>
              <w:top w:val="nil"/>
              <w:left w:val="nil"/>
              <w:bottom w:val="nil"/>
              <w:right w:val="nil"/>
            </w:tcBorders>
            <w:shd w:val="clear" w:color="auto" w:fill="auto"/>
            <w:noWrap/>
            <w:hideMark/>
          </w:tcPr>
          <w:p w14:paraId="2F458C9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Timor-Leste </w:t>
            </w:r>
            <w:r w:rsidRPr="006760B7">
              <w:rPr>
                <w:rFonts w:ascii="Arial Narrow" w:eastAsia="Times New Roman" w:hAnsi="Arial Narrow" w:cs="Arial"/>
                <w:color w:val="000000"/>
                <w:sz w:val="16"/>
                <w:szCs w:val="16"/>
                <w:vertAlign w:val="superscript"/>
                <w:lang w:val="en-US"/>
              </w:rPr>
              <w:t>2</w:t>
            </w:r>
          </w:p>
        </w:tc>
        <w:tc>
          <w:tcPr>
            <w:tcW w:w="1680" w:type="dxa"/>
            <w:tcBorders>
              <w:top w:val="nil"/>
              <w:left w:val="nil"/>
              <w:bottom w:val="nil"/>
              <w:right w:val="nil"/>
            </w:tcBorders>
            <w:shd w:val="clear" w:color="auto" w:fill="auto"/>
            <w:noWrap/>
            <w:hideMark/>
          </w:tcPr>
          <w:p w14:paraId="1A2F262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1DD7102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5E92FF7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485FF9A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24FA8CE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0EA02B2A" w14:textId="77777777" w:rsidTr="006760B7">
        <w:trPr>
          <w:trHeight w:val="210"/>
        </w:trPr>
        <w:tc>
          <w:tcPr>
            <w:tcW w:w="2536" w:type="dxa"/>
            <w:tcBorders>
              <w:top w:val="nil"/>
              <w:left w:val="nil"/>
              <w:bottom w:val="nil"/>
              <w:right w:val="nil"/>
            </w:tcBorders>
            <w:shd w:val="clear" w:color="auto" w:fill="auto"/>
            <w:noWrap/>
            <w:hideMark/>
          </w:tcPr>
          <w:p w14:paraId="06D6BB8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Togo</w:t>
            </w:r>
          </w:p>
        </w:tc>
        <w:tc>
          <w:tcPr>
            <w:tcW w:w="1680" w:type="dxa"/>
            <w:tcBorders>
              <w:top w:val="nil"/>
              <w:left w:val="nil"/>
              <w:bottom w:val="nil"/>
              <w:right w:val="nil"/>
            </w:tcBorders>
            <w:shd w:val="clear" w:color="auto" w:fill="auto"/>
            <w:noWrap/>
            <w:hideMark/>
          </w:tcPr>
          <w:p w14:paraId="76E581D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5DB2CD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2F7DC59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071263B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6789056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56DD3D32" w14:textId="77777777" w:rsidTr="006760B7">
        <w:trPr>
          <w:trHeight w:val="210"/>
        </w:trPr>
        <w:tc>
          <w:tcPr>
            <w:tcW w:w="2536" w:type="dxa"/>
            <w:tcBorders>
              <w:top w:val="nil"/>
              <w:left w:val="nil"/>
              <w:bottom w:val="nil"/>
              <w:right w:val="nil"/>
            </w:tcBorders>
            <w:shd w:val="clear" w:color="auto" w:fill="auto"/>
            <w:noWrap/>
            <w:hideMark/>
          </w:tcPr>
          <w:p w14:paraId="31A4A45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Tonga</w:t>
            </w:r>
          </w:p>
        </w:tc>
        <w:tc>
          <w:tcPr>
            <w:tcW w:w="1680" w:type="dxa"/>
            <w:tcBorders>
              <w:top w:val="nil"/>
              <w:left w:val="nil"/>
              <w:bottom w:val="nil"/>
              <w:right w:val="nil"/>
            </w:tcBorders>
            <w:shd w:val="clear" w:color="auto" w:fill="auto"/>
            <w:noWrap/>
            <w:hideMark/>
          </w:tcPr>
          <w:p w14:paraId="1440FB9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1C0097D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5DCEC21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5FF9C1A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0B870BD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0421220D" w14:textId="77777777" w:rsidTr="006760B7">
        <w:trPr>
          <w:trHeight w:val="210"/>
        </w:trPr>
        <w:tc>
          <w:tcPr>
            <w:tcW w:w="2536" w:type="dxa"/>
            <w:tcBorders>
              <w:top w:val="nil"/>
              <w:left w:val="nil"/>
              <w:bottom w:val="single" w:sz="4" w:space="0" w:color="BFBFBF"/>
              <w:right w:val="nil"/>
            </w:tcBorders>
            <w:shd w:val="clear" w:color="auto" w:fill="auto"/>
            <w:noWrap/>
            <w:hideMark/>
          </w:tcPr>
          <w:p w14:paraId="0081931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Trinidad and Tobago</w:t>
            </w:r>
          </w:p>
        </w:tc>
        <w:tc>
          <w:tcPr>
            <w:tcW w:w="1680" w:type="dxa"/>
            <w:tcBorders>
              <w:top w:val="nil"/>
              <w:left w:val="nil"/>
              <w:bottom w:val="single" w:sz="4" w:space="0" w:color="BFBFBF"/>
              <w:right w:val="nil"/>
            </w:tcBorders>
            <w:shd w:val="clear" w:color="auto" w:fill="auto"/>
            <w:noWrap/>
            <w:hideMark/>
          </w:tcPr>
          <w:p w14:paraId="05F395D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single" w:sz="4" w:space="0" w:color="BFBFBF"/>
              <w:right w:val="nil"/>
            </w:tcBorders>
            <w:shd w:val="clear" w:color="auto" w:fill="auto"/>
            <w:noWrap/>
            <w:hideMark/>
          </w:tcPr>
          <w:p w14:paraId="6CC9434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single" w:sz="4" w:space="0" w:color="BFBFBF"/>
              <w:right w:val="nil"/>
            </w:tcBorders>
            <w:shd w:val="clear" w:color="auto" w:fill="auto"/>
            <w:noWrap/>
            <w:hideMark/>
          </w:tcPr>
          <w:p w14:paraId="002814F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single" w:sz="4" w:space="0" w:color="BFBFBF"/>
              <w:right w:val="nil"/>
            </w:tcBorders>
            <w:shd w:val="clear" w:color="auto" w:fill="auto"/>
            <w:noWrap/>
            <w:hideMark/>
          </w:tcPr>
          <w:p w14:paraId="1CB9D5B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single" w:sz="4" w:space="0" w:color="BFBFBF"/>
              <w:right w:val="nil"/>
            </w:tcBorders>
            <w:shd w:val="clear" w:color="auto" w:fill="auto"/>
            <w:noWrap/>
            <w:hideMark/>
          </w:tcPr>
          <w:p w14:paraId="2047F8D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49064116" w14:textId="77777777" w:rsidTr="006760B7">
        <w:trPr>
          <w:trHeight w:val="210"/>
        </w:trPr>
        <w:tc>
          <w:tcPr>
            <w:tcW w:w="2536" w:type="dxa"/>
            <w:tcBorders>
              <w:top w:val="nil"/>
              <w:left w:val="nil"/>
              <w:bottom w:val="nil"/>
              <w:right w:val="nil"/>
            </w:tcBorders>
            <w:shd w:val="clear" w:color="auto" w:fill="auto"/>
            <w:noWrap/>
            <w:hideMark/>
          </w:tcPr>
          <w:p w14:paraId="0624021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Tunisia</w:t>
            </w:r>
          </w:p>
        </w:tc>
        <w:tc>
          <w:tcPr>
            <w:tcW w:w="1680" w:type="dxa"/>
            <w:tcBorders>
              <w:top w:val="nil"/>
              <w:left w:val="nil"/>
              <w:bottom w:val="nil"/>
              <w:right w:val="nil"/>
            </w:tcBorders>
            <w:shd w:val="clear" w:color="auto" w:fill="auto"/>
            <w:noWrap/>
            <w:hideMark/>
          </w:tcPr>
          <w:p w14:paraId="2E7052F8"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262BB32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7585E9A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2D62059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247C20E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06E9D7F" w14:textId="77777777" w:rsidTr="006760B7">
        <w:trPr>
          <w:trHeight w:val="210"/>
        </w:trPr>
        <w:tc>
          <w:tcPr>
            <w:tcW w:w="2536" w:type="dxa"/>
            <w:tcBorders>
              <w:top w:val="nil"/>
              <w:left w:val="nil"/>
              <w:bottom w:val="nil"/>
              <w:right w:val="nil"/>
            </w:tcBorders>
            <w:shd w:val="clear" w:color="auto" w:fill="auto"/>
            <w:noWrap/>
            <w:hideMark/>
          </w:tcPr>
          <w:p w14:paraId="0FFBD1AC"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Türkiye</w:t>
            </w:r>
          </w:p>
        </w:tc>
        <w:tc>
          <w:tcPr>
            <w:tcW w:w="1680" w:type="dxa"/>
            <w:tcBorders>
              <w:top w:val="nil"/>
              <w:left w:val="nil"/>
              <w:bottom w:val="nil"/>
              <w:right w:val="nil"/>
            </w:tcBorders>
            <w:shd w:val="clear" w:color="auto" w:fill="auto"/>
            <w:noWrap/>
            <w:hideMark/>
          </w:tcPr>
          <w:p w14:paraId="4AA75D7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VIbis</w:t>
            </w:r>
          </w:p>
        </w:tc>
        <w:tc>
          <w:tcPr>
            <w:tcW w:w="1436" w:type="dxa"/>
            <w:tcBorders>
              <w:top w:val="nil"/>
              <w:left w:val="nil"/>
              <w:bottom w:val="nil"/>
              <w:right w:val="nil"/>
            </w:tcBorders>
            <w:shd w:val="clear" w:color="auto" w:fill="auto"/>
            <w:noWrap/>
            <w:hideMark/>
          </w:tcPr>
          <w:p w14:paraId="11B8AD7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w:t>
            </w:r>
          </w:p>
        </w:tc>
        <w:tc>
          <w:tcPr>
            <w:tcW w:w="1436" w:type="dxa"/>
            <w:tcBorders>
              <w:top w:val="nil"/>
              <w:left w:val="nil"/>
              <w:bottom w:val="nil"/>
              <w:right w:val="nil"/>
            </w:tcBorders>
            <w:shd w:val="clear" w:color="auto" w:fill="auto"/>
            <w:noWrap/>
            <w:hideMark/>
          </w:tcPr>
          <w:p w14:paraId="74E379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476" w:type="dxa"/>
            <w:tcBorders>
              <w:top w:val="nil"/>
              <w:left w:val="nil"/>
              <w:bottom w:val="nil"/>
              <w:right w:val="nil"/>
            </w:tcBorders>
            <w:shd w:val="clear" w:color="auto" w:fill="auto"/>
            <w:noWrap/>
            <w:hideMark/>
          </w:tcPr>
          <w:p w14:paraId="55C8A4A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91,158</w:t>
            </w:r>
          </w:p>
        </w:tc>
        <w:tc>
          <w:tcPr>
            <w:tcW w:w="1396" w:type="dxa"/>
            <w:tcBorders>
              <w:top w:val="nil"/>
              <w:left w:val="nil"/>
              <w:bottom w:val="nil"/>
              <w:right w:val="nil"/>
            </w:tcBorders>
            <w:shd w:val="clear" w:color="auto" w:fill="auto"/>
            <w:noWrap/>
            <w:hideMark/>
          </w:tcPr>
          <w:p w14:paraId="0D617FC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182,316</w:t>
            </w:r>
          </w:p>
        </w:tc>
      </w:tr>
      <w:tr w:rsidR="006760B7" w:rsidRPr="006760B7" w14:paraId="60A9A2C3" w14:textId="77777777" w:rsidTr="006760B7">
        <w:trPr>
          <w:trHeight w:val="210"/>
        </w:trPr>
        <w:tc>
          <w:tcPr>
            <w:tcW w:w="2536" w:type="dxa"/>
            <w:tcBorders>
              <w:top w:val="nil"/>
              <w:left w:val="nil"/>
              <w:bottom w:val="nil"/>
              <w:right w:val="nil"/>
            </w:tcBorders>
            <w:shd w:val="clear" w:color="auto" w:fill="auto"/>
            <w:noWrap/>
            <w:hideMark/>
          </w:tcPr>
          <w:p w14:paraId="5E9D0C8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Turkmenistan</w:t>
            </w:r>
          </w:p>
        </w:tc>
        <w:tc>
          <w:tcPr>
            <w:tcW w:w="1680" w:type="dxa"/>
            <w:tcBorders>
              <w:top w:val="nil"/>
              <w:left w:val="nil"/>
              <w:bottom w:val="nil"/>
              <w:right w:val="nil"/>
            </w:tcBorders>
            <w:shd w:val="clear" w:color="auto" w:fill="auto"/>
            <w:noWrap/>
            <w:hideMark/>
          </w:tcPr>
          <w:p w14:paraId="49F710A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2645CC0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5EB1E73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69FFF04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1AB303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57401BCA" w14:textId="77777777" w:rsidTr="006760B7">
        <w:trPr>
          <w:trHeight w:val="210"/>
        </w:trPr>
        <w:tc>
          <w:tcPr>
            <w:tcW w:w="2536" w:type="dxa"/>
            <w:tcBorders>
              <w:top w:val="nil"/>
              <w:left w:val="nil"/>
              <w:bottom w:val="nil"/>
              <w:right w:val="nil"/>
            </w:tcBorders>
            <w:shd w:val="clear" w:color="auto" w:fill="auto"/>
            <w:noWrap/>
            <w:hideMark/>
          </w:tcPr>
          <w:p w14:paraId="66D5F79E"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Tuvalu</w:t>
            </w:r>
          </w:p>
        </w:tc>
        <w:tc>
          <w:tcPr>
            <w:tcW w:w="1680" w:type="dxa"/>
            <w:tcBorders>
              <w:top w:val="nil"/>
              <w:left w:val="nil"/>
              <w:bottom w:val="nil"/>
              <w:right w:val="nil"/>
            </w:tcBorders>
            <w:shd w:val="clear" w:color="auto" w:fill="auto"/>
            <w:noWrap/>
            <w:hideMark/>
          </w:tcPr>
          <w:p w14:paraId="39894E00"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63823B8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1632889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BAF5EA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1CE026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3F000C32" w14:textId="77777777" w:rsidTr="006760B7">
        <w:trPr>
          <w:trHeight w:val="210"/>
        </w:trPr>
        <w:tc>
          <w:tcPr>
            <w:tcW w:w="2536" w:type="dxa"/>
            <w:tcBorders>
              <w:top w:val="nil"/>
              <w:left w:val="nil"/>
              <w:bottom w:val="single" w:sz="4" w:space="0" w:color="BFBFBF"/>
              <w:right w:val="nil"/>
            </w:tcBorders>
            <w:shd w:val="clear" w:color="auto" w:fill="auto"/>
            <w:noWrap/>
            <w:hideMark/>
          </w:tcPr>
          <w:p w14:paraId="5176E87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Uganda</w:t>
            </w:r>
          </w:p>
        </w:tc>
        <w:tc>
          <w:tcPr>
            <w:tcW w:w="1680" w:type="dxa"/>
            <w:tcBorders>
              <w:top w:val="nil"/>
              <w:left w:val="nil"/>
              <w:bottom w:val="single" w:sz="4" w:space="0" w:color="BFBFBF"/>
              <w:right w:val="nil"/>
            </w:tcBorders>
            <w:shd w:val="clear" w:color="auto" w:fill="auto"/>
            <w:noWrap/>
            <w:hideMark/>
          </w:tcPr>
          <w:p w14:paraId="59C0935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single" w:sz="4" w:space="0" w:color="BFBFBF"/>
              <w:right w:val="nil"/>
            </w:tcBorders>
            <w:shd w:val="clear" w:color="auto" w:fill="auto"/>
            <w:noWrap/>
            <w:hideMark/>
          </w:tcPr>
          <w:p w14:paraId="4BE14B5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single" w:sz="4" w:space="0" w:color="BFBFBF"/>
              <w:right w:val="nil"/>
            </w:tcBorders>
            <w:shd w:val="clear" w:color="auto" w:fill="auto"/>
            <w:noWrap/>
            <w:hideMark/>
          </w:tcPr>
          <w:p w14:paraId="1D14478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single" w:sz="4" w:space="0" w:color="BFBFBF"/>
              <w:right w:val="nil"/>
            </w:tcBorders>
            <w:shd w:val="clear" w:color="auto" w:fill="auto"/>
            <w:noWrap/>
            <w:hideMark/>
          </w:tcPr>
          <w:p w14:paraId="2E09211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single" w:sz="4" w:space="0" w:color="BFBFBF"/>
              <w:right w:val="nil"/>
            </w:tcBorders>
            <w:shd w:val="clear" w:color="auto" w:fill="auto"/>
            <w:noWrap/>
            <w:hideMark/>
          </w:tcPr>
          <w:p w14:paraId="2F46824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2E7DE335" w14:textId="77777777" w:rsidTr="006760B7">
        <w:trPr>
          <w:trHeight w:val="210"/>
        </w:trPr>
        <w:tc>
          <w:tcPr>
            <w:tcW w:w="2536" w:type="dxa"/>
            <w:tcBorders>
              <w:top w:val="nil"/>
              <w:left w:val="nil"/>
              <w:bottom w:val="nil"/>
              <w:right w:val="nil"/>
            </w:tcBorders>
            <w:shd w:val="clear" w:color="auto" w:fill="auto"/>
            <w:noWrap/>
            <w:hideMark/>
          </w:tcPr>
          <w:p w14:paraId="7FE0BB6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Ukraine</w:t>
            </w:r>
          </w:p>
        </w:tc>
        <w:tc>
          <w:tcPr>
            <w:tcW w:w="1680" w:type="dxa"/>
            <w:tcBorders>
              <w:top w:val="nil"/>
              <w:left w:val="nil"/>
              <w:bottom w:val="nil"/>
              <w:right w:val="nil"/>
            </w:tcBorders>
            <w:shd w:val="clear" w:color="auto" w:fill="auto"/>
            <w:noWrap/>
            <w:hideMark/>
          </w:tcPr>
          <w:p w14:paraId="6B82EF3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192091E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118A6BA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06503DC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4F5FEFC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0C1F6C38" w14:textId="77777777" w:rsidTr="006760B7">
        <w:trPr>
          <w:trHeight w:val="210"/>
        </w:trPr>
        <w:tc>
          <w:tcPr>
            <w:tcW w:w="2536" w:type="dxa"/>
            <w:tcBorders>
              <w:top w:val="nil"/>
              <w:left w:val="nil"/>
              <w:bottom w:val="nil"/>
              <w:right w:val="nil"/>
            </w:tcBorders>
            <w:shd w:val="clear" w:color="auto" w:fill="auto"/>
            <w:noWrap/>
            <w:hideMark/>
          </w:tcPr>
          <w:p w14:paraId="2E823A2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United Arab Emirates </w:t>
            </w:r>
          </w:p>
        </w:tc>
        <w:tc>
          <w:tcPr>
            <w:tcW w:w="1680" w:type="dxa"/>
            <w:tcBorders>
              <w:top w:val="nil"/>
              <w:left w:val="nil"/>
              <w:bottom w:val="nil"/>
              <w:right w:val="nil"/>
            </w:tcBorders>
            <w:shd w:val="clear" w:color="auto" w:fill="auto"/>
            <w:noWrap/>
            <w:hideMark/>
          </w:tcPr>
          <w:p w14:paraId="54FDB21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23A6514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3E8A109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51AABF2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1E75112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4F904060" w14:textId="77777777" w:rsidTr="006760B7">
        <w:trPr>
          <w:trHeight w:val="210"/>
        </w:trPr>
        <w:tc>
          <w:tcPr>
            <w:tcW w:w="2536" w:type="dxa"/>
            <w:tcBorders>
              <w:top w:val="nil"/>
              <w:left w:val="nil"/>
              <w:bottom w:val="nil"/>
              <w:right w:val="nil"/>
            </w:tcBorders>
            <w:shd w:val="clear" w:color="auto" w:fill="auto"/>
            <w:noWrap/>
            <w:hideMark/>
          </w:tcPr>
          <w:p w14:paraId="2C876787"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United Kingdom</w:t>
            </w:r>
          </w:p>
        </w:tc>
        <w:tc>
          <w:tcPr>
            <w:tcW w:w="1680" w:type="dxa"/>
            <w:tcBorders>
              <w:top w:val="nil"/>
              <w:left w:val="nil"/>
              <w:bottom w:val="nil"/>
              <w:right w:val="nil"/>
            </w:tcBorders>
            <w:shd w:val="clear" w:color="auto" w:fill="auto"/>
            <w:noWrap/>
            <w:hideMark/>
          </w:tcPr>
          <w:p w14:paraId="619B6EF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w:t>
            </w:r>
          </w:p>
        </w:tc>
        <w:tc>
          <w:tcPr>
            <w:tcW w:w="1436" w:type="dxa"/>
            <w:tcBorders>
              <w:top w:val="nil"/>
              <w:left w:val="nil"/>
              <w:bottom w:val="nil"/>
              <w:right w:val="nil"/>
            </w:tcBorders>
            <w:shd w:val="clear" w:color="auto" w:fill="auto"/>
            <w:noWrap/>
            <w:hideMark/>
          </w:tcPr>
          <w:p w14:paraId="22FC30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25</w:t>
            </w:r>
          </w:p>
        </w:tc>
        <w:tc>
          <w:tcPr>
            <w:tcW w:w="1436" w:type="dxa"/>
            <w:tcBorders>
              <w:top w:val="nil"/>
              <w:left w:val="nil"/>
              <w:bottom w:val="nil"/>
              <w:right w:val="nil"/>
            </w:tcBorders>
            <w:shd w:val="clear" w:color="auto" w:fill="auto"/>
            <w:noWrap/>
            <w:hideMark/>
          </w:tcPr>
          <w:p w14:paraId="3FCA540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476" w:type="dxa"/>
            <w:tcBorders>
              <w:top w:val="nil"/>
              <w:left w:val="nil"/>
              <w:bottom w:val="nil"/>
              <w:right w:val="nil"/>
            </w:tcBorders>
            <w:shd w:val="clear" w:color="auto" w:fill="auto"/>
            <w:noWrap/>
            <w:hideMark/>
          </w:tcPr>
          <w:p w14:paraId="50067D3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396" w:type="dxa"/>
            <w:tcBorders>
              <w:top w:val="nil"/>
              <w:left w:val="nil"/>
              <w:bottom w:val="nil"/>
              <w:right w:val="nil"/>
            </w:tcBorders>
            <w:shd w:val="clear" w:color="auto" w:fill="auto"/>
            <w:noWrap/>
            <w:hideMark/>
          </w:tcPr>
          <w:p w14:paraId="23FD82D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2,278,950</w:t>
            </w:r>
          </w:p>
        </w:tc>
      </w:tr>
      <w:tr w:rsidR="006760B7" w:rsidRPr="006760B7" w14:paraId="73E3A097" w14:textId="77777777" w:rsidTr="006760B7">
        <w:trPr>
          <w:trHeight w:val="210"/>
        </w:trPr>
        <w:tc>
          <w:tcPr>
            <w:tcW w:w="2536" w:type="dxa"/>
            <w:tcBorders>
              <w:top w:val="nil"/>
              <w:left w:val="nil"/>
              <w:bottom w:val="nil"/>
              <w:right w:val="nil"/>
            </w:tcBorders>
            <w:shd w:val="clear" w:color="auto" w:fill="auto"/>
            <w:noWrap/>
            <w:hideMark/>
          </w:tcPr>
          <w:p w14:paraId="6C02826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United Republic of Tanzania </w:t>
            </w:r>
          </w:p>
        </w:tc>
        <w:tc>
          <w:tcPr>
            <w:tcW w:w="1680" w:type="dxa"/>
            <w:tcBorders>
              <w:top w:val="nil"/>
              <w:left w:val="nil"/>
              <w:bottom w:val="nil"/>
              <w:right w:val="nil"/>
            </w:tcBorders>
            <w:shd w:val="clear" w:color="auto" w:fill="auto"/>
            <w:noWrap/>
            <w:hideMark/>
          </w:tcPr>
          <w:p w14:paraId="3751C053"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564C036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3D2B32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3D3684E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6F964BB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61242592" w14:textId="77777777" w:rsidTr="006760B7">
        <w:trPr>
          <w:trHeight w:val="210"/>
        </w:trPr>
        <w:tc>
          <w:tcPr>
            <w:tcW w:w="2536" w:type="dxa"/>
            <w:tcBorders>
              <w:top w:val="nil"/>
              <w:left w:val="nil"/>
              <w:bottom w:val="single" w:sz="4" w:space="0" w:color="BFBFBF"/>
              <w:right w:val="nil"/>
            </w:tcBorders>
            <w:shd w:val="clear" w:color="auto" w:fill="auto"/>
            <w:noWrap/>
            <w:hideMark/>
          </w:tcPr>
          <w:p w14:paraId="7E94BD75"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United States of America </w:t>
            </w:r>
          </w:p>
        </w:tc>
        <w:tc>
          <w:tcPr>
            <w:tcW w:w="1680" w:type="dxa"/>
            <w:tcBorders>
              <w:top w:val="nil"/>
              <w:left w:val="nil"/>
              <w:bottom w:val="single" w:sz="4" w:space="0" w:color="BFBFBF"/>
              <w:right w:val="nil"/>
            </w:tcBorders>
            <w:shd w:val="clear" w:color="auto" w:fill="auto"/>
            <w:noWrap/>
            <w:hideMark/>
          </w:tcPr>
          <w:p w14:paraId="2B353468"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w:t>
            </w:r>
          </w:p>
        </w:tc>
        <w:tc>
          <w:tcPr>
            <w:tcW w:w="1436" w:type="dxa"/>
            <w:tcBorders>
              <w:top w:val="nil"/>
              <w:left w:val="nil"/>
              <w:bottom w:val="single" w:sz="4" w:space="0" w:color="BFBFBF"/>
              <w:right w:val="nil"/>
            </w:tcBorders>
            <w:shd w:val="clear" w:color="auto" w:fill="auto"/>
            <w:noWrap/>
            <w:hideMark/>
          </w:tcPr>
          <w:p w14:paraId="332839D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25</w:t>
            </w:r>
          </w:p>
        </w:tc>
        <w:tc>
          <w:tcPr>
            <w:tcW w:w="1436" w:type="dxa"/>
            <w:tcBorders>
              <w:top w:val="nil"/>
              <w:left w:val="nil"/>
              <w:bottom w:val="single" w:sz="4" w:space="0" w:color="BFBFBF"/>
              <w:right w:val="nil"/>
            </w:tcBorders>
            <w:shd w:val="clear" w:color="auto" w:fill="auto"/>
            <w:noWrap/>
            <w:hideMark/>
          </w:tcPr>
          <w:p w14:paraId="293FF8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476" w:type="dxa"/>
            <w:tcBorders>
              <w:top w:val="nil"/>
              <w:left w:val="nil"/>
              <w:bottom w:val="single" w:sz="4" w:space="0" w:color="BFBFBF"/>
              <w:right w:val="nil"/>
            </w:tcBorders>
            <w:shd w:val="clear" w:color="auto" w:fill="auto"/>
            <w:noWrap/>
            <w:hideMark/>
          </w:tcPr>
          <w:p w14:paraId="163D4D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1,139,475</w:t>
            </w:r>
          </w:p>
        </w:tc>
        <w:tc>
          <w:tcPr>
            <w:tcW w:w="1396" w:type="dxa"/>
            <w:tcBorders>
              <w:top w:val="nil"/>
              <w:left w:val="nil"/>
              <w:bottom w:val="single" w:sz="4" w:space="0" w:color="BFBFBF"/>
              <w:right w:val="nil"/>
            </w:tcBorders>
            <w:shd w:val="clear" w:color="auto" w:fill="auto"/>
            <w:noWrap/>
            <w:hideMark/>
          </w:tcPr>
          <w:p w14:paraId="48CC4FF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2,278,950</w:t>
            </w:r>
          </w:p>
        </w:tc>
      </w:tr>
      <w:tr w:rsidR="006760B7" w:rsidRPr="006760B7" w14:paraId="121C8132" w14:textId="77777777" w:rsidTr="006760B7">
        <w:trPr>
          <w:trHeight w:val="210"/>
        </w:trPr>
        <w:tc>
          <w:tcPr>
            <w:tcW w:w="2536" w:type="dxa"/>
            <w:tcBorders>
              <w:top w:val="nil"/>
              <w:left w:val="nil"/>
              <w:bottom w:val="nil"/>
              <w:right w:val="nil"/>
            </w:tcBorders>
            <w:shd w:val="clear" w:color="auto" w:fill="auto"/>
            <w:noWrap/>
            <w:hideMark/>
          </w:tcPr>
          <w:p w14:paraId="42C23B6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Uruguay</w:t>
            </w:r>
          </w:p>
        </w:tc>
        <w:tc>
          <w:tcPr>
            <w:tcW w:w="1680" w:type="dxa"/>
            <w:tcBorders>
              <w:top w:val="nil"/>
              <w:left w:val="nil"/>
              <w:bottom w:val="nil"/>
              <w:right w:val="nil"/>
            </w:tcBorders>
            <w:shd w:val="clear" w:color="auto" w:fill="auto"/>
            <w:noWrap/>
            <w:hideMark/>
          </w:tcPr>
          <w:p w14:paraId="306D2DA4"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nil"/>
              <w:right w:val="nil"/>
            </w:tcBorders>
            <w:shd w:val="clear" w:color="auto" w:fill="auto"/>
            <w:noWrap/>
            <w:hideMark/>
          </w:tcPr>
          <w:p w14:paraId="677CBCE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nil"/>
              <w:right w:val="nil"/>
            </w:tcBorders>
            <w:shd w:val="clear" w:color="auto" w:fill="auto"/>
            <w:noWrap/>
            <w:hideMark/>
          </w:tcPr>
          <w:p w14:paraId="3767B8F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nil"/>
              <w:right w:val="nil"/>
            </w:tcBorders>
            <w:shd w:val="clear" w:color="auto" w:fill="auto"/>
            <w:noWrap/>
            <w:hideMark/>
          </w:tcPr>
          <w:p w14:paraId="212FCDC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nil"/>
              <w:right w:val="nil"/>
            </w:tcBorders>
            <w:shd w:val="clear" w:color="auto" w:fill="auto"/>
            <w:noWrap/>
            <w:hideMark/>
          </w:tcPr>
          <w:p w14:paraId="41F5E9F0"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62E4649D" w14:textId="77777777" w:rsidTr="006760B7">
        <w:trPr>
          <w:trHeight w:val="210"/>
        </w:trPr>
        <w:tc>
          <w:tcPr>
            <w:tcW w:w="2536" w:type="dxa"/>
            <w:tcBorders>
              <w:top w:val="nil"/>
              <w:left w:val="nil"/>
              <w:bottom w:val="nil"/>
              <w:right w:val="nil"/>
            </w:tcBorders>
            <w:shd w:val="clear" w:color="auto" w:fill="auto"/>
            <w:noWrap/>
            <w:hideMark/>
          </w:tcPr>
          <w:p w14:paraId="6A9508F1"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Uzbekistan</w:t>
            </w:r>
          </w:p>
        </w:tc>
        <w:tc>
          <w:tcPr>
            <w:tcW w:w="1680" w:type="dxa"/>
            <w:tcBorders>
              <w:top w:val="nil"/>
              <w:left w:val="nil"/>
              <w:bottom w:val="nil"/>
              <w:right w:val="nil"/>
            </w:tcBorders>
            <w:shd w:val="clear" w:color="auto" w:fill="auto"/>
            <w:noWrap/>
            <w:hideMark/>
          </w:tcPr>
          <w:p w14:paraId="7285051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7420AFF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250AD57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2BAC2E7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7805FB5"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5029FE00" w14:textId="77777777" w:rsidTr="006760B7">
        <w:trPr>
          <w:trHeight w:val="210"/>
        </w:trPr>
        <w:tc>
          <w:tcPr>
            <w:tcW w:w="2536" w:type="dxa"/>
            <w:tcBorders>
              <w:top w:val="nil"/>
              <w:left w:val="nil"/>
              <w:bottom w:val="nil"/>
              <w:right w:val="nil"/>
            </w:tcBorders>
            <w:shd w:val="clear" w:color="auto" w:fill="auto"/>
            <w:noWrap/>
            <w:hideMark/>
          </w:tcPr>
          <w:p w14:paraId="6EF4CE46"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Vanuatu</w:t>
            </w:r>
          </w:p>
        </w:tc>
        <w:tc>
          <w:tcPr>
            <w:tcW w:w="1680" w:type="dxa"/>
            <w:tcBorders>
              <w:top w:val="nil"/>
              <w:left w:val="nil"/>
              <w:bottom w:val="nil"/>
              <w:right w:val="nil"/>
            </w:tcBorders>
            <w:shd w:val="clear" w:color="auto" w:fill="auto"/>
            <w:noWrap/>
            <w:hideMark/>
          </w:tcPr>
          <w:p w14:paraId="409A3B35"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nil"/>
              <w:right w:val="nil"/>
            </w:tcBorders>
            <w:shd w:val="clear" w:color="auto" w:fill="auto"/>
            <w:noWrap/>
            <w:hideMark/>
          </w:tcPr>
          <w:p w14:paraId="77DE29C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nil"/>
              <w:right w:val="nil"/>
            </w:tcBorders>
            <w:shd w:val="clear" w:color="auto" w:fill="auto"/>
            <w:noWrap/>
            <w:hideMark/>
          </w:tcPr>
          <w:p w14:paraId="20F4D89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nil"/>
              <w:right w:val="nil"/>
            </w:tcBorders>
            <w:shd w:val="clear" w:color="auto" w:fill="auto"/>
            <w:noWrap/>
            <w:hideMark/>
          </w:tcPr>
          <w:p w14:paraId="6C25B58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nil"/>
              <w:right w:val="nil"/>
            </w:tcBorders>
            <w:shd w:val="clear" w:color="auto" w:fill="auto"/>
            <w:noWrap/>
            <w:hideMark/>
          </w:tcPr>
          <w:p w14:paraId="7DB2D1D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6BBF8A64" w14:textId="77777777" w:rsidTr="006760B7">
        <w:trPr>
          <w:trHeight w:val="210"/>
        </w:trPr>
        <w:tc>
          <w:tcPr>
            <w:tcW w:w="2536" w:type="dxa"/>
            <w:tcBorders>
              <w:top w:val="nil"/>
              <w:left w:val="nil"/>
              <w:bottom w:val="nil"/>
              <w:right w:val="nil"/>
            </w:tcBorders>
            <w:shd w:val="clear" w:color="auto" w:fill="auto"/>
            <w:noWrap/>
            <w:hideMark/>
          </w:tcPr>
          <w:p w14:paraId="7602236F"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Venezuela (Bolivarian Republic of)</w:t>
            </w:r>
          </w:p>
        </w:tc>
        <w:tc>
          <w:tcPr>
            <w:tcW w:w="1680" w:type="dxa"/>
            <w:tcBorders>
              <w:top w:val="nil"/>
              <w:left w:val="nil"/>
              <w:bottom w:val="nil"/>
              <w:right w:val="nil"/>
            </w:tcBorders>
            <w:shd w:val="clear" w:color="auto" w:fill="auto"/>
            <w:noWrap/>
            <w:hideMark/>
          </w:tcPr>
          <w:p w14:paraId="4B164692"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IX</w:t>
            </w:r>
          </w:p>
        </w:tc>
        <w:tc>
          <w:tcPr>
            <w:tcW w:w="1436" w:type="dxa"/>
            <w:tcBorders>
              <w:top w:val="nil"/>
              <w:left w:val="nil"/>
              <w:bottom w:val="nil"/>
              <w:right w:val="nil"/>
            </w:tcBorders>
            <w:shd w:val="clear" w:color="auto" w:fill="auto"/>
            <w:noWrap/>
            <w:hideMark/>
          </w:tcPr>
          <w:p w14:paraId="309E229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0.25</w:t>
            </w:r>
          </w:p>
        </w:tc>
        <w:tc>
          <w:tcPr>
            <w:tcW w:w="1436" w:type="dxa"/>
            <w:tcBorders>
              <w:top w:val="nil"/>
              <w:left w:val="nil"/>
              <w:bottom w:val="nil"/>
              <w:right w:val="nil"/>
            </w:tcBorders>
            <w:shd w:val="clear" w:color="auto" w:fill="auto"/>
            <w:noWrap/>
            <w:hideMark/>
          </w:tcPr>
          <w:p w14:paraId="3DA19C4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476" w:type="dxa"/>
            <w:tcBorders>
              <w:top w:val="nil"/>
              <w:left w:val="nil"/>
              <w:bottom w:val="nil"/>
              <w:right w:val="nil"/>
            </w:tcBorders>
            <w:shd w:val="clear" w:color="auto" w:fill="auto"/>
            <w:noWrap/>
            <w:hideMark/>
          </w:tcPr>
          <w:p w14:paraId="7BF503B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11,395</w:t>
            </w:r>
          </w:p>
        </w:tc>
        <w:tc>
          <w:tcPr>
            <w:tcW w:w="1396" w:type="dxa"/>
            <w:tcBorders>
              <w:top w:val="nil"/>
              <w:left w:val="nil"/>
              <w:bottom w:val="nil"/>
              <w:right w:val="nil"/>
            </w:tcBorders>
            <w:shd w:val="clear" w:color="auto" w:fill="auto"/>
            <w:noWrap/>
            <w:hideMark/>
          </w:tcPr>
          <w:p w14:paraId="019C7EF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22,790</w:t>
            </w:r>
          </w:p>
        </w:tc>
      </w:tr>
      <w:tr w:rsidR="006760B7" w:rsidRPr="006760B7" w14:paraId="765A59B3" w14:textId="77777777" w:rsidTr="006760B7">
        <w:trPr>
          <w:trHeight w:val="210"/>
        </w:trPr>
        <w:tc>
          <w:tcPr>
            <w:tcW w:w="2536" w:type="dxa"/>
            <w:tcBorders>
              <w:top w:val="nil"/>
              <w:left w:val="nil"/>
              <w:bottom w:val="single" w:sz="4" w:space="0" w:color="BFBFBF"/>
              <w:right w:val="nil"/>
            </w:tcBorders>
            <w:shd w:val="clear" w:color="auto" w:fill="auto"/>
            <w:noWrap/>
            <w:hideMark/>
          </w:tcPr>
          <w:p w14:paraId="2E2D152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Viet Nam</w:t>
            </w:r>
          </w:p>
        </w:tc>
        <w:tc>
          <w:tcPr>
            <w:tcW w:w="1680" w:type="dxa"/>
            <w:tcBorders>
              <w:top w:val="nil"/>
              <w:left w:val="nil"/>
              <w:bottom w:val="single" w:sz="4" w:space="0" w:color="BFBFBF"/>
              <w:right w:val="nil"/>
            </w:tcBorders>
            <w:shd w:val="clear" w:color="auto" w:fill="auto"/>
            <w:noWrap/>
            <w:hideMark/>
          </w:tcPr>
          <w:p w14:paraId="1291D4C9"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S</w:t>
            </w:r>
          </w:p>
        </w:tc>
        <w:tc>
          <w:tcPr>
            <w:tcW w:w="1436" w:type="dxa"/>
            <w:tcBorders>
              <w:top w:val="nil"/>
              <w:left w:val="nil"/>
              <w:bottom w:val="single" w:sz="4" w:space="0" w:color="BFBFBF"/>
              <w:right w:val="nil"/>
            </w:tcBorders>
            <w:shd w:val="clear" w:color="auto" w:fill="auto"/>
            <w:noWrap/>
            <w:hideMark/>
          </w:tcPr>
          <w:p w14:paraId="7F9CE567"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0.125</w:t>
            </w:r>
          </w:p>
        </w:tc>
        <w:tc>
          <w:tcPr>
            <w:tcW w:w="1436" w:type="dxa"/>
            <w:tcBorders>
              <w:top w:val="nil"/>
              <w:left w:val="nil"/>
              <w:bottom w:val="single" w:sz="4" w:space="0" w:color="BFBFBF"/>
              <w:right w:val="nil"/>
            </w:tcBorders>
            <w:shd w:val="clear" w:color="auto" w:fill="auto"/>
            <w:noWrap/>
            <w:hideMark/>
          </w:tcPr>
          <w:p w14:paraId="41199E13"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476" w:type="dxa"/>
            <w:tcBorders>
              <w:top w:val="nil"/>
              <w:left w:val="nil"/>
              <w:bottom w:val="single" w:sz="4" w:space="0" w:color="BFBFBF"/>
              <w:right w:val="nil"/>
            </w:tcBorders>
            <w:shd w:val="clear" w:color="auto" w:fill="auto"/>
            <w:noWrap/>
            <w:hideMark/>
          </w:tcPr>
          <w:p w14:paraId="0ED209E9"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5,697</w:t>
            </w:r>
          </w:p>
        </w:tc>
        <w:tc>
          <w:tcPr>
            <w:tcW w:w="1396" w:type="dxa"/>
            <w:tcBorders>
              <w:top w:val="nil"/>
              <w:left w:val="nil"/>
              <w:bottom w:val="single" w:sz="4" w:space="0" w:color="BFBFBF"/>
              <w:right w:val="nil"/>
            </w:tcBorders>
            <w:shd w:val="clear" w:color="auto" w:fill="auto"/>
            <w:noWrap/>
            <w:hideMark/>
          </w:tcPr>
          <w:p w14:paraId="2AD2DC4E"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11,394</w:t>
            </w:r>
          </w:p>
        </w:tc>
      </w:tr>
      <w:tr w:rsidR="006760B7" w:rsidRPr="006760B7" w14:paraId="5F5FC761" w14:textId="77777777" w:rsidTr="006760B7">
        <w:trPr>
          <w:trHeight w:val="210"/>
        </w:trPr>
        <w:tc>
          <w:tcPr>
            <w:tcW w:w="2536" w:type="dxa"/>
            <w:tcBorders>
              <w:top w:val="nil"/>
              <w:left w:val="nil"/>
              <w:bottom w:val="nil"/>
              <w:right w:val="nil"/>
            </w:tcBorders>
            <w:shd w:val="clear" w:color="auto" w:fill="auto"/>
            <w:noWrap/>
            <w:hideMark/>
          </w:tcPr>
          <w:p w14:paraId="03301F2B"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 xml:space="preserve">Yemen </w:t>
            </w:r>
          </w:p>
        </w:tc>
        <w:tc>
          <w:tcPr>
            <w:tcW w:w="1680" w:type="dxa"/>
            <w:tcBorders>
              <w:top w:val="nil"/>
              <w:left w:val="nil"/>
              <w:bottom w:val="nil"/>
              <w:right w:val="nil"/>
            </w:tcBorders>
            <w:shd w:val="clear" w:color="auto" w:fill="auto"/>
            <w:noWrap/>
            <w:hideMark/>
          </w:tcPr>
          <w:p w14:paraId="682860E7"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701A652B"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3FA81F01"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2FBA30E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14F3931F"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B55F86F" w14:textId="77777777" w:rsidTr="006760B7">
        <w:trPr>
          <w:trHeight w:val="210"/>
        </w:trPr>
        <w:tc>
          <w:tcPr>
            <w:tcW w:w="2536" w:type="dxa"/>
            <w:tcBorders>
              <w:top w:val="nil"/>
              <w:left w:val="nil"/>
              <w:bottom w:val="nil"/>
              <w:right w:val="nil"/>
            </w:tcBorders>
            <w:shd w:val="clear" w:color="auto" w:fill="auto"/>
            <w:noWrap/>
            <w:hideMark/>
          </w:tcPr>
          <w:p w14:paraId="7870BA2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Zambia</w:t>
            </w:r>
          </w:p>
        </w:tc>
        <w:tc>
          <w:tcPr>
            <w:tcW w:w="1680" w:type="dxa"/>
            <w:tcBorders>
              <w:top w:val="nil"/>
              <w:left w:val="nil"/>
              <w:bottom w:val="nil"/>
              <w:right w:val="nil"/>
            </w:tcBorders>
            <w:shd w:val="clear" w:color="auto" w:fill="auto"/>
            <w:noWrap/>
            <w:hideMark/>
          </w:tcPr>
          <w:p w14:paraId="17A1D21E"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Ster</w:t>
            </w:r>
          </w:p>
        </w:tc>
        <w:tc>
          <w:tcPr>
            <w:tcW w:w="1436" w:type="dxa"/>
            <w:tcBorders>
              <w:top w:val="nil"/>
              <w:left w:val="nil"/>
              <w:bottom w:val="nil"/>
              <w:right w:val="nil"/>
            </w:tcBorders>
            <w:shd w:val="clear" w:color="auto" w:fill="auto"/>
            <w:noWrap/>
            <w:hideMark/>
          </w:tcPr>
          <w:p w14:paraId="3606970D"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0.03125</w:t>
            </w:r>
          </w:p>
        </w:tc>
        <w:tc>
          <w:tcPr>
            <w:tcW w:w="1436" w:type="dxa"/>
            <w:tcBorders>
              <w:top w:val="nil"/>
              <w:left w:val="nil"/>
              <w:bottom w:val="nil"/>
              <w:right w:val="nil"/>
            </w:tcBorders>
            <w:shd w:val="clear" w:color="auto" w:fill="auto"/>
            <w:noWrap/>
            <w:hideMark/>
          </w:tcPr>
          <w:p w14:paraId="35DD9282"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476" w:type="dxa"/>
            <w:tcBorders>
              <w:top w:val="nil"/>
              <w:left w:val="nil"/>
              <w:bottom w:val="nil"/>
              <w:right w:val="nil"/>
            </w:tcBorders>
            <w:shd w:val="clear" w:color="auto" w:fill="auto"/>
            <w:noWrap/>
            <w:hideMark/>
          </w:tcPr>
          <w:p w14:paraId="104A555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1,424</w:t>
            </w:r>
          </w:p>
        </w:tc>
        <w:tc>
          <w:tcPr>
            <w:tcW w:w="1396" w:type="dxa"/>
            <w:tcBorders>
              <w:top w:val="nil"/>
              <w:left w:val="nil"/>
              <w:bottom w:val="nil"/>
              <w:right w:val="nil"/>
            </w:tcBorders>
            <w:shd w:val="clear" w:color="auto" w:fill="auto"/>
            <w:noWrap/>
            <w:hideMark/>
          </w:tcPr>
          <w:p w14:paraId="0EB831AA"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2,848</w:t>
            </w:r>
          </w:p>
        </w:tc>
      </w:tr>
      <w:tr w:rsidR="006760B7" w:rsidRPr="006760B7" w14:paraId="40BE022C" w14:textId="77777777" w:rsidTr="006760B7">
        <w:trPr>
          <w:trHeight w:val="220"/>
        </w:trPr>
        <w:tc>
          <w:tcPr>
            <w:tcW w:w="2536" w:type="dxa"/>
            <w:tcBorders>
              <w:top w:val="nil"/>
              <w:left w:val="nil"/>
              <w:bottom w:val="single" w:sz="8" w:space="0" w:color="BFBFBF"/>
              <w:right w:val="nil"/>
            </w:tcBorders>
            <w:shd w:val="clear" w:color="auto" w:fill="auto"/>
            <w:noWrap/>
            <w:hideMark/>
          </w:tcPr>
          <w:p w14:paraId="3C28A493" w14:textId="77777777" w:rsidR="006760B7" w:rsidRPr="006760B7" w:rsidRDefault="006760B7" w:rsidP="006760B7">
            <w:pPr>
              <w:spacing w:after="0" w:line="240" w:lineRule="auto"/>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Zimbabwe</w:t>
            </w:r>
          </w:p>
        </w:tc>
        <w:tc>
          <w:tcPr>
            <w:tcW w:w="1680" w:type="dxa"/>
            <w:tcBorders>
              <w:top w:val="nil"/>
              <w:left w:val="nil"/>
              <w:bottom w:val="single" w:sz="8" w:space="0" w:color="BFBFBF"/>
              <w:right w:val="nil"/>
            </w:tcBorders>
            <w:shd w:val="clear" w:color="auto" w:fill="auto"/>
            <w:noWrap/>
            <w:hideMark/>
          </w:tcPr>
          <w:p w14:paraId="7E3E649B" w14:textId="77777777" w:rsidR="006760B7" w:rsidRPr="006760B7" w:rsidRDefault="006760B7" w:rsidP="006760B7">
            <w:pPr>
              <w:spacing w:after="0" w:line="240" w:lineRule="auto"/>
              <w:rPr>
                <w:rFonts w:ascii="Arial Narrow" w:eastAsia="Times New Roman" w:hAnsi="Arial Narrow" w:cs="Arial"/>
                <w:i/>
                <w:iCs/>
                <w:color w:val="000000"/>
                <w:sz w:val="16"/>
                <w:szCs w:val="16"/>
                <w:lang w:val="en-US"/>
              </w:rPr>
            </w:pPr>
            <w:r w:rsidRPr="006760B7">
              <w:rPr>
                <w:rFonts w:ascii="Arial Narrow" w:eastAsia="Times New Roman" w:hAnsi="Arial Narrow" w:cs="Arial"/>
                <w:i/>
                <w:iCs/>
                <w:color w:val="000000"/>
                <w:sz w:val="16"/>
                <w:szCs w:val="16"/>
                <w:lang w:val="en-US"/>
              </w:rPr>
              <w:t>Sbis</w:t>
            </w:r>
          </w:p>
        </w:tc>
        <w:tc>
          <w:tcPr>
            <w:tcW w:w="1436" w:type="dxa"/>
            <w:tcBorders>
              <w:top w:val="nil"/>
              <w:left w:val="nil"/>
              <w:bottom w:val="single" w:sz="8" w:space="0" w:color="BFBFBF"/>
              <w:right w:val="nil"/>
            </w:tcBorders>
            <w:shd w:val="clear" w:color="auto" w:fill="auto"/>
            <w:noWrap/>
            <w:hideMark/>
          </w:tcPr>
          <w:p w14:paraId="3AA679E8"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0.0625</w:t>
            </w:r>
          </w:p>
        </w:tc>
        <w:tc>
          <w:tcPr>
            <w:tcW w:w="1436" w:type="dxa"/>
            <w:tcBorders>
              <w:top w:val="nil"/>
              <w:left w:val="nil"/>
              <w:bottom w:val="single" w:sz="8" w:space="0" w:color="BFBFBF"/>
              <w:right w:val="nil"/>
            </w:tcBorders>
            <w:shd w:val="clear" w:color="auto" w:fill="auto"/>
            <w:noWrap/>
            <w:hideMark/>
          </w:tcPr>
          <w:p w14:paraId="1F9F8CD4"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476" w:type="dxa"/>
            <w:tcBorders>
              <w:top w:val="nil"/>
              <w:left w:val="nil"/>
              <w:bottom w:val="single" w:sz="8" w:space="0" w:color="BFBFBF"/>
              <w:right w:val="nil"/>
            </w:tcBorders>
            <w:shd w:val="clear" w:color="auto" w:fill="auto"/>
            <w:noWrap/>
            <w:hideMark/>
          </w:tcPr>
          <w:p w14:paraId="46EA68CC"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2,849</w:t>
            </w:r>
          </w:p>
        </w:tc>
        <w:tc>
          <w:tcPr>
            <w:tcW w:w="1396" w:type="dxa"/>
            <w:tcBorders>
              <w:top w:val="nil"/>
              <w:left w:val="nil"/>
              <w:bottom w:val="single" w:sz="8" w:space="0" w:color="BFBFBF"/>
              <w:right w:val="nil"/>
            </w:tcBorders>
            <w:shd w:val="clear" w:color="auto" w:fill="auto"/>
            <w:noWrap/>
            <w:hideMark/>
          </w:tcPr>
          <w:p w14:paraId="29C33466" w14:textId="77777777" w:rsidR="006760B7" w:rsidRPr="006760B7" w:rsidRDefault="006760B7" w:rsidP="006760B7">
            <w:pPr>
              <w:spacing w:after="0" w:line="240" w:lineRule="auto"/>
              <w:jc w:val="right"/>
              <w:rPr>
                <w:rFonts w:ascii="Arial Narrow" w:eastAsia="Times New Roman" w:hAnsi="Arial Narrow" w:cs="Arial"/>
                <w:color w:val="000000"/>
                <w:sz w:val="16"/>
                <w:szCs w:val="16"/>
                <w:lang w:val="en-US"/>
              </w:rPr>
            </w:pPr>
            <w:r w:rsidRPr="006760B7">
              <w:rPr>
                <w:rFonts w:ascii="Arial Narrow" w:eastAsia="Times New Roman" w:hAnsi="Arial Narrow" w:cs="Arial"/>
                <w:color w:val="000000"/>
                <w:sz w:val="16"/>
                <w:szCs w:val="16"/>
                <w:lang w:val="en-US"/>
              </w:rPr>
              <w:t>5,698</w:t>
            </w:r>
          </w:p>
        </w:tc>
      </w:tr>
      <w:tr w:rsidR="006760B7" w:rsidRPr="006760B7" w14:paraId="77982B3C" w14:textId="77777777" w:rsidTr="006760B7">
        <w:trPr>
          <w:trHeight w:val="345"/>
        </w:trPr>
        <w:tc>
          <w:tcPr>
            <w:tcW w:w="2536" w:type="dxa"/>
            <w:tcBorders>
              <w:top w:val="nil"/>
              <w:left w:val="nil"/>
              <w:bottom w:val="single" w:sz="8" w:space="0" w:color="BFBFBF"/>
              <w:right w:val="nil"/>
            </w:tcBorders>
            <w:shd w:val="clear" w:color="auto" w:fill="auto"/>
            <w:noWrap/>
            <w:hideMark/>
          </w:tcPr>
          <w:p w14:paraId="54663903"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 xml:space="preserve">Total Contributions </w:t>
            </w:r>
          </w:p>
        </w:tc>
        <w:tc>
          <w:tcPr>
            <w:tcW w:w="1680" w:type="dxa"/>
            <w:tcBorders>
              <w:top w:val="nil"/>
              <w:left w:val="nil"/>
              <w:bottom w:val="single" w:sz="8" w:space="0" w:color="BFBFBF"/>
              <w:right w:val="nil"/>
            </w:tcBorders>
            <w:shd w:val="clear" w:color="auto" w:fill="auto"/>
            <w:noWrap/>
            <w:hideMark/>
          </w:tcPr>
          <w:p w14:paraId="70A5F88F" w14:textId="77777777" w:rsidR="006760B7" w:rsidRPr="006760B7" w:rsidRDefault="006760B7" w:rsidP="006760B7">
            <w:pPr>
              <w:spacing w:after="0" w:line="240" w:lineRule="auto"/>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 </w:t>
            </w:r>
          </w:p>
        </w:tc>
        <w:tc>
          <w:tcPr>
            <w:tcW w:w="1436" w:type="dxa"/>
            <w:tcBorders>
              <w:top w:val="nil"/>
              <w:left w:val="nil"/>
              <w:bottom w:val="single" w:sz="8" w:space="0" w:color="BFBFBF"/>
              <w:right w:val="nil"/>
            </w:tcBorders>
            <w:shd w:val="clear" w:color="auto" w:fill="auto"/>
            <w:noWrap/>
            <w:hideMark/>
          </w:tcPr>
          <w:p w14:paraId="2A3D894D"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 </w:t>
            </w:r>
          </w:p>
        </w:tc>
        <w:tc>
          <w:tcPr>
            <w:tcW w:w="1436" w:type="dxa"/>
            <w:tcBorders>
              <w:top w:val="nil"/>
              <w:left w:val="nil"/>
              <w:bottom w:val="single" w:sz="8" w:space="0" w:color="BFBFBF"/>
              <w:right w:val="nil"/>
            </w:tcBorders>
            <w:shd w:val="clear" w:color="auto" w:fill="auto"/>
            <w:noWrap/>
            <w:hideMark/>
          </w:tcPr>
          <w:p w14:paraId="15C9127C"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17,614,854</w:t>
            </w:r>
          </w:p>
        </w:tc>
        <w:tc>
          <w:tcPr>
            <w:tcW w:w="1476" w:type="dxa"/>
            <w:tcBorders>
              <w:top w:val="nil"/>
              <w:left w:val="nil"/>
              <w:bottom w:val="single" w:sz="8" w:space="0" w:color="BFBFBF"/>
              <w:right w:val="nil"/>
            </w:tcBorders>
            <w:shd w:val="clear" w:color="auto" w:fill="auto"/>
            <w:noWrap/>
            <w:hideMark/>
          </w:tcPr>
          <w:p w14:paraId="5DD6EBC6"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17,619,129</w:t>
            </w:r>
          </w:p>
        </w:tc>
        <w:tc>
          <w:tcPr>
            <w:tcW w:w="1396" w:type="dxa"/>
            <w:tcBorders>
              <w:top w:val="nil"/>
              <w:left w:val="nil"/>
              <w:bottom w:val="single" w:sz="8" w:space="0" w:color="BFBFBF"/>
              <w:right w:val="nil"/>
            </w:tcBorders>
            <w:shd w:val="clear" w:color="auto" w:fill="auto"/>
            <w:noWrap/>
            <w:hideMark/>
          </w:tcPr>
          <w:p w14:paraId="191FE4C5" w14:textId="77777777" w:rsidR="006760B7" w:rsidRPr="006760B7" w:rsidRDefault="006760B7" w:rsidP="006760B7">
            <w:pPr>
              <w:spacing w:after="0" w:line="240" w:lineRule="auto"/>
              <w:jc w:val="right"/>
              <w:rPr>
                <w:rFonts w:ascii="Arial Narrow" w:eastAsia="Times New Roman" w:hAnsi="Arial Narrow" w:cs="Arial"/>
                <w:b/>
                <w:bCs/>
                <w:color w:val="000000"/>
                <w:sz w:val="16"/>
                <w:szCs w:val="16"/>
                <w:lang w:val="en-US"/>
              </w:rPr>
            </w:pPr>
            <w:r w:rsidRPr="006760B7">
              <w:rPr>
                <w:rFonts w:ascii="Arial Narrow" w:eastAsia="Times New Roman" w:hAnsi="Arial Narrow" w:cs="Arial"/>
                <w:b/>
                <w:bCs/>
                <w:color w:val="000000"/>
                <w:sz w:val="16"/>
                <w:szCs w:val="16"/>
                <w:lang w:val="en-US"/>
              </w:rPr>
              <w:t>35,233,983</w:t>
            </w:r>
          </w:p>
        </w:tc>
      </w:tr>
      <w:tr w:rsidR="006760B7" w:rsidRPr="006760B7" w14:paraId="08E59B87" w14:textId="77777777" w:rsidTr="006760B7">
        <w:trPr>
          <w:trHeight w:val="285"/>
        </w:trPr>
        <w:tc>
          <w:tcPr>
            <w:tcW w:w="9960" w:type="dxa"/>
            <w:gridSpan w:val="6"/>
            <w:tcBorders>
              <w:top w:val="nil"/>
              <w:left w:val="nil"/>
              <w:bottom w:val="nil"/>
              <w:right w:val="nil"/>
            </w:tcBorders>
            <w:shd w:val="clear" w:color="auto" w:fill="auto"/>
            <w:noWrap/>
            <w:vAlign w:val="center"/>
            <w:hideMark/>
          </w:tcPr>
          <w:p w14:paraId="23BF9C8D" w14:textId="77777777" w:rsidR="006760B7" w:rsidRPr="006760B7" w:rsidRDefault="006760B7" w:rsidP="006760B7">
            <w:pPr>
              <w:spacing w:after="0" w:line="240" w:lineRule="auto"/>
              <w:rPr>
                <w:rFonts w:ascii="Arial Narrow" w:eastAsia="Times New Roman" w:hAnsi="Arial Narrow" w:cs="Arial"/>
                <w:sz w:val="16"/>
                <w:szCs w:val="16"/>
                <w:lang w:val="en-US"/>
              </w:rPr>
            </w:pPr>
            <w:r w:rsidRPr="006760B7">
              <w:rPr>
                <w:rFonts w:ascii="Arial Narrow" w:eastAsia="Times New Roman" w:hAnsi="Arial Narrow" w:cs="Arial"/>
                <w:sz w:val="16"/>
                <w:szCs w:val="16"/>
                <w:vertAlign w:val="superscript"/>
                <w:lang w:val="en-US"/>
              </w:rPr>
              <w:t xml:space="preserve">1 </w:t>
            </w:r>
            <w:r w:rsidRPr="006760B7">
              <w:rPr>
                <w:rFonts w:ascii="Arial Narrow" w:eastAsia="Times New Roman" w:hAnsi="Arial Narrow" w:cs="Arial"/>
                <w:sz w:val="16"/>
                <w:szCs w:val="16"/>
                <w:lang w:val="en-US"/>
              </w:rPr>
              <w:t>The value of one unit remains unchanged for 2024 and 2025 at 45,579 Swiss francs as compared to 2022 and 2023.</w:t>
            </w:r>
          </w:p>
        </w:tc>
      </w:tr>
      <w:tr w:rsidR="006760B7" w:rsidRPr="006760B7" w14:paraId="374A73E2" w14:textId="77777777" w:rsidTr="006760B7">
        <w:trPr>
          <w:trHeight w:val="250"/>
        </w:trPr>
        <w:tc>
          <w:tcPr>
            <w:tcW w:w="7088" w:type="dxa"/>
            <w:gridSpan w:val="4"/>
            <w:tcBorders>
              <w:top w:val="nil"/>
              <w:left w:val="nil"/>
              <w:bottom w:val="nil"/>
              <w:right w:val="nil"/>
            </w:tcBorders>
            <w:shd w:val="clear" w:color="auto" w:fill="auto"/>
            <w:noWrap/>
            <w:vAlign w:val="center"/>
            <w:hideMark/>
          </w:tcPr>
          <w:p w14:paraId="6B8C3666" w14:textId="77777777" w:rsidR="006760B7" w:rsidRPr="006760B7" w:rsidRDefault="006760B7" w:rsidP="006760B7">
            <w:pPr>
              <w:spacing w:after="0" w:line="240" w:lineRule="auto"/>
              <w:rPr>
                <w:rFonts w:ascii="Arial Narrow" w:eastAsia="Times New Roman" w:hAnsi="Arial Narrow" w:cs="Arial"/>
                <w:sz w:val="16"/>
                <w:szCs w:val="16"/>
                <w:lang w:val="en-US"/>
              </w:rPr>
            </w:pPr>
            <w:r w:rsidRPr="006760B7">
              <w:rPr>
                <w:rFonts w:ascii="Arial Narrow" w:eastAsia="Times New Roman" w:hAnsi="Arial Narrow" w:cs="Arial"/>
                <w:sz w:val="16"/>
                <w:szCs w:val="16"/>
                <w:vertAlign w:val="superscript"/>
                <w:lang w:val="en-US"/>
              </w:rPr>
              <w:t>2</w:t>
            </w:r>
            <w:r w:rsidRPr="006760B7">
              <w:rPr>
                <w:rFonts w:ascii="Arial Narrow" w:eastAsia="Times New Roman" w:hAnsi="Arial Narrow" w:cs="Arial"/>
                <w:sz w:val="16"/>
                <w:szCs w:val="16"/>
                <w:lang w:val="en-US"/>
              </w:rPr>
              <w:t xml:space="preserve"> States members of WIPO which are not members of any of the Unions.</w:t>
            </w:r>
          </w:p>
        </w:tc>
        <w:tc>
          <w:tcPr>
            <w:tcW w:w="1476" w:type="dxa"/>
            <w:tcBorders>
              <w:top w:val="nil"/>
              <w:left w:val="nil"/>
              <w:bottom w:val="nil"/>
              <w:right w:val="nil"/>
            </w:tcBorders>
            <w:shd w:val="clear" w:color="auto" w:fill="auto"/>
            <w:noWrap/>
            <w:hideMark/>
          </w:tcPr>
          <w:p w14:paraId="7D0FD545" w14:textId="77777777" w:rsidR="006760B7" w:rsidRPr="006760B7" w:rsidRDefault="006760B7" w:rsidP="006760B7">
            <w:pPr>
              <w:spacing w:after="0" w:line="240" w:lineRule="auto"/>
              <w:rPr>
                <w:rFonts w:ascii="Arial Narrow" w:eastAsia="Times New Roman" w:hAnsi="Arial Narrow" w:cs="Arial"/>
                <w:sz w:val="16"/>
                <w:szCs w:val="16"/>
                <w:lang w:val="en-US"/>
              </w:rPr>
            </w:pPr>
          </w:p>
        </w:tc>
        <w:tc>
          <w:tcPr>
            <w:tcW w:w="1396" w:type="dxa"/>
            <w:tcBorders>
              <w:top w:val="nil"/>
              <w:left w:val="nil"/>
              <w:bottom w:val="nil"/>
              <w:right w:val="nil"/>
            </w:tcBorders>
            <w:shd w:val="clear" w:color="auto" w:fill="auto"/>
            <w:noWrap/>
            <w:hideMark/>
          </w:tcPr>
          <w:p w14:paraId="6375BFC2" w14:textId="77777777" w:rsidR="006760B7" w:rsidRPr="006760B7" w:rsidRDefault="006760B7" w:rsidP="006760B7">
            <w:pPr>
              <w:spacing w:after="0" w:line="240" w:lineRule="auto"/>
              <w:jc w:val="right"/>
              <w:rPr>
                <w:rFonts w:ascii="Times New Roman" w:eastAsia="Times New Roman" w:hAnsi="Times New Roman" w:cs="Times New Roman"/>
                <w:sz w:val="20"/>
                <w:szCs w:val="20"/>
                <w:lang w:val="en-US"/>
              </w:rPr>
            </w:pPr>
          </w:p>
        </w:tc>
      </w:tr>
    </w:tbl>
    <w:p w14:paraId="1002D978" w14:textId="77777777" w:rsidR="00BE1748" w:rsidRDefault="00BE1748">
      <w:pPr>
        <w:spacing w:after="200" w:line="276" w:lineRule="auto"/>
        <w:rPr>
          <w:i/>
          <w:sz w:val="16"/>
          <w:szCs w:val="16"/>
          <w:lang w:val="en-US"/>
        </w:rPr>
      </w:pPr>
    </w:p>
    <w:p w14:paraId="7D6226A0" w14:textId="5CB467E6" w:rsidR="003933F4" w:rsidRDefault="003933F4">
      <w:pPr>
        <w:spacing w:after="200" w:line="276" w:lineRule="auto"/>
        <w:rPr>
          <w:i/>
          <w:sz w:val="16"/>
          <w:szCs w:val="16"/>
          <w:lang w:val="en-US"/>
        </w:rPr>
      </w:pPr>
      <w:r>
        <w:rPr>
          <w:i/>
          <w:sz w:val="16"/>
          <w:szCs w:val="16"/>
          <w:lang w:val="en-US"/>
        </w:rPr>
        <w:br w:type="page"/>
      </w:r>
    </w:p>
    <w:p w14:paraId="26A5FA01" w14:textId="39C78DE4" w:rsidR="007A5A38" w:rsidRDefault="00504A10" w:rsidP="00F6300F">
      <w:pPr>
        <w:pStyle w:val="AppendixTitle"/>
        <w:rPr>
          <w:lang w:val="en-US"/>
        </w:rPr>
      </w:pPr>
      <w:bookmarkStart w:id="58" w:name="_Toc131176005"/>
      <w:r w:rsidRPr="00D350B5">
        <w:rPr>
          <w:lang w:val="en-US"/>
        </w:rPr>
        <w:t xml:space="preserve">Definition of </w:t>
      </w:r>
      <w:r w:rsidR="00A62A5F" w:rsidRPr="00D350B5">
        <w:rPr>
          <w:lang w:val="en-US"/>
        </w:rPr>
        <w:t>S</w:t>
      </w:r>
      <w:r w:rsidR="00CE2C36">
        <w:rPr>
          <w:lang w:val="en-US"/>
        </w:rPr>
        <w:t>ources of Income and</w:t>
      </w:r>
      <w:r w:rsidR="003A5ACE" w:rsidRPr="00D350B5">
        <w:rPr>
          <w:lang w:val="en-US"/>
        </w:rPr>
        <w:br/>
      </w:r>
      <w:r w:rsidRPr="00D350B5">
        <w:rPr>
          <w:lang w:val="en-US"/>
        </w:rPr>
        <w:t>Cost Categories</w:t>
      </w:r>
      <w:bookmarkEnd w:id="58"/>
    </w:p>
    <w:p w14:paraId="27CDE78D" w14:textId="7F2FF862" w:rsidR="001A6AA7" w:rsidRPr="001A6AA7" w:rsidRDefault="001A6AA7" w:rsidP="001A6AA7">
      <w:pPr>
        <w:pStyle w:val="Heading1NoNumb"/>
        <w:rPr>
          <w:lang w:val="en-US"/>
        </w:rPr>
      </w:pPr>
      <w:r w:rsidRPr="001A6AA7">
        <w:rPr>
          <w:lang w:val="en-US"/>
        </w:rPr>
        <w:t>Sources of Income</w:t>
      </w:r>
    </w:p>
    <w:p w14:paraId="1633F579" w14:textId="77777777" w:rsidR="00A91805" w:rsidRPr="00BD7E6C" w:rsidRDefault="00A91805" w:rsidP="00A91805">
      <w:pPr>
        <w:rPr>
          <w:lang w:val="en-US"/>
        </w:rPr>
      </w:pPr>
      <w:r w:rsidRPr="00BD7E6C">
        <w:rPr>
          <w:b/>
          <w:lang w:val="en-US"/>
        </w:rPr>
        <w:t>Contributions</w:t>
      </w:r>
      <w:r w:rsidRPr="00BD7E6C">
        <w:rPr>
          <w:lang w:val="en-US"/>
        </w:rPr>
        <w:t>:  Contributions of Member States to the Organization under the unitary contribution system (assessed contributions) and subventions received from Member States (voluntary contributions).</w:t>
      </w:r>
    </w:p>
    <w:p w14:paraId="625CE771" w14:textId="77777777" w:rsidR="00A91805" w:rsidRPr="00BD7E6C" w:rsidRDefault="00A91805" w:rsidP="00A91805">
      <w:pPr>
        <w:rPr>
          <w:lang w:val="en-US"/>
        </w:rPr>
      </w:pPr>
      <w:r w:rsidRPr="00BD7E6C">
        <w:rPr>
          <w:b/>
          <w:lang w:val="en-US"/>
        </w:rPr>
        <w:t>Fee</w:t>
      </w:r>
      <w:r w:rsidRPr="00BD7E6C">
        <w:rPr>
          <w:lang w:val="en-US"/>
        </w:rPr>
        <w:t xml:space="preserve">s:  Fees for the International Bureau under the PCT, Madrid, Hague and Lisbon Systems, net of related currency adjustments. </w:t>
      </w:r>
    </w:p>
    <w:p w14:paraId="2127B4A4" w14:textId="77777777" w:rsidR="00A91805" w:rsidRPr="00BD7E6C" w:rsidRDefault="00A91805" w:rsidP="00A91805">
      <w:pPr>
        <w:rPr>
          <w:lang w:val="en-US"/>
        </w:rPr>
      </w:pPr>
      <w:r w:rsidRPr="00BD7E6C">
        <w:rPr>
          <w:b/>
          <w:lang w:val="en-US"/>
        </w:rPr>
        <w:t>Arbitration</w:t>
      </w:r>
      <w:r w:rsidRPr="00BD7E6C">
        <w:rPr>
          <w:lang w:val="en-US"/>
        </w:rPr>
        <w:t>:  Fees for the arbitration of domain names, registration fees for the meetings of the WIPO Arbitration and Mediation Center, net of related currency adjustments</w:t>
      </w:r>
    </w:p>
    <w:p w14:paraId="0B49C236" w14:textId="77777777" w:rsidR="00A91805" w:rsidRPr="00BD7E6C" w:rsidRDefault="00A91805" w:rsidP="00A91805">
      <w:pPr>
        <w:rPr>
          <w:lang w:val="en-US"/>
        </w:rPr>
      </w:pPr>
      <w:r w:rsidRPr="00BD7E6C">
        <w:rPr>
          <w:b/>
          <w:lang w:val="en-US"/>
        </w:rPr>
        <w:t>Investment revenue</w:t>
      </w:r>
      <w:r w:rsidRPr="00BD7E6C">
        <w:rPr>
          <w:lang w:val="en-US"/>
        </w:rPr>
        <w:t>:  Revenues earned from investments, including interest on capital deposits.</w:t>
      </w:r>
    </w:p>
    <w:p w14:paraId="27AC41CC" w14:textId="5EB78614" w:rsidR="00A91805" w:rsidRPr="00BD7E6C" w:rsidRDefault="00A91805" w:rsidP="00A91805">
      <w:pPr>
        <w:rPr>
          <w:lang w:val="en-US"/>
        </w:rPr>
      </w:pPr>
      <w:r w:rsidRPr="00BD7E6C">
        <w:rPr>
          <w:b/>
          <w:lang w:val="en-US"/>
        </w:rPr>
        <w:t>Publications</w:t>
      </w:r>
      <w:r w:rsidRPr="00BD7E6C">
        <w:rPr>
          <w:lang w:val="en-US"/>
        </w:rPr>
        <w:t xml:space="preserve">:  Revenues from the sale of publications and from subscriptions to periodicals published by the Secretariat, in paper or </w:t>
      </w:r>
      <w:r>
        <w:rPr>
          <w:lang w:val="en-US"/>
        </w:rPr>
        <w:t xml:space="preserve">electronic </w:t>
      </w:r>
      <w:r w:rsidRPr="00BD7E6C">
        <w:rPr>
          <w:lang w:val="en-US"/>
        </w:rPr>
        <w:t>format.</w:t>
      </w:r>
    </w:p>
    <w:p w14:paraId="16650115" w14:textId="77777777" w:rsidR="00A91805" w:rsidRPr="00BD7E6C" w:rsidRDefault="00A91805" w:rsidP="00A91805">
      <w:pPr>
        <w:rPr>
          <w:lang w:val="en-US"/>
        </w:rPr>
      </w:pPr>
      <w:r w:rsidRPr="00BD7E6C">
        <w:rPr>
          <w:b/>
          <w:lang w:val="en-US"/>
        </w:rPr>
        <w:t>Miscellaneous income</w:t>
      </w:r>
      <w:r w:rsidRPr="00BD7E6C">
        <w:rPr>
          <w:lang w:val="en-US"/>
        </w:rPr>
        <w:t>:  registration fees for conferences and training courses, support charges in respect of extra budgetary activities executed by WIPO and financed by UNDP and trust funds, accounting adjustments (credits) in respect of prior years and currency adjustments, rental of WIPO premises, UPOV’s payments to WIPO for administrative support services and write off gains/losses.</w:t>
      </w:r>
    </w:p>
    <w:p w14:paraId="7B5F6431" w14:textId="77777777" w:rsidR="001A6AA7" w:rsidRPr="00D350B5" w:rsidRDefault="001A6AA7" w:rsidP="001A6AA7">
      <w:pPr>
        <w:pStyle w:val="Heading1NoNumb"/>
        <w:rPr>
          <w:lang w:val="en-US"/>
        </w:rPr>
      </w:pPr>
      <w:r w:rsidRPr="00D350B5">
        <w:rPr>
          <w:lang w:val="en-US"/>
        </w:rPr>
        <w:t>Cost categories</w:t>
      </w:r>
    </w:p>
    <w:p w14:paraId="15939561" w14:textId="77777777" w:rsidR="001A6AA7" w:rsidRPr="00D350B5" w:rsidRDefault="001A6AA7" w:rsidP="001A6AA7">
      <w:pPr>
        <w:pStyle w:val="Heading2NoNumb"/>
        <w:rPr>
          <w:lang w:val="en-US"/>
        </w:rPr>
      </w:pPr>
      <w:r w:rsidRPr="00D350B5">
        <w:rPr>
          <w:lang w:val="en-US"/>
        </w:rPr>
        <w:t>Personnel resources</w:t>
      </w:r>
    </w:p>
    <w:p w14:paraId="27DA72FE" w14:textId="77777777" w:rsidR="00A91805" w:rsidRPr="00BD7E6C" w:rsidRDefault="00A91805" w:rsidP="00A91805">
      <w:pPr>
        <w:rPr>
          <w:lang w:val="en-US"/>
        </w:rPr>
      </w:pPr>
      <w:r w:rsidRPr="00BD7E6C">
        <w:rPr>
          <w:b/>
          <w:lang w:val="en-US"/>
        </w:rPr>
        <w:t>Posts</w:t>
      </w:r>
      <w:r w:rsidRPr="00BD7E6C">
        <w:rPr>
          <w:lang w:val="en-US"/>
        </w:rPr>
        <w:t>:  remuneration received by staff members, in particular salaries, post adjustment, dependency allowances, language allowances and overtime, non-resident allowances, assignment grant and representation allowances.</w:t>
      </w:r>
    </w:p>
    <w:p w14:paraId="027A3E76" w14:textId="77777777" w:rsidR="00A91805" w:rsidRPr="00BD7E6C" w:rsidRDefault="00A91805" w:rsidP="00A91805">
      <w:pPr>
        <w:rPr>
          <w:lang w:val="en-US"/>
        </w:rPr>
      </w:pPr>
      <w:r w:rsidRPr="00BD7E6C">
        <w:rPr>
          <w:b/>
          <w:lang w:val="en-US"/>
        </w:rPr>
        <w:t>Temporary Staff</w:t>
      </w:r>
      <w:r w:rsidRPr="00BD7E6C">
        <w:rPr>
          <w:lang w:val="en-US"/>
        </w:rPr>
        <w:t>:  remuneration and allowances paid to professional and general service employees on short-term contracts.</w:t>
      </w:r>
    </w:p>
    <w:p w14:paraId="26BAF396" w14:textId="77777777" w:rsidR="00A91805" w:rsidRPr="00BD7E6C" w:rsidRDefault="00A91805" w:rsidP="00A91805">
      <w:pPr>
        <w:rPr>
          <w:lang w:val="en-US"/>
        </w:rPr>
      </w:pPr>
      <w:r w:rsidRPr="00BD7E6C">
        <w:rPr>
          <w:b/>
          <w:lang w:val="en-US"/>
        </w:rPr>
        <w:t>Other Staff Costs</w:t>
      </w:r>
      <w:r w:rsidRPr="00BD7E6C">
        <w:rPr>
          <w:lang w:val="en-US"/>
        </w:rPr>
        <w:t xml:space="preserve">:  provision for professional accident insurance, closed pension funds, litigation costs and Rewards and Recognition program. </w:t>
      </w:r>
    </w:p>
    <w:p w14:paraId="72466147" w14:textId="77777777" w:rsidR="001A6AA7" w:rsidRPr="00D350B5" w:rsidRDefault="001A6AA7" w:rsidP="001A6AA7">
      <w:pPr>
        <w:pStyle w:val="Heading2NoNumb"/>
        <w:rPr>
          <w:lang w:val="en-US"/>
        </w:rPr>
      </w:pPr>
      <w:r w:rsidRPr="00D350B5">
        <w:rPr>
          <w:lang w:val="en-US"/>
        </w:rPr>
        <w:t>Non-personnel resources</w:t>
      </w:r>
    </w:p>
    <w:p w14:paraId="110ED7B5" w14:textId="77777777" w:rsidR="001A6AA7" w:rsidRPr="00D350B5" w:rsidRDefault="001A6AA7" w:rsidP="001A6AA7">
      <w:pPr>
        <w:pStyle w:val="Heading3"/>
        <w:keepLines w:val="0"/>
        <w:rPr>
          <w:lang w:val="en-US"/>
        </w:rPr>
      </w:pPr>
      <w:r w:rsidRPr="00D350B5">
        <w:rPr>
          <w:lang w:val="en-US"/>
        </w:rPr>
        <w:t>Internships and WIPO Fellowships</w:t>
      </w:r>
    </w:p>
    <w:p w14:paraId="0175F86D" w14:textId="77777777" w:rsidR="001A6AA7" w:rsidRPr="00D350B5" w:rsidRDefault="001A6AA7" w:rsidP="001A6AA7">
      <w:pPr>
        <w:ind w:left="360"/>
        <w:rPr>
          <w:lang w:val="en-US"/>
        </w:rPr>
      </w:pPr>
      <w:r w:rsidRPr="00D350B5">
        <w:rPr>
          <w:b/>
          <w:lang w:val="en-US"/>
        </w:rPr>
        <w:t>Internships</w:t>
      </w:r>
      <w:r w:rsidRPr="00D350B5">
        <w:rPr>
          <w:lang w:val="en-US"/>
        </w:rPr>
        <w:t xml:space="preserve">: </w:t>
      </w:r>
      <w:r>
        <w:rPr>
          <w:lang w:val="en-US"/>
        </w:rPr>
        <w:t xml:space="preserve"> </w:t>
      </w:r>
      <w:r w:rsidRPr="00D350B5">
        <w:rPr>
          <w:lang w:val="en-US"/>
        </w:rPr>
        <w:t xml:space="preserve">remuneration and allowances paid to interns. </w:t>
      </w:r>
    </w:p>
    <w:p w14:paraId="25C80D85" w14:textId="77777777" w:rsidR="001A6AA7" w:rsidRPr="00D350B5" w:rsidRDefault="001A6AA7" w:rsidP="001A6AA7">
      <w:pPr>
        <w:ind w:left="360"/>
        <w:rPr>
          <w:lang w:val="en-US"/>
        </w:rPr>
      </w:pPr>
      <w:r w:rsidRPr="00D350B5">
        <w:rPr>
          <w:b/>
          <w:lang w:val="en-US"/>
        </w:rPr>
        <w:t>WIPO Fellowships</w:t>
      </w:r>
      <w:r w:rsidRPr="00D350B5">
        <w:rPr>
          <w:lang w:val="en-US"/>
        </w:rPr>
        <w:t xml:space="preserve">: </w:t>
      </w:r>
      <w:r>
        <w:rPr>
          <w:lang w:val="en-US"/>
        </w:rPr>
        <w:t xml:space="preserve"> </w:t>
      </w:r>
      <w:r w:rsidRPr="00D350B5">
        <w:rPr>
          <w:lang w:val="en-US"/>
        </w:rPr>
        <w:t xml:space="preserve">expenses related to a training activity that provides a monetary grant to qualified individuals for the purpose of fulfilling special learning objectives. </w:t>
      </w:r>
    </w:p>
    <w:p w14:paraId="06BB6955" w14:textId="77777777" w:rsidR="001A6AA7" w:rsidRPr="00D350B5" w:rsidRDefault="001A6AA7" w:rsidP="001A6AA7">
      <w:pPr>
        <w:pStyle w:val="Heading3"/>
        <w:keepLines w:val="0"/>
        <w:rPr>
          <w:lang w:val="en-US"/>
        </w:rPr>
      </w:pPr>
      <w:r w:rsidRPr="00D350B5">
        <w:rPr>
          <w:lang w:val="en-US"/>
        </w:rPr>
        <w:t xml:space="preserve">Travel, Training and Grants </w:t>
      </w:r>
    </w:p>
    <w:p w14:paraId="5EC4A1D4" w14:textId="28E1FD23" w:rsidR="001A6AA7" w:rsidRPr="00D350B5" w:rsidRDefault="001A6AA7" w:rsidP="001A6AA7">
      <w:pPr>
        <w:ind w:left="360"/>
        <w:rPr>
          <w:lang w:val="en-US"/>
        </w:rPr>
      </w:pPr>
      <w:r w:rsidRPr="00D350B5">
        <w:rPr>
          <w:b/>
          <w:lang w:val="en-US"/>
        </w:rPr>
        <w:t>Staff missions</w:t>
      </w:r>
      <w:r w:rsidRPr="00D350B5">
        <w:rPr>
          <w:lang w:val="en-US"/>
        </w:rPr>
        <w:t xml:space="preserve">: </w:t>
      </w:r>
      <w:r>
        <w:rPr>
          <w:lang w:val="en-US"/>
        </w:rPr>
        <w:t xml:space="preserve"> </w:t>
      </w:r>
      <w:r w:rsidRPr="00D350B5">
        <w:rPr>
          <w:lang w:val="en-US"/>
        </w:rPr>
        <w:t>travel expenses and daily subsistence allowances for all staff on official travel</w:t>
      </w:r>
      <w:r w:rsidR="00A91805">
        <w:rPr>
          <w:lang w:val="en-US"/>
        </w:rPr>
        <w:t xml:space="preserve"> and staff training costs</w:t>
      </w:r>
      <w:r w:rsidRPr="00D350B5">
        <w:rPr>
          <w:lang w:val="en-US"/>
        </w:rPr>
        <w:t>.</w:t>
      </w:r>
    </w:p>
    <w:p w14:paraId="4F22DF28" w14:textId="00AAD04C" w:rsidR="001A6AA7" w:rsidRPr="00D350B5" w:rsidRDefault="00A91805" w:rsidP="00A91805">
      <w:pPr>
        <w:ind w:left="360"/>
        <w:rPr>
          <w:lang w:val="en-US"/>
        </w:rPr>
      </w:pPr>
      <w:r w:rsidRPr="00BD7E6C">
        <w:rPr>
          <w:b/>
          <w:lang w:val="en-US"/>
        </w:rPr>
        <w:t>Third party travel</w:t>
      </w:r>
      <w:r>
        <w:rPr>
          <w:b/>
          <w:lang w:val="en-US"/>
        </w:rPr>
        <w:t xml:space="preserve"> (including travel, training costs and other related travel grants)</w:t>
      </w:r>
      <w:r w:rsidRPr="00BD7E6C">
        <w:rPr>
          <w:lang w:val="en-US"/>
        </w:rPr>
        <w:t>:  travel expenses</w:t>
      </w:r>
      <w:r>
        <w:rPr>
          <w:lang w:val="en-US"/>
        </w:rPr>
        <w:t>,</w:t>
      </w:r>
      <w:r w:rsidRPr="00BD7E6C">
        <w:rPr>
          <w:lang w:val="en-US"/>
        </w:rPr>
        <w:t xml:space="preserve"> daily subsistence allowances</w:t>
      </w:r>
      <w:r>
        <w:rPr>
          <w:lang w:val="en-US"/>
        </w:rPr>
        <w:t>, training costs and other fees</w:t>
      </w:r>
      <w:r w:rsidR="005071E8">
        <w:rPr>
          <w:lang w:val="en-US"/>
        </w:rPr>
        <w:t xml:space="preserve"> for </w:t>
      </w:r>
      <w:r w:rsidRPr="00BD7E6C">
        <w:rPr>
          <w:lang w:val="en-US"/>
        </w:rPr>
        <w:t>third parties, including the travel costs of Government officials, participants and lecturers attending WIPO sponsored meetings</w:t>
      </w:r>
      <w:r>
        <w:rPr>
          <w:lang w:val="en-US"/>
        </w:rPr>
        <w:t>, seminars and training workshops</w:t>
      </w:r>
      <w:r w:rsidRPr="00BD7E6C">
        <w:rPr>
          <w:lang w:val="en-US"/>
        </w:rPr>
        <w:t>.</w:t>
      </w:r>
    </w:p>
    <w:p w14:paraId="1D62377F" w14:textId="77777777" w:rsidR="009E14FD" w:rsidRPr="00BD7E6C" w:rsidRDefault="009E14FD" w:rsidP="009E14FD">
      <w:pPr>
        <w:keepNext/>
        <w:spacing w:before="240" w:after="120"/>
        <w:outlineLvl w:val="2"/>
        <w:rPr>
          <w:rFonts w:eastAsiaTheme="majorEastAsia" w:cstheme="majorBidi"/>
          <w:b/>
          <w:bCs/>
          <w:i/>
          <w:color w:val="005172" w:themeColor="text2"/>
          <w:lang w:val="en-US"/>
        </w:rPr>
      </w:pPr>
      <w:r w:rsidRPr="00BD7E6C">
        <w:rPr>
          <w:rFonts w:eastAsiaTheme="majorEastAsia" w:cstheme="majorBidi"/>
          <w:b/>
          <w:bCs/>
          <w:i/>
          <w:color w:val="005172" w:themeColor="text2"/>
          <w:lang w:val="en-US"/>
        </w:rPr>
        <w:t>Contractual Services</w:t>
      </w:r>
    </w:p>
    <w:p w14:paraId="5BF7C1C7" w14:textId="77777777" w:rsidR="009E14FD" w:rsidRPr="00D350B5" w:rsidRDefault="009E14FD" w:rsidP="009E14FD">
      <w:pPr>
        <w:ind w:left="360"/>
        <w:rPr>
          <w:lang w:val="en-US"/>
        </w:rPr>
      </w:pPr>
      <w:r w:rsidRPr="00BD7E6C">
        <w:rPr>
          <w:b/>
          <w:lang w:val="en-US"/>
        </w:rPr>
        <w:t>Conferences</w:t>
      </w:r>
      <w:r w:rsidRPr="00BD7E6C">
        <w:rPr>
          <w:lang w:val="en-US"/>
        </w:rPr>
        <w:t>:  remuneration, travel expenses and daily subsistence allowances for interpreters; renting of conference facilities, and interpretation equipment; refreshments and receptions; and the cost of any other service directly linked to the organization of a conference.</w:t>
      </w:r>
    </w:p>
    <w:p w14:paraId="4AD1C370" w14:textId="57BA4C74" w:rsidR="009E14FD" w:rsidRPr="00BD7E6C" w:rsidRDefault="009E14FD" w:rsidP="009E14FD">
      <w:pPr>
        <w:ind w:left="360"/>
        <w:rPr>
          <w:lang w:val="en-US"/>
        </w:rPr>
      </w:pPr>
      <w:r w:rsidRPr="00BD7E6C">
        <w:rPr>
          <w:b/>
          <w:lang w:val="en-US"/>
        </w:rPr>
        <w:t>Publishing</w:t>
      </w:r>
      <w:r w:rsidRPr="00BD7E6C">
        <w:rPr>
          <w:lang w:val="en-US"/>
        </w:rPr>
        <w:t xml:space="preserve">:  </w:t>
      </w:r>
      <w:r>
        <w:rPr>
          <w:lang w:val="en-US"/>
        </w:rPr>
        <w:t xml:space="preserve">outsourced </w:t>
      </w:r>
      <w:r w:rsidRPr="00BD7E6C">
        <w:rPr>
          <w:lang w:val="en-US"/>
        </w:rPr>
        <w:t>printing</w:t>
      </w:r>
      <w:r>
        <w:rPr>
          <w:lang w:val="en-US"/>
        </w:rPr>
        <w:t>, i.e</w:t>
      </w:r>
      <w:r w:rsidR="00BD7CF2">
        <w:rPr>
          <w:lang w:val="en-US"/>
        </w:rPr>
        <w:t>.</w:t>
      </w:r>
      <w:r>
        <w:rPr>
          <w:lang w:val="en-US"/>
        </w:rPr>
        <w:t xml:space="preserve"> printing of </w:t>
      </w:r>
      <w:r w:rsidRPr="00BD7E6C">
        <w:rPr>
          <w:lang w:val="en-US"/>
        </w:rPr>
        <w:t>brochures</w:t>
      </w:r>
      <w:r>
        <w:rPr>
          <w:lang w:val="en-US"/>
        </w:rPr>
        <w:t>,</w:t>
      </w:r>
      <w:r w:rsidRPr="00BD7E6C">
        <w:rPr>
          <w:lang w:val="en-US"/>
        </w:rPr>
        <w:t xml:space="preserve"> treaties</w:t>
      </w:r>
      <w:r>
        <w:rPr>
          <w:lang w:val="en-US"/>
        </w:rPr>
        <w:t>,</w:t>
      </w:r>
      <w:r w:rsidRPr="00BD7E6C">
        <w:rPr>
          <w:lang w:val="en-US"/>
        </w:rPr>
        <w:t xml:space="preserve"> collections of texts</w:t>
      </w:r>
      <w:r>
        <w:rPr>
          <w:lang w:val="en-US"/>
        </w:rPr>
        <w:t>,</w:t>
      </w:r>
      <w:r w:rsidRPr="00BD7E6C">
        <w:rPr>
          <w:lang w:val="en-US"/>
        </w:rPr>
        <w:t xml:space="preserve"> manuals</w:t>
      </w:r>
      <w:r>
        <w:rPr>
          <w:lang w:val="en-US"/>
        </w:rPr>
        <w:t>,</w:t>
      </w:r>
      <w:r w:rsidRPr="00BD7E6C">
        <w:rPr>
          <w:lang w:val="en-US"/>
        </w:rPr>
        <w:t xml:space="preserve"> </w:t>
      </w:r>
      <w:r>
        <w:rPr>
          <w:lang w:val="en-US"/>
        </w:rPr>
        <w:t xml:space="preserve">guides </w:t>
      </w:r>
      <w:r w:rsidR="00A0120B" w:rsidRPr="00BD7E6C">
        <w:rPr>
          <w:lang w:val="en-US"/>
        </w:rPr>
        <w:t>and materials; outsourcing</w:t>
      </w:r>
      <w:r>
        <w:rPr>
          <w:lang w:val="en-US"/>
        </w:rPr>
        <w:t xml:space="preserve"> of the </w:t>
      </w:r>
      <w:r w:rsidRPr="00BD7E6C">
        <w:rPr>
          <w:lang w:val="en-US"/>
        </w:rPr>
        <w:t>production of videos, and other forms of electronic publishing.</w:t>
      </w:r>
    </w:p>
    <w:p w14:paraId="6C4378DA" w14:textId="77777777" w:rsidR="009E14FD" w:rsidRPr="00BD7E6C" w:rsidRDefault="009E14FD" w:rsidP="009E14FD">
      <w:pPr>
        <w:ind w:left="360"/>
        <w:rPr>
          <w:lang w:val="en-US"/>
        </w:rPr>
      </w:pPr>
      <w:r w:rsidRPr="00BD7E6C">
        <w:rPr>
          <w:b/>
          <w:bCs/>
          <w:lang w:val="en-US"/>
        </w:rPr>
        <w:t>Individual Contractual Services</w:t>
      </w:r>
      <w:r w:rsidRPr="00BD7E6C">
        <w:rPr>
          <w:lang w:val="en-US"/>
        </w:rPr>
        <w:t xml:space="preserve">:  remuneration paid in respect of individual contractual services.  </w:t>
      </w:r>
    </w:p>
    <w:p w14:paraId="738022E0" w14:textId="77777777" w:rsidR="009E14FD" w:rsidRPr="00BD7E6C" w:rsidRDefault="009E14FD" w:rsidP="009E14FD">
      <w:pPr>
        <w:ind w:left="360"/>
        <w:rPr>
          <w:lang w:val="en-US"/>
        </w:rPr>
      </w:pPr>
      <w:r w:rsidRPr="00BD7E6C">
        <w:rPr>
          <w:b/>
          <w:lang w:val="en-US"/>
        </w:rPr>
        <w:t>Other Contractual Services</w:t>
      </w:r>
      <w:r w:rsidRPr="00BD7E6C">
        <w:rPr>
          <w:lang w:val="en-US"/>
        </w:rPr>
        <w:t>:  all other contractual services with both commercial and non-commercial service providers</w:t>
      </w:r>
      <w:r>
        <w:rPr>
          <w:lang w:val="en-US"/>
        </w:rPr>
        <w:t xml:space="preserve"> including IT infrastructure hosting (on premise and cloud) and software as a service (SaaS)</w:t>
      </w:r>
      <w:r w:rsidRPr="00BD7E6C">
        <w:rPr>
          <w:lang w:val="en-US"/>
        </w:rPr>
        <w:t>.</w:t>
      </w:r>
    </w:p>
    <w:p w14:paraId="15C6E9EF" w14:textId="77777777" w:rsidR="009E14FD" w:rsidRPr="00BD7E6C" w:rsidRDefault="009E14FD" w:rsidP="009E14FD">
      <w:pPr>
        <w:keepNext/>
        <w:spacing w:before="240" w:after="120"/>
        <w:outlineLvl w:val="2"/>
        <w:rPr>
          <w:rFonts w:eastAsiaTheme="majorEastAsia" w:cstheme="majorBidi"/>
          <w:b/>
          <w:bCs/>
          <w:i/>
          <w:color w:val="005172" w:themeColor="text2"/>
          <w:lang w:val="en-US"/>
        </w:rPr>
      </w:pPr>
      <w:r w:rsidRPr="00BD7E6C">
        <w:rPr>
          <w:rFonts w:eastAsiaTheme="majorEastAsia" w:cstheme="majorBidi"/>
          <w:b/>
          <w:bCs/>
          <w:i/>
          <w:color w:val="005172" w:themeColor="text2"/>
          <w:lang w:val="en-US"/>
        </w:rPr>
        <w:t xml:space="preserve">Finance Costs </w:t>
      </w:r>
    </w:p>
    <w:p w14:paraId="0B09215C" w14:textId="77777777" w:rsidR="009E14FD" w:rsidRPr="00BD7E6C" w:rsidRDefault="009E14FD" w:rsidP="005071E8">
      <w:pPr>
        <w:ind w:left="360"/>
        <w:rPr>
          <w:lang w:val="en-US"/>
        </w:rPr>
      </w:pPr>
      <w:r w:rsidRPr="00BD7E6C">
        <w:rPr>
          <w:b/>
          <w:lang w:val="en-US"/>
        </w:rPr>
        <w:t>Finance costs</w:t>
      </w:r>
      <w:r w:rsidRPr="00BD7E6C">
        <w:rPr>
          <w:lang w:val="en-US"/>
        </w:rPr>
        <w:t xml:space="preserve">:  </w:t>
      </w:r>
      <w:r>
        <w:rPr>
          <w:lang w:val="en-US"/>
        </w:rPr>
        <w:t>i</w:t>
      </w:r>
      <w:r w:rsidRPr="00BD7E6C">
        <w:rPr>
          <w:lang w:val="en-US"/>
        </w:rPr>
        <w:t>nterest on loan</w:t>
      </w:r>
      <w:r>
        <w:rPr>
          <w:lang w:val="en-US"/>
        </w:rPr>
        <w:t>s</w:t>
      </w:r>
      <w:r w:rsidRPr="00BD7E6C">
        <w:rPr>
          <w:lang w:val="en-US"/>
        </w:rPr>
        <w:t>; bank charges.</w:t>
      </w:r>
    </w:p>
    <w:p w14:paraId="78518E5A" w14:textId="77777777" w:rsidR="009E14FD" w:rsidRPr="00BD7E6C" w:rsidRDefault="009E14FD" w:rsidP="009E14FD">
      <w:pPr>
        <w:keepNext/>
        <w:spacing w:before="240" w:after="120"/>
        <w:outlineLvl w:val="2"/>
        <w:rPr>
          <w:rFonts w:eastAsiaTheme="majorEastAsia" w:cstheme="majorBidi"/>
          <w:b/>
          <w:bCs/>
          <w:i/>
          <w:color w:val="005172" w:themeColor="text2"/>
          <w:lang w:val="en-US"/>
        </w:rPr>
      </w:pPr>
      <w:r w:rsidRPr="00BD7E6C">
        <w:rPr>
          <w:rFonts w:eastAsiaTheme="majorEastAsia" w:cstheme="majorBidi"/>
          <w:b/>
          <w:bCs/>
          <w:i/>
          <w:color w:val="005172" w:themeColor="text2"/>
          <w:lang w:val="en-US"/>
        </w:rPr>
        <w:t>Operating Expenses</w:t>
      </w:r>
    </w:p>
    <w:p w14:paraId="6BCEFAEB" w14:textId="77777777" w:rsidR="009E14FD" w:rsidRPr="00BD7E6C" w:rsidRDefault="009E14FD" w:rsidP="009E14FD">
      <w:pPr>
        <w:ind w:left="360"/>
        <w:rPr>
          <w:lang w:val="en-US"/>
        </w:rPr>
      </w:pPr>
      <w:r w:rsidRPr="00BD7E6C">
        <w:rPr>
          <w:b/>
          <w:lang w:val="en-US"/>
        </w:rPr>
        <w:t>Premises and maintenance</w:t>
      </w:r>
      <w:r w:rsidRPr="00BD7E6C">
        <w:rPr>
          <w:lang w:val="en-US"/>
        </w:rPr>
        <w:t>:  acquiring, renting, improving and maintaining office space</w:t>
      </w:r>
      <w:r>
        <w:rPr>
          <w:lang w:val="en-US"/>
        </w:rPr>
        <w:t>, utilities,</w:t>
      </w:r>
      <w:r w:rsidRPr="00BD7E6C">
        <w:rPr>
          <w:lang w:val="en-US"/>
        </w:rPr>
        <w:t xml:space="preserve"> renting or maintaining equipment and</w:t>
      </w:r>
      <w:r>
        <w:rPr>
          <w:lang w:val="en-US"/>
        </w:rPr>
        <w:t xml:space="preserve"> software licenses</w:t>
      </w:r>
      <w:r w:rsidRPr="00BD7E6C">
        <w:rPr>
          <w:lang w:val="en-US"/>
        </w:rPr>
        <w:t>.</w:t>
      </w:r>
    </w:p>
    <w:p w14:paraId="7E7CFCAF" w14:textId="77777777" w:rsidR="009E14FD" w:rsidRPr="00BD7E6C" w:rsidRDefault="009E14FD" w:rsidP="009E14FD">
      <w:pPr>
        <w:ind w:left="360"/>
        <w:rPr>
          <w:lang w:val="en-US"/>
        </w:rPr>
      </w:pPr>
      <w:r w:rsidRPr="00BD7E6C">
        <w:rPr>
          <w:b/>
          <w:lang w:val="en-US"/>
        </w:rPr>
        <w:t>Communication</w:t>
      </w:r>
      <w:r w:rsidRPr="00BD7E6C">
        <w:rPr>
          <w:lang w:val="en-US"/>
        </w:rPr>
        <w:t xml:space="preserve">:  communication expenses such as telephone, internet, mail </w:t>
      </w:r>
      <w:r>
        <w:rPr>
          <w:lang w:val="en-US"/>
        </w:rPr>
        <w:t xml:space="preserve">and </w:t>
      </w:r>
      <w:r w:rsidRPr="00BD7E6C">
        <w:rPr>
          <w:lang w:val="en-US"/>
        </w:rPr>
        <w:t xml:space="preserve">postage. </w:t>
      </w:r>
    </w:p>
    <w:p w14:paraId="1BF6B465" w14:textId="77777777" w:rsidR="009E14FD" w:rsidRPr="00BD7E6C" w:rsidRDefault="009E14FD" w:rsidP="009E14FD">
      <w:pPr>
        <w:ind w:left="360"/>
        <w:rPr>
          <w:lang w:val="en-US"/>
        </w:rPr>
      </w:pPr>
      <w:r w:rsidRPr="00BD7E6C">
        <w:rPr>
          <w:b/>
          <w:bCs/>
          <w:lang w:val="en-US"/>
        </w:rPr>
        <w:t>Representation and Other Operating Expenses</w:t>
      </w:r>
      <w:r w:rsidRPr="00BD7E6C">
        <w:rPr>
          <w:lang w:val="en-US"/>
        </w:rPr>
        <w:t>:  official hospitality, WIPO contribution to Staff Association and other operating expenses.</w:t>
      </w:r>
    </w:p>
    <w:p w14:paraId="6273530B" w14:textId="77777777" w:rsidR="009E14FD" w:rsidRPr="00BD7E6C" w:rsidRDefault="009E14FD" w:rsidP="009E14FD">
      <w:pPr>
        <w:ind w:left="360"/>
        <w:rPr>
          <w:lang w:val="en-US"/>
        </w:rPr>
      </w:pPr>
      <w:r w:rsidRPr="00BD7E6C">
        <w:rPr>
          <w:b/>
          <w:lang w:val="en-US"/>
        </w:rPr>
        <w:t>UN Joint Services</w:t>
      </w:r>
      <w:r w:rsidRPr="00BD7E6C">
        <w:rPr>
          <w:lang w:val="en-US"/>
        </w:rPr>
        <w:t>:  medical assistance, contributions to joint administrative activities within the United Nations system, United Nations cost shared activities, Administrative Tribunal.</w:t>
      </w:r>
    </w:p>
    <w:p w14:paraId="7D45AA5A" w14:textId="77777777" w:rsidR="009E14FD" w:rsidRPr="00BD7E6C" w:rsidRDefault="009E14FD" w:rsidP="009E14FD">
      <w:pPr>
        <w:keepNext/>
        <w:spacing w:before="240" w:after="120"/>
        <w:outlineLvl w:val="2"/>
        <w:rPr>
          <w:rFonts w:eastAsiaTheme="majorEastAsia" w:cstheme="majorBidi"/>
          <w:b/>
          <w:bCs/>
          <w:i/>
          <w:color w:val="005172" w:themeColor="text2"/>
          <w:lang w:val="en-US"/>
        </w:rPr>
      </w:pPr>
      <w:r w:rsidRPr="00BD7E6C">
        <w:rPr>
          <w:rFonts w:eastAsiaTheme="majorEastAsia" w:cstheme="majorBidi"/>
          <w:b/>
          <w:bCs/>
          <w:i/>
          <w:color w:val="005172" w:themeColor="text2"/>
          <w:lang w:val="en-US"/>
        </w:rPr>
        <w:t>Equipment and Supplies</w:t>
      </w:r>
    </w:p>
    <w:p w14:paraId="74A54B55" w14:textId="0F577C50" w:rsidR="009E14FD" w:rsidRPr="00BD7E6C" w:rsidRDefault="009E14FD" w:rsidP="009E14FD">
      <w:pPr>
        <w:ind w:left="360"/>
        <w:rPr>
          <w:lang w:val="en-US"/>
        </w:rPr>
      </w:pPr>
      <w:r w:rsidRPr="00BD7E6C">
        <w:rPr>
          <w:b/>
          <w:lang w:val="en-US"/>
        </w:rPr>
        <w:t>Furniture and equipment</w:t>
      </w:r>
      <w:r w:rsidRPr="00BD7E6C">
        <w:rPr>
          <w:lang w:val="en-US"/>
        </w:rPr>
        <w:t xml:space="preserve">:  purchase of office furniture, office machines, computer equipment (desktop, laptops, printers, servers, </w:t>
      </w:r>
      <w:r w:rsidR="00A0120B" w:rsidRPr="00BD7E6C">
        <w:rPr>
          <w:lang w:val="en-US"/>
        </w:rPr>
        <w:t>etc.</w:t>
      </w:r>
      <w:r w:rsidRPr="00BD7E6C">
        <w:rPr>
          <w:lang w:val="en-US"/>
        </w:rPr>
        <w:t>), conference servicing equipment, reproduction equipment and transportation equipment.</w:t>
      </w:r>
    </w:p>
    <w:p w14:paraId="4561E80F" w14:textId="663618DD" w:rsidR="001A6AA7" w:rsidRPr="00D350B5" w:rsidRDefault="009E14FD" w:rsidP="009E14FD">
      <w:pPr>
        <w:ind w:left="360"/>
        <w:rPr>
          <w:lang w:val="en-US"/>
        </w:rPr>
      </w:pPr>
      <w:r w:rsidRPr="00BD7E6C">
        <w:rPr>
          <w:b/>
          <w:lang w:val="en-US"/>
        </w:rPr>
        <w:t>Supplies and materials</w:t>
      </w:r>
      <w:r w:rsidRPr="00BD7E6C">
        <w:rPr>
          <w:lang w:val="en-US"/>
        </w:rPr>
        <w:t xml:space="preserve">: stationery and office supplies; library books and subscriptions to reviews and periodicals; uniforms; </w:t>
      </w:r>
      <w:r>
        <w:rPr>
          <w:lang w:val="en-US"/>
        </w:rPr>
        <w:t>and</w:t>
      </w:r>
      <w:r w:rsidRPr="00BD7E6C">
        <w:rPr>
          <w:lang w:val="en-US"/>
        </w:rPr>
        <w:t xml:space="preserve"> </w:t>
      </w:r>
      <w:r>
        <w:rPr>
          <w:lang w:val="en-US"/>
        </w:rPr>
        <w:t>purchase of software</w:t>
      </w:r>
      <w:r w:rsidR="001A6AA7" w:rsidRPr="00D350B5">
        <w:rPr>
          <w:lang w:val="en-US"/>
        </w:rPr>
        <w:t>.</w:t>
      </w:r>
    </w:p>
    <w:p w14:paraId="342D016C" w14:textId="77777777" w:rsidR="001A6AA7" w:rsidRDefault="001A6AA7" w:rsidP="001A6AA7">
      <w:pPr>
        <w:rPr>
          <w:lang w:val="en-US"/>
        </w:rPr>
      </w:pPr>
    </w:p>
    <w:p w14:paraId="593DB724" w14:textId="3E39382E" w:rsidR="003933F4" w:rsidRDefault="003933F4" w:rsidP="001A6AA7">
      <w:pPr>
        <w:rPr>
          <w:lang w:val="en-US"/>
        </w:rPr>
      </w:pPr>
      <w:r>
        <w:rPr>
          <w:lang w:val="en-US"/>
        </w:rPr>
        <w:br w:type="page"/>
      </w:r>
    </w:p>
    <w:p w14:paraId="4D611954" w14:textId="72DBC9D6" w:rsidR="006C6030" w:rsidRDefault="003A5ACE" w:rsidP="004F2F4F">
      <w:pPr>
        <w:pStyle w:val="AppendixTitle"/>
        <w:rPr>
          <w:lang w:val="en-US"/>
        </w:rPr>
      </w:pPr>
      <w:bookmarkStart w:id="59" w:name="_Toc131176006"/>
      <w:r w:rsidRPr="00D350B5">
        <w:rPr>
          <w:lang w:val="en-US"/>
        </w:rPr>
        <w:t>Flexibility F</w:t>
      </w:r>
      <w:r w:rsidR="00504A10" w:rsidRPr="00D350B5">
        <w:rPr>
          <w:lang w:val="en-US"/>
        </w:rPr>
        <w:t>ormulas</w:t>
      </w:r>
      <w:bookmarkEnd w:id="59"/>
    </w:p>
    <w:p w14:paraId="37DE799D" w14:textId="0E0764F4" w:rsidR="00BD7E6C" w:rsidRPr="00B003AB" w:rsidRDefault="00B003AB" w:rsidP="00B003AB">
      <w:pPr>
        <w:keepNext/>
        <w:spacing w:before="320" w:after="240"/>
        <w:outlineLvl w:val="2"/>
        <w:rPr>
          <w:color w:val="005172" w:themeColor="text2"/>
          <w:sz w:val="32"/>
        </w:rPr>
      </w:pPr>
      <w:r w:rsidRPr="00B003AB">
        <w:rPr>
          <w:color w:val="005172" w:themeColor="text2"/>
          <w:sz w:val="32"/>
        </w:rPr>
        <w:t>General</w:t>
      </w:r>
    </w:p>
    <w:p w14:paraId="2CC2D073" w14:textId="77777777" w:rsidR="00B003AB" w:rsidRDefault="00B003AB" w:rsidP="00B003AB">
      <w:pPr>
        <w:rPr>
          <w:lang w:val="en-US"/>
        </w:rPr>
      </w:pPr>
      <w:r w:rsidRPr="00BD7E6C">
        <w:rPr>
          <w:lang w:val="en-US"/>
        </w:rPr>
        <w:t>The flexibility formulas are the mechanisms which enable the level of financial resources for the Organization as a whole to be adjusted, as compared to the approved biennial Program and Budget, to reflect unforeseen variations in the total volume of registration activities.  The resulting resources are allocated to the international registration systems and to the WIPO Programs providing administrative support to these operations.  The flexibility formulas for the PCT, Madrid and Hague systems were revised and approved by their respective Assemblies, which convened from September 24 to October 3, 2007.</w:t>
      </w:r>
    </w:p>
    <w:p w14:paraId="48C3A312" w14:textId="77777777" w:rsidR="00B003AB" w:rsidRPr="00BD7E6C" w:rsidRDefault="00B003AB" w:rsidP="00B003AB">
      <w:pPr>
        <w:keepNext/>
        <w:spacing w:before="320" w:after="240"/>
        <w:outlineLvl w:val="2"/>
        <w:rPr>
          <w:color w:val="005172" w:themeColor="text2"/>
          <w:sz w:val="32"/>
        </w:rPr>
      </w:pPr>
      <w:r w:rsidRPr="00BD7E6C">
        <w:rPr>
          <w:color w:val="005172" w:themeColor="text2"/>
          <w:sz w:val="32"/>
        </w:rPr>
        <w:t>PCT System</w:t>
      </w:r>
    </w:p>
    <w:p w14:paraId="1453B478" w14:textId="77777777" w:rsidR="00B003AB" w:rsidRPr="00BD7E6C" w:rsidRDefault="00B003AB" w:rsidP="00B003AB">
      <w:r w:rsidRPr="00BD7E6C">
        <w:t>The revised flexibility formula for the PCT system is described in document PCT/A/36/5, and it was approved by the PCT Assembly as indicated in document PCT/A/36/13.  As noted in these documents, the flexibility formula for PCT was revised to reflect a budget variation of 341,870 Swiss francs per 1,000 unbudgeted PCT international applications.  The revised formula no longer linked the variations in the number of applications to variations in the number of staff posts as it was done before.  Rather, the formula proposed to vary the total resources allocated to programs involved, allowing to use both personnel resources (such as posts, short-term employees, SSAs, etc.) and non-personnel resources (such as outsourcing contracts).  The adjustments are allocated to the administration of the PCT system and support services at a</w:t>
      </w:r>
      <w:r>
        <w:t>n</w:t>
      </w:r>
      <w:r w:rsidRPr="00BD7E6C">
        <w:t xml:space="preserve"> 87.5:12.5 ratio.  </w:t>
      </w:r>
    </w:p>
    <w:p w14:paraId="6A3F2BA5" w14:textId="77777777" w:rsidR="00B003AB" w:rsidRPr="00BD7E6C" w:rsidRDefault="00B003AB" w:rsidP="00B003AB">
      <w:pPr>
        <w:keepNext/>
        <w:spacing w:before="320" w:after="240"/>
        <w:outlineLvl w:val="2"/>
        <w:rPr>
          <w:color w:val="005172" w:themeColor="text2"/>
          <w:sz w:val="32"/>
        </w:rPr>
      </w:pPr>
      <w:r w:rsidRPr="00BD7E6C">
        <w:rPr>
          <w:color w:val="005172" w:themeColor="text2"/>
          <w:sz w:val="32"/>
        </w:rPr>
        <w:t>Madrid System</w:t>
      </w:r>
    </w:p>
    <w:p w14:paraId="147A40CC" w14:textId="77777777" w:rsidR="00B003AB" w:rsidRPr="00BD7E6C" w:rsidRDefault="00B003AB" w:rsidP="00B003AB">
      <w:r w:rsidRPr="00BD7E6C">
        <w:t>The revised flexibility formula for the Madrid system is described in document MM/A/38/5, and it was approved by the Madrid Assembly as reflected in document MM/A/38/6.  The new formula allows for adjustments in the Madrid Union budget by 197,060 Swiss francs for each variation of 500 registrations and/or renewals recorded as compared to the approved initial estimates.  The formula no longer links the adjustments to staff posts only, but rather allows for adjustments in overall financial resources allocated to the programs directly involved in the processing of the resulting workload.  These resources may be of personnel (posts, short-term employees, etc.) and non-personnel nature (e.g., outsourcing contracts).  The adjustments are allocated to the administration of the International Trademark Registry and support services at an 87.5:12.5 ratio.</w:t>
      </w:r>
    </w:p>
    <w:p w14:paraId="31147C25" w14:textId="77777777" w:rsidR="00B003AB" w:rsidRPr="00BD7E6C" w:rsidRDefault="00B003AB" w:rsidP="00B003AB">
      <w:pPr>
        <w:keepNext/>
        <w:spacing w:before="320" w:after="240"/>
        <w:outlineLvl w:val="2"/>
        <w:rPr>
          <w:color w:val="005172" w:themeColor="text2"/>
          <w:sz w:val="32"/>
        </w:rPr>
      </w:pPr>
      <w:r w:rsidRPr="00BD7E6C">
        <w:rPr>
          <w:color w:val="005172" w:themeColor="text2"/>
          <w:sz w:val="32"/>
        </w:rPr>
        <w:t>Hague System</w:t>
      </w:r>
    </w:p>
    <w:p w14:paraId="79EB6D75" w14:textId="77777777" w:rsidR="00B003AB" w:rsidRPr="00BD7E6C" w:rsidRDefault="00B003AB" w:rsidP="00B003AB">
      <w:r w:rsidRPr="00BD7E6C">
        <w:t>The revised flexibility formula for the Hague system is described in document H/A/24/3, and it was approved by the Hague Assembly as reflected in document H/A/24/4.  The new formula provides for adjustments of the Hague Union budget by an amount of 99,024 Swiss francs for each variation of 300 registrations and/or renewals recorded in the Hague Union Registry as compared to the approved initial estimates.  The resources may be of personnel and non-personnel nature, and they are allocated to the administration of the Hague Union Registry and support services at an 87.5:12.5 ratio.</w:t>
      </w:r>
    </w:p>
    <w:p w14:paraId="4CB8A65A" w14:textId="77777777" w:rsidR="00B003AB" w:rsidRPr="00BD7E6C" w:rsidRDefault="00B003AB" w:rsidP="00BD7E6C">
      <w:pPr>
        <w:rPr>
          <w:lang w:val="en-US"/>
        </w:rPr>
      </w:pPr>
    </w:p>
    <w:sectPr w:rsidR="00B003AB" w:rsidRPr="00BD7E6C" w:rsidSect="00382909">
      <w:headerReference w:type="even" r:id="rId132"/>
      <w:headerReference w:type="default" r:id="rId133"/>
      <w:footerReference w:type="even" r:id="rId134"/>
      <w:footerReference w:type="default" r:id="rId135"/>
      <w:headerReference w:type="first" r:id="rId136"/>
      <w:footerReference w:type="first" r:id="rId137"/>
      <w:pgSz w:w="11906" w:h="16838"/>
      <w:pgMar w:top="1361" w:right="1134" w:bottom="1361" w:left="1134" w:header="567" w:footer="454"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42" wne:kcmSecondary="0032">
      <wne:acd wne:acdName="acd0"/>
    </wne:keymap>
    <wne:keymap wne:kcmPrimary="0442" wne:kcmSecondary="0033">
      <wne:acd wne:acdName="acd1"/>
    </wne:keymap>
    <wne:keymap wne:kcmPrimary="044E" wne:kcmSecondary="0030">
      <wne:acd wne:acdName="acd3"/>
    </wne:keymap>
  </wne:keymaps>
  <wne:toolbars>
    <wne:acdManifest>
      <wne:acdEntry wne:acdName="acd0"/>
      <wne:acdEntry wne:acdName="acd1"/>
      <wne:acdEntry wne:acdName="acd2"/>
      <wne:acdEntry wne:acdName="acd3"/>
    </wne:acdManifest>
  </wne:toolbars>
  <wne:acds>
    <wne:acd wne:argValue="AQAAAFAA" wne:acdName="acd0" wne:fciIndexBasedOn="0065"/>
    <wne:acd wne:argValue="AQAAAFEA" wne:acdName="acd1" wne:fciIndexBasedOn="0065"/>
    <wne:acd wne:acdName="acd2" wne:fciIndexBasedOn="0065"/>
    <wne:acd wne:argValue="AgBOAG8AcgBtAGEAbABOAG8AUwBwAGEAYwBlAA==" wne:acdName="acd3"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5B8CE5" w14:textId="77777777" w:rsidR="00331767" w:rsidRDefault="00331767" w:rsidP="005F4C42">
      <w:pPr>
        <w:spacing w:after="0"/>
      </w:pPr>
      <w:r>
        <w:separator/>
      </w:r>
    </w:p>
  </w:endnote>
  <w:endnote w:type="continuationSeparator" w:id="0">
    <w:p w14:paraId="77C9A453" w14:textId="77777777" w:rsidR="00331767" w:rsidRDefault="00331767" w:rsidP="005F4C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Arial Bold">
    <w:panose1 w:val="020B07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Arial-BoldMT">
    <w:panose1 w:val="00000000000000000000"/>
    <w:charset w:val="00"/>
    <w:family w:val="swiss"/>
    <w:notTrueType/>
    <w:pitch w:val="default"/>
    <w:sig w:usb0="00000003" w:usb1="00000000" w:usb2="00000000" w:usb3="00000000" w:csb0="00000001" w:csb1="00000000"/>
  </w:font>
  <w:font w:name="Arial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C9628" w14:textId="77777777" w:rsidR="00331767" w:rsidRDefault="0033176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D94DC" w14:textId="5E6FCB15" w:rsidR="00331767" w:rsidRPr="006561B2" w:rsidRDefault="00331767" w:rsidP="00D376C1">
    <w:pPr>
      <w:pStyle w:val="Footer"/>
      <w:jc w:val="center"/>
      <w:rPr>
        <w:color w:val="005172" w:themeColor="accent1"/>
      </w:rPr>
    </w:pPr>
    <w:r w:rsidRPr="006561B2">
      <w:rPr>
        <w:color w:val="005172" w:themeColor="accent1"/>
      </w:rPr>
      <w:fldChar w:fldCharType="begin"/>
    </w:r>
    <w:r w:rsidRPr="006561B2">
      <w:rPr>
        <w:color w:val="005172" w:themeColor="accent1"/>
      </w:rPr>
      <w:instrText xml:space="preserve"> PAGE   \* MERGEFORMAT </w:instrText>
    </w:r>
    <w:r w:rsidRPr="006561B2">
      <w:rPr>
        <w:color w:val="005172" w:themeColor="accent1"/>
      </w:rPr>
      <w:fldChar w:fldCharType="separate"/>
    </w:r>
    <w:r>
      <w:rPr>
        <w:noProof/>
        <w:color w:val="005172" w:themeColor="accent1"/>
      </w:rPr>
      <w:t>116</w:t>
    </w:r>
    <w:r w:rsidRPr="006561B2">
      <w:rPr>
        <w:color w:val="005172" w:themeColor="accent1"/>
      </w:rPr>
      <w:fldChar w:fldCharType="end"/>
    </w:r>
  </w:p>
  <w:p w14:paraId="5A349EFA" w14:textId="77777777" w:rsidR="00331767" w:rsidRDefault="00331767" w:rsidP="00D376C1">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7314CE" w14:textId="682351E8" w:rsidR="00331767" w:rsidRPr="006561B2" w:rsidRDefault="00331767" w:rsidP="00CD34B4">
    <w:pPr>
      <w:pStyle w:val="Footer"/>
      <w:jc w:val="center"/>
      <w:rPr>
        <w:color w:val="005172" w:themeColor="accent1"/>
      </w:rPr>
    </w:pPr>
    <w:r w:rsidRPr="006561B2">
      <w:rPr>
        <w:color w:val="005172" w:themeColor="accent1"/>
      </w:rPr>
      <w:fldChar w:fldCharType="begin"/>
    </w:r>
    <w:r w:rsidRPr="006561B2">
      <w:rPr>
        <w:color w:val="005172" w:themeColor="accent1"/>
      </w:rPr>
      <w:instrText xml:space="preserve"> PAGE   \* MERGEFORMAT </w:instrText>
    </w:r>
    <w:r w:rsidRPr="006561B2">
      <w:rPr>
        <w:color w:val="005172" w:themeColor="accent1"/>
      </w:rPr>
      <w:fldChar w:fldCharType="separate"/>
    </w:r>
    <w:r>
      <w:rPr>
        <w:noProof/>
        <w:color w:val="005172" w:themeColor="accent1"/>
      </w:rPr>
      <w:t>9</w:t>
    </w:r>
    <w:r w:rsidRPr="006561B2">
      <w:rPr>
        <w:color w:val="005172" w:themeColor="accent1"/>
      </w:rPr>
      <w:fldChar w:fldCharType="end"/>
    </w:r>
  </w:p>
  <w:p w14:paraId="04F1D8DD" w14:textId="77777777" w:rsidR="00331767" w:rsidRDefault="00331767" w:rsidP="00CD34B4">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B86D64" w14:textId="2D3BBF36" w:rsidR="00331767" w:rsidRDefault="00331767" w:rsidP="00382909">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8512C8" w14:textId="006464FF" w:rsidR="00331767" w:rsidRPr="00490256" w:rsidRDefault="00331767" w:rsidP="00D376C1">
    <w:pPr>
      <w:pStyle w:val="Footer"/>
      <w:jc w:val="center"/>
      <w:rPr>
        <w:color w:val="005172" w:themeColor="accent1"/>
      </w:rPr>
    </w:pPr>
    <w:r w:rsidRPr="00490256">
      <w:rPr>
        <w:color w:val="005172" w:themeColor="accent1"/>
      </w:rPr>
      <w:fldChar w:fldCharType="begin"/>
    </w:r>
    <w:r w:rsidRPr="00490256">
      <w:rPr>
        <w:color w:val="005172" w:themeColor="accent1"/>
      </w:rPr>
      <w:instrText xml:space="preserve"> PAGE   \* MERGEFORMAT </w:instrText>
    </w:r>
    <w:r w:rsidRPr="00490256">
      <w:rPr>
        <w:color w:val="005172" w:themeColor="accent1"/>
      </w:rPr>
      <w:fldChar w:fldCharType="separate"/>
    </w:r>
    <w:r>
      <w:rPr>
        <w:noProof/>
        <w:color w:val="005172" w:themeColor="accent1"/>
      </w:rPr>
      <w:t>116</w:t>
    </w:r>
    <w:r w:rsidRPr="00490256">
      <w:rPr>
        <w:color w:val="005172" w:themeColor="accent1"/>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59B7C" w14:textId="6783D30D" w:rsidR="00331767" w:rsidRPr="00490256" w:rsidRDefault="00331767" w:rsidP="00CD34B4">
    <w:pPr>
      <w:pStyle w:val="Footer"/>
      <w:jc w:val="center"/>
      <w:rPr>
        <w:color w:val="005172" w:themeColor="accent1"/>
      </w:rPr>
    </w:pPr>
    <w:r w:rsidRPr="00490256">
      <w:rPr>
        <w:color w:val="005172" w:themeColor="accent1"/>
      </w:rPr>
      <w:fldChar w:fldCharType="begin"/>
    </w:r>
    <w:r w:rsidRPr="00490256">
      <w:rPr>
        <w:color w:val="005172" w:themeColor="accent1"/>
      </w:rPr>
      <w:instrText xml:space="preserve"> PAGE   \* MERGEFORMAT </w:instrText>
    </w:r>
    <w:r w:rsidRPr="00490256">
      <w:rPr>
        <w:color w:val="005172" w:themeColor="accent1"/>
      </w:rPr>
      <w:fldChar w:fldCharType="separate"/>
    </w:r>
    <w:r w:rsidR="00E813FB">
      <w:rPr>
        <w:noProof/>
        <w:color w:val="005172" w:themeColor="accent1"/>
      </w:rPr>
      <w:t>31</w:t>
    </w:r>
    <w:r w:rsidRPr="00490256">
      <w:rPr>
        <w:color w:val="005172" w:themeColor="accent1"/>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B422B9" w14:textId="0F3B33A0" w:rsidR="00331767" w:rsidRPr="00490256" w:rsidRDefault="00331767" w:rsidP="00382909">
    <w:pPr>
      <w:pStyle w:val="Footer"/>
      <w:jc w:val="center"/>
      <w:rPr>
        <w:color w:val="005172" w:themeColor="accent1"/>
      </w:rPr>
    </w:pPr>
    <w:r w:rsidRPr="00490256">
      <w:rPr>
        <w:color w:val="005172" w:themeColor="accent1"/>
      </w:rPr>
      <w:fldChar w:fldCharType="begin"/>
    </w:r>
    <w:r w:rsidRPr="00490256">
      <w:rPr>
        <w:color w:val="005172" w:themeColor="accent1"/>
      </w:rPr>
      <w:instrText xml:space="preserve"> PAGE   \* MERGEFORMAT </w:instrText>
    </w:r>
    <w:r w:rsidRPr="00490256">
      <w:rPr>
        <w:color w:val="005172" w:themeColor="accent1"/>
      </w:rPr>
      <w:fldChar w:fldCharType="separate"/>
    </w:r>
    <w:r w:rsidR="00E813FB">
      <w:rPr>
        <w:noProof/>
        <w:color w:val="005172" w:themeColor="accent1"/>
      </w:rPr>
      <w:t>21</w:t>
    </w:r>
    <w:r w:rsidRPr="00490256">
      <w:rPr>
        <w:color w:val="005172" w:themeColor="accent1"/>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DE595" w14:textId="21DBBA9D" w:rsidR="00331767" w:rsidRDefault="00331767" w:rsidP="00D376C1">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Pr>
        <w:noProof/>
        <w:color w:val="005172" w:themeColor="accent1"/>
      </w:rPr>
      <w:t>116</w:t>
    </w:r>
    <w:r w:rsidRPr="00273E86">
      <w:rPr>
        <w:color w:val="005172" w:themeColor="accent1"/>
      </w:rPr>
      <w:fldChar w:fldCharType="end"/>
    </w:r>
  </w:p>
  <w:p w14:paraId="2E6D3D67" w14:textId="77777777" w:rsidR="00331767" w:rsidRPr="00273E86" w:rsidRDefault="00331767" w:rsidP="00D376C1">
    <w:pPr>
      <w:pStyle w:val="Footer"/>
      <w:jc w:val="center"/>
      <w:rPr>
        <w:color w:val="005172" w:themeColor="accent1"/>
      </w:rP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361EF6" w14:textId="11507B3C" w:rsidR="00331767" w:rsidRDefault="00331767" w:rsidP="00881E4D">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Pr>
        <w:noProof/>
        <w:color w:val="005172" w:themeColor="accent1"/>
      </w:rPr>
      <w:t>116</w:t>
    </w:r>
    <w:r w:rsidRPr="00273E86">
      <w:rPr>
        <w:color w:val="005172" w:themeColor="accent1"/>
      </w:rPr>
      <w:fldChar w:fldCharType="end"/>
    </w:r>
  </w:p>
  <w:p w14:paraId="7EE48E38" w14:textId="77777777" w:rsidR="00331767" w:rsidRPr="00273E86" w:rsidRDefault="00331767" w:rsidP="00881E4D">
    <w:pPr>
      <w:pStyle w:val="Footer"/>
      <w:jc w:val="center"/>
      <w:rPr>
        <w:color w:val="005172" w:themeColor="accent1"/>
      </w:rPr>
    </w:pPr>
  </w:p>
  <w:p w14:paraId="0A854423" w14:textId="77777777" w:rsidR="00331767" w:rsidRDefault="00331767"/>
  <w:p w14:paraId="05679700" w14:textId="77777777" w:rsidR="00331767" w:rsidRDefault="00331767"/>
  <w:p w14:paraId="5A210A29" w14:textId="77777777" w:rsidR="00331767" w:rsidRDefault="00331767"/>
  <w:p w14:paraId="14F91A33" w14:textId="77777777" w:rsidR="00331767" w:rsidRDefault="00331767"/>
  <w:p w14:paraId="41F81FEC" w14:textId="77777777" w:rsidR="00331767" w:rsidRDefault="00331767"/>
  <w:p w14:paraId="5C41910B" w14:textId="77777777" w:rsidR="00331767" w:rsidRDefault="00331767"/>
  <w:p w14:paraId="76E4D954" w14:textId="77777777" w:rsidR="00331767" w:rsidRDefault="00331767"/>
  <w:p w14:paraId="32B7CB8A" w14:textId="77777777" w:rsidR="00331767" w:rsidRDefault="00331767"/>
  <w:p w14:paraId="32AB4D40" w14:textId="77777777" w:rsidR="00331767" w:rsidRDefault="00331767"/>
  <w:p w14:paraId="5ACA57FF" w14:textId="77777777" w:rsidR="00331767" w:rsidRDefault="00331767"/>
  <w:p w14:paraId="1AB2B96C" w14:textId="77777777" w:rsidR="00331767" w:rsidRDefault="00331767"/>
  <w:p w14:paraId="173BE957" w14:textId="77777777" w:rsidR="00331767" w:rsidRDefault="00331767"/>
  <w:p w14:paraId="48A5608C" w14:textId="77777777" w:rsidR="00331767" w:rsidRDefault="00331767"/>
  <w:p w14:paraId="4E17D08C" w14:textId="77777777" w:rsidR="00331767" w:rsidRDefault="00331767"/>
  <w:p w14:paraId="4E13ECB3" w14:textId="77777777" w:rsidR="00331767" w:rsidRDefault="00331767"/>
  <w:p w14:paraId="6E0120E1" w14:textId="77777777" w:rsidR="00331767" w:rsidRDefault="00331767"/>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B8820E" w14:textId="733D007B" w:rsidR="00331767" w:rsidRDefault="00331767" w:rsidP="00382909">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sidR="003B370B">
      <w:rPr>
        <w:noProof/>
        <w:color w:val="005172" w:themeColor="accent1"/>
      </w:rPr>
      <w:t>72</w:t>
    </w:r>
    <w:r w:rsidRPr="00273E86">
      <w:rPr>
        <w:color w:val="005172" w:themeColor="accent1"/>
      </w:rPr>
      <w:fldChar w:fldCharType="end"/>
    </w:r>
  </w:p>
  <w:p w14:paraId="7F1EB29B" w14:textId="77777777" w:rsidR="00331767" w:rsidRDefault="00331767"/>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07B28" w14:textId="4FF42CF2" w:rsidR="00331767" w:rsidRDefault="00331767">
    <w:pPr>
      <w:pStyle w:val="Footer"/>
      <w:jc w:val="center"/>
    </w:pPr>
  </w:p>
  <w:p w14:paraId="1B534AF4" w14:textId="4D52E820" w:rsidR="00331767" w:rsidRPr="00273E86" w:rsidRDefault="00331767" w:rsidP="00881E4D">
    <w:pPr>
      <w:pStyle w:val="Footer"/>
      <w:jc w:val="center"/>
      <w:rPr>
        <w:color w:val="005172" w:themeColor="accent1"/>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3E92F7" w14:textId="71CA0DE6" w:rsidR="00331767" w:rsidRDefault="0033176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74ED1" w14:textId="77777777" w:rsidR="00331767" w:rsidRPr="00273E86" w:rsidRDefault="00331767" w:rsidP="00382909">
    <w:pPr>
      <w:pStyle w:val="Footer"/>
      <w:jc w:val="center"/>
      <w:rPr>
        <w:color w:val="005172" w:themeColor="accent1"/>
      </w:rPr>
    </w:pPr>
  </w:p>
  <w:p w14:paraId="71B786DB" w14:textId="3515B674" w:rsidR="00331767" w:rsidRDefault="00331767"/>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2291808"/>
      <w:docPartObj>
        <w:docPartGallery w:val="Page Numbers (Bottom of Page)"/>
        <w:docPartUnique/>
      </w:docPartObj>
    </w:sdtPr>
    <w:sdtEndPr>
      <w:rPr>
        <w:noProof/>
      </w:rPr>
    </w:sdtEndPr>
    <w:sdtContent>
      <w:p w14:paraId="1D066F34" w14:textId="63E7E9F4" w:rsidR="00331767" w:rsidRDefault="00331767">
        <w:pPr>
          <w:pStyle w:val="Footer"/>
          <w:jc w:val="center"/>
        </w:pPr>
        <w:r w:rsidRPr="00294396">
          <w:rPr>
            <w:color w:val="003C55" w:themeColor="accent1" w:themeShade="BF"/>
          </w:rPr>
          <w:fldChar w:fldCharType="begin"/>
        </w:r>
        <w:r w:rsidRPr="00294396">
          <w:rPr>
            <w:color w:val="003C55" w:themeColor="accent1" w:themeShade="BF"/>
          </w:rPr>
          <w:instrText xml:space="preserve"> PAGE   \* MERGEFORMAT </w:instrText>
        </w:r>
        <w:r w:rsidRPr="00294396">
          <w:rPr>
            <w:color w:val="003C55" w:themeColor="accent1" w:themeShade="BF"/>
          </w:rPr>
          <w:fldChar w:fldCharType="separate"/>
        </w:r>
        <w:r w:rsidR="003B370B">
          <w:rPr>
            <w:noProof/>
            <w:color w:val="003C55" w:themeColor="accent1" w:themeShade="BF"/>
          </w:rPr>
          <w:t>106</w:t>
        </w:r>
        <w:r w:rsidRPr="00294396">
          <w:rPr>
            <w:noProof/>
            <w:color w:val="003C55" w:themeColor="accent1" w:themeShade="BF"/>
          </w:rPr>
          <w:fldChar w:fldCharType="end"/>
        </w:r>
      </w:p>
    </w:sdtContent>
  </w:sdt>
  <w:p w14:paraId="1AE4DB1C" w14:textId="77777777" w:rsidR="00331767" w:rsidRPr="00273E86" w:rsidRDefault="00331767" w:rsidP="00881E4D">
    <w:pPr>
      <w:pStyle w:val="Footer"/>
      <w:jc w:val="center"/>
      <w:rPr>
        <w:color w:val="005172" w:themeColor="accent1"/>
      </w:rPr>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1389826"/>
      <w:docPartObj>
        <w:docPartGallery w:val="Page Numbers (Bottom of Page)"/>
        <w:docPartUnique/>
      </w:docPartObj>
    </w:sdtPr>
    <w:sdtEndPr>
      <w:rPr>
        <w:noProof/>
      </w:rPr>
    </w:sdtEndPr>
    <w:sdtContent>
      <w:p w14:paraId="6E526EC9" w14:textId="22FD115C" w:rsidR="00331767" w:rsidRDefault="00331767">
        <w:pPr>
          <w:pStyle w:val="Footer"/>
          <w:jc w:val="center"/>
        </w:pPr>
        <w:r w:rsidRPr="00294396">
          <w:rPr>
            <w:color w:val="003C55" w:themeColor="accent1" w:themeShade="BF"/>
          </w:rPr>
          <w:fldChar w:fldCharType="begin"/>
        </w:r>
        <w:r w:rsidRPr="00294396">
          <w:rPr>
            <w:color w:val="003C55" w:themeColor="accent1" w:themeShade="BF"/>
          </w:rPr>
          <w:instrText xml:space="preserve"> PAGE   \* MERGEFORMAT </w:instrText>
        </w:r>
        <w:r w:rsidRPr="00294396">
          <w:rPr>
            <w:color w:val="003C55" w:themeColor="accent1" w:themeShade="BF"/>
          </w:rPr>
          <w:fldChar w:fldCharType="separate"/>
        </w:r>
        <w:r w:rsidR="003B370B">
          <w:rPr>
            <w:noProof/>
            <w:color w:val="003C55" w:themeColor="accent1" w:themeShade="BF"/>
          </w:rPr>
          <w:t>87</w:t>
        </w:r>
        <w:r w:rsidRPr="00294396">
          <w:rPr>
            <w:noProof/>
            <w:color w:val="003C55" w:themeColor="accent1" w:themeShade="BF"/>
          </w:rPr>
          <w:fldChar w:fldCharType="end"/>
        </w:r>
      </w:p>
    </w:sdtContent>
  </w:sdt>
  <w:p w14:paraId="16D5DEB8" w14:textId="77777777" w:rsidR="00331767" w:rsidRDefault="00331767"/>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43F1C" w14:textId="2E73FAF8" w:rsidR="00331767" w:rsidRDefault="00331767">
    <w:pPr>
      <w:pStyle w:val="Footer"/>
      <w:jc w:val="center"/>
    </w:pPr>
  </w:p>
  <w:p w14:paraId="57A59BE0" w14:textId="77777777" w:rsidR="00331767" w:rsidRDefault="00331767"/>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6262381"/>
      <w:docPartObj>
        <w:docPartGallery w:val="Page Numbers (Bottom of Page)"/>
        <w:docPartUnique/>
      </w:docPartObj>
    </w:sdtPr>
    <w:sdtEndPr>
      <w:rPr>
        <w:noProof/>
      </w:rPr>
    </w:sdtEndPr>
    <w:sdtContent>
      <w:p w14:paraId="76635F39" w14:textId="2DA748E5" w:rsidR="00331767" w:rsidRDefault="00331767">
        <w:pPr>
          <w:pStyle w:val="Footer"/>
          <w:jc w:val="center"/>
        </w:pPr>
        <w:r w:rsidRPr="00FC59CA">
          <w:rPr>
            <w:color w:val="005172" w:themeColor="text2"/>
          </w:rPr>
          <w:fldChar w:fldCharType="begin"/>
        </w:r>
        <w:r w:rsidRPr="00FC59CA">
          <w:rPr>
            <w:color w:val="005172" w:themeColor="text2"/>
          </w:rPr>
          <w:instrText xml:space="preserve"> PAGE   \* MERGEFORMAT </w:instrText>
        </w:r>
        <w:r w:rsidRPr="00FC59CA">
          <w:rPr>
            <w:color w:val="005172" w:themeColor="text2"/>
          </w:rPr>
          <w:fldChar w:fldCharType="separate"/>
        </w:r>
        <w:r w:rsidR="003B370B">
          <w:rPr>
            <w:noProof/>
            <w:color w:val="005172" w:themeColor="text2"/>
          </w:rPr>
          <w:t>108</w:t>
        </w:r>
        <w:r w:rsidRPr="00FC59CA">
          <w:rPr>
            <w:noProof/>
            <w:color w:val="005172" w:themeColor="text2"/>
          </w:rPr>
          <w:fldChar w:fldCharType="end"/>
        </w:r>
      </w:p>
    </w:sdtContent>
  </w:sdt>
  <w:p w14:paraId="1D382257" w14:textId="77777777" w:rsidR="00331767" w:rsidRDefault="00331767"/>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D38E8D" w14:textId="77777777" w:rsidR="00331767" w:rsidRDefault="00331767" w:rsidP="00D376C1">
    <w:pPr>
      <w:pStyle w:val="Footer"/>
      <w:jc w:val="center"/>
    </w:pPr>
  </w:p>
  <w:p w14:paraId="2F10AE23" w14:textId="77777777" w:rsidR="00331767" w:rsidRDefault="00331767" w:rsidP="00D376C1">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1800C0" w14:textId="66EC6308" w:rsidR="00331767" w:rsidRPr="006D0A8E" w:rsidRDefault="00331767" w:rsidP="00881E4D">
    <w:pPr>
      <w:pStyle w:val="Footer"/>
      <w:jc w:val="center"/>
      <w:rPr>
        <w:color w:val="005172" w:themeColor="text2"/>
      </w:rPr>
    </w:pPr>
    <w:r w:rsidRPr="006D0A8E">
      <w:rPr>
        <w:color w:val="005172" w:themeColor="text2"/>
      </w:rPr>
      <w:fldChar w:fldCharType="begin"/>
    </w:r>
    <w:r w:rsidRPr="006D0A8E">
      <w:rPr>
        <w:color w:val="005172" w:themeColor="text2"/>
      </w:rPr>
      <w:instrText xml:space="preserve"> PAGE   \* MERGEFORMAT </w:instrText>
    </w:r>
    <w:r w:rsidRPr="006D0A8E">
      <w:rPr>
        <w:color w:val="005172" w:themeColor="text2"/>
      </w:rPr>
      <w:fldChar w:fldCharType="separate"/>
    </w:r>
    <w:r w:rsidR="003B370B">
      <w:rPr>
        <w:noProof/>
        <w:color w:val="005172" w:themeColor="text2"/>
      </w:rPr>
      <w:t>110</w:t>
    </w:r>
    <w:r w:rsidRPr="006D0A8E">
      <w:rPr>
        <w:noProof/>
        <w:color w:val="005172" w:themeColor="text2"/>
      </w:rPr>
      <w:fldChar w:fldCharType="end"/>
    </w:r>
  </w:p>
  <w:p w14:paraId="0CE197F3" w14:textId="77777777" w:rsidR="00331767" w:rsidRDefault="00331767" w:rsidP="00881E4D">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E4D4BC" w14:textId="5D302F27" w:rsidR="00331767" w:rsidRPr="006D0A8E" w:rsidRDefault="00331767" w:rsidP="00382909">
    <w:pPr>
      <w:pStyle w:val="Footer"/>
      <w:jc w:val="center"/>
      <w:rPr>
        <w:color w:val="005172" w:themeColor="text2"/>
      </w:rPr>
    </w:pPr>
    <w:r w:rsidRPr="006D0A8E">
      <w:rPr>
        <w:color w:val="005172" w:themeColor="text2"/>
      </w:rPr>
      <w:fldChar w:fldCharType="begin"/>
    </w:r>
    <w:r w:rsidRPr="006D0A8E">
      <w:rPr>
        <w:color w:val="005172" w:themeColor="text2"/>
      </w:rPr>
      <w:instrText xml:space="preserve"> PAGE   \* MERGEFORMAT </w:instrText>
    </w:r>
    <w:r w:rsidRPr="006D0A8E">
      <w:rPr>
        <w:color w:val="005172" w:themeColor="text2"/>
      </w:rPr>
      <w:fldChar w:fldCharType="separate"/>
    </w:r>
    <w:r w:rsidR="003B370B">
      <w:rPr>
        <w:noProof/>
        <w:color w:val="005172" w:themeColor="text2"/>
      </w:rPr>
      <w:t>109</w:t>
    </w:r>
    <w:r w:rsidRPr="006D0A8E">
      <w:rPr>
        <w:noProof/>
        <w:color w:val="005172" w:themeColor="text2"/>
      </w:rPr>
      <w:fldChar w:fldCharType="end"/>
    </w:r>
  </w:p>
  <w:p w14:paraId="37C232AC" w14:textId="77777777" w:rsidR="00331767" w:rsidRDefault="00331767" w:rsidP="00382909">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EE4B2" w14:textId="6942C429" w:rsidR="00331767" w:rsidRDefault="00331767" w:rsidP="00D376C1">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Pr>
        <w:noProof/>
        <w:color w:val="005172" w:themeColor="accent1"/>
      </w:rPr>
      <w:t>116</w:t>
    </w:r>
    <w:r w:rsidRPr="00273E86">
      <w:rPr>
        <w:color w:val="005172" w:themeColor="accent1"/>
      </w:rPr>
      <w:fldChar w:fldCharType="end"/>
    </w:r>
  </w:p>
  <w:p w14:paraId="441875DA" w14:textId="77777777" w:rsidR="00331767" w:rsidRPr="00273E86" w:rsidRDefault="00331767" w:rsidP="00D376C1">
    <w:pPr>
      <w:pStyle w:val="Footer"/>
      <w:jc w:val="center"/>
      <w:rPr>
        <w:color w:val="005172" w:themeColor="accent1"/>
      </w:rPr>
    </w:pP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8F02B8" w14:textId="06747D3A" w:rsidR="00331767" w:rsidRDefault="00331767" w:rsidP="00881E4D">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sidR="003B370B">
      <w:rPr>
        <w:noProof/>
        <w:color w:val="005172" w:themeColor="accent1"/>
      </w:rPr>
      <w:t>117</w:t>
    </w:r>
    <w:r w:rsidRPr="00273E86">
      <w:rPr>
        <w:color w:val="005172" w:themeColor="accent1"/>
      </w:rPr>
      <w:fldChar w:fldCharType="end"/>
    </w:r>
  </w:p>
  <w:p w14:paraId="4248DB05" w14:textId="77777777" w:rsidR="00331767" w:rsidRPr="00273E86" w:rsidRDefault="00331767" w:rsidP="00881E4D">
    <w:pPr>
      <w:pStyle w:val="Footer"/>
      <w:jc w:val="center"/>
      <w:rPr>
        <w:color w:val="005172" w:themeColor="accent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5F806C" w14:textId="2660FCAC" w:rsidR="00331767" w:rsidRDefault="00331767">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8C15AD" w14:textId="210A686C" w:rsidR="00331767" w:rsidRDefault="00331767" w:rsidP="00382909">
    <w:pPr>
      <w:pStyle w:val="Footer"/>
      <w:jc w:val="center"/>
      <w:rPr>
        <w:color w:val="005172" w:themeColor="accent1"/>
      </w:rPr>
    </w:pPr>
    <w:r w:rsidRPr="00273E86">
      <w:rPr>
        <w:color w:val="005172" w:themeColor="accent1"/>
      </w:rPr>
      <w:fldChar w:fldCharType="begin"/>
    </w:r>
    <w:r w:rsidRPr="00273E86">
      <w:rPr>
        <w:color w:val="005172" w:themeColor="accent1"/>
      </w:rPr>
      <w:instrText xml:space="preserve"> PAGE   \* MERGEFORMAT </w:instrText>
    </w:r>
    <w:r w:rsidRPr="00273E86">
      <w:rPr>
        <w:color w:val="005172" w:themeColor="accent1"/>
      </w:rPr>
      <w:fldChar w:fldCharType="separate"/>
    </w:r>
    <w:r w:rsidR="003B370B">
      <w:rPr>
        <w:noProof/>
        <w:color w:val="005172" w:themeColor="accent1"/>
      </w:rPr>
      <w:t>111</w:t>
    </w:r>
    <w:r w:rsidRPr="00273E86">
      <w:rPr>
        <w:color w:val="005172" w:themeColor="accent1"/>
      </w:rPr>
      <w:fldChar w:fldCharType="end"/>
    </w:r>
  </w:p>
  <w:p w14:paraId="1C286CA2" w14:textId="77777777" w:rsidR="00331767" w:rsidRPr="00273E86" w:rsidRDefault="00331767" w:rsidP="00382909">
    <w:pPr>
      <w:pStyle w:val="Footer"/>
      <w:jc w:val="center"/>
      <w:rPr>
        <w:color w:val="005172" w:themeColor="accent1"/>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4CF466" w14:textId="020C003B" w:rsidR="00331767" w:rsidRPr="006D3544" w:rsidRDefault="00331767" w:rsidP="00D376C1">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Pr>
        <w:noProof/>
        <w:color w:val="005172" w:themeColor="accent1"/>
      </w:rPr>
      <w:t>116</w:t>
    </w:r>
    <w:r w:rsidRPr="006D3544">
      <w:rPr>
        <w:color w:val="005172" w:themeColor="accent1"/>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9A025" w14:textId="266DCE1A" w:rsidR="00331767" w:rsidRPr="006D3544" w:rsidRDefault="00331767" w:rsidP="00B80717">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sidR="00E813FB">
      <w:rPr>
        <w:noProof/>
        <w:color w:val="005172" w:themeColor="accent1"/>
      </w:rPr>
      <w:t>3</w:t>
    </w:r>
    <w:r w:rsidRPr="006D3544">
      <w:rPr>
        <w:color w:val="005172" w:themeColor="accent1"/>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CF9212" w14:textId="66D4BC89" w:rsidR="00331767" w:rsidRPr="006D3544" w:rsidRDefault="00331767" w:rsidP="00382909">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sidR="00E813FB">
      <w:rPr>
        <w:noProof/>
        <w:color w:val="005172" w:themeColor="accent1"/>
      </w:rPr>
      <w:t>2</w:t>
    </w:r>
    <w:r w:rsidRPr="006D3544">
      <w:rPr>
        <w:color w:val="005172" w:themeColor="accent1"/>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BAA09" w14:textId="53F3DE92" w:rsidR="00331767" w:rsidRPr="006D3544" w:rsidRDefault="00331767" w:rsidP="00D376C1">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Pr>
        <w:noProof/>
        <w:color w:val="005172" w:themeColor="accent1"/>
      </w:rPr>
      <w:t>116</w:t>
    </w:r>
    <w:r w:rsidRPr="006D3544">
      <w:rPr>
        <w:color w:val="005172" w:themeColor="accent1"/>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D2FF0F" w14:textId="2750CC07" w:rsidR="00331767" w:rsidRPr="006D3544" w:rsidRDefault="00331767" w:rsidP="00B80717">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sidR="00E813FB">
      <w:rPr>
        <w:noProof/>
        <w:color w:val="005172" w:themeColor="accent1"/>
      </w:rPr>
      <w:t>7</w:t>
    </w:r>
    <w:r w:rsidRPr="006D3544">
      <w:rPr>
        <w:color w:val="005172" w:themeColor="accent1"/>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8F076" w14:textId="223D3F15" w:rsidR="00331767" w:rsidRPr="006D3544" w:rsidRDefault="00331767" w:rsidP="00382909">
    <w:pPr>
      <w:pStyle w:val="Footer"/>
      <w:jc w:val="center"/>
      <w:rPr>
        <w:color w:val="005172" w:themeColor="accent1"/>
      </w:rPr>
    </w:pPr>
    <w:r w:rsidRPr="006D3544">
      <w:rPr>
        <w:color w:val="005172" w:themeColor="accent1"/>
      </w:rPr>
      <w:fldChar w:fldCharType="begin"/>
    </w:r>
    <w:r w:rsidRPr="006D3544">
      <w:rPr>
        <w:color w:val="005172" w:themeColor="accent1"/>
      </w:rPr>
      <w:instrText xml:space="preserve"> PAGE   \* MERGEFORMAT </w:instrText>
    </w:r>
    <w:r w:rsidRPr="006D3544">
      <w:rPr>
        <w:color w:val="005172" w:themeColor="accent1"/>
      </w:rPr>
      <w:fldChar w:fldCharType="separate"/>
    </w:r>
    <w:r w:rsidR="00E813FB">
      <w:rPr>
        <w:noProof/>
        <w:color w:val="005172" w:themeColor="accent1"/>
      </w:rPr>
      <w:t>4</w:t>
    </w:r>
    <w:r w:rsidRPr="006D3544">
      <w:rPr>
        <w:color w:val="005172" w:themeColor="accent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307CB3" w14:textId="77777777" w:rsidR="00331767" w:rsidRDefault="00331767" w:rsidP="005F4C42">
      <w:pPr>
        <w:spacing w:after="0"/>
      </w:pPr>
      <w:r>
        <w:separator/>
      </w:r>
    </w:p>
  </w:footnote>
  <w:footnote w:type="continuationSeparator" w:id="0">
    <w:p w14:paraId="58715822" w14:textId="77777777" w:rsidR="00331767" w:rsidRDefault="00331767" w:rsidP="005F4C42">
      <w:pPr>
        <w:spacing w:after="0"/>
      </w:pPr>
      <w:r>
        <w:continuationSeparator/>
      </w:r>
    </w:p>
  </w:footnote>
  <w:footnote w:id="1">
    <w:p w14:paraId="33A163D5" w14:textId="77777777" w:rsidR="00331767" w:rsidRPr="005C3442" w:rsidRDefault="00331767" w:rsidP="00434007">
      <w:pPr>
        <w:pStyle w:val="FootnoteText"/>
      </w:pPr>
      <w:r>
        <w:rPr>
          <w:rStyle w:val="FootnoteReference"/>
        </w:rPr>
        <w:footnoteRef/>
      </w:r>
      <w:r>
        <w:t xml:space="preserve"> PBC/32/3</w:t>
      </w:r>
    </w:p>
  </w:footnote>
  <w:footnote w:id="2">
    <w:p w14:paraId="0B64EB31" w14:textId="77777777" w:rsidR="00331767" w:rsidRPr="00CC660D" w:rsidRDefault="00331767" w:rsidP="00E47665">
      <w:pPr>
        <w:pStyle w:val="FootnoteText"/>
        <w:rPr>
          <w:lang w:val="en-US"/>
        </w:rPr>
      </w:pPr>
      <w:r>
        <w:rPr>
          <w:rStyle w:val="FootnoteReference"/>
        </w:rPr>
        <w:footnoteRef/>
      </w:r>
      <w:r>
        <w:t xml:space="preserve"> </w:t>
      </w:r>
      <w:r>
        <w:rPr>
          <w:rStyle w:val="ui-provider"/>
        </w:rPr>
        <w:t>Income is estimated on an accrual basis.</w:t>
      </w:r>
    </w:p>
  </w:footnote>
  <w:footnote w:id="3">
    <w:p w14:paraId="7AAA31AA" w14:textId="77777777" w:rsidR="00331767" w:rsidRDefault="00331767" w:rsidP="00E47665">
      <w:pPr>
        <w:pStyle w:val="FootnoteText"/>
        <w:rPr>
          <w:rStyle w:val="ui-provider"/>
        </w:rPr>
      </w:pPr>
      <w:r>
        <w:rPr>
          <w:rStyle w:val="FootnoteReference"/>
        </w:rPr>
        <w:footnoteRef/>
      </w:r>
      <w:r>
        <w:t xml:space="preserve"> </w:t>
      </w:r>
      <w:r>
        <w:rPr>
          <w:rStyle w:val="ui-provider"/>
        </w:rPr>
        <w:t>IPSAS adjustments relate to after-service employee benefits (based on projected liabilities and benefit payments as per the AON actuarial report for the year ended December 31, 2022), depreciation, land surface rights and software amortization, finance lease, and capitalization.</w:t>
      </w:r>
    </w:p>
    <w:p w14:paraId="6E404F33" w14:textId="77777777" w:rsidR="00331767" w:rsidRPr="00CC660D" w:rsidRDefault="00331767" w:rsidP="00E47665">
      <w:pPr>
        <w:pStyle w:val="FootnoteText"/>
        <w:rPr>
          <w:lang w:val="en-US"/>
        </w:rPr>
      </w:pPr>
      <w:r>
        <w:rPr>
          <w:rStyle w:val="ui-provider"/>
        </w:rPr>
        <w:t>Note: Figures in tables throughout the document may not add up due to rounding.</w:t>
      </w:r>
    </w:p>
  </w:footnote>
  <w:footnote w:id="4">
    <w:p w14:paraId="28BE4C0C" w14:textId="77777777" w:rsidR="00331767" w:rsidRDefault="00331767" w:rsidP="00434007">
      <w:pPr>
        <w:pStyle w:val="FootnoteText"/>
        <w:spacing w:after="0"/>
      </w:pPr>
      <w:r>
        <w:rPr>
          <w:rStyle w:val="FootnoteReference"/>
        </w:rPr>
        <w:footnoteRef/>
      </w:r>
      <w:r>
        <w:t xml:space="preserve"> </w:t>
      </w:r>
      <w:r w:rsidRPr="00121715">
        <w:t>See Appendix A on Member</w:t>
      </w:r>
      <w:r w:rsidRPr="001829F3">
        <w:t xml:space="preserve"> States’ Contributions</w:t>
      </w:r>
    </w:p>
  </w:footnote>
  <w:footnote w:id="5">
    <w:p w14:paraId="63452ADA" w14:textId="2CAD4441" w:rsidR="00331767" w:rsidRDefault="00331767" w:rsidP="00434007">
      <w:pPr>
        <w:pStyle w:val="FootnoteText"/>
        <w:spacing w:after="0"/>
      </w:pPr>
      <w:r w:rsidRPr="001E7A58">
        <w:rPr>
          <w:rStyle w:val="FootnoteReference"/>
          <w:szCs w:val="16"/>
        </w:rPr>
        <w:footnoteRef/>
      </w:r>
      <w:r w:rsidRPr="00285F7B">
        <w:rPr>
          <w:sz w:val="18"/>
          <w:szCs w:val="16"/>
        </w:rPr>
        <w:t xml:space="preserve"> </w:t>
      </w:r>
      <w:r w:rsidRPr="001C46E5">
        <w:rPr>
          <w:szCs w:val="16"/>
        </w:rPr>
        <w:t xml:space="preserve">As at </w:t>
      </w:r>
      <w:r>
        <w:rPr>
          <w:szCs w:val="16"/>
        </w:rPr>
        <w:t>Dec. 31</w:t>
      </w:r>
      <w:r w:rsidRPr="001C46E5">
        <w:rPr>
          <w:szCs w:val="16"/>
        </w:rPr>
        <w:t>, 20</w:t>
      </w:r>
      <w:r>
        <w:rPr>
          <w:szCs w:val="16"/>
        </w:rPr>
        <w:t>22</w:t>
      </w:r>
    </w:p>
  </w:footnote>
  <w:footnote w:id="6">
    <w:p w14:paraId="5B2B2773" w14:textId="10D11135" w:rsidR="00331767" w:rsidRPr="00D96210" w:rsidRDefault="00331767">
      <w:pPr>
        <w:pStyle w:val="FootnoteText"/>
        <w:rPr>
          <w:lang w:val="en-US"/>
        </w:rPr>
      </w:pPr>
      <w:r>
        <w:rPr>
          <w:rStyle w:val="FootnoteReference"/>
        </w:rPr>
        <w:footnoteRef/>
      </w:r>
      <w:r>
        <w:t xml:space="preserve"> </w:t>
      </w:r>
      <w:r w:rsidRPr="00D96210">
        <w:t>AFM also includes the Office of the Director General (ODG)</w:t>
      </w:r>
    </w:p>
  </w:footnote>
  <w:footnote w:id="7">
    <w:p w14:paraId="1814E2DC" w14:textId="77777777" w:rsidR="00331767" w:rsidRPr="00955124" w:rsidRDefault="00331767" w:rsidP="00434007">
      <w:pPr>
        <w:pStyle w:val="FootnoteText"/>
        <w:spacing w:after="0"/>
        <w:ind w:left="115" w:hanging="115"/>
      </w:pPr>
      <w:r w:rsidRPr="00E12B3D">
        <w:rPr>
          <w:rStyle w:val="FootnoteReference"/>
          <w:sz w:val="18"/>
        </w:rPr>
        <w:footnoteRef/>
      </w:r>
      <w:r>
        <w:t xml:space="preserve"> A breakdown of resources associated with ER 3.1 for promotion of the Global IP Systems is included in Annex X.</w:t>
      </w:r>
    </w:p>
  </w:footnote>
  <w:footnote w:id="8">
    <w:p w14:paraId="0FC7BE8A" w14:textId="4C61A2D6" w:rsidR="00331767" w:rsidRPr="00A6384F" w:rsidRDefault="00331767">
      <w:pPr>
        <w:pStyle w:val="FootnoteText"/>
      </w:pPr>
      <w:r>
        <w:rPr>
          <w:rStyle w:val="FootnoteReference"/>
        </w:rPr>
        <w:footnoteRef/>
      </w:r>
      <w:r>
        <w:t xml:space="preserve"> AFM also includes the Office of the Director General (ODG)</w:t>
      </w:r>
    </w:p>
  </w:footnote>
  <w:footnote w:id="9">
    <w:p w14:paraId="744FDAD3" w14:textId="77777777" w:rsidR="00331767" w:rsidRPr="005B0AE9" w:rsidRDefault="00331767" w:rsidP="00434007">
      <w:pPr>
        <w:autoSpaceDE w:val="0"/>
        <w:autoSpaceDN w:val="0"/>
        <w:adjustRightInd w:val="0"/>
        <w:spacing w:after="0" w:line="240" w:lineRule="auto"/>
        <w:rPr>
          <w:rFonts w:asciiTheme="majorHAnsi" w:hAnsiTheme="majorHAnsi" w:cstheme="majorHAnsi"/>
          <w:sz w:val="16"/>
          <w:szCs w:val="16"/>
          <w:lang w:val="en-US"/>
        </w:rPr>
      </w:pPr>
      <w:r>
        <w:rPr>
          <w:rStyle w:val="FootnoteReference"/>
        </w:rPr>
        <w:footnoteRef/>
      </w:r>
      <w:r>
        <w:t xml:space="preserve"> </w:t>
      </w:r>
      <w:r w:rsidRPr="005B0AE9">
        <w:rPr>
          <w:rFonts w:asciiTheme="majorHAnsi" w:hAnsiTheme="majorHAnsi" w:cstheme="majorHAnsi"/>
          <w:sz w:val="16"/>
          <w:szCs w:val="16"/>
          <w:lang w:val="en-US"/>
        </w:rPr>
        <w:t>The budgets for the main priorities in the below tables comprises total personnel and non-personnel budget. They do not equal the</w:t>
      </w:r>
    </w:p>
    <w:p w14:paraId="368AC6BD" w14:textId="77777777" w:rsidR="00331767" w:rsidRPr="00AD1DDC" w:rsidRDefault="00331767" w:rsidP="00434007">
      <w:pPr>
        <w:pStyle w:val="FootnoteText"/>
        <w:rPr>
          <w:lang w:val="en-US"/>
        </w:rPr>
      </w:pPr>
      <w:r w:rsidRPr="005B0AE9">
        <w:rPr>
          <w:rFonts w:asciiTheme="majorHAnsi" w:hAnsiTheme="majorHAnsi" w:cstheme="majorHAnsi"/>
          <w:szCs w:val="16"/>
          <w:lang w:val="en-US"/>
        </w:rPr>
        <w:t>total budget by Strategic Pillar</w:t>
      </w:r>
      <w:r>
        <w:rPr>
          <w:rFonts w:ascii="ArialMT" w:hAnsi="ArialMT" w:cs="ArialMT"/>
          <w:szCs w:val="16"/>
          <w:lang w:val="en-US"/>
        </w:rPr>
        <w:t>.</w:t>
      </w:r>
    </w:p>
  </w:footnote>
  <w:footnote w:id="10">
    <w:p w14:paraId="48A1DA35" w14:textId="77777777" w:rsidR="00331767" w:rsidRDefault="00331767" w:rsidP="00F56702">
      <w:pPr>
        <w:pStyle w:val="FootnoteText"/>
      </w:pPr>
      <w:r w:rsidRPr="006E5DF4">
        <w:rPr>
          <w:rStyle w:val="FootnoteReference"/>
          <w:rFonts w:eastAsia="Arial Narrow"/>
        </w:rPr>
        <w:footnoteRef/>
      </w:r>
      <w:r w:rsidRPr="006E5DF4">
        <w:t xml:space="preserve"> Progress on the implementation of South-South and Triangular cooperation activities will be reported on annually in the WPR.</w:t>
      </w:r>
    </w:p>
  </w:footnote>
  <w:footnote w:id="11">
    <w:p w14:paraId="29A69FAF" w14:textId="77777777" w:rsidR="00331767" w:rsidRPr="00357F18" w:rsidRDefault="00331767" w:rsidP="009A3139">
      <w:pPr>
        <w:pStyle w:val="FootnoteText"/>
        <w:rPr>
          <w:lang w:val="en-US"/>
        </w:rPr>
      </w:pPr>
      <w:r>
        <w:rPr>
          <w:rStyle w:val="FootnoteReference"/>
        </w:rPr>
        <w:footnoteRef/>
      </w:r>
      <w:r>
        <w:t xml:space="preserve"> Such as ITC, UNCTAD, and UN Women</w:t>
      </w:r>
    </w:p>
  </w:footnote>
  <w:footnote w:id="12">
    <w:p w14:paraId="04F724B1" w14:textId="77777777" w:rsidR="00331767" w:rsidRDefault="00331767" w:rsidP="00434007">
      <w:pPr>
        <w:pStyle w:val="FootnoteText"/>
      </w:pPr>
      <w:r>
        <w:rPr>
          <w:rStyle w:val="FootnoteReference"/>
        </w:rPr>
        <w:footnoteRef/>
      </w:r>
      <w:r>
        <w:t xml:space="preserve"> </w:t>
      </w:r>
      <w:hyperlink r:id="rId1" w:history="1">
        <w:r w:rsidRPr="00820F42">
          <w:rPr>
            <w:rStyle w:val="Hyperlink"/>
          </w:rPr>
          <w:t>https://www.wipo.int/edocs/mdocs/govbody/en/wo_pbc_34/wo_pbc_34_13.pdf</w:t>
        </w:r>
      </w:hyperlink>
      <w:r>
        <w:t xml:space="preserve"> </w:t>
      </w:r>
    </w:p>
  </w:footnote>
  <w:footnote w:id="13">
    <w:p w14:paraId="18476096" w14:textId="77777777" w:rsidR="00331767" w:rsidRPr="000D7689" w:rsidRDefault="00331767" w:rsidP="00434007">
      <w:pPr>
        <w:pStyle w:val="FootnoteText"/>
        <w:spacing w:after="0"/>
      </w:pPr>
      <w:r w:rsidRPr="00E12B3D">
        <w:rPr>
          <w:rStyle w:val="FootnoteReference"/>
          <w:sz w:val="18"/>
        </w:rPr>
        <w:footnoteRef/>
      </w:r>
      <w:r>
        <w:t xml:space="preserve"> </w:t>
      </w:r>
      <w:hyperlink r:id="rId2" w:history="1">
        <w:r w:rsidRPr="000D1704">
          <w:rPr>
            <w:rStyle w:val="Hyperlink"/>
          </w:rPr>
          <w:t>https://www.wipo.int/ip-development/en/agenda/recommendations.html</w:t>
        </w:r>
      </w:hyperlink>
      <w:r>
        <w:t xml:space="preserve"> </w:t>
      </w:r>
    </w:p>
  </w:footnote>
  <w:footnote w:id="14">
    <w:p w14:paraId="05511C82" w14:textId="77777777" w:rsidR="00331767" w:rsidRPr="003D425F" w:rsidRDefault="00331767" w:rsidP="00434007">
      <w:pPr>
        <w:pStyle w:val="FootnoteText"/>
        <w:spacing w:after="0"/>
        <w:rPr>
          <w:szCs w:val="16"/>
        </w:rPr>
      </w:pPr>
      <w:r w:rsidRPr="00E12B3D">
        <w:rPr>
          <w:rStyle w:val="FootnoteReference"/>
          <w:sz w:val="18"/>
          <w:szCs w:val="16"/>
        </w:rPr>
        <w:footnoteRef/>
      </w:r>
      <w:r w:rsidRPr="003D425F">
        <w:rPr>
          <w:szCs w:val="16"/>
        </w:rPr>
        <w:t xml:space="preserve"> The revised definition of development expenditure </w:t>
      </w:r>
      <w:r>
        <w:rPr>
          <w:szCs w:val="16"/>
        </w:rPr>
        <w:t>can be found</w:t>
      </w:r>
      <w:r w:rsidRPr="003D425F">
        <w:rPr>
          <w:szCs w:val="16"/>
        </w:rPr>
        <w:t xml:space="preserve"> in document A/</w:t>
      </w:r>
      <w:r>
        <w:rPr>
          <w:szCs w:val="16"/>
        </w:rPr>
        <w:t>55/4</w:t>
      </w:r>
      <w:r w:rsidRPr="003D425F">
        <w:rPr>
          <w:szCs w:val="16"/>
        </w:rPr>
        <w:t xml:space="preserve">. </w:t>
      </w:r>
    </w:p>
  </w:footnote>
  <w:footnote w:id="15">
    <w:p w14:paraId="20751958" w14:textId="7213D30C" w:rsidR="00331767" w:rsidRPr="005B0AE9" w:rsidRDefault="00331767">
      <w:pPr>
        <w:pStyle w:val="FootnoteText"/>
        <w:rPr>
          <w:lang w:val="en-US"/>
        </w:rPr>
      </w:pPr>
      <w:r>
        <w:rPr>
          <w:rStyle w:val="FootnoteReference"/>
        </w:rPr>
        <w:footnoteRef/>
      </w:r>
      <w:r>
        <w:t xml:space="preserve"> </w:t>
      </w:r>
      <w:r w:rsidRPr="005B0AE9">
        <w:t>Includes UNICC-related expenditure as from 2022</w:t>
      </w:r>
    </w:p>
  </w:footnote>
  <w:footnote w:id="16">
    <w:p w14:paraId="3E7A2244" w14:textId="4583B1A7" w:rsidR="00331767" w:rsidRPr="00FF2DE1" w:rsidRDefault="00331767">
      <w:pPr>
        <w:pStyle w:val="FootnoteText"/>
        <w:rPr>
          <w:lang w:val="en-US"/>
        </w:rPr>
      </w:pPr>
      <w:r>
        <w:rPr>
          <w:rStyle w:val="FootnoteReference"/>
        </w:rPr>
        <w:footnoteRef/>
      </w:r>
      <w:r>
        <w:t xml:space="preserve"> </w:t>
      </w:r>
      <w:r>
        <w:rPr>
          <w:lang w:val="en-US"/>
        </w:rPr>
        <w:t xml:space="preserve">Translation into all official UN languages pending for an additional 3 publications. </w:t>
      </w:r>
    </w:p>
  </w:footnote>
  <w:footnote w:id="17">
    <w:p w14:paraId="0F5043ED" w14:textId="60508184" w:rsidR="00331767" w:rsidRPr="00721D32" w:rsidRDefault="00331767" w:rsidP="00721D32">
      <w:pPr>
        <w:pStyle w:val="FootnoteText"/>
        <w:rPr>
          <w:lang w:val="en-US"/>
        </w:rPr>
      </w:pPr>
      <w:r>
        <w:rPr>
          <w:rStyle w:val="FootnoteReference"/>
        </w:rPr>
        <w:footnoteRef/>
      </w:r>
      <w:r>
        <w:t xml:space="preserve"> </w:t>
      </w:r>
      <w:r>
        <w:rPr>
          <w:lang w:val="en-US"/>
        </w:rPr>
        <w:t>AFM also includes the Office of the Director General (ODG).</w:t>
      </w:r>
    </w:p>
  </w:footnote>
  <w:footnote w:id="18">
    <w:p w14:paraId="341ACDDA" w14:textId="77777777" w:rsidR="00331767" w:rsidRPr="002E428B" w:rsidRDefault="00331767" w:rsidP="008D4A20">
      <w:pPr>
        <w:pStyle w:val="FootnoteText"/>
        <w:rPr>
          <w:szCs w:val="16"/>
        </w:rPr>
      </w:pPr>
      <w:r w:rsidRPr="002D374E">
        <w:rPr>
          <w:rStyle w:val="FootnoteReference"/>
          <w:sz w:val="18"/>
        </w:rPr>
        <w:footnoteRef/>
      </w:r>
      <w:r w:rsidRPr="002D374E">
        <w:rPr>
          <w:sz w:val="18"/>
        </w:rPr>
        <w:t xml:space="preserve"> </w:t>
      </w:r>
      <w:r w:rsidRPr="002D374E">
        <w:rPr>
          <w:szCs w:val="16"/>
        </w:rPr>
        <w:t>The share of resources in Madrid supporting the operations of the Hague and Lisbon Systems is allocated to the Hague and Lisbon Unions</w:t>
      </w:r>
      <w:r>
        <w:rPr>
          <w:szCs w:val="16"/>
        </w:rPr>
        <w:t>.</w:t>
      </w:r>
    </w:p>
  </w:footnote>
  <w:footnote w:id="19">
    <w:p w14:paraId="48F90FB3" w14:textId="77777777" w:rsidR="00331767" w:rsidRDefault="00331767" w:rsidP="00C85F36">
      <w:pPr>
        <w:pStyle w:val="FootnoteText"/>
      </w:pPr>
      <w:r w:rsidRPr="00E12B3D">
        <w:rPr>
          <w:rStyle w:val="FootnoteReference"/>
          <w:sz w:val="18"/>
        </w:rPr>
        <w:footnoteRef/>
      </w:r>
      <w:r>
        <w:t xml:space="preserve"> </w:t>
      </w:r>
      <w:r w:rsidRPr="00C81161">
        <w:t>All statistics are based on the date of filing of PCT applications or Chapter II demands.</w:t>
      </w:r>
    </w:p>
  </w:footnote>
  <w:footnote w:id="20">
    <w:p w14:paraId="4668BB81" w14:textId="77777777" w:rsidR="00331767" w:rsidRDefault="00331767" w:rsidP="002363E7">
      <w:pPr>
        <w:pStyle w:val="FootnoteText"/>
      </w:pPr>
      <w:r>
        <w:rPr>
          <w:rStyle w:val="FootnoteReference"/>
        </w:rPr>
        <w:footnoteRef/>
      </w:r>
      <w:r>
        <w:t xml:space="preserve"> </w:t>
      </w:r>
      <w:r w:rsidRPr="00260C9F">
        <w:t>See “Total Processed Workload”</w:t>
      </w:r>
    </w:p>
  </w:footnote>
  <w:footnote w:id="21">
    <w:p w14:paraId="3AEE2D23" w14:textId="77777777" w:rsidR="00331767" w:rsidRPr="008D14CE" w:rsidRDefault="00331767" w:rsidP="002363E7">
      <w:pPr>
        <w:pStyle w:val="FootnoteText"/>
        <w:rPr>
          <w:rFonts w:asciiTheme="majorHAnsi" w:hAnsiTheme="majorHAnsi" w:cstheme="majorHAnsi"/>
          <w:szCs w:val="16"/>
        </w:rPr>
      </w:pPr>
      <w:r w:rsidRPr="008D14CE">
        <w:rPr>
          <w:rStyle w:val="FootnoteReference"/>
          <w:rFonts w:asciiTheme="majorHAnsi" w:hAnsiTheme="majorHAnsi" w:cstheme="majorHAnsi"/>
          <w:szCs w:val="16"/>
        </w:rPr>
        <w:footnoteRef/>
      </w:r>
      <w:r w:rsidRPr="008D14CE">
        <w:rPr>
          <w:rFonts w:asciiTheme="majorHAnsi" w:hAnsiTheme="majorHAnsi" w:cstheme="majorHAnsi"/>
          <w:szCs w:val="16"/>
        </w:rPr>
        <w:t xml:space="preserve"> The Madrid Registry QMF is available on request at </w:t>
      </w:r>
      <w:hyperlink r:id="rId3" w:history="1">
        <w:r w:rsidRPr="008D14CE">
          <w:rPr>
            <w:rStyle w:val="Hyperlink"/>
            <w:rFonts w:asciiTheme="majorHAnsi" w:hAnsiTheme="majorHAnsi" w:cstheme="majorHAnsi"/>
            <w:color w:val="005172"/>
            <w:szCs w:val="16"/>
          </w:rPr>
          <w:t>madrid.qp@wipo.int</w:t>
        </w:r>
      </w:hyperlink>
      <w:r>
        <w:rPr>
          <w:rStyle w:val="Hyperlink"/>
          <w:rFonts w:asciiTheme="majorHAnsi" w:hAnsiTheme="majorHAnsi" w:cstheme="majorHAnsi"/>
          <w:color w:val="005172"/>
          <w:szCs w:val="16"/>
        </w:rPr>
        <w:t>.</w:t>
      </w:r>
    </w:p>
  </w:footnote>
  <w:footnote w:id="22">
    <w:p w14:paraId="5E46796B" w14:textId="77777777" w:rsidR="00331767" w:rsidRPr="008D14CE" w:rsidRDefault="00331767" w:rsidP="002363E7">
      <w:pPr>
        <w:pStyle w:val="FootnoteText"/>
        <w:rPr>
          <w:rFonts w:asciiTheme="majorHAnsi" w:hAnsiTheme="majorHAnsi" w:cstheme="majorHAnsi"/>
          <w:szCs w:val="16"/>
        </w:rPr>
      </w:pPr>
      <w:r w:rsidRPr="008D14CE">
        <w:rPr>
          <w:rStyle w:val="FootnoteReference"/>
          <w:rFonts w:asciiTheme="majorHAnsi" w:hAnsiTheme="majorHAnsi" w:cstheme="majorHAnsi"/>
          <w:szCs w:val="16"/>
        </w:rPr>
        <w:footnoteRef/>
      </w:r>
      <w:r w:rsidRPr="008D14CE">
        <w:rPr>
          <w:rFonts w:asciiTheme="majorHAnsi" w:hAnsiTheme="majorHAnsi" w:cstheme="majorHAnsi"/>
          <w:szCs w:val="16"/>
        </w:rPr>
        <w:t xml:space="preserve"> Transactions which contain one or more errors.</w:t>
      </w:r>
    </w:p>
  </w:footnote>
  <w:footnote w:id="23">
    <w:p w14:paraId="05C7F85C" w14:textId="77777777" w:rsidR="00331767" w:rsidRDefault="00331767" w:rsidP="001C4D24">
      <w:pPr>
        <w:pStyle w:val="FootnoteText"/>
      </w:pPr>
      <w:r>
        <w:rPr>
          <w:rStyle w:val="FootnoteReference"/>
        </w:rPr>
        <w:footnoteRef/>
      </w:r>
      <w:r>
        <w:t xml:space="preserve"> </w:t>
      </w:r>
      <w:r w:rsidRPr="00260C9F">
        <w:t>See “Total Processed Workload”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4FDEC" w14:textId="77777777" w:rsidR="00331767" w:rsidRDefault="00331767">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753"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008"/>
      <w:gridCol w:w="3154"/>
    </w:tblGrid>
    <w:tr w:rsidR="00331767" w14:paraId="6095C356" w14:textId="77777777" w:rsidTr="0096231C">
      <w:trPr>
        <w:trHeight w:val="570"/>
      </w:trPr>
      <w:tc>
        <w:tcPr>
          <w:tcW w:w="3279" w:type="pct"/>
        </w:tcPr>
        <w:p w14:paraId="4CD00F83" w14:textId="2F9977C1"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OVERVIEW</w:t>
          </w:r>
          <w:r>
            <w:rPr>
              <w:noProof/>
            </w:rPr>
            <w:fldChar w:fldCharType="end"/>
          </w:r>
        </w:p>
        <w:p w14:paraId="64EFFB64" w14:textId="77777777" w:rsidR="00331767" w:rsidRDefault="00331767" w:rsidP="002D669B">
          <w:pPr>
            <w:pStyle w:val="Header"/>
          </w:pPr>
        </w:p>
      </w:tc>
      <w:tc>
        <w:tcPr>
          <w:tcW w:w="1721" w:type="pct"/>
        </w:tcPr>
        <w:p w14:paraId="658C0D42" w14:textId="77777777" w:rsidR="00331767" w:rsidRPr="00AB0F67" w:rsidRDefault="00331767" w:rsidP="002D669B">
          <w:pPr>
            <w:pStyle w:val="Header"/>
            <w:jc w:val="right"/>
            <w:rPr>
              <w:b/>
            </w:rPr>
          </w:pPr>
          <w:r w:rsidRPr="00AB0F67">
            <w:rPr>
              <w:b/>
            </w:rPr>
            <w:t>World Intellectual Property Organization</w:t>
          </w:r>
        </w:p>
        <w:p w14:paraId="48E58653" w14:textId="31CEB9CB" w:rsidR="00331767" w:rsidRDefault="00331767" w:rsidP="002D669B">
          <w:pPr>
            <w:pStyle w:val="Header"/>
            <w:jc w:val="right"/>
          </w:pPr>
          <w:r>
            <w:t xml:space="preserve">Program of Work </w:t>
          </w:r>
          <w:r w:rsidRPr="00AE6A90">
            <w:t>and Budget 20</w:t>
          </w:r>
          <w:r>
            <w:t>24</w:t>
          </w:r>
          <w:r w:rsidRPr="00AE6A90">
            <w:t>/</w:t>
          </w:r>
          <w:r>
            <w:t>25</w:t>
          </w:r>
        </w:p>
        <w:p w14:paraId="285F06D4" w14:textId="77777777" w:rsidR="00331767" w:rsidRDefault="00331767" w:rsidP="002D669B">
          <w:pPr>
            <w:pStyle w:val="Header"/>
            <w:jc w:val="right"/>
          </w:pPr>
        </w:p>
      </w:tc>
    </w:tr>
  </w:tbl>
  <w:p w14:paraId="6C73AFA7" w14:textId="02E32531" w:rsidR="00331767" w:rsidRPr="00AE6A90" w:rsidRDefault="00331767" w:rsidP="00382909">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639" w:type="dxa"/>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8"/>
    </w:tblGrid>
    <w:tr w:rsidR="00331767" w14:paraId="1561016A" w14:textId="77777777" w:rsidTr="00C82DAD">
      <w:tc>
        <w:tcPr>
          <w:tcW w:w="4927" w:type="dxa"/>
        </w:tcPr>
        <w:p w14:paraId="012F74CF" w14:textId="3EC5F745"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Pr>
              <w:noProof/>
            </w:rPr>
            <w:t>FINANCIAL AND RESULTS - OVERVIEW</w:t>
          </w:r>
          <w:r>
            <w:rPr>
              <w:noProof/>
            </w:rPr>
            <w:fldChar w:fldCharType="end"/>
          </w:r>
        </w:p>
        <w:p w14:paraId="14A0E166" w14:textId="77777777" w:rsidR="00331767" w:rsidRDefault="00331767" w:rsidP="002D669B">
          <w:pPr>
            <w:pStyle w:val="Header"/>
          </w:pPr>
        </w:p>
      </w:tc>
      <w:tc>
        <w:tcPr>
          <w:tcW w:w="2586" w:type="dxa"/>
        </w:tcPr>
        <w:p w14:paraId="7AF3C25F" w14:textId="77777777" w:rsidR="00331767" w:rsidRPr="00AB0F67" w:rsidRDefault="00331767" w:rsidP="002D669B">
          <w:pPr>
            <w:pStyle w:val="Header"/>
            <w:jc w:val="right"/>
            <w:rPr>
              <w:b/>
            </w:rPr>
          </w:pPr>
          <w:r w:rsidRPr="00AB0F67">
            <w:rPr>
              <w:b/>
            </w:rPr>
            <w:t>World Intellectual Property Organization</w:t>
          </w:r>
        </w:p>
        <w:p w14:paraId="7474A451" w14:textId="74D8974D" w:rsidR="00331767" w:rsidRDefault="00331767" w:rsidP="002D669B">
          <w:pPr>
            <w:pStyle w:val="Header"/>
            <w:jc w:val="right"/>
          </w:pPr>
          <w:r>
            <w:t xml:space="preserve">Program of Work </w:t>
          </w:r>
          <w:r w:rsidRPr="00AE6A90">
            <w:t>and Budget 20</w:t>
          </w:r>
          <w:r>
            <w:t>22</w:t>
          </w:r>
          <w:r w:rsidRPr="00AE6A90">
            <w:t>/</w:t>
          </w:r>
          <w:r>
            <w:t>23</w:t>
          </w:r>
        </w:p>
        <w:p w14:paraId="39D0ABF1" w14:textId="77777777" w:rsidR="00331767" w:rsidRDefault="00331767" w:rsidP="002D669B">
          <w:pPr>
            <w:pStyle w:val="Header"/>
            <w:jc w:val="right"/>
          </w:pPr>
        </w:p>
      </w:tc>
    </w:tr>
  </w:tbl>
  <w:p w14:paraId="457FF036" w14:textId="174C07D2" w:rsidR="00331767" w:rsidRDefault="00331767" w:rsidP="00D376C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639" w:type="dxa"/>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8"/>
    </w:tblGrid>
    <w:tr w:rsidR="00331767" w14:paraId="52612B7F" w14:textId="77777777" w:rsidTr="00C82DAD">
      <w:tc>
        <w:tcPr>
          <w:tcW w:w="4927" w:type="dxa"/>
        </w:tcPr>
        <w:p w14:paraId="3092B2E2" w14:textId="1B584E0B"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Pr>
              <w:noProof/>
            </w:rPr>
            <w:t>FINANCIAL AND RESULTS - OVERVIEW</w:t>
          </w:r>
          <w:r>
            <w:rPr>
              <w:noProof/>
            </w:rPr>
            <w:fldChar w:fldCharType="end"/>
          </w:r>
        </w:p>
        <w:p w14:paraId="06E567A4" w14:textId="47798C09" w:rsidR="00331767" w:rsidRDefault="00331767" w:rsidP="002D669B">
          <w:pPr>
            <w:pStyle w:val="Header"/>
          </w:pPr>
        </w:p>
      </w:tc>
      <w:tc>
        <w:tcPr>
          <w:tcW w:w="2586" w:type="dxa"/>
        </w:tcPr>
        <w:p w14:paraId="29C5A265" w14:textId="77777777" w:rsidR="00331767" w:rsidRPr="00AB0F67" w:rsidRDefault="00331767" w:rsidP="002D669B">
          <w:pPr>
            <w:pStyle w:val="Header"/>
            <w:jc w:val="right"/>
            <w:rPr>
              <w:b/>
            </w:rPr>
          </w:pPr>
          <w:r w:rsidRPr="00AB0F67">
            <w:rPr>
              <w:b/>
            </w:rPr>
            <w:t>World Intellectual Property Organization</w:t>
          </w:r>
        </w:p>
        <w:p w14:paraId="1DF3CFCA" w14:textId="273E1189" w:rsidR="00331767" w:rsidRDefault="00331767" w:rsidP="002D669B">
          <w:pPr>
            <w:pStyle w:val="Header"/>
            <w:jc w:val="right"/>
          </w:pPr>
          <w:r>
            <w:t xml:space="preserve">Program of Work </w:t>
          </w:r>
          <w:r w:rsidRPr="00AE6A90">
            <w:t>and Budget 20</w:t>
          </w:r>
          <w:r>
            <w:t>22</w:t>
          </w:r>
          <w:r w:rsidRPr="00AE6A90">
            <w:t>/</w:t>
          </w:r>
          <w:r>
            <w:t>23</w:t>
          </w:r>
        </w:p>
        <w:p w14:paraId="2D773CB8" w14:textId="77777777" w:rsidR="00331767" w:rsidRDefault="00331767" w:rsidP="002D669B">
          <w:pPr>
            <w:pStyle w:val="Header"/>
            <w:jc w:val="right"/>
          </w:pPr>
        </w:p>
      </w:tc>
    </w:tr>
  </w:tbl>
  <w:p w14:paraId="74CE7A01" w14:textId="18F88C43" w:rsidR="00331767" w:rsidRDefault="00331767" w:rsidP="00A445A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753"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99"/>
      <w:gridCol w:w="4986"/>
    </w:tblGrid>
    <w:tr w:rsidR="00331767" w14:paraId="76794BA5" w14:textId="77777777" w:rsidTr="0096231C">
      <w:trPr>
        <w:trHeight w:val="570"/>
      </w:trPr>
      <w:tc>
        <w:tcPr>
          <w:tcW w:w="3279" w:type="pct"/>
        </w:tcPr>
        <w:p w14:paraId="642ECAC6" w14:textId="6863FDC3"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OVERVIEW</w:t>
          </w:r>
          <w:r>
            <w:rPr>
              <w:noProof/>
            </w:rPr>
            <w:fldChar w:fldCharType="end"/>
          </w:r>
        </w:p>
        <w:p w14:paraId="7225E96A" w14:textId="77777777" w:rsidR="00331767" w:rsidRDefault="00331767" w:rsidP="002D669B">
          <w:pPr>
            <w:pStyle w:val="Header"/>
          </w:pPr>
        </w:p>
      </w:tc>
      <w:tc>
        <w:tcPr>
          <w:tcW w:w="1721" w:type="pct"/>
        </w:tcPr>
        <w:p w14:paraId="33787F65" w14:textId="77777777" w:rsidR="00331767" w:rsidRPr="00AB0F67" w:rsidRDefault="00331767" w:rsidP="002D669B">
          <w:pPr>
            <w:pStyle w:val="Header"/>
            <w:jc w:val="right"/>
            <w:rPr>
              <w:b/>
            </w:rPr>
          </w:pPr>
          <w:r w:rsidRPr="00AB0F67">
            <w:rPr>
              <w:b/>
            </w:rPr>
            <w:t>World Intellectual Property Organization</w:t>
          </w:r>
        </w:p>
        <w:p w14:paraId="30BC1125" w14:textId="7C90A53E" w:rsidR="00331767" w:rsidRDefault="00331767" w:rsidP="002D669B">
          <w:pPr>
            <w:pStyle w:val="Header"/>
            <w:jc w:val="right"/>
          </w:pPr>
          <w:r>
            <w:t xml:space="preserve">Program of Work </w:t>
          </w:r>
          <w:r w:rsidRPr="00AE6A90">
            <w:t>and Budget 20</w:t>
          </w:r>
          <w:r>
            <w:t>24</w:t>
          </w:r>
          <w:r w:rsidRPr="00AE6A90">
            <w:t>/</w:t>
          </w:r>
          <w:r>
            <w:t>25</w:t>
          </w:r>
        </w:p>
        <w:p w14:paraId="39EA8EE9" w14:textId="77777777" w:rsidR="00331767" w:rsidRDefault="00331767" w:rsidP="002D669B">
          <w:pPr>
            <w:pStyle w:val="Header"/>
            <w:jc w:val="right"/>
          </w:pPr>
        </w:p>
      </w:tc>
    </w:tr>
  </w:tbl>
  <w:p w14:paraId="2657F254" w14:textId="28D77FEB" w:rsidR="00331767" w:rsidRPr="00AE6A90" w:rsidRDefault="00331767" w:rsidP="00382909">
    <w:pPr>
      <w:pStyle w:val="Header"/>
    </w:pPr>
    <w:r>
      <w:rPr>
        <w:noProof/>
        <w:lang w:val="en-US"/>
      </w:rPr>
      <mc:AlternateContent>
        <mc:Choice Requires="wps">
          <w:drawing>
            <wp:anchor distT="0" distB="0" distL="114300" distR="114300" simplePos="0" relativeHeight="251845632" behindDoc="0" locked="0" layoutInCell="0" allowOverlap="1" wp14:anchorId="3FBAB8A3" wp14:editId="2EA2C43B">
              <wp:simplePos x="0" y="0"/>
              <wp:positionH relativeFrom="leftMargin">
                <wp:posOffset>338759</wp:posOffset>
              </wp:positionH>
              <wp:positionV relativeFrom="margin">
                <wp:posOffset>-255049</wp:posOffset>
              </wp:positionV>
              <wp:extent cx="510540" cy="5979381"/>
              <wp:effectExtent l="0" t="0" r="0" b="2540"/>
              <wp:wrapNone/>
              <wp:docPr id="956" name="Rectangle 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5979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A2C76" w14:textId="4773C532" w:rsidR="00331767" w:rsidRPr="00294396" w:rsidRDefault="00331767" w:rsidP="00294396">
                          <w:pPr>
                            <w:pStyle w:val="Footer"/>
                            <w:jc w:val="center"/>
                            <w:rPr>
                              <w:rFonts w:asciiTheme="majorHAnsi" w:eastAsiaTheme="majorEastAsia" w:hAnsiTheme="majorHAnsi" w:cstheme="majorHAnsi"/>
                              <w:color w:val="003C55" w:themeColor="accent1" w:themeShade="BF"/>
                              <w:szCs w:val="18"/>
                            </w:rPr>
                          </w:pPr>
                          <w:r w:rsidRPr="00294396">
                            <w:rPr>
                              <w:rFonts w:asciiTheme="majorHAnsi" w:eastAsiaTheme="minorEastAsia" w:hAnsiTheme="majorHAnsi" w:cstheme="majorHAnsi"/>
                              <w:color w:val="003C55" w:themeColor="accent1" w:themeShade="BF"/>
                              <w:szCs w:val="18"/>
                            </w:rPr>
                            <w:fldChar w:fldCharType="begin"/>
                          </w:r>
                          <w:r w:rsidRPr="00294396">
                            <w:rPr>
                              <w:rFonts w:asciiTheme="majorHAnsi" w:hAnsiTheme="majorHAnsi" w:cstheme="majorHAnsi"/>
                              <w:color w:val="003C55" w:themeColor="accent1" w:themeShade="BF"/>
                              <w:szCs w:val="18"/>
                            </w:rPr>
                            <w:instrText xml:space="preserve"> PAGE    \* MERGEFORMAT </w:instrText>
                          </w:r>
                          <w:r w:rsidRPr="00294396">
                            <w:rPr>
                              <w:rFonts w:asciiTheme="majorHAnsi" w:eastAsiaTheme="minorEastAsia" w:hAnsiTheme="majorHAnsi" w:cstheme="majorHAnsi"/>
                              <w:color w:val="003C55" w:themeColor="accent1" w:themeShade="BF"/>
                              <w:szCs w:val="18"/>
                            </w:rPr>
                            <w:fldChar w:fldCharType="separate"/>
                          </w:r>
                          <w:r w:rsidR="00E813FB" w:rsidRPr="00E813FB">
                            <w:rPr>
                              <w:rFonts w:asciiTheme="majorHAnsi" w:eastAsiaTheme="majorEastAsia" w:hAnsiTheme="majorHAnsi" w:cstheme="majorHAnsi"/>
                              <w:noProof/>
                              <w:color w:val="003C55" w:themeColor="accent1" w:themeShade="BF"/>
                              <w:szCs w:val="18"/>
                            </w:rPr>
                            <w:t>8</w:t>
                          </w:r>
                          <w:r w:rsidRPr="00294396">
                            <w:rPr>
                              <w:rFonts w:asciiTheme="majorHAnsi" w:eastAsiaTheme="majorEastAsia" w:hAnsiTheme="majorHAnsi" w:cstheme="majorHAnsi"/>
                              <w:noProof/>
                              <w:color w:val="003C55" w:themeColor="accent1" w:themeShade="BF"/>
                              <w:szCs w:val="18"/>
                            </w:rPr>
                            <w:fldChar w:fldCharType="end"/>
                          </w:r>
                        </w:p>
                      </w:txbxContent>
                    </wps:txbx>
                    <wps:bodyPr rot="0" vert="vert"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FBAB8A3" id="Rectangle 956" o:spid="_x0000_s1026" style="position:absolute;margin-left:26.65pt;margin-top:-20.1pt;width:40.2pt;height:470.8pt;z-index:25184563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" o:allowincell="f" filled="f" stroked="f">
              <v:textbox style="layout-flow:vertical;mso-fit-shape-to-text:t">
                <w:txbxContent>
                  <w:p w14:paraId="794A2C76" w14:textId="4773C532" w:rsidR="00331767" w:rsidRPr="00294396" w:rsidRDefault="00331767" w:rsidP="00294396">
                    <w:pPr>
                      <w:pStyle w:val="Footer"/>
                      <w:jc w:val="center"/>
                      <w:rPr>
                        <w:rFonts w:asciiTheme="majorHAnsi" w:eastAsiaTheme="majorEastAsia" w:hAnsiTheme="majorHAnsi" w:cstheme="majorHAnsi"/>
                        <w:color w:val="003C55" w:themeColor="accent1" w:themeShade="BF"/>
                        <w:szCs w:val="18"/>
                      </w:rPr>
                    </w:pPr>
                    <w:r w:rsidRPr="00294396">
                      <w:rPr>
                        <w:rFonts w:asciiTheme="majorHAnsi" w:eastAsiaTheme="minorEastAsia" w:hAnsiTheme="majorHAnsi" w:cstheme="majorHAnsi"/>
                        <w:color w:val="003C55" w:themeColor="accent1" w:themeShade="BF"/>
                        <w:szCs w:val="18"/>
                      </w:rPr>
                      <w:fldChar w:fldCharType="begin"/>
                    </w:r>
                    <w:r w:rsidRPr="00294396">
                      <w:rPr>
                        <w:rFonts w:asciiTheme="majorHAnsi" w:hAnsiTheme="majorHAnsi" w:cstheme="majorHAnsi"/>
                        <w:color w:val="003C55" w:themeColor="accent1" w:themeShade="BF"/>
                        <w:szCs w:val="18"/>
                      </w:rPr>
                      <w:instrText xml:space="preserve"> PAGE    \* MERGEFORMAT </w:instrText>
                    </w:r>
                    <w:r w:rsidRPr="00294396">
                      <w:rPr>
                        <w:rFonts w:asciiTheme="majorHAnsi" w:eastAsiaTheme="minorEastAsia" w:hAnsiTheme="majorHAnsi" w:cstheme="majorHAnsi"/>
                        <w:color w:val="003C55" w:themeColor="accent1" w:themeShade="BF"/>
                        <w:szCs w:val="18"/>
                      </w:rPr>
                      <w:fldChar w:fldCharType="separate"/>
                    </w:r>
                    <w:r w:rsidR="00E813FB" w:rsidRPr="00E813FB">
                      <w:rPr>
                        <w:rFonts w:asciiTheme="majorHAnsi" w:eastAsiaTheme="majorEastAsia" w:hAnsiTheme="majorHAnsi" w:cstheme="majorHAnsi"/>
                        <w:noProof/>
                        <w:color w:val="003C55" w:themeColor="accent1" w:themeShade="BF"/>
                        <w:szCs w:val="18"/>
                      </w:rPr>
                      <w:t>8</w:t>
                    </w:r>
                    <w:r w:rsidRPr="00294396">
                      <w:rPr>
                        <w:rFonts w:asciiTheme="majorHAnsi" w:eastAsiaTheme="majorEastAsia" w:hAnsiTheme="majorHAnsi" w:cstheme="majorHAnsi"/>
                        <w:noProof/>
                        <w:color w:val="003C55" w:themeColor="accent1" w:themeShade="BF"/>
                        <w:szCs w:val="18"/>
                      </w:rPr>
                      <w:fldChar w:fldCharType="end"/>
                    </w:r>
                  </w:p>
                </w:txbxContent>
              </v:textbox>
              <w10:wrap anchorx="margin" anchory="margin"/>
            </v: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864"/>
      <w:gridCol w:w="3602"/>
    </w:tblGrid>
    <w:tr w:rsidR="00331767" w14:paraId="4F4E43DE" w14:textId="77777777" w:rsidTr="00444377">
      <w:trPr>
        <w:trHeight w:val="599"/>
      </w:trPr>
      <w:tc>
        <w:tcPr>
          <w:tcW w:w="3279" w:type="pct"/>
        </w:tcPr>
        <w:p w14:paraId="10A991FE" w14:textId="0EF50704"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Pr>
              <w:noProof/>
            </w:rPr>
            <w:t>FINANCIAL AND RESULTS - OVERVIEW</w:t>
          </w:r>
          <w:r>
            <w:rPr>
              <w:noProof/>
            </w:rPr>
            <w:fldChar w:fldCharType="end"/>
          </w:r>
        </w:p>
        <w:p w14:paraId="54526E94" w14:textId="77777777" w:rsidR="00331767" w:rsidRDefault="00331767" w:rsidP="002D669B">
          <w:pPr>
            <w:pStyle w:val="Header"/>
          </w:pPr>
        </w:p>
      </w:tc>
      <w:tc>
        <w:tcPr>
          <w:tcW w:w="1721" w:type="pct"/>
        </w:tcPr>
        <w:p w14:paraId="7969022C" w14:textId="77777777" w:rsidR="00331767" w:rsidRPr="00AB0F67" w:rsidRDefault="00331767" w:rsidP="002D669B">
          <w:pPr>
            <w:pStyle w:val="Header"/>
            <w:jc w:val="right"/>
            <w:rPr>
              <w:b/>
            </w:rPr>
          </w:pPr>
          <w:r w:rsidRPr="00AB0F67">
            <w:rPr>
              <w:b/>
            </w:rPr>
            <w:t>World Intellectual Property Organization</w:t>
          </w:r>
        </w:p>
        <w:p w14:paraId="4C854D17" w14:textId="7304C607" w:rsidR="00331767" w:rsidRDefault="00331767" w:rsidP="002D1E39">
          <w:pPr>
            <w:pStyle w:val="Header"/>
            <w:jc w:val="right"/>
          </w:pPr>
          <w:r>
            <w:t xml:space="preserve">Program of Work </w:t>
          </w:r>
          <w:r w:rsidRPr="00AE6A90">
            <w:t>and Budget 20</w:t>
          </w:r>
          <w:r>
            <w:t>22</w:t>
          </w:r>
          <w:r w:rsidRPr="00AE6A90">
            <w:t>/</w:t>
          </w:r>
          <w:r>
            <w:t>23</w:t>
          </w:r>
        </w:p>
        <w:p w14:paraId="30EB55FB" w14:textId="77777777" w:rsidR="00331767" w:rsidRDefault="00331767" w:rsidP="002D669B">
          <w:pPr>
            <w:pStyle w:val="Header"/>
            <w:jc w:val="right"/>
          </w:pPr>
        </w:p>
      </w:tc>
    </w:tr>
  </w:tbl>
  <w:p w14:paraId="088E72A5" w14:textId="6F47031F" w:rsidR="00331767" w:rsidRPr="00AE6A90" w:rsidRDefault="00331767" w:rsidP="00D376C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21"/>
      <w:gridCol w:w="3317"/>
    </w:tblGrid>
    <w:tr w:rsidR="00331767" w14:paraId="52F86574" w14:textId="77777777" w:rsidTr="00444377">
      <w:trPr>
        <w:trHeight w:val="599"/>
      </w:trPr>
      <w:tc>
        <w:tcPr>
          <w:tcW w:w="3279" w:type="pct"/>
        </w:tcPr>
        <w:p w14:paraId="64056ADE" w14:textId="17B13DAC"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OVERVIEW</w:t>
          </w:r>
          <w:r>
            <w:rPr>
              <w:noProof/>
            </w:rPr>
            <w:fldChar w:fldCharType="end"/>
          </w:r>
        </w:p>
        <w:p w14:paraId="3EE1C4D4" w14:textId="44E061C0" w:rsidR="00331767" w:rsidRDefault="00331767" w:rsidP="002D669B">
          <w:pPr>
            <w:pStyle w:val="Header"/>
          </w:pPr>
        </w:p>
      </w:tc>
      <w:tc>
        <w:tcPr>
          <w:tcW w:w="1721" w:type="pct"/>
        </w:tcPr>
        <w:p w14:paraId="7648CE5B" w14:textId="77777777" w:rsidR="00331767" w:rsidRPr="00AB0F67" w:rsidRDefault="00331767" w:rsidP="002D669B">
          <w:pPr>
            <w:pStyle w:val="Header"/>
            <w:jc w:val="right"/>
            <w:rPr>
              <w:b/>
            </w:rPr>
          </w:pPr>
          <w:r w:rsidRPr="00AB0F67">
            <w:rPr>
              <w:b/>
            </w:rPr>
            <w:t>World Intellectual Property Organization</w:t>
          </w:r>
        </w:p>
        <w:p w14:paraId="54FB3226" w14:textId="0A915973" w:rsidR="00331767" w:rsidRDefault="00331767" w:rsidP="002D1E39">
          <w:pPr>
            <w:pStyle w:val="Header"/>
            <w:jc w:val="right"/>
          </w:pPr>
          <w:r>
            <w:t xml:space="preserve">Program of Work </w:t>
          </w:r>
          <w:r w:rsidRPr="00AE6A90">
            <w:t>and Budget 20</w:t>
          </w:r>
          <w:r>
            <w:t>24</w:t>
          </w:r>
          <w:r w:rsidRPr="00AE6A90">
            <w:t>/</w:t>
          </w:r>
          <w:r>
            <w:t>25</w:t>
          </w:r>
        </w:p>
        <w:p w14:paraId="3891F889" w14:textId="77777777" w:rsidR="00331767" w:rsidRDefault="00331767" w:rsidP="002D669B">
          <w:pPr>
            <w:pStyle w:val="Header"/>
            <w:jc w:val="right"/>
          </w:pPr>
        </w:p>
      </w:tc>
    </w:tr>
  </w:tbl>
  <w:p w14:paraId="1E58EA22" w14:textId="1B6259CC" w:rsidR="00331767" w:rsidRPr="00AE6A90" w:rsidRDefault="00331767" w:rsidP="00AE6A90">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21"/>
      <w:gridCol w:w="3317"/>
    </w:tblGrid>
    <w:tr w:rsidR="00331767" w14:paraId="62F67425" w14:textId="77777777" w:rsidTr="00444377">
      <w:trPr>
        <w:trHeight w:val="599"/>
      </w:trPr>
      <w:tc>
        <w:tcPr>
          <w:tcW w:w="3279" w:type="pct"/>
        </w:tcPr>
        <w:p w14:paraId="3E918CBE" w14:textId="179C5DEC"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OVERVIEW</w:t>
          </w:r>
          <w:r>
            <w:rPr>
              <w:noProof/>
            </w:rPr>
            <w:fldChar w:fldCharType="end"/>
          </w:r>
        </w:p>
        <w:p w14:paraId="70D131B5" w14:textId="77777777" w:rsidR="00331767" w:rsidRDefault="00331767" w:rsidP="002D669B">
          <w:pPr>
            <w:pStyle w:val="Header"/>
          </w:pPr>
        </w:p>
      </w:tc>
      <w:tc>
        <w:tcPr>
          <w:tcW w:w="1721" w:type="pct"/>
        </w:tcPr>
        <w:p w14:paraId="246CE10B" w14:textId="77777777" w:rsidR="00331767" w:rsidRPr="00AB0F67" w:rsidRDefault="00331767" w:rsidP="002D669B">
          <w:pPr>
            <w:pStyle w:val="Header"/>
            <w:jc w:val="right"/>
            <w:rPr>
              <w:b/>
            </w:rPr>
          </w:pPr>
          <w:r w:rsidRPr="00AB0F67">
            <w:rPr>
              <w:b/>
            </w:rPr>
            <w:t>World Intellectual Property Organization</w:t>
          </w:r>
        </w:p>
        <w:p w14:paraId="0002393E" w14:textId="52DDE89C" w:rsidR="00331767" w:rsidRDefault="00331767" w:rsidP="002D1E39">
          <w:pPr>
            <w:pStyle w:val="Header"/>
            <w:jc w:val="right"/>
          </w:pPr>
          <w:r>
            <w:t xml:space="preserve">Program of Work </w:t>
          </w:r>
          <w:r w:rsidRPr="00AE6A90">
            <w:t>and Budget 20</w:t>
          </w:r>
          <w:r>
            <w:t>24</w:t>
          </w:r>
          <w:r w:rsidRPr="00AE6A90">
            <w:t>/</w:t>
          </w:r>
          <w:r>
            <w:t>25</w:t>
          </w:r>
        </w:p>
        <w:p w14:paraId="705AB59E" w14:textId="77777777" w:rsidR="00331767" w:rsidRDefault="00331767" w:rsidP="002D669B">
          <w:pPr>
            <w:pStyle w:val="Header"/>
            <w:jc w:val="right"/>
          </w:pPr>
        </w:p>
      </w:tc>
    </w:tr>
  </w:tbl>
  <w:p w14:paraId="23D29FE9" w14:textId="106A2F03" w:rsidR="00331767" w:rsidRPr="00AE6A90" w:rsidRDefault="00331767" w:rsidP="00382909">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94"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09"/>
      <w:gridCol w:w="3317"/>
    </w:tblGrid>
    <w:tr w:rsidR="00331767" w14:paraId="3EB58C82" w14:textId="77777777" w:rsidTr="008C791D">
      <w:trPr>
        <w:trHeight w:val="665"/>
      </w:trPr>
      <w:tc>
        <w:tcPr>
          <w:tcW w:w="9542" w:type="dxa"/>
        </w:tcPr>
        <w:p w14:paraId="65B43656" w14:textId="0594447D" w:rsidR="00331767" w:rsidRDefault="00331767" w:rsidP="002D669B">
          <w:pPr>
            <w:pStyle w:val="Header"/>
            <w:rPr>
              <w:noProof/>
            </w:rPr>
          </w:pPr>
          <w:r>
            <w:rPr>
              <w:noProof/>
            </w:rPr>
            <w:t xml:space="preserve">III </w:t>
          </w:r>
          <w:r>
            <w:rPr>
              <w:noProof/>
            </w:rPr>
            <w:fldChar w:fldCharType="begin"/>
          </w:r>
          <w:r>
            <w:rPr>
              <w:noProof/>
            </w:rPr>
            <w:instrText xml:space="preserve"> STYLEREF  "SectionTitleNumb"  \* MERGEFORMAT </w:instrText>
          </w:r>
          <w:r>
            <w:rPr>
              <w:noProof/>
            </w:rPr>
            <w:fldChar w:fldCharType="separate"/>
          </w:r>
          <w:r>
            <w:rPr>
              <w:noProof/>
            </w:rPr>
            <w:t>FINANCIAL AND RESULTS - OVERVIEW</w:t>
          </w:r>
          <w:r>
            <w:rPr>
              <w:noProof/>
            </w:rPr>
            <w:fldChar w:fldCharType="end"/>
          </w:r>
        </w:p>
        <w:p w14:paraId="4D956D4A" w14:textId="77777777" w:rsidR="00331767" w:rsidRDefault="00331767" w:rsidP="002D669B">
          <w:pPr>
            <w:pStyle w:val="Header"/>
          </w:pPr>
        </w:p>
      </w:tc>
      <w:tc>
        <w:tcPr>
          <w:tcW w:w="5011" w:type="dxa"/>
        </w:tcPr>
        <w:p w14:paraId="788E86DF" w14:textId="77777777" w:rsidR="00331767" w:rsidRPr="00AB0F67" w:rsidRDefault="00331767" w:rsidP="002D669B">
          <w:pPr>
            <w:pStyle w:val="Header"/>
            <w:jc w:val="right"/>
            <w:rPr>
              <w:b/>
            </w:rPr>
          </w:pPr>
          <w:r w:rsidRPr="00AB0F67">
            <w:rPr>
              <w:b/>
            </w:rPr>
            <w:t>World Intellectual Property Organization</w:t>
          </w:r>
        </w:p>
        <w:p w14:paraId="0ED914CC" w14:textId="77777777" w:rsidR="00331767" w:rsidRDefault="00331767" w:rsidP="002D669B">
          <w:pPr>
            <w:pStyle w:val="Header"/>
            <w:jc w:val="right"/>
          </w:pPr>
          <w:r>
            <w:t>Biennial Plan</w:t>
          </w:r>
          <w:r w:rsidRPr="00AE6A90">
            <w:t xml:space="preserve"> and Budget 20</w:t>
          </w:r>
          <w:r>
            <w:t>22</w:t>
          </w:r>
          <w:r w:rsidRPr="00AE6A90">
            <w:t>/</w:t>
          </w:r>
          <w:r>
            <w:t>23</w:t>
          </w:r>
        </w:p>
        <w:p w14:paraId="38FF8C49" w14:textId="77777777" w:rsidR="00331767" w:rsidRDefault="00331767" w:rsidP="002D669B">
          <w:pPr>
            <w:pStyle w:val="Header"/>
            <w:jc w:val="right"/>
          </w:pPr>
        </w:p>
      </w:tc>
    </w:tr>
  </w:tbl>
  <w:p w14:paraId="55DC35B6" w14:textId="34D892D6" w:rsidR="00331767" w:rsidRPr="00AE6A90" w:rsidRDefault="00331767" w:rsidP="00D376C1">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94"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09"/>
      <w:gridCol w:w="3317"/>
    </w:tblGrid>
    <w:tr w:rsidR="00331767" w14:paraId="7A530A86" w14:textId="77777777" w:rsidTr="008C791D">
      <w:trPr>
        <w:trHeight w:val="665"/>
      </w:trPr>
      <w:tc>
        <w:tcPr>
          <w:tcW w:w="9542" w:type="dxa"/>
        </w:tcPr>
        <w:p w14:paraId="0C025559" w14:textId="7C1EFD25"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E813FB">
            <w:rPr>
              <w:noProof/>
            </w:rPr>
            <w:t>FINANCIAL AND RESULTS - By Sector</w:t>
          </w:r>
          <w:r>
            <w:rPr>
              <w:noProof/>
            </w:rPr>
            <w:fldChar w:fldCharType="end"/>
          </w:r>
        </w:p>
        <w:p w14:paraId="3AE0FD64" w14:textId="47C48528" w:rsidR="00331767" w:rsidRDefault="00E813FB" w:rsidP="002D669B">
          <w:pPr>
            <w:pStyle w:val="Header"/>
          </w:pPr>
          <w:r>
            <w:fldChar w:fldCharType="begin"/>
          </w:r>
          <w:r>
            <w:instrText xml:space="preserve"> STYLEREF  SectorTitle  \* MERGEFORMAT </w:instrText>
          </w:r>
          <w:r>
            <w:fldChar w:fldCharType="separate"/>
          </w:r>
          <w:r>
            <w:rPr>
              <w:noProof/>
            </w:rPr>
            <w:t>Copyright and Creative Industries</w:t>
          </w:r>
          <w:r>
            <w:rPr>
              <w:noProof/>
            </w:rPr>
            <w:fldChar w:fldCharType="end"/>
          </w:r>
        </w:p>
        <w:p w14:paraId="5090F825" w14:textId="0714F3FD" w:rsidR="00331767" w:rsidRDefault="00331767" w:rsidP="002D669B">
          <w:pPr>
            <w:pStyle w:val="Header"/>
          </w:pPr>
        </w:p>
      </w:tc>
      <w:tc>
        <w:tcPr>
          <w:tcW w:w="5011" w:type="dxa"/>
        </w:tcPr>
        <w:p w14:paraId="648C81D9" w14:textId="77777777" w:rsidR="00331767" w:rsidRPr="00AB0F67" w:rsidRDefault="00331767" w:rsidP="002D669B">
          <w:pPr>
            <w:pStyle w:val="Header"/>
            <w:jc w:val="right"/>
            <w:rPr>
              <w:b/>
            </w:rPr>
          </w:pPr>
          <w:r w:rsidRPr="00AB0F67">
            <w:rPr>
              <w:b/>
            </w:rPr>
            <w:t>World Intellectual Property Organization</w:t>
          </w:r>
        </w:p>
        <w:p w14:paraId="7D5E5CF0" w14:textId="75082AF1" w:rsidR="00331767" w:rsidRDefault="00331767" w:rsidP="002D669B">
          <w:pPr>
            <w:pStyle w:val="Header"/>
            <w:jc w:val="right"/>
          </w:pPr>
          <w:r>
            <w:t xml:space="preserve">Program of Work </w:t>
          </w:r>
          <w:r w:rsidRPr="00AE6A90">
            <w:t>and Budget 20</w:t>
          </w:r>
          <w:r>
            <w:t>24</w:t>
          </w:r>
          <w:r w:rsidRPr="00AE6A90">
            <w:t>/</w:t>
          </w:r>
          <w:r>
            <w:t>25</w:t>
          </w:r>
        </w:p>
        <w:p w14:paraId="28204DBD" w14:textId="77777777" w:rsidR="00331767" w:rsidRDefault="00331767" w:rsidP="002D669B">
          <w:pPr>
            <w:pStyle w:val="Header"/>
            <w:jc w:val="right"/>
          </w:pPr>
        </w:p>
      </w:tc>
    </w:tr>
  </w:tbl>
  <w:p w14:paraId="5EC79FBA" w14:textId="4ACA3B77" w:rsidR="00331767" w:rsidRPr="00AE6A90" w:rsidRDefault="00331767" w:rsidP="00AE6A90">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108"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454"/>
      <w:gridCol w:w="3392"/>
    </w:tblGrid>
    <w:tr w:rsidR="00331767" w14:paraId="29FC9A1C" w14:textId="77777777" w:rsidTr="00633DD3">
      <w:trPr>
        <w:trHeight w:val="665"/>
      </w:trPr>
      <w:tc>
        <w:tcPr>
          <w:tcW w:w="6455" w:type="dxa"/>
        </w:tcPr>
        <w:p w14:paraId="39E29C6B" w14:textId="6CBF3BB6"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By Sector</w:t>
          </w:r>
          <w:r>
            <w:rPr>
              <w:noProof/>
            </w:rPr>
            <w:fldChar w:fldCharType="end"/>
          </w:r>
        </w:p>
        <w:p w14:paraId="45979A40" w14:textId="07CD483C" w:rsidR="00331767" w:rsidRDefault="00E813FB" w:rsidP="002D669B">
          <w:pPr>
            <w:pStyle w:val="Header"/>
          </w:pPr>
          <w:r>
            <w:fldChar w:fldCharType="begin"/>
          </w:r>
          <w:r>
            <w:instrText xml:space="preserve"> STYLEREF  SectorTitle  \* MERGEFORMAT </w:instrText>
          </w:r>
          <w:r>
            <w:fldChar w:fldCharType="separate"/>
          </w:r>
          <w:r>
            <w:rPr>
              <w:noProof/>
            </w:rPr>
            <w:t>Patents and Technology</w:t>
          </w:r>
          <w:r>
            <w:rPr>
              <w:noProof/>
            </w:rPr>
            <w:fldChar w:fldCharType="end"/>
          </w:r>
        </w:p>
      </w:tc>
      <w:tc>
        <w:tcPr>
          <w:tcW w:w="3392" w:type="dxa"/>
        </w:tcPr>
        <w:p w14:paraId="640559DF" w14:textId="77777777" w:rsidR="00331767" w:rsidRPr="00AB0F67" w:rsidRDefault="00331767" w:rsidP="002D669B">
          <w:pPr>
            <w:pStyle w:val="Header"/>
            <w:jc w:val="right"/>
            <w:rPr>
              <w:b/>
            </w:rPr>
          </w:pPr>
          <w:r w:rsidRPr="00AB0F67">
            <w:rPr>
              <w:b/>
            </w:rPr>
            <w:t>World Intellectual Property Organization</w:t>
          </w:r>
        </w:p>
        <w:p w14:paraId="6BA81FFB" w14:textId="0A1B17F0" w:rsidR="00331767" w:rsidRDefault="00331767" w:rsidP="00464ED7">
          <w:pPr>
            <w:pStyle w:val="Header"/>
            <w:jc w:val="right"/>
          </w:pPr>
          <w:r>
            <w:t xml:space="preserve">Program of Work </w:t>
          </w:r>
          <w:r w:rsidRPr="00AE6A90">
            <w:t>and Budget 20</w:t>
          </w:r>
          <w:r>
            <w:t>24</w:t>
          </w:r>
          <w:r w:rsidRPr="00AE6A90">
            <w:t>/</w:t>
          </w:r>
          <w:r>
            <w:t>25</w:t>
          </w:r>
        </w:p>
        <w:p w14:paraId="3D8B7462" w14:textId="77777777" w:rsidR="00331767" w:rsidRDefault="00331767" w:rsidP="002D669B">
          <w:pPr>
            <w:pStyle w:val="Header"/>
            <w:jc w:val="right"/>
          </w:pPr>
        </w:p>
      </w:tc>
    </w:tr>
  </w:tbl>
  <w:p w14:paraId="5AB0FB16" w14:textId="5E2A0245" w:rsidR="00331767" w:rsidRPr="00AE6A90" w:rsidRDefault="00331767" w:rsidP="003829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60478E" w14:textId="48E20BD1" w:rsidR="00331767" w:rsidRPr="00FC59CA" w:rsidRDefault="00331767" w:rsidP="00FC59CA">
    <w:pPr>
      <w:pStyle w:val="Header"/>
      <w:jc w:val="right"/>
      <w:rPr>
        <w:color w:val="auto"/>
        <w:sz w:val="22"/>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26FDB339" w14:textId="77777777" w:rsidTr="00CF2C4A">
      <w:tc>
        <w:tcPr>
          <w:tcW w:w="4927" w:type="dxa"/>
        </w:tcPr>
        <w:p w14:paraId="7B8FF286" w14:textId="1D7FC760" w:rsidR="00331767" w:rsidRDefault="00331767" w:rsidP="002D669B">
          <w:pPr>
            <w:pStyle w:val="Header"/>
          </w:pPr>
          <w:r>
            <w:rPr>
              <w:noProof/>
            </w:rPr>
            <w:fldChar w:fldCharType="begin"/>
          </w:r>
          <w:r>
            <w:rPr>
              <w:noProof/>
            </w:rPr>
            <w:instrText xml:space="preserve"> STYLEREF  "SectionTitleNumb" \n  \* MERGEFORMAT </w:instrText>
          </w:r>
          <w:r>
            <w:rPr>
              <w:noProof/>
            </w:rPr>
            <w:fldChar w:fldCharType="separate"/>
          </w:r>
          <w:r>
            <w:rPr>
              <w:noProof/>
            </w:rPr>
            <w:t>II</w:t>
          </w:r>
          <w:r>
            <w:rPr>
              <w:noProof/>
            </w:rPr>
            <w:fldChar w:fldCharType="end"/>
          </w:r>
          <w:r>
            <w:t xml:space="preserve"> </w:t>
          </w:r>
          <w:r>
            <w:rPr>
              <w:noProof/>
            </w:rPr>
            <w:fldChar w:fldCharType="begin"/>
          </w:r>
          <w:r>
            <w:rPr>
              <w:noProof/>
            </w:rPr>
            <w:instrText xml:space="preserve"> STYLEREF  "SectionTitleNumb"  \* MERGEFORMAT </w:instrText>
          </w:r>
          <w:r>
            <w:rPr>
              <w:noProof/>
            </w:rPr>
            <w:fldChar w:fldCharType="separate"/>
          </w:r>
          <w:r>
            <w:rPr>
              <w:noProof/>
            </w:rPr>
            <w:t>FINANCIAL AND RESULTS - By Sector</w:t>
          </w:r>
          <w:r>
            <w:rPr>
              <w:noProof/>
            </w:rPr>
            <w:fldChar w:fldCharType="end"/>
          </w:r>
        </w:p>
        <w:p w14:paraId="5C58028E" w14:textId="77777777" w:rsidR="00331767" w:rsidRDefault="00331767" w:rsidP="002D669B">
          <w:pPr>
            <w:pStyle w:val="Header"/>
          </w:pPr>
        </w:p>
      </w:tc>
      <w:tc>
        <w:tcPr>
          <w:tcW w:w="2586" w:type="dxa"/>
        </w:tcPr>
        <w:p w14:paraId="3766DDD3" w14:textId="77777777" w:rsidR="00331767" w:rsidRPr="00AB0F67" w:rsidRDefault="00331767" w:rsidP="002D669B">
          <w:pPr>
            <w:pStyle w:val="Header"/>
            <w:jc w:val="right"/>
            <w:rPr>
              <w:b/>
            </w:rPr>
          </w:pPr>
          <w:r w:rsidRPr="00AB0F67">
            <w:rPr>
              <w:b/>
            </w:rPr>
            <w:t>World Intellectual Property Organization</w:t>
          </w:r>
        </w:p>
        <w:p w14:paraId="0058B223" w14:textId="77777777" w:rsidR="00331767" w:rsidRDefault="00331767" w:rsidP="002D669B">
          <w:pPr>
            <w:pStyle w:val="Header"/>
            <w:jc w:val="right"/>
          </w:pPr>
          <w:r>
            <w:t>Biennial Plan</w:t>
          </w:r>
          <w:r w:rsidRPr="00AE6A90">
            <w:t xml:space="preserve"> and Budget </w:t>
          </w:r>
          <w:r>
            <w:t>2022/23</w:t>
          </w:r>
        </w:p>
        <w:p w14:paraId="65B68AF5" w14:textId="77777777" w:rsidR="00331767" w:rsidRDefault="00331767" w:rsidP="002D669B">
          <w:pPr>
            <w:pStyle w:val="Header"/>
            <w:jc w:val="right"/>
          </w:pPr>
        </w:p>
      </w:tc>
    </w:tr>
  </w:tbl>
  <w:p w14:paraId="6DD147E1" w14:textId="77777777" w:rsidR="00331767" w:rsidRPr="00AE6A90" w:rsidRDefault="00E813FB" w:rsidP="00D376C1">
    <w:pPr>
      <w:pStyle w:val="Header"/>
    </w:pPr>
    <w:r>
      <w:rPr>
        <w:noProof/>
      </w:rPr>
      <w:pict w14:anchorId="37BB61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63893" type="#_x0000_t136" style="position:absolute;margin-left:0;margin-top:0;width:555.9pt;height:123.5pt;rotation:315;z-index:-251536384;mso-position-horizontal:center;mso-position-horizontal-relative:margin;mso-position-vertical:center;mso-position-vertical-relative:margin" o:allowincell="f" fillcolor="#c6cfd7 [1302]" stroked="f">
          <v:fill opacity=".5"/>
          <v:textpath style="font-family:&quot;Arial&quot;;font-size:1pt" string="MOCK-UP"/>
          <w10:wrap anchorx="margin" anchory="margin"/>
        </v:shape>
      </w:pict>
    </w:r>
    <w:r w:rsidR="00331767">
      <w:rPr>
        <w:noProof/>
        <w:lang w:val="en-US"/>
      </w:rPr>
      <mc:AlternateContent>
        <mc:Choice Requires="wps">
          <w:drawing>
            <wp:anchor distT="0" distB="0" distL="114300" distR="114300" simplePos="0" relativeHeight="251779072" behindDoc="0" locked="0" layoutInCell="0" allowOverlap="1" wp14:anchorId="10BF6918" wp14:editId="1A2F75FE">
              <wp:simplePos x="0" y="0"/>
              <wp:positionH relativeFrom="leftMargin">
                <wp:posOffset>318654</wp:posOffset>
              </wp:positionH>
              <wp:positionV relativeFrom="margin">
                <wp:posOffset>187960</wp:posOffset>
              </wp:positionV>
              <wp:extent cx="510540" cy="5618692"/>
              <wp:effectExtent l="0" t="0" r="0" b="127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5618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3BA27" w14:textId="73AFBB26" w:rsidR="00331767" w:rsidRPr="00273E86" w:rsidRDefault="00331767" w:rsidP="00D376C1">
                          <w:pPr>
                            <w:pStyle w:val="Footer"/>
                            <w:jc w:val="center"/>
                            <w:rPr>
                              <w:rFonts w:asciiTheme="majorHAnsi" w:eastAsiaTheme="majorEastAsia" w:hAnsiTheme="majorHAnsi" w:cstheme="majorBidi"/>
                              <w:color w:val="005172" w:themeColor="accent1"/>
                              <w:szCs w:val="18"/>
                            </w:rPr>
                          </w:pPr>
                          <w:r w:rsidRPr="00273E86">
                            <w:rPr>
                              <w:rFonts w:asciiTheme="minorHAnsi" w:eastAsiaTheme="minorEastAsia" w:hAnsiTheme="minorHAnsi" w:cs="Times New Roman"/>
                              <w:color w:val="005172" w:themeColor="accent1"/>
                              <w:szCs w:val="18"/>
                            </w:rPr>
                            <w:fldChar w:fldCharType="begin"/>
                          </w:r>
                          <w:r w:rsidRPr="00273E86">
                            <w:rPr>
                              <w:color w:val="005172" w:themeColor="accent1"/>
                              <w:szCs w:val="18"/>
                            </w:rPr>
                            <w:instrText xml:space="preserve"> PAGE    \* MERGEFORMAT </w:instrText>
                          </w:r>
                          <w:r w:rsidRPr="00273E86">
                            <w:rPr>
                              <w:rFonts w:asciiTheme="minorHAnsi" w:eastAsiaTheme="minorEastAsia" w:hAnsiTheme="minorHAnsi" w:cs="Times New Roman"/>
                              <w:color w:val="005172" w:themeColor="accent1"/>
                              <w:szCs w:val="18"/>
                            </w:rPr>
                            <w:fldChar w:fldCharType="separate"/>
                          </w:r>
                          <w:r w:rsidRPr="0039111D">
                            <w:rPr>
                              <w:rFonts w:asciiTheme="majorHAnsi" w:eastAsiaTheme="majorEastAsia" w:hAnsiTheme="majorHAnsi" w:cstheme="majorBidi"/>
                              <w:noProof/>
                              <w:color w:val="005172" w:themeColor="accent1"/>
                              <w:szCs w:val="18"/>
                            </w:rPr>
                            <w:t>120</w:t>
                          </w:r>
                          <w:r w:rsidRPr="00273E86">
                            <w:rPr>
                              <w:rFonts w:asciiTheme="majorHAnsi" w:eastAsiaTheme="majorEastAsia" w:hAnsiTheme="majorHAnsi" w:cstheme="majorBidi"/>
                              <w:noProof/>
                              <w:color w:val="005172" w:themeColor="accent1"/>
                              <w:szCs w:val="18"/>
                            </w:rPr>
                            <w:fldChar w:fldCharType="end"/>
                          </w:r>
                        </w:p>
                      </w:txbxContent>
                    </wps:txbx>
                    <wps:bodyPr rot="0" vert="vert"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10BF6918" id="Rectangle 4" o:spid="_x0000_s1027" style="position:absolute;margin-left:25.1pt;margin-top:14.8pt;width:40.2pt;height:442.4pt;z-index:2517790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" o:allowincell="f" filled="f" stroked="f">
              <v:textbox style="layout-flow:vertical;mso-fit-shape-to-text:t">
                <w:txbxContent>
                  <w:p w14:paraId="2A93BA27" w14:textId="73AFBB26" w:rsidR="00331767" w:rsidRPr="00273E86" w:rsidRDefault="00331767" w:rsidP="00D376C1">
                    <w:pPr>
                      <w:pStyle w:val="Footer"/>
                      <w:jc w:val="center"/>
                      <w:rPr>
                        <w:rFonts w:asciiTheme="majorHAnsi" w:eastAsiaTheme="majorEastAsia" w:hAnsiTheme="majorHAnsi" w:cstheme="majorBidi"/>
                        <w:color w:val="005172" w:themeColor="accent1"/>
                        <w:szCs w:val="18"/>
                      </w:rPr>
                    </w:pPr>
                    <w:r w:rsidRPr="00273E86">
                      <w:rPr>
                        <w:rFonts w:asciiTheme="minorHAnsi" w:eastAsiaTheme="minorEastAsia" w:hAnsiTheme="minorHAnsi" w:cs="Times New Roman"/>
                        <w:color w:val="005172" w:themeColor="accent1"/>
                        <w:szCs w:val="18"/>
                      </w:rPr>
                      <w:fldChar w:fldCharType="begin"/>
                    </w:r>
                    <w:r w:rsidRPr="00273E86">
                      <w:rPr>
                        <w:color w:val="005172" w:themeColor="accent1"/>
                        <w:szCs w:val="18"/>
                      </w:rPr>
                      <w:instrText xml:space="preserve"> PAGE    \* MERGEFORMAT </w:instrText>
                    </w:r>
                    <w:r w:rsidRPr="00273E86">
                      <w:rPr>
                        <w:rFonts w:asciiTheme="minorHAnsi" w:eastAsiaTheme="minorEastAsia" w:hAnsiTheme="minorHAnsi" w:cs="Times New Roman"/>
                        <w:color w:val="005172" w:themeColor="accent1"/>
                        <w:szCs w:val="18"/>
                      </w:rPr>
                      <w:fldChar w:fldCharType="separate"/>
                    </w:r>
                    <w:r w:rsidRPr="0039111D">
                      <w:rPr>
                        <w:rFonts w:asciiTheme="majorHAnsi" w:eastAsiaTheme="majorEastAsia" w:hAnsiTheme="majorHAnsi" w:cstheme="majorBidi"/>
                        <w:noProof/>
                        <w:color w:val="005172" w:themeColor="accent1"/>
                        <w:szCs w:val="18"/>
                      </w:rPr>
                      <w:t>120</w:t>
                    </w:r>
                    <w:r w:rsidRPr="00273E86">
                      <w:rPr>
                        <w:rFonts w:asciiTheme="majorHAnsi" w:eastAsiaTheme="majorEastAsia" w:hAnsiTheme="majorHAnsi" w:cstheme="majorBidi"/>
                        <w:noProof/>
                        <w:color w:val="005172" w:themeColor="accent1"/>
                        <w:szCs w:val="18"/>
                      </w:rPr>
                      <w:fldChar w:fldCharType="end"/>
                    </w:r>
                  </w:p>
                </w:txbxContent>
              </v:textbox>
              <w10:wrap anchorx="margin" anchory="margin"/>
            </v:rect>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68"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278"/>
      <w:gridCol w:w="3298"/>
    </w:tblGrid>
    <w:tr w:rsidR="00331767" w14:paraId="6800759B" w14:textId="77777777" w:rsidTr="00CD4093">
      <w:trPr>
        <w:trHeight w:val="300"/>
      </w:trPr>
      <w:tc>
        <w:tcPr>
          <w:tcW w:w="9382" w:type="dxa"/>
        </w:tcPr>
        <w:p w14:paraId="58635DB9" w14:textId="7239E271"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Pr>
              <w:noProof/>
            </w:rPr>
            <w:t>FINANCIAL AND RESULTS - By Sector</w:t>
          </w:r>
          <w:r>
            <w:rPr>
              <w:noProof/>
            </w:rPr>
            <w:fldChar w:fldCharType="end"/>
          </w:r>
        </w:p>
        <w:p w14:paraId="55ECF94F" w14:textId="6D4D107F" w:rsidR="00331767" w:rsidRDefault="00E813FB" w:rsidP="002D669B">
          <w:pPr>
            <w:pStyle w:val="Header"/>
          </w:pPr>
          <w:r>
            <w:fldChar w:fldCharType="begin"/>
          </w:r>
          <w:r>
            <w:instrText xml:space="preserve"> STYLEREF  AnnexTitle2 \n  \* MERGEFORMAT </w:instrText>
          </w:r>
          <w:r>
            <w:fldChar w:fldCharType="separate"/>
          </w:r>
          <w:r w:rsidR="00331767">
            <w:rPr>
              <w:noProof/>
            </w:rPr>
            <w:t>ANNEX I</w:t>
          </w:r>
          <w:r>
            <w:rPr>
              <w:noProof/>
            </w:rPr>
            <w:fldChar w:fldCharType="end"/>
          </w:r>
        </w:p>
        <w:p w14:paraId="770F63FC" w14:textId="4208DEDB" w:rsidR="00331767" w:rsidRDefault="00331767" w:rsidP="002D669B">
          <w:pPr>
            <w:pStyle w:val="Header"/>
          </w:pPr>
        </w:p>
      </w:tc>
      <w:tc>
        <w:tcPr>
          <w:tcW w:w="4923" w:type="dxa"/>
        </w:tcPr>
        <w:p w14:paraId="247BBC53" w14:textId="77777777" w:rsidR="00331767" w:rsidRPr="00AB0F67" w:rsidRDefault="00331767" w:rsidP="002D669B">
          <w:pPr>
            <w:pStyle w:val="Header"/>
            <w:jc w:val="right"/>
            <w:rPr>
              <w:b/>
            </w:rPr>
          </w:pPr>
          <w:r w:rsidRPr="00AB0F67">
            <w:rPr>
              <w:b/>
            </w:rPr>
            <w:t>World Intellectual Property Organization</w:t>
          </w:r>
        </w:p>
        <w:p w14:paraId="1BAC3023" w14:textId="77777777" w:rsidR="00331767" w:rsidRDefault="00331767" w:rsidP="00DB438A">
          <w:pPr>
            <w:pStyle w:val="Header"/>
            <w:jc w:val="right"/>
          </w:pPr>
          <w:r>
            <w:t xml:space="preserve">Program of Work </w:t>
          </w:r>
          <w:r w:rsidRPr="00AE6A90">
            <w:t xml:space="preserve">and Budget </w:t>
          </w:r>
          <w:r>
            <w:t>2022/23</w:t>
          </w:r>
        </w:p>
        <w:p w14:paraId="74E09D53" w14:textId="77777777" w:rsidR="00331767" w:rsidRDefault="00331767" w:rsidP="002D669B">
          <w:pPr>
            <w:pStyle w:val="Header"/>
            <w:jc w:val="right"/>
          </w:pPr>
        </w:p>
      </w:tc>
    </w:tr>
  </w:tbl>
  <w:p w14:paraId="74ACB045" w14:textId="39243D9E" w:rsidR="00331767" w:rsidRPr="00AE6A90" w:rsidRDefault="00331767" w:rsidP="00AE6A90">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19"/>
      <w:gridCol w:w="3319"/>
    </w:tblGrid>
    <w:tr w:rsidR="00331767" w14:paraId="3A2045E0" w14:textId="77777777" w:rsidTr="00314F38">
      <w:trPr>
        <w:trHeight w:val="736"/>
      </w:trPr>
      <w:tc>
        <w:tcPr>
          <w:tcW w:w="6466" w:type="dxa"/>
        </w:tcPr>
        <w:p w14:paraId="3CA76612" w14:textId="2328CE0C"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7D038518" w14:textId="03D7FF81" w:rsidR="00331767" w:rsidRDefault="00E813FB" w:rsidP="002D669B">
          <w:pPr>
            <w:pStyle w:val="Header"/>
          </w:pPr>
          <w:r>
            <w:fldChar w:fldCharType="begin"/>
          </w:r>
          <w:r>
            <w:instrText xml:space="preserve"> STYLEREF  AnnexTitle2 \n  \* MERGEFORMAT </w:instrText>
          </w:r>
          <w:r>
            <w:fldChar w:fldCharType="separate"/>
          </w:r>
          <w:r w:rsidR="003B370B">
            <w:rPr>
              <w:noProof/>
            </w:rPr>
            <w:t>ANNEX I</w:t>
          </w:r>
          <w:r>
            <w:rPr>
              <w:noProof/>
            </w:rPr>
            <w:fldChar w:fldCharType="end"/>
          </w:r>
        </w:p>
      </w:tc>
      <w:tc>
        <w:tcPr>
          <w:tcW w:w="3396" w:type="dxa"/>
        </w:tcPr>
        <w:p w14:paraId="0B15F1A4" w14:textId="77777777" w:rsidR="00331767" w:rsidRPr="00AB0F67" w:rsidRDefault="00331767" w:rsidP="002D669B">
          <w:pPr>
            <w:pStyle w:val="Header"/>
            <w:jc w:val="right"/>
            <w:rPr>
              <w:b/>
            </w:rPr>
          </w:pPr>
          <w:r w:rsidRPr="00AB0F67">
            <w:rPr>
              <w:b/>
            </w:rPr>
            <w:t>World Intellectual Property Organization</w:t>
          </w:r>
        </w:p>
        <w:p w14:paraId="63E3E73C" w14:textId="4C443D45" w:rsidR="00331767" w:rsidRDefault="00331767" w:rsidP="002D669B">
          <w:pPr>
            <w:pStyle w:val="Header"/>
            <w:jc w:val="right"/>
          </w:pPr>
          <w:r>
            <w:t xml:space="preserve">Program of Work </w:t>
          </w:r>
          <w:r w:rsidRPr="00AE6A90">
            <w:t xml:space="preserve">and Budget </w:t>
          </w:r>
          <w:r>
            <w:t>2024/25</w:t>
          </w:r>
        </w:p>
        <w:p w14:paraId="392ACDA7" w14:textId="77777777" w:rsidR="00331767" w:rsidRDefault="00331767" w:rsidP="002D669B">
          <w:pPr>
            <w:pStyle w:val="Header"/>
            <w:jc w:val="right"/>
          </w:pPr>
        </w:p>
      </w:tc>
    </w:tr>
  </w:tbl>
  <w:p w14:paraId="3FDB1B60" w14:textId="4A50FFCA" w:rsidR="00331767" w:rsidRDefault="00331767" w:rsidP="00333041"/>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96"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428"/>
      <w:gridCol w:w="4957"/>
    </w:tblGrid>
    <w:tr w:rsidR="00331767" w14:paraId="16E6F8DD" w14:textId="77777777" w:rsidTr="006D0039">
      <w:trPr>
        <w:trHeight w:val="452"/>
      </w:trPr>
      <w:tc>
        <w:tcPr>
          <w:tcW w:w="9428" w:type="dxa"/>
        </w:tcPr>
        <w:p w14:paraId="317E761F" w14:textId="39CD826C"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5B864E1D" w14:textId="5CCB6722" w:rsidR="00331767" w:rsidRDefault="00E813FB" w:rsidP="002D669B">
          <w:pPr>
            <w:pStyle w:val="Header"/>
          </w:pPr>
          <w:r>
            <w:fldChar w:fldCharType="begin"/>
          </w:r>
          <w:r>
            <w:instrText xml:space="preserve"> STYLEREF  AnnexTitle2 \n  \* MERGEFORMAT </w:instrText>
          </w:r>
          <w:r>
            <w:fldChar w:fldCharType="separate"/>
          </w:r>
          <w:r w:rsidR="003B370B">
            <w:rPr>
              <w:noProof/>
            </w:rPr>
            <w:t>ANNEX III</w:t>
          </w:r>
          <w:r>
            <w:rPr>
              <w:noProof/>
            </w:rPr>
            <w:fldChar w:fldCharType="end"/>
          </w:r>
        </w:p>
        <w:p w14:paraId="4A6F99FB" w14:textId="77777777" w:rsidR="00331767" w:rsidRDefault="00331767" w:rsidP="002D669B">
          <w:pPr>
            <w:pStyle w:val="Header"/>
          </w:pPr>
        </w:p>
      </w:tc>
      <w:tc>
        <w:tcPr>
          <w:tcW w:w="4957" w:type="dxa"/>
        </w:tcPr>
        <w:p w14:paraId="36731E28" w14:textId="77777777" w:rsidR="00331767" w:rsidRPr="00AB0F67" w:rsidRDefault="00331767" w:rsidP="002D669B">
          <w:pPr>
            <w:pStyle w:val="Header"/>
            <w:jc w:val="right"/>
            <w:rPr>
              <w:b/>
            </w:rPr>
          </w:pPr>
          <w:r w:rsidRPr="00AB0F67">
            <w:rPr>
              <w:b/>
            </w:rPr>
            <w:t>World Intellectual Property Organization</w:t>
          </w:r>
        </w:p>
        <w:p w14:paraId="7958B48D" w14:textId="6211BC1C" w:rsidR="00331767" w:rsidRDefault="00331767" w:rsidP="00DB438A">
          <w:pPr>
            <w:pStyle w:val="Header"/>
            <w:jc w:val="right"/>
          </w:pPr>
          <w:r>
            <w:t xml:space="preserve">Program of Work </w:t>
          </w:r>
          <w:r w:rsidRPr="00AE6A90">
            <w:t xml:space="preserve">and Budget </w:t>
          </w:r>
          <w:r>
            <w:t>2024/25</w:t>
          </w:r>
        </w:p>
        <w:p w14:paraId="5B138520" w14:textId="77777777" w:rsidR="00331767" w:rsidRDefault="00331767" w:rsidP="002D669B">
          <w:pPr>
            <w:pStyle w:val="Header"/>
            <w:jc w:val="right"/>
          </w:pPr>
        </w:p>
      </w:tc>
    </w:tr>
  </w:tbl>
  <w:p w14:paraId="35E600C4" w14:textId="47D593BC" w:rsidR="00331767" w:rsidRPr="00AE6A90" w:rsidRDefault="00331767" w:rsidP="00AE6A90">
    <w:pPr>
      <w:pStyle w:val="Header"/>
    </w:pPr>
    <w:r>
      <w:rPr>
        <w:noProof/>
        <w:lang w:val="en-US"/>
      </w:rPr>
      <mc:AlternateContent>
        <mc:Choice Requires="wps">
          <w:drawing>
            <wp:anchor distT="0" distB="0" distL="114300" distR="114300" simplePos="0" relativeHeight="251847680" behindDoc="0" locked="0" layoutInCell="0" allowOverlap="1" wp14:anchorId="54D38E52" wp14:editId="5ED04580">
              <wp:simplePos x="0" y="0"/>
              <wp:positionH relativeFrom="leftMargin">
                <wp:posOffset>294995</wp:posOffset>
              </wp:positionH>
              <wp:positionV relativeFrom="margin">
                <wp:posOffset>0</wp:posOffset>
              </wp:positionV>
              <wp:extent cx="462064" cy="5579390"/>
              <wp:effectExtent l="0" t="0" r="0" b="2540"/>
              <wp:wrapNone/>
              <wp:docPr id="959" name="Rectangle 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2064" cy="5579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7C564" w14:textId="7DC1EA40" w:rsidR="00331767" w:rsidRPr="00294396" w:rsidRDefault="00331767" w:rsidP="00294396">
                          <w:pPr>
                            <w:pStyle w:val="Footer"/>
                            <w:jc w:val="center"/>
                            <w:rPr>
                              <w:rFonts w:asciiTheme="majorHAnsi" w:eastAsiaTheme="majorEastAsia" w:hAnsiTheme="majorHAnsi" w:cstheme="majorBidi"/>
                              <w:color w:val="003C55" w:themeColor="accent1" w:themeShade="BF"/>
                              <w:szCs w:val="18"/>
                            </w:rPr>
                          </w:pPr>
                          <w:r w:rsidRPr="00294396">
                            <w:rPr>
                              <w:rFonts w:asciiTheme="minorHAnsi" w:eastAsiaTheme="minorEastAsia" w:hAnsiTheme="minorHAnsi" w:cs="Times New Roman"/>
                              <w:color w:val="003C55" w:themeColor="accent1" w:themeShade="BF"/>
                              <w:szCs w:val="18"/>
                            </w:rPr>
                            <w:fldChar w:fldCharType="begin"/>
                          </w:r>
                          <w:r w:rsidRPr="00294396">
                            <w:rPr>
                              <w:color w:val="003C55" w:themeColor="accent1" w:themeShade="BF"/>
                              <w:szCs w:val="18"/>
                            </w:rPr>
                            <w:instrText xml:space="preserve"> PAGE    \* MERGEFORMAT </w:instrText>
                          </w:r>
                          <w:r w:rsidRPr="00294396">
                            <w:rPr>
                              <w:rFonts w:asciiTheme="minorHAnsi" w:eastAsiaTheme="minorEastAsia" w:hAnsiTheme="minorHAnsi" w:cs="Times New Roman"/>
                              <w:color w:val="003C55" w:themeColor="accent1" w:themeShade="BF"/>
                              <w:szCs w:val="18"/>
                            </w:rPr>
                            <w:fldChar w:fldCharType="separate"/>
                          </w:r>
                          <w:r w:rsidR="003B370B" w:rsidRPr="003B370B">
                            <w:rPr>
                              <w:rFonts w:asciiTheme="majorHAnsi" w:eastAsiaTheme="majorEastAsia" w:hAnsiTheme="majorHAnsi" w:cstheme="majorBidi"/>
                              <w:noProof/>
                              <w:color w:val="003C55" w:themeColor="accent1" w:themeShade="BF"/>
                              <w:szCs w:val="18"/>
                            </w:rPr>
                            <w:t>74</w:t>
                          </w:r>
                          <w:r w:rsidRPr="00294396">
                            <w:rPr>
                              <w:rFonts w:asciiTheme="majorHAnsi" w:eastAsiaTheme="majorEastAsia" w:hAnsiTheme="majorHAnsi" w:cstheme="majorBidi"/>
                              <w:noProof/>
                              <w:color w:val="003C55" w:themeColor="accent1" w:themeShade="BF"/>
                              <w:szCs w:val="18"/>
                            </w:rPr>
                            <w:fldChar w:fldCharType="end"/>
                          </w:r>
                        </w:p>
                      </w:txbxContent>
                    </wps:txbx>
                    <wps:bodyPr rot="0" vert="vert"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4D38E52" id="Rectangle 959" o:spid="_x0000_s1028" style="position:absolute;margin-left:23.25pt;margin-top:0;width:36.4pt;height:439.3pt;z-index:25184768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" o:allowincell="f" filled="f" stroked="f">
              <v:textbox style="layout-flow:vertical">
                <w:txbxContent>
                  <w:p w14:paraId="5307C564" w14:textId="7DC1EA40" w:rsidR="00331767" w:rsidRPr="00294396" w:rsidRDefault="00331767" w:rsidP="00294396">
                    <w:pPr>
                      <w:pStyle w:val="Footer"/>
                      <w:jc w:val="center"/>
                      <w:rPr>
                        <w:rFonts w:asciiTheme="majorHAnsi" w:eastAsiaTheme="majorEastAsia" w:hAnsiTheme="majorHAnsi" w:cstheme="majorBidi"/>
                        <w:color w:val="003C55" w:themeColor="accent1" w:themeShade="BF"/>
                        <w:szCs w:val="18"/>
                      </w:rPr>
                    </w:pPr>
                    <w:r w:rsidRPr="00294396">
                      <w:rPr>
                        <w:rFonts w:asciiTheme="minorHAnsi" w:eastAsiaTheme="minorEastAsia" w:hAnsiTheme="minorHAnsi" w:cs="Times New Roman"/>
                        <w:color w:val="003C55" w:themeColor="accent1" w:themeShade="BF"/>
                        <w:szCs w:val="18"/>
                      </w:rPr>
                      <w:fldChar w:fldCharType="begin"/>
                    </w:r>
                    <w:r w:rsidRPr="00294396">
                      <w:rPr>
                        <w:color w:val="003C55" w:themeColor="accent1" w:themeShade="BF"/>
                        <w:szCs w:val="18"/>
                      </w:rPr>
                      <w:instrText xml:space="preserve"> PAGE    \* MERGEFORMAT </w:instrText>
                    </w:r>
                    <w:r w:rsidRPr="00294396">
                      <w:rPr>
                        <w:rFonts w:asciiTheme="minorHAnsi" w:eastAsiaTheme="minorEastAsia" w:hAnsiTheme="minorHAnsi" w:cs="Times New Roman"/>
                        <w:color w:val="003C55" w:themeColor="accent1" w:themeShade="BF"/>
                        <w:szCs w:val="18"/>
                      </w:rPr>
                      <w:fldChar w:fldCharType="separate"/>
                    </w:r>
                    <w:r w:rsidR="003B370B" w:rsidRPr="003B370B">
                      <w:rPr>
                        <w:rFonts w:asciiTheme="majorHAnsi" w:eastAsiaTheme="majorEastAsia" w:hAnsiTheme="majorHAnsi" w:cstheme="majorBidi"/>
                        <w:noProof/>
                        <w:color w:val="003C55" w:themeColor="accent1" w:themeShade="BF"/>
                        <w:szCs w:val="18"/>
                      </w:rPr>
                      <w:t>74</w:t>
                    </w:r>
                    <w:r w:rsidRPr="00294396">
                      <w:rPr>
                        <w:rFonts w:asciiTheme="majorHAnsi" w:eastAsiaTheme="majorEastAsia" w:hAnsiTheme="majorHAnsi" w:cstheme="majorBidi"/>
                        <w:noProof/>
                        <w:color w:val="003C55" w:themeColor="accent1" w:themeShade="BF"/>
                        <w:szCs w:val="18"/>
                      </w:rPr>
                      <w:fldChar w:fldCharType="end"/>
                    </w:r>
                  </w:p>
                </w:txbxContent>
              </v:textbox>
              <w10:wrap anchorx="margin" anchory="margin"/>
            </v:rect>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443"/>
      <w:gridCol w:w="4954"/>
    </w:tblGrid>
    <w:tr w:rsidR="00331767" w14:paraId="23561F36" w14:textId="77777777" w:rsidTr="0019599D">
      <w:trPr>
        <w:trHeight w:val="521"/>
      </w:trPr>
      <w:tc>
        <w:tcPr>
          <w:tcW w:w="9465" w:type="dxa"/>
        </w:tcPr>
        <w:p w14:paraId="32611337" w14:textId="0EC2E347"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512AF621" w14:textId="3D7ED11A" w:rsidR="00331767" w:rsidRDefault="00E813FB" w:rsidP="006F19FA">
          <w:pPr>
            <w:pStyle w:val="Header"/>
            <w:tabs>
              <w:tab w:val="clear" w:pos="4513"/>
              <w:tab w:val="clear" w:pos="9026"/>
              <w:tab w:val="left" w:pos="2495"/>
            </w:tabs>
          </w:pPr>
          <w:r>
            <w:fldChar w:fldCharType="begin"/>
          </w:r>
          <w:r>
            <w:instrText xml:space="preserve"> STYLEREF  AnnexTitle2 \n  \* MERGEFORMAT </w:instrText>
          </w:r>
          <w:r>
            <w:fldChar w:fldCharType="separate"/>
          </w:r>
          <w:r w:rsidR="003B370B">
            <w:rPr>
              <w:noProof/>
            </w:rPr>
            <w:t>ANNEX II</w:t>
          </w:r>
          <w:r>
            <w:rPr>
              <w:noProof/>
            </w:rPr>
            <w:fldChar w:fldCharType="end"/>
          </w:r>
          <w:r w:rsidR="00331767">
            <w:tab/>
          </w:r>
        </w:p>
      </w:tc>
      <w:tc>
        <w:tcPr>
          <w:tcW w:w="4966" w:type="dxa"/>
        </w:tcPr>
        <w:p w14:paraId="78311EF6" w14:textId="77777777" w:rsidR="00331767" w:rsidRPr="00AB0F67" w:rsidRDefault="00331767" w:rsidP="002D669B">
          <w:pPr>
            <w:pStyle w:val="Header"/>
            <w:jc w:val="right"/>
            <w:rPr>
              <w:b/>
            </w:rPr>
          </w:pPr>
          <w:r w:rsidRPr="00AB0F67">
            <w:rPr>
              <w:b/>
            </w:rPr>
            <w:t>World Intellectual Property Organization</w:t>
          </w:r>
        </w:p>
        <w:p w14:paraId="0F7DAE71" w14:textId="3E17DA0C" w:rsidR="00331767" w:rsidRDefault="00331767" w:rsidP="002D669B">
          <w:pPr>
            <w:pStyle w:val="Header"/>
            <w:jc w:val="right"/>
          </w:pPr>
          <w:r>
            <w:t xml:space="preserve">Program of Work </w:t>
          </w:r>
          <w:r w:rsidRPr="00AE6A90">
            <w:t xml:space="preserve">and Budget </w:t>
          </w:r>
          <w:r>
            <w:t>2024/25</w:t>
          </w:r>
        </w:p>
        <w:p w14:paraId="6399EE41" w14:textId="77777777" w:rsidR="00331767" w:rsidRDefault="00331767" w:rsidP="002D669B">
          <w:pPr>
            <w:pStyle w:val="Header"/>
            <w:jc w:val="right"/>
          </w:pPr>
        </w:p>
      </w:tc>
    </w:tr>
  </w:tbl>
  <w:p w14:paraId="39F82E2A" w14:textId="1AB7591E" w:rsidR="00331767" w:rsidRPr="00AE6A90" w:rsidRDefault="00331767" w:rsidP="00382909">
    <w:pPr>
      <w:pStyle w:val="Header"/>
    </w:pPr>
    <w:r>
      <w:rPr>
        <w:noProof/>
        <w:lang w:val="en-US"/>
      </w:rPr>
      <mc:AlternateContent>
        <mc:Choice Requires="wps">
          <w:drawing>
            <wp:anchor distT="0" distB="0" distL="114300" distR="114300" simplePos="0" relativeHeight="251841536" behindDoc="0" locked="0" layoutInCell="0" allowOverlap="1" wp14:anchorId="6C51A229" wp14:editId="6BE1B1E6">
              <wp:simplePos x="0" y="0"/>
              <wp:positionH relativeFrom="leftMargin">
                <wp:posOffset>246380</wp:posOffset>
              </wp:positionH>
              <wp:positionV relativeFrom="margin">
                <wp:align>center</wp:align>
              </wp:positionV>
              <wp:extent cx="510540" cy="5581815"/>
              <wp:effectExtent l="0" t="0" r="0" b="0"/>
              <wp:wrapNone/>
              <wp:docPr id="954"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558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6FEF3" w14:textId="45CAAE28" w:rsidR="00331767" w:rsidRPr="009779B4" w:rsidRDefault="00331767" w:rsidP="009779B4">
                          <w:pPr>
                            <w:pStyle w:val="Footer"/>
                            <w:jc w:val="center"/>
                            <w:rPr>
                              <w:rFonts w:asciiTheme="majorHAnsi" w:eastAsiaTheme="majorEastAsia" w:hAnsiTheme="majorHAnsi" w:cstheme="majorHAnsi"/>
                              <w:color w:val="003C55" w:themeColor="accent1" w:themeShade="BF"/>
                              <w:szCs w:val="18"/>
                            </w:rPr>
                          </w:pPr>
                          <w:r w:rsidRPr="009779B4">
                            <w:rPr>
                              <w:rFonts w:asciiTheme="majorHAnsi" w:eastAsiaTheme="minorEastAsia" w:hAnsiTheme="majorHAnsi" w:cstheme="majorHAnsi"/>
                              <w:color w:val="003C55" w:themeColor="accent1" w:themeShade="BF"/>
                              <w:szCs w:val="18"/>
                            </w:rPr>
                            <w:fldChar w:fldCharType="begin"/>
                          </w:r>
                          <w:r w:rsidRPr="009779B4">
                            <w:rPr>
                              <w:rFonts w:asciiTheme="majorHAnsi" w:hAnsiTheme="majorHAnsi" w:cstheme="majorHAnsi"/>
                              <w:color w:val="003C55" w:themeColor="accent1" w:themeShade="BF"/>
                              <w:szCs w:val="18"/>
                            </w:rPr>
                            <w:instrText xml:space="preserve"> PAGE    \* MERGEFORMAT </w:instrText>
                          </w:r>
                          <w:r w:rsidRPr="009779B4">
                            <w:rPr>
                              <w:rFonts w:asciiTheme="majorHAnsi" w:eastAsiaTheme="minorEastAsia" w:hAnsiTheme="majorHAnsi" w:cstheme="majorHAnsi"/>
                              <w:color w:val="003C55" w:themeColor="accent1" w:themeShade="BF"/>
                              <w:szCs w:val="18"/>
                            </w:rPr>
                            <w:fldChar w:fldCharType="separate"/>
                          </w:r>
                          <w:r w:rsidR="003B370B" w:rsidRPr="003B370B">
                            <w:rPr>
                              <w:rFonts w:asciiTheme="majorHAnsi" w:eastAsiaTheme="majorEastAsia" w:hAnsiTheme="majorHAnsi" w:cstheme="majorHAnsi"/>
                              <w:noProof/>
                              <w:color w:val="003C55" w:themeColor="accent1" w:themeShade="BF"/>
                              <w:szCs w:val="18"/>
                            </w:rPr>
                            <w:t>73</w:t>
                          </w:r>
                          <w:r w:rsidRPr="009779B4">
                            <w:rPr>
                              <w:rFonts w:asciiTheme="majorHAnsi" w:eastAsiaTheme="majorEastAsia" w:hAnsiTheme="majorHAnsi" w:cstheme="majorHAnsi"/>
                              <w:noProof/>
                              <w:color w:val="003C55" w:themeColor="accent1" w:themeShade="BF"/>
                              <w:szCs w:val="18"/>
                            </w:rPr>
                            <w:fldChar w:fldCharType="end"/>
                          </w:r>
                        </w:p>
                      </w:txbxContent>
                    </wps:txbx>
                    <wps:bodyPr rot="0" vert="vert"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C51A229" id="Rectangle 954" o:spid="_x0000_s1029" style="position:absolute;margin-left:19.4pt;margin-top:0;width:40.2pt;height:439.5pt;z-index:251841536;visibility:visible;mso-wrap-style:square;mso-width-percent:0;mso-height-percent:0;mso-wrap-distance-left:9pt;mso-wrap-distance-top:0;mso-wrap-distance-right:9pt;mso-wrap-distance-bottom:0;mso-position-horizontal:absolute;mso-position-horizontal-relative:left-margin-area;mso-position-vertical:center;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" o:allowincell="f" filled="f" stroked="f">
              <v:textbox style="layout-flow:vertical;mso-fit-shape-to-text:t">
                <w:txbxContent>
                  <w:p w14:paraId="12C6FEF3" w14:textId="45CAAE28" w:rsidR="00331767" w:rsidRPr="009779B4" w:rsidRDefault="00331767" w:rsidP="009779B4">
                    <w:pPr>
                      <w:pStyle w:val="Footer"/>
                      <w:jc w:val="center"/>
                      <w:rPr>
                        <w:rFonts w:asciiTheme="majorHAnsi" w:eastAsiaTheme="majorEastAsia" w:hAnsiTheme="majorHAnsi" w:cstheme="majorHAnsi"/>
                        <w:color w:val="003C55" w:themeColor="accent1" w:themeShade="BF"/>
                        <w:szCs w:val="18"/>
                      </w:rPr>
                    </w:pPr>
                    <w:r w:rsidRPr="009779B4">
                      <w:rPr>
                        <w:rFonts w:asciiTheme="majorHAnsi" w:eastAsiaTheme="minorEastAsia" w:hAnsiTheme="majorHAnsi" w:cstheme="majorHAnsi"/>
                        <w:color w:val="003C55" w:themeColor="accent1" w:themeShade="BF"/>
                        <w:szCs w:val="18"/>
                      </w:rPr>
                      <w:fldChar w:fldCharType="begin"/>
                    </w:r>
                    <w:r w:rsidRPr="009779B4">
                      <w:rPr>
                        <w:rFonts w:asciiTheme="majorHAnsi" w:hAnsiTheme="majorHAnsi" w:cstheme="majorHAnsi"/>
                        <w:color w:val="003C55" w:themeColor="accent1" w:themeShade="BF"/>
                        <w:szCs w:val="18"/>
                      </w:rPr>
                      <w:instrText xml:space="preserve"> PAGE    \* MERGEFORMAT </w:instrText>
                    </w:r>
                    <w:r w:rsidRPr="009779B4">
                      <w:rPr>
                        <w:rFonts w:asciiTheme="majorHAnsi" w:eastAsiaTheme="minorEastAsia" w:hAnsiTheme="majorHAnsi" w:cstheme="majorHAnsi"/>
                        <w:color w:val="003C55" w:themeColor="accent1" w:themeShade="BF"/>
                        <w:szCs w:val="18"/>
                      </w:rPr>
                      <w:fldChar w:fldCharType="separate"/>
                    </w:r>
                    <w:r w:rsidR="003B370B" w:rsidRPr="003B370B">
                      <w:rPr>
                        <w:rFonts w:asciiTheme="majorHAnsi" w:eastAsiaTheme="majorEastAsia" w:hAnsiTheme="majorHAnsi" w:cstheme="majorHAnsi"/>
                        <w:noProof/>
                        <w:color w:val="003C55" w:themeColor="accent1" w:themeShade="BF"/>
                        <w:szCs w:val="18"/>
                      </w:rPr>
                      <w:t>73</w:t>
                    </w:r>
                    <w:r w:rsidRPr="009779B4">
                      <w:rPr>
                        <w:rFonts w:asciiTheme="majorHAnsi" w:eastAsiaTheme="majorEastAsia" w:hAnsiTheme="majorHAnsi" w:cstheme="majorHAnsi"/>
                        <w:noProof/>
                        <w:color w:val="003C55" w:themeColor="accent1" w:themeShade="BF"/>
                        <w:szCs w:val="18"/>
                      </w:rPr>
                      <w:fldChar w:fldCharType="end"/>
                    </w:r>
                  </w:p>
                </w:txbxContent>
              </v:textbox>
              <w10:wrap anchorx="margin" anchory="margin"/>
            </v:rect>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68"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278"/>
      <w:gridCol w:w="3298"/>
    </w:tblGrid>
    <w:tr w:rsidR="00331767" w14:paraId="7269B118" w14:textId="77777777" w:rsidTr="00CD4093">
      <w:trPr>
        <w:trHeight w:val="300"/>
      </w:trPr>
      <w:tc>
        <w:tcPr>
          <w:tcW w:w="9382" w:type="dxa"/>
        </w:tcPr>
        <w:p w14:paraId="79208626" w14:textId="01FEE709"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6FC75451" w14:textId="1FBFEBCE" w:rsidR="00331767" w:rsidRDefault="00E813FB" w:rsidP="002D669B">
          <w:pPr>
            <w:pStyle w:val="Header"/>
          </w:pPr>
          <w:r>
            <w:fldChar w:fldCharType="begin"/>
          </w:r>
          <w:r>
            <w:instrText xml:space="preserve"> STYLEREF  AnnexTitle2 \n  \* MERGEFORMAT </w:instrText>
          </w:r>
          <w:r>
            <w:fldChar w:fldCharType="separate"/>
          </w:r>
          <w:r w:rsidR="003B370B">
            <w:rPr>
              <w:noProof/>
            </w:rPr>
            <w:t>ANNEX XI</w:t>
          </w:r>
          <w:r>
            <w:rPr>
              <w:noProof/>
            </w:rPr>
            <w:fldChar w:fldCharType="end"/>
          </w:r>
        </w:p>
        <w:p w14:paraId="4CFA92A6" w14:textId="77777777" w:rsidR="00331767" w:rsidRDefault="00331767" w:rsidP="002D669B">
          <w:pPr>
            <w:pStyle w:val="Header"/>
          </w:pPr>
        </w:p>
      </w:tc>
      <w:tc>
        <w:tcPr>
          <w:tcW w:w="4923" w:type="dxa"/>
        </w:tcPr>
        <w:p w14:paraId="43D8C172" w14:textId="77777777" w:rsidR="00331767" w:rsidRPr="00AB0F67" w:rsidRDefault="00331767" w:rsidP="002D669B">
          <w:pPr>
            <w:pStyle w:val="Header"/>
            <w:jc w:val="right"/>
            <w:rPr>
              <w:b/>
            </w:rPr>
          </w:pPr>
          <w:r w:rsidRPr="00AB0F67">
            <w:rPr>
              <w:b/>
            </w:rPr>
            <w:t>World Intellectual Property Organization</w:t>
          </w:r>
        </w:p>
        <w:p w14:paraId="6D8215C4" w14:textId="067185B7" w:rsidR="00331767" w:rsidRDefault="00331767" w:rsidP="00DB438A">
          <w:pPr>
            <w:pStyle w:val="Header"/>
            <w:jc w:val="right"/>
          </w:pPr>
          <w:r>
            <w:t xml:space="preserve">Program of Work </w:t>
          </w:r>
          <w:r w:rsidRPr="00AE6A90">
            <w:t xml:space="preserve">and Budget </w:t>
          </w:r>
          <w:r>
            <w:t>2024/25</w:t>
          </w:r>
        </w:p>
        <w:p w14:paraId="3289FADD" w14:textId="77777777" w:rsidR="00331767" w:rsidRDefault="00331767" w:rsidP="002D669B">
          <w:pPr>
            <w:pStyle w:val="Header"/>
            <w:jc w:val="right"/>
          </w:pPr>
        </w:p>
      </w:tc>
    </w:tr>
  </w:tbl>
  <w:p w14:paraId="5BBBEA7E" w14:textId="77777777" w:rsidR="00331767" w:rsidRPr="00AE6A90" w:rsidRDefault="00331767" w:rsidP="00AE6A90">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42"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182"/>
      <w:gridCol w:w="5344"/>
    </w:tblGrid>
    <w:tr w:rsidR="00331767" w14:paraId="7C223E2C" w14:textId="77777777" w:rsidTr="00285F7B">
      <w:tc>
        <w:tcPr>
          <w:tcW w:w="6321" w:type="dxa"/>
        </w:tcPr>
        <w:p w14:paraId="7342FFE7" w14:textId="18D26C9B"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6C603D12" w14:textId="3AB72EE5" w:rsidR="00331767" w:rsidRDefault="00E813FB" w:rsidP="006F19FA">
          <w:pPr>
            <w:pStyle w:val="Header"/>
            <w:tabs>
              <w:tab w:val="clear" w:pos="4513"/>
              <w:tab w:val="clear" w:pos="9026"/>
              <w:tab w:val="left" w:pos="2495"/>
            </w:tabs>
          </w:pPr>
          <w:r>
            <w:fldChar w:fldCharType="begin"/>
          </w:r>
          <w:r>
            <w:instrText xml:space="preserve"> STYLEREF  AnnexTitle2 \n  \* MERGEFORMAT </w:instrText>
          </w:r>
          <w:r>
            <w:fldChar w:fldCharType="separate"/>
          </w:r>
          <w:r w:rsidR="003B370B">
            <w:rPr>
              <w:noProof/>
            </w:rPr>
            <w:t>ANNEX VI</w:t>
          </w:r>
          <w:r>
            <w:rPr>
              <w:noProof/>
            </w:rPr>
            <w:fldChar w:fldCharType="end"/>
          </w:r>
          <w:r w:rsidR="00331767">
            <w:tab/>
          </w:r>
        </w:p>
      </w:tc>
      <w:tc>
        <w:tcPr>
          <w:tcW w:w="8079" w:type="dxa"/>
        </w:tcPr>
        <w:p w14:paraId="4313DAFE" w14:textId="77777777" w:rsidR="00331767" w:rsidRPr="00AB0F67" w:rsidRDefault="00331767" w:rsidP="002D669B">
          <w:pPr>
            <w:pStyle w:val="Header"/>
            <w:jc w:val="right"/>
            <w:rPr>
              <w:b/>
            </w:rPr>
          </w:pPr>
          <w:r w:rsidRPr="00AB0F67">
            <w:rPr>
              <w:b/>
            </w:rPr>
            <w:t>World Intellectual Property Organization</w:t>
          </w:r>
        </w:p>
        <w:p w14:paraId="6BC51B10" w14:textId="792FB214" w:rsidR="00331767" w:rsidRDefault="00331767" w:rsidP="002D669B">
          <w:pPr>
            <w:pStyle w:val="Header"/>
            <w:jc w:val="right"/>
          </w:pPr>
          <w:r>
            <w:t xml:space="preserve">Program of Work </w:t>
          </w:r>
          <w:r w:rsidRPr="00AE6A90">
            <w:t xml:space="preserve">and Budget </w:t>
          </w:r>
          <w:r>
            <w:t>2024/25</w:t>
          </w:r>
        </w:p>
        <w:p w14:paraId="03AC1806" w14:textId="77777777" w:rsidR="00331767" w:rsidRDefault="00331767" w:rsidP="002D669B">
          <w:pPr>
            <w:pStyle w:val="Header"/>
            <w:jc w:val="right"/>
          </w:pPr>
        </w:p>
      </w:tc>
    </w:tr>
  </w:tbl>
  <w:p w14:paraId="48B80D54" w14:textId="3FC41985" w:rsidR="00331767" w:rsidRPr="00AE6A90" w:rsidRDefault="00331767" w:rsidP="00382909">
    <w:pPr>
      <w:pStyle w:val="Header"/>
    </w:pPr>
    <w:r>
      <w:rPr>
        <w:noProof/>
        <w:lang w:val="en-US"/>
      </w:rPr>
      <mc:AlternateContent>
        <mc:Choice Requires="wps">
          <w:drawing>
            <wp:anchor distT="0" distB="0" distL="114300" distR="114300" simplePos="0" relativeHeight="251849728" behindDoc="0" locked="0" layoutInCell="0" allowOverlap="1" wp14:anchorId="0730AFE1" wp14:editId="3842C2D2">
              <wp:simplePos x="0" y="0"/>
              <wp:positionH relativeFrom="leftMargin">
                <wp:posOffset>551793</wp:posOffset>
              </wp:positionH>
              <wp:positionV relativeFrom="margin">
                <wp:posOffset>-562588</wp:posOffset>
              </wp:positionV>
              <wp:extent cx="322580" cy="2183130"/>
              <wp:effectExtent l="0" t="0" r="0" b="7620"/>
              <wp:wrapNone/>
              <wp:docPr id="44"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58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8106B" w14:textId="6B842644" w:rsidR="00331767" w:rsidRDefault="00331767">
                          <w:pPr>
                            <w:pStyle w:val="Footer"/>
                            <w:rPr>
                              <w:rFonts w:asciiTheme="majorHAnsi" w:eastAsiaTheme="majorEastAsia" w:hAnsiTheme="majorHAnsi" w:cstheme="majorBidi"/>
                              <w:sz w:val="44"/>
                              <w:szCs w:val="44"/>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0730AFE1" id="Rectangle 44" o:spid="_x0000_s1030" style="position:absolute;margin-left:43.45pt;margin-top:-44.3pt;width:25.4pt;height:171.9pt;z-index:25184972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" o:allowincell="f" filled="f" stroked="f">
              <v:textbox style="layout-flow:vertical;mso-layout-flow-alt:bottom-to-top;mso-fit-shape-to-text:t">
                <w:txbxContent>
                  <w:p w14:paraId="71D8106B" w14:textId="6B842644" w:rsidR="00331767" w:rsidRDefault="00331767">
                    <w:pPr>
                      <w:pStyle w:val="Footer"/>
                      <w:rPr>
                        <w:rFonts w:asciiTheme="majorHAnsi" w:eastAsiaTheme="majorEastAsia" w:hAnsiTheme="majorHAnsi" w:cstheme="majorBidi"/>
                        <w:sz w:val="44"/>
                        <w:szCs w:val="44"/>
                      </w:rPr>
                    </w:pPr>
                  </w:p>
                </w:txbxContent>
              </v:textbox>
              <w10:wrap anchorx="margin" anchory="margin"/>
            </v:rect>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42"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8080"/>
    </w:tblGrid>
    <w:tr w:rsidR="00331767" w14:paraId="0F037AFC" w14:textId="77777777" w:rsidTr="00285F7B">
      <w:tc>
        <w:tcPr>
          <w:tcW w:w="6321" w:type="dxa"/>
        </w:tcPr>
        <w:p w14:paraId="78EEA127" w14:textId="36F5CAD3"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75A9585D" w14:textId="63B6EDAA" w:rsidR="00331767" w:rsidRDefault="00E813FB" w:rsidP="006F19FA">
          <w:pPr>
            <w:pStyle w:val="Header"/>
            <w:tabs>
              <w:tab w:val="clear" w:pos="4513"/>
              <w:tab w:val="clear" w:pos="9026"/>
              <w:tab w:val="left" w:pos="2495"/>
            </w:tabs>
          </w:pPr>
          <w:r>
            <w:fldChar w:fldCharType="begin"/>
          </w:r>
          <w:r>
            <w:instrText xml:space="preserve"> STYLEREF  AnnexTitle2 \n  \* MERGEFORMAT </w:instrText>
          </w:r>
          <w:r>
            <w:fldChar w:fldCharType="separate"/>
          </w:r>
          <w:r w:rsidR="003B370B">
            <w:rPr>
              <w:noProof/>
            </w:rPr>
            <w:t>ANNEX IX</w:t>
          </w:r>
          <w:r>
            <w:rPr>
              <w:noProof/>
            </w:rPr>
            <w:fldChar w:fldCharType="end"/>
          </w:r>
          <w:r w:rsidR="00331767">
            <w:tab/>
          </w:r>
        </w:p>
      </w:tc>
      <w:tc>
        <w:tcPr>
          <w:tcW w:w="8079" w:type="dxa"/>
        </w:tcPr>
        <w:p w14:paraId="7CAFEA15" w14:textId="77777777" w:rsidR="00331767" w:rsidRPr="00AB0F67" w:rsidRDefault="00331767" w:rsidP="002D669B">
          <w:pPr>
            <w:pStyle w:val="Header"/>
            <w:jc w:val="right"/>
            <w:rPr>
              <w:b/>
            </w:rPr>
          </w:pPr>
          <w:r w:rsidRPr="00AB0F67">
            <w:rPr>
              <w:b/>
            </w:rPr>
            <w:t>World Intellectual Property Organization</w:t>
          </w:r>
        </w:p>
        <w:p w14:paraId="03B4230A" w14:textId="30AB5D3E" w:rsidR="00331767" w:rsidRDefault="00331767" w:rsidP="002D669B">
          <w:pPr>
            <w:pStyle w:val="Header"/>
            <w:jc w:val="right"/>
          </w:pPr>
          <w:r>
            <w:t xml:space="preserve">Program of Work </w:t>
          </w:r>
          <w:r w:rsidRPr="00AE6A90">
            <w:t xml:space="preserve">and Budget </w:t>
          </w:r>
          <w:r>
            <w:t>2024/25</w:t>
          </w:r>
        </w:p>
        <w:p w14:paraId="30B0F067" w14:textId="77777777" w:rsidR="00331767" w:rsidRDefault="00331767" w:rsidP="002D669B">
          <w:pPr>
            <w:pStyle w:val="Header"/>
            <w:jc w:val="right"/>
          </w:pPr>
        </w:p>
      </w:tc>
    </w:tr>
  </w:tbl>
  <w:p w14:paraId="1391C7AD" w14:textId="292432C8" w:rsidR="00331767" w:rsidRPr="00AE6A90" w:rsidRDefault="00331767" w:rsidP="00382909">
    <w:pPr>
      <w:pStyle w:val="Header"/>
    </w:pPr>
    <w:r>
      <w:rPr>
        <w:noProof/>
        <w:lang w:val="en-US"/>
      </w:rPr>
      <mc:AlternateContent>
        <mc:Choice Requires="wps">
          <w:drawing>
            <wp:anchor distT="0" distB="0" distL="114300" distR="114300" simplePos="0" relativeHeight="251851776" behindDoc="0" locked="0" layoutInCell="0" allowOverlap="1" wp14:anchorId="0192792B" wp14:editId="6E9F32D7">
              <wp:simplePos x="0" y="0"/>
              <wp:positionH relativeFrom="leftMargin">
                <wp:posOffset>445266</wp:posOffset>
              </wp:positionH>
              <wp:positionV relativeFrom="margin">
                <wp:posOffset>2461041</wp:posOffset>
              </wp:positionV>
              <wp:extent cx="510540" cy="2183130"/>
              <wp:effectExtent l="0" t="0" r="3810" b="0"/>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F0F4E" w14:textId="55428100" w:rsidR="00331767" w:rsidRPr="00DC0BE1" w:rsidRDefault="00331767">
                          <w:pPr>
                            <w:pStyle w:val="Footer"/>
                            <w:rPr>
                              <w:rFonts w:asciiTheme="majorHAnsi" w:eastAsiaTheme="majorEastAsia" w:hAnsiTheme="majorHAnsi" w:cstheme="majorHAnsi"/>
                              <w:color w:val="005172" w:themeColor="text2"/>
                              <w:szCs w:val="18"/>
                            </w:rPr>
                          </w:pPr>
                          <w:r w:rsidRPr="00DC0BE1">
                            <w:rPr>
                              <w:rFonts w:asciiTheme="majorHAnsi" w:eastAsiaTheme="minorEastAsia" w:hAnsiTheme="majorHAnsi" w:cstheme="majorHAnsi"/>
                              <w:color w:val="005172" w:themeColor="text2"/>
                              <w:szCs w:val="18"/>
                            </w:rPr>
                            <w:fldChar w:fldCharType="begin"/>
                          </w:r>
                          <w:r w:rsidRPr="00DC0BE1">
                            <w:rPr>
                              <w:rFonts w:asciiTheme="majorHAnsi" w:hAnsiTheme="majorHAnsi" w:cstheme="majorHAnsi"/>
                              <w:color w:val="005172" w:themeColor="text2"/>
                              <w:szCs w:val="18"/>
                            </w:rPr>
                            <w:instrText xml:space="preserve"> PAGE    \* MERGEFORMAT </w:instrText>
                          </w:r>
                          <w:r w:rsidRPr="00DC0BE1">
                            <w:rPr>
                              <w:rFonts w:asciiTheme="majorHAnsi" w:eastAsiaTheme="minorEastAsia" w:hAnsiTheme="majorHAnsi" w:cstheme="majorHAnsi"/>
                              <w:color w:val="005172" w:themeColor="text2"/>
                              <w:szCs w:val="18"/>
                            </w:rPr>
                            <w:fldChar w:fldCharType="separate"/>
                          </w:r>
                          <w:r w:rsidR="003B370B" w:rsidRPr="003B370B">
                            <w:rPr>
                              <w:rFonts w:asciiTheme="majorHAnsi" w:eastAsiaTheme="majorEastAsia" w:hAnsiTheme="majorHAnsi" w:cstheme="majorHAnsi"/>
                              <w:noProof/>
                              <w:color w:val="005172" w:themeColor="text2"/>
                              <w:szCs w:val="18"/>
                            </w:rPr>
                            <w:t>107</w:t>
                          </w:r>
                          <w:r w:rsidRPr="00DC0BE1">
                            <w:rPr>
                              <w:rFonts w:asciiTheme="majorHAnsi" w:eastAsiaTheme="majorEastAsia" w:hAnsiTheme="majorHAnsi" w:cstheme="majorHAnsi"/>
                              <w:noProof/>
                              <w:color w:val="005172" w:themeColor="text2"/>
                              <w:szCs w:val="18"/>
                            </w:rPr>
                            <w:fldChar w:fldCharType="end"/>
                          </w:r>
                        </w:p>
                      </w:txbxContent>
                    </wps:txbx>
                    <wps:bodyPr rot="0" vert="vert"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0192792B" id="Rectangle 63" o:spid="_x0000_s1031" style="position:absolute;margin-left:35.05pt;margin-top:193.8pt;width:40.2pt;height:171.9pt;z-index:25185177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" o:allowincell="f" filled="f" stroked="f">
              <v:textbox style="layout-flow:vertical;mso-fit-shape-to-text:t">
                <w:txbxContent>
                  <w:p w14:paraId="6B3F0F4E" w14:textId="55428100" w:rsidR="00331767" w:rsidRPr="00DC0BE1" w:rsidRDefault="00331767">
                    <w:pPr>
                      <w:pStyle w:val="Footer"/>
                      <w:rPr>
                        <w:rFonts w:asciiTheme="majorHAnsi" w:eastAsiaTheme="majorEastAsia" w:hAnsiTheme="majorHAnsi" w:cstheme="majorHAnsi"/>
                        <w:color w:val="005172" w:themeColor="text2"/>
                        <w:szCs w:val="18"/>
                      </w:rPr>
                    </w:pPr>
                    <w:r w:rsidRPr="00DC0BE1">
                      <w:rPr>
                        <w:rFonts w:asciiTheme="majorHAnsi" w:eastAsiaTheme="minorEastAsia" w:hAnsiTheme="majorHAnsi" w:cstheme="majorHAnsi"/>
                        <w:color w:val="005172" w:themeColor="text2"/>
                        <w:szCs w:val="18"/>
                      </w:rPr>
                      <w:fldChar w:fldCharType="begin"/>
                    </w:r>
                    <w:r w:rsidRPr="00DC0BE1">
                      <w:rPr>
                        <w:rFonts w:asciiTheme="majorHAnsi" w:hAnsiTheme="majorHAnsi" w:cstheme="majorHAnsi"/>
                        <w:color w:val="005172" w:themeColor="text2"/>
                        <w:szCs w:val="18"/>
                      </w:rPr>
                      <w:instrText xml:space="preserve"> PAGE    \* MERGEFORMAT </w:instrText>
                    </w:r>
                    <w:r w:rsidRPr="00DC0BE1">
                      <w:rPr>
                        <w:rFonts w:asciiTheme="majorHAnsi" w:eastAsiaTheme="minorEastAsia" w:hAnsiTheme="majorHAnsi" w:cstheme="majorHAnsi"/>
                        <w:color w:val="005172" w:themeColor="text2"/>
                        <w:szCs w:val="18"/>
                      </w:rPr>
                      <w:fldChar w:fldCharType="separate"/>
                    </w:r>
                    <w:r w:rsidR="003B370B" w:rsidRPr="003B370B">
                      <w:rPr>
                        <w:rFonts w:asciiTheme="majorHAnsi" w:eastAsiaTheme="majorEastAsia" w:hAnsiTheme="majorHAnsi" w:cstheme="majorHAnsi"/>
                        <w:noProof/>
                        <w:color w:val="005172" w:themeColor="text2"/>
                        <w:szCs w:val="18"/>
                      </w:rPr>
                      <w:t>107</w:t>
                    </w:r>
                    <w:r w:rsidRPr="00DC0BE1">
                      <w:rPr>
                        <w:rFonts w:asciiTheme="majorHAnsi" w:eastAsiaTheme="majorEastAsia" w:hAnsiTheme="majorHAnsi" w:cstheme="majorHAnsi"/>
                        <w:noProof/>
                        <w:color w:val="005172" w:themeColor="text2"/>
                        <w:szCs w:val="18"/>
                      </w:rPr>
                      <w:fldChar w:fldCharType="end"/>
                    </w:r>
                  </w:p>
                </w:txbxContent>
              </v:textbox>
              <w10:wrap anchorx="margin" anchory="margin"/>
            </v:rect>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4942"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182"/>
      <w:gridCol w:w="5344"/>
    </w:tblGrid>
    <w:tr w:rsidR="00331767" w14:paraId="34458A62" w14:textId="77777777" w:rsidTr="00285F7B">
      <w:tc>
        <w:tcPr>
          <w:tcW w:w="6321" w:type="dxa"/>
        </w:tcPr>
        <w:p w14:paraId="3143BE25" w14:textId="082404E5" w:rsidR="00331767" w:rsidRDefault="00331767" w:rsidP="002D669B">
          <w:pPr>
            <w:pStyle w:val="Header"/>
            <w:rPr>
              <w:noProof/>
            </w:rP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0EE2588D" w14:textId="6AF1A21B" w:rsidR="00331767" w:rsidRDefault="00E813FB" w:rsidP="006F19FA">
          <w:pPr>
            <w:pStyle w:val="Header"/>
            <w:tabs>
              <w:tab w:val="clear" w:pos="4513"/>
              <w:tab w:val="clear" w:pos="9026"/>
              <w:tab w:val="left" w:pos="2495"/>
            </w:tabs>
          </w:pPr>
          <w:r>
            <w:fldChar w:fldCharType="begin"/>
          </w:r>
          <w:r>
            <w:instrText xml:space="preserve"> STYLEREF  AnnexTitle2 \n  \* MERGEFORMAT </w:instrText>
          </w:r>
          <w:r>
            <w:fldChar w:fldCharType="separate"/>
          </w:r>
          <w:r w:rsidR="003B370B">
            <w:rPr>
              <w:noProof/>
            </w:rPr>
            <w:t>ANNEX X</w:t>
          </w:r>
          <w:r>
            <w:rPr>
              <w:noProof/>
            </w:rPr>
            <w:fldChar w:fldCharType="end"/>
          </w:r>
          <w:r w:rsidR="00331767">
            <w:tab/>
          </w:r>
        </w:p>
      </w:tc>
      <w:tc>
        <w:tcPr>
          <w:tcW w:w="8079" w:type="dxa"/>
        </w:tcPr>
        <w:p w14:paraId="1C6BDB29" w14:textId="77777777" w:rsidR="00331767" w:rsidRPr="00AB0F67" w:rsidRDefault="00331767" w:rsidP="002D669B">
          <w:pPr>
            <w:pStyle w:val="Header"/>
            <w:jc w:val="right"/>
            <w:rPr>
              <w:b/>
            </w:rPr>
          </w:pPr>
          <w:r w:rsidRPr="00AB0F67">
            <w:rPr>
              <w:b/>
            </w:rPr>
            <w:t>World Intellectual Property Organization</w:t>
          </w:r>
        </w:p>
        <w:p w14:paraId="70C387BD" w14:textId="063FBF88" w:rsidR="00331767" w:rsidRDefault="00331767" w:rsidP="002D669B">
          <w:pPr>
            <w:pStyle w:val="Header"/>
            <w:jc w:val="right"/>
          </w:pPr>
          <w:r>
            <w:t xml:space="preserve">Program of Work </w:t>
          </w:r>
          <w:r w:rsidRPr="00AE6A90">
            <w:t xml:space="preserve">and Budget </w:t>
          </w:r>
          <w:r>
            <w:t>2024/25</w:t>
          </w:r>
        </w:p>
        <w:p w14:paraId="183B4151" w14:textId="77777777" w:rsidR="00331767" w:rsidRDefault="00331767" w:rsidP="002D669B">
          <w:pPr>
            <w:pStyle w:val="Header"/>
            <w:jc w:val="right"/>
          </w:pPr>
        </w:p>
      </w:tc>
    </w:tr>
  </w:tbl>
  <w:p w14:paraId="6ADA8FCA" w14:textId="77777777" w:rsidR="00331767" w:rsidRPr="00AE6A90" w:rsidRDefault="00331767" w:rsidP="00382909">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39721B62" w14:textId="77777777" w:rsidTr="00CF2C4A">
      <w:tc>
        <w:tcPr>
          <w:tcW w:w="4927" w:type="dxa"/>
        </w:tcPr>
        <w:p w14:paraId="464C0BB0" w14:textId="78F7C7A9" w:rsidR="00331767" w:rsidRDefault="00331767" w:rsidP="002D669B">
          <w:pPr>
            <w:pStyle w:val="Header"/>
          </w:pPr>
          <w:r>
            <w:rPr>
              <w:noProof/>
            </w:rPr>
            <w:fldChar w:fldCharType="begin"/>
          </w:r>
          <w:r>
            <w:rPr>
              <w:noProof/>
            </w:rPr>
            <w:instrText xml:space="preserve"> STYLEREF  "SectionTitleNumb" \n  \* MERGEFORMAT </w:instrText>
          </w:r>
          <w:r>
            <w:rPr>
              <w:noProof/>
            </w:rPr>
            <w:fldChar w:fldCharType="separate"/>
          </w:r>
          <w:r>
            <w:rPr>
              <w:noProof/>
            </w:rPr>
            <w:t>III</w:t>
          </w:r>
          <w:r>
            <w:rPr>
              <w:noProof/>
            </w:rPr>
            <w:fldChar w:fldCharType="end"/>
          </w:r>
          <w:r>
            <w:t xml:space="preserve"> </w:t>
          </w:r>
          <w:r>
            <w:rPr>
              <w:noProof/>
            </w:rPr>
            <w:fldChar w:fldCharType="begin"/>
          </w:r>
          <w:r>
            <w:rPr>
              <w:noProof/>
            </w:rPr>
            <w:instrText xml:space="preserve"> STYLEREF  "SectionTitleNumb"  \* MERGEFORMAT </w:instrText>
          </w:r>
          <w:r>
            <w:rPr>
              <w:noProof/>
            </w:rPr>
            <w:fldChar w:fldCharType="separate"/>
          </w:r>
          <w:r>
            <w:rPr>
              <w:noProof/>
            </w:rPr>
            <w:t>ANNEXES</w:t>
          </w:r>
          <w:r>
            <w:rPr>
              <w:noProof/>
            </w:rPr>
            <w:fldChar w:fldCharType="end"/>
          </w:r>
        </w:p>
        <w:p w14:paraId="6E6932EE" w14:textId="08B5D278" w:rsidR="00331767" w:rsidRDefault="00331767" w:rsidP="002D669B">
          <w:pPr>
            <w:pStyle w:val="Header"/>
          </w:pPr>
          <w:r>
            <w:fldChar w:fldCharType="begin"/>
          </w:r>
          <w:r>
            <w:instrText xml:space="preserve"> STYLEREF  </w:instrText>
          </w:r>
          <w:r w:rsidRPr="00A53F69">
            <w:instrText>AppendixTitle</w:instrText>
          </w:r>
          <w:r>
            <w:instrText xml:space="preserve"> \n  \* MERGEFORMAT </w:instrText>
          </w:r>
          <w:r>
            <w:fldChar w:fldCharType="separate"/>
          </w:r>
          <w:r>
            <w:rPr>
              <w:noProof/>
            </w:rPr>
            <w:t>APPENDIX A</w:t>
          </w:r>
          <w:r>
            <w:rPr>
              <w:noProof/>
            </w:rPr>
            <w:fldChar w:fldCharType="end"/>
          </w:r>
        </w:p>
      </w:tc>
      <w:tc>
        <w:tcPr>
          <w:tcW w:w="2586" w:type="dxa"/>
        </w:tcPr>
        <w:p w14:paraId="54D3C60D" w14:textId="77777777" w:rsidR="00331767" w:rsidRPr="00AB0F67" w:rsidRDefault="00331767" w:rsidP="002D669B">
          <w:pPr>
            <w:pStyle w:val="Header"/>
            <w:jc w:val="right"/>
            <w:rPr>
              <w:b/>
            </w:rPr>
          </w:pPr>
          <w:r w:rsidRPr="00AB0F67">
            <w:rPr>
              <w:b/>
            </w:rPr>
            <w:t>World Intellectual Property Organization</w:t>
          </w:r>
        </w:p>
        <w:p w14:paraId="5B61C8A6" w14:textId="77777777" w:rsidR="00331767" w:rsidRDefault="00331767" w:rsidP="002D669B">
          <w:pPr>
            <w:pStyle w:val="Header"/>
            <w:jc w:val="right"/>
          </w:pPr>
          <w:r w:rsidRPr="00AE6A90">
            <w:t xml:space="preserve">Program </w:t>
          </w:r>
          <w:r>
            <w:t xml:space="preserve">of Work </w:t>
          </w:r>
          <w:r w:rsidRPr="00AE6A90">
            <w:t>and Budget 20</w:t>
          </w:r>
          <w:r>
            <w:t>22</w:t>
          </w:r>
          <w:r w:rsidRPr="00AE6A90">
            <w:t>/</w:t>
          </w:r>
          <w:r>
            <w:t>23</w:t>
          </w:r>
        </w:p>
        <w:p w14:paraId="515B5FAC" w14:textId="77777777" w:rsidR="00331767" w:rsidRDefault="00331767" w:rsidP="002D669B">
          <w:pPr>
            <w:pStyle w:val="Header"/>
            <w:jc w:val="right"/>
          </w:pPr>
        </w:p>
      </w:tc>
    </w:tr>
  </w:tbl>
  <w:p w14:paraId="69914688" w14:textId="77777777" w:rsidR="00331767" w:rsidRPr="00AE6A90" w:rsidRDefault="00331767" w:rsidP="00D376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9C4D37" w14:textId="77777777" w:rsidR="00331767" w:rsidRDefault="00331767">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10BDA4E2" w14:textId="77777777" w:rsidTr="00CF2C4A">
      <w:tc>
        <w:tcPr>
          <w:tcW w:w="4927" w:type="dxa"/>
        </w:tcPr>
        <w:p w14:paraId="32A6EA5A" w14:textId="2B515317"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3B370B">
            <w:rPr>
              <w:noProof/>
            </w:rPr>
            <w:t>ANNEXES</w:t>
          </w:r>
          <w:r>
            <w:rPr>
              <w:noProof/>
            </w:rPr>
            <w:fldChar w:fldCharType="end"/>
          </w:r>
        </w:p>
        <w:p w14:paraId="48794966" w14:textId="52107D60" w:rsidR="00331767" w:rsidRDefault="00E813FB" w:rsidP="00620AE3">
          <w:pPr>
            <w:pStyle w:val="Header"/>
          </w:pPr>
          <w:r>
            <w:fldChar w:fldCharType="begin"/>
          </w:r>
          <w:r>
            <w:instrText xml:space="preserve"> STYLEREF  AnnexTitle2 \n  \* MERGEFORMAT </w:instrText>
          </w:r>
          <w:r>
            <w:fldChar w:fldCharType="separate"/>
          </w:r>
          <w:r w:rsidR="003B370B">
            <w:rPr>
              <w:noProof/>
            </w:rPr>
            <w:t>ANNEX XI</w:t>
          </w:r>
          <w:r>
            <w:rPr>
              <w:noProof/>
            </w:rPr>
            <w:fldChar w:fldCharType="end"/>
          </w:r>
        </w:p>
      </w:tc>
      <w:tc>
        <w:tcPr>
          <w:tcW w:w="2586" w:type="dxa"/>
        </w:tcPr>
        <w:p w14:paraId="7001AB90" w14:textId="77777777" w:rsidR="00331767" w:rsidRPr="00AB0F67" w:rsidRDefault="00331767" w:rsidP="002D669B">
          <w:pPr>
            <w:pStyle w:val="Header"/>
            <w:jc w:val="right"/>
            <w:rPr>
              <w:b/>
            </w:rPr>
          </w:pPr>
          <w:r w:rsidRPr="00AB0F67">
            <w:rPr>
              <w:b/>
            </w:rPr>
            <w:t>World Intellectual Property Organization</w:t>
          </w:r>
        </w:p>
        <w:p w14:paraId="0B1FA788" w14:textId="71C25577" w:rsidR="00331767" w:rsidRDefault="00331767" w:rsidP="002D669B">
          <w:pPr>
            <w:pStyle w:val="Header"/>
            <w:jc w:val="right"/>
          </w:pPr>
          <w:r w:rsidRPr="00AE6A90">
            <w:t xml:space="preserve">Program </w:t>
          </w:r>
          <w:r>
            <w:t xml:space="preserve">of Work and </w:t>
          </w:r>
          <w:r w:rsidRPr="00AE6A90">
            <w:t>Budget 20</w:t>
          </w:r>
          <w:r>
            <w:t>24</w:t>
          </w:r>
          <w:r w:rsidRPr="00AE6A90">
            <w:t>/</w:t>
          </w:r>
          <w:r>
            <w:t>25</w:t>
          </w:r>
        </w:p>
        <w:p w14:paraId="586AB564" w14:textId="77777777" w:rsidR="00331767" w:rsidRDefault="00331767" w:rsidP="002D669B">
          <w:pPr>
            <w:pStyle w:val="Header"/>
            <w:jc w:val="right"/>
          </w:pPr>
        </w:p>
      </w:tc>
    </w:tr>
  </w:tbl>
  <w:p w14:paraId="566B26A0" w14:textId="3D92DA98" w:rsidR="00331767" w:rsidRPr="00AE6A90" w:rsidRDefault="00331767" w:rsidP="00382909">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57AFF506" w14:textId="77777777" w:rsidTr="00CF2C4A">
      <w:tc>
        <w:tcPr>
          <w:tcW w:w="4927" w:type="dxa"/>
        </w:tcPr>
        <w:p w14:paraId="1D2F7030" w14:textId="129F0D2B" w:rsidR="00331767" w:rsidRDefault="00331767" w:rsidP="002D669B">
          <w:pPr>
            <w:pStyle w:val="Header"/>
          </w:pPr>
          <w:r>
            <w:rPr>
              <w:noProof/>
            </w:rPr>
            <w:fldChar w:fldCharType="begin"/>
          </w:r>
          <w:r>
            <w:rPr>
              <w:noProof/>
            </w:rPr>
            <w:instrText xml:space="preserve"> STYLEREF  "SectionTitleNumb" \n  \* MERGEFORMAT </w:instrText>
          </w:r>
          <w:r>
            <w:rPr>
              <w:noProof/>
            </w:rPr>
            <w:fldChar w:fldCharType="separate"/>
          </w:r>
          <w:r>
            <w:rPr>
              <w:noProof/>
            </w:rPr>
            <w:t>III</w:t>
          </w:r>
          <w:r>
            <w:rPr>
              <w:noProof/>
            </w:rPr>
            <w:fldChar w:fldCharType="end"/>
          </w:r>
          <w:r>
            <w:t xml:space="preserve"> </w:t>
          </w:r>
          <w:r>
            <w:rPr>
              <w:noProof/>
            </w:rPr>
            <w:fldChar w:fldCharType="begin"/>
          </w:r>
          <w:r>
            <w:rPr>
              <w:noProof/>
            </w:rPr>
            <w:instrText xml:space="preserve"> STYLEREF  "SectionTitleNumb"  \* MERGEFORMAT </w:instrText>
          </w:r>
          <w:r>
            <w:rPr>
              <w:noProof/>
            </w:rPr>
            <w:fldChar w:fldCharType="separate"/>
          </w:r>
          <w:r>
            <w:rPr>
              <w:noProof/>
            </w:rPr>
            <w:t>ANNEXES</w:t>
          </w:r>
          <w:r>
            <w:rPr>
              <w:noProof/>
            </w:rPr>
            <w:fldChar w:fldCharType="end"/>
          </w:r>
        </w:p>
        <w:p w14:paraId="3FEFB3A2" w14:textId="08112A58" w:rsidR="00331767" w:rsidRDefault="00331767" w:rsidP="002D669B">
          <w:pPr>
            <w:pStyle w:val="Header"/>
          </w:pPr>
          <w:r>
            <w:fldChar w:fldCharType="begin"/>
          </w:r>
          <w:r>
            <w:instrText xml:space="preserve"> STYLEREF  </w:instrText>
          </w:r>
          <w:r w:rsidRPr="00A53F69">
            <w:instrText>AppendixTitle</w:instrText>
          </w:r>
          <w:r>
            <w:instrText xml:space="preserve"> \n  \* MERGEFORMAT </w:instrText>
          </w:r>
          <w:r>
            <w:fldChar w:fldCharType="separate"/>
          </w:r>
          <w:r>
            <w:rPr>
              <w:noProof/>
            </w:rPr>
            <w:t>APPENDIX A</w:t>
          </w:r>
          <w:r>
            <w:rPr>
              <w:noProof/>
            </w:rPr>
            <w:fldChar w:fldCharType="end"/>
          </w:r>
        </w:p>
      </w:tc>
      <w:tc>
        <w:tcPr>
          <w:tcW w:w="2586" w:type="dxa"/>
        </w:tcPr>
        <w:p w14:paraId="69CB31A7" w14:textId="77777777" w:rsidR="00331767" w:rsidRPr="00AB0F67" w:rsidRDefault="00331767" w:rsidP="002D669B">
          <w:pPr>
            <w:pStyle w:val="Header"/>
            <w:jc w:val="right"/>
            <w:rPr>
              <w:b/>
            </w:rPr>
          </w:pPr>
          <w:r w:rsidRPr="00AB0F67">
            <w:rPr>
              <w:b/>
            </w:rPr>
            <w:t>World Intellectual Property Organization</w:t>
          </w:r>
        </w:p>
        <w:p w14:paraId="333CD1C6" w14:textId="6C2706D4" w:rsidR="00331767" w:rsidRDefault="00331767" w:rsidP="002D669B">
          <w:pPr>
            <w:pStyle w:val="Header"/>
            <w:jc w:val="right"/>
          </w:pPr>
          <w:r w:rsidRPr="00AE6A90">
            <w:t xml:space="preserve">Program </w:t>
          </w:r>
          <w:r>
            <w:t xml:space="preserve">of Work </w:t>
          </w:r>
          <w:r w:rsidRPr="00AE6A90">
            <w:t>and Budget 20</w:t>
          </w:r>
          <w:r>
            <w:t>22</w:t>
          </w:r>
          <w:r w:rsidRPr="00AE6A90">
            <w:t>/</w:t>
          </w:r>
          <w:r>
            <w:t>23</w:t>
          </w:r>
        </w:p>
        <w:p w14:paraId="3F48674E" w14:textId="77777777" w:rsidR="00331767" w:rsidRDefault="00331767" w:rsidP="002D669B">
          <w:pPr>
            <w:pStyle w:val="Header"/>
            <w:jc w:val="right"/>
          </w:pPr>
        </w:p>
      </w:tc>
    </w:tr>
  </w:tbl>
  <w:p w14:paraId="1457D148" w14:textId="1BC0EB3A" w:rsidR="00331767" w:rsidRPr="00AE6A90" w:rsidRDefault="00331767" w:rsidP="00D376C1">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757C23F1" w14:textId="77777777" w:rsidTr="00CF2C4A">
      <w:tc>
        <w:tcPr>
          <w:tcW w:w="4927" w:type="dxa"/>
        </w:tcPr>
        <w:p w14:paraId="3910014F" w14:textId="4A564BCB"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3B370B">
            <w:rPr>
              <w:noProof/>
            </w:rPr>
            <w:t>APPENDICES</w:t>
          </w:r>
          <w:r>
            <w:rPr>
              <w:noProof/>
            </w:rPr>
            <w:fldChar w:fldCharType="end"/>
          </w:r>
        </w:p>
        <w:p w14:paraId="360F1123" w14:textId="6ED1994F" w:rsidR="00331767" w:rsidRDefault="00331767" w:rsidP="002D669B">
          <w:pPr>
            <w:pStyle w:val="Header"/>
          </w:pPr>
          <w:r>
            <w:fldChar w:fldCharType="begin"/>
          </w:r>
          <w:r>
            <w:instrText xml:space="preserve"> STYLEREF  </w:instrText>
          </w:r>
          <w:r w:rsidRPr="00A53F69">
            <w:instrText>AppendixTitle</w:instrText>
          </w:r>
          <w:r>
            <w:instrText xml:space="preserve"> \n  \* MERGEFORMAT </w:instrText>
          </w:r>
          <w:r>
            <w:fldChar w:fldCharType="separate"/>
          </w:r>
          <w:r w:rsidR="003B370B">
            <w:rPr>
              <w:noProof/>
            </w:rPr>
            <w:t>APPENDIX C</w:t>
          </w:r>
          <w:r>
            <w:rPr>
              <w:noProof/>
            </w:rPr>
            <w:fldChar w:fldCharType="end"/>
          </w:r>
        </w:p>
      </w:tc>
      <w:tc>
        <w:tcPr>
          <w:tcW w:w="2586" w:type="dxa"/>
        </w:tcPr>
        <w:p w14:paraId="7B113298" w14:textId="77777777" w:rsidR="00331767" w:rsidRPr="00AB0F67" w:rsidRDefault="00331767" w:rsidP="002D669B">
          <w:pPr>
            <w:pStyle w:val="Header"/>
            <w:jc w:val="right"/>
            <w:rPr>
              <w:b/>
            </w:rPr>
          </w:pPr>
          <w:r w:rsidRPr="00AB0F67">
            <w:rPr>
              <w:b/>
            </w:rPr>
            <w:t>World Intellectual Property Organization</w:t>
          </w:r>
        </w:p>
        <w:p w14:paraId="5DCEEAFA" w14:textId="1118A92B" w:rsidR="00331767" w:rsidRDefault="00331767" w:rsidP="002D669B">
          <w:pPr>
            <w:pStyle w:val="Header"/>
            <w:jc w:val="right"/>
          </w:pPr>
          <w:r w:rsidRPr="00AE6A90">
            <w:t xml:space="preserve">Program </w:t>
          </w:r>
          <w:r>
            <w:t>of Work and</w:t>
          </w:r>
          <w:r w:rsidRPr="00AE6A90">
            <w:t xml:space="preserve"> Budget 20</w:t>
          </w:r>
          <w:r>
            <w:t>24</w:t>
          </w:r>
          <w:r w:rsidRPr="00AE6A90">
            <w:t>/</w:t>
          </w:r>
          <w:r>
            <w:t>25</w:t>
          </w:r>
        </w:p>
        <w:p w14:paraId="6619591A" w14:textId="77777777" w:rsidR="00331767" w:rsidRDefault="00331767" w:rsidP="002D669B">
          <w:pPr>
            <w:pStyle w:val="Header"/>
            <w:jc w:val="right"/>
          </w:pPr>
        </w:p>
      </w:tc>
    </w:tr>
  </w:tbl>
  <w:p w14:paraId="367BCB2A" w14:textId="70F38D20" w:rsidR="00331767" w:rsidRPr="00AE6A90" w:rsidRDefault="00331767" w:rsidP="00AE6A90">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7"/>
    </w:tblGrid>
    <w:tr w:rsidR="00331767" w14:paraId="11312589" w14:textId="77777777" w:rsidTr="00CF2C4A">
      <w:tc>
        <w:tcPr>
          <w:tcW w:w="4927" w:type="dxa"/>
        </w:tcPr>
        <w:p w14:paraId="4DC00749" w14:textId="217A378B"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3B370B">
            <w:rPr>
              <w:noProof/>
            </w:rPr>
            <w:t>APPENDICES</w:t>
          </w:r>
          <w:r>
            <w:rPr>
              <w:noProof/>
            </w:rPr>
            <w:fldChar w:fldCharType="end"/>
          </w:r>
        </w:p>
        <w:p w14:paraId="5AE44C5E" w14:textId="00DA0F84" w:rsidR="00331767" w:rsidRDefault="00331767" w:rsidP="002D669B">
          <w:pPr>
            <w:pStyle w:val="Header"/>
          </w:pPr>
          <w:r>
            <w:fldChar w:fldCharType="begin"/>
          </w:r>
          <w:r>
            <w:instrText xml:space="preserve"> STYLEREF  </w:instrText>
          </w:r>
          <w:r w:rsidRPr="00A53F69">
            <w:instrText>AppendixTitle</w:instrText>
          </w:r>
          <w:r>
            <w:instrText xml:space="preserve"> \n  \* MERGEFORMAT </w:instrText>
          </w:r>
          <w:r>
            <w:fldChar w:fldCharType="separate"/>
          </w:r>
          <w:r w:rsidR="003B370B">
            <w:rPr>
              <w:noProof/>
            </w:rPr>
            <w:t>APPENDIX A</w:t>
          </w:r>
          <w:r>
            <w:rPr>
              <w:noProof/>
            </w:rPr>
            <w:fldChar w:fldCharType="end"/>
          </w:r>
        </w:p>
      </w:tc>
      <w:tc>
        <w:tcPr>
          <w:tcW w:w="2586" w:type="dxa"/>
        </w:tcPr>
        <w:p w14:paraId="03528B9E" w14:textId="77777777" w:rsidR="00331767" w:rsidRPr="00AB0F67" w:rsidRDefault="00331767" w:rsidP="002D669B">
          <w:pPr>
            <w:pStyle w:val="Header"/>
            <w:jc w:val="right"/>
            <w:rPr>
              <w:b/>
            </w:rPr>
          </w:pPr>
          <w:r w:rsidRPr="00AB0F67">
            <w:rPr>
              <w:b/>
            </w:rPr>
            <w:t>World Intellectual Property Organization</w:t>
          </w:r>
        </w:p>
        <w:p w14:paraId="10C2DB3B" w14:textId="128421AA" w:rsidR="00331767" w:rsidRDefault="00331767" w:rsidP="002D669B">
          <w:pPr>
            <w:pStyle w:val="Header"/>
            <w:jc w:val="right"/>
          </w:pPr>
          <w:r w:rsidRPr="00AE6A90">
            <w:t xml:space="preserve">Program </w:t>
          </w:r>
          <w:r>
            <w:t xml:space="preserve">of Work and </w:t>
          </w:r>
          <w:r w:rsidRPr="00AE6A90">
            <w:t>Budget 20</w:t>
          </w:r>
          <w:r>
            <w:t>24</w:t>
          </w:r>
          <w:r w:rsidRPr="00AE6A90">
            <w:t>/</w:t>
          </w:r>
          <w:r>
            <w:t>25</w:t>
          </w:r>
        </w:p>
        <w:p w14:paraId="1E612E12" w14:textId="77777777" w:rsidR="00331767" w:rsidRDefault="00331767" w:rsidP="002D669B">
          <w:pPr>
            <w:pStyle w:val="Header"/>
            <w:jc w:val="right"/>
          </w:pPr>
        </w:p>
      </w:tc>
    </w:tr>
  </w:tbl>
  <w:p w14:paraId="2579A6B4" w14:textId="79E7AA69" w:rsidR="00331767" w:rsidRPr="00AE6A90" w:rsidRDefault="00331767" w:rsidP="003829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70EC3" w14:textId="24375D11" w:rsidR="00331767" w:rsidRPr="00FC59CA" w:rsidRDefault="00331767" w:rsidP="00FC59CA">
    <w:pPr>
      <w:pStyle w:val="Header"/>
      <w:jc w:val="right"/>
      <w:rPr>
        <w:color w:val="auto"/>
        <w:sz w:val="22"/>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639" w:type="dxa"/>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8"/>
    </w:tblGrid>
    <w:tr w:rsidR="00331767" w14:paraId="7A5F944E" w14:textId="77777777" w:rsidTr="00C82DAD">
      <w:tc>
        <w:tcPr>
          <w:tcW w:w="4927" w:type="dxa"/>
        </w:tcPr>
        <w:p w14:paraId="0C58A533" w14:textId="160580A9" w:rsidR="00331767" w:rsidRDefault="00331767" w:rsidP="002D669B">
          <w:pPr>
            <w:pStyle w:val="Header"/>
          </w:pPr>
          <w:r>
            <w:rPr>
              <w:b/>
              <w:bCs/>
              <w:noProof/>
              <w:lang w:val="en-US"/>
            </w:rPr>
            <w:fldChar w:fldCharType="begin"/>
          </w:r>
          <w:r>
            <w:rPr>
              <w:b/>
              <w:bCs/>
              <w:noProof/>
              <w:lang w:val="en-US"/>
            </w:rPr>
            <w:instrText xml:space="preserve"> STYLEREF  "SectionTitle"  \* MERGEFORMAT </w:instrText>
          </w:r>
          <w:r>
            <w:rPr>
              <w:b/>
              <w:bCs/>
              <w:noProof/>
              <w:lang w:val="en-US"/>
            </w:rPr>
            <w:fldChar w:fldCharType="separate"/>
          </w:r>
          <w:r>
            <w:rPr>
              <w:b/>
              <w:bCs/>
              <w:noProof/>
              <w:lang w:val="en-US"/>
            </w:rPr>
            <w:t>FOREWORD BY THE DIRECTOR GENERAL</w:t>
          </w:r>
          <w:r>
            <w:rPr>
              <w:b/>
              <w:bCs/>
              <w:noProof/>
              <w:lang w:val="en-US"/>
            </w:rPr>
            <w:fldChar w:fldCharType="end"/>
          </w:r>
        </w:p>
      </w:tc>
      <w:tc>
        <w:tcPr>
          <w:tcW w:w="2586" w:type="dxa"/>
        </w:tcPr>
        <w:p w14:paraId="3FC65631" w14:textId="77777777" w:rsidR="00331767" w:rsidRPr="00AB0F67" w:rsidRDefault="00331767" w:rsidP="002D669B">
          <w:pPr>
            <w:pStyle w:val="Header"/>
            <w:jc w:val="right"/>
            <w:rPr>
              <w:b/>
            </w:rPr>
          </w:pPr>
          <w:r w:rsidRPr="00AB0F67">
            <w:rPr>
              <w:b/>
            </w:rPr>
            <w:t>World Intellectual Property Organization</w:t>
          </w:r>
        </w:p>
        <w:p w14:paraId="36E56646" w14:textId="77777777" w:rsidR="00331767" w:rsidRDefault="00331767" w:rsidP="002D669B">
          <w:pPr>
            <w:pStyle w:val="Header"/>
            <w:jc w:val="right"/>
          </w:pPr>
          <w:r>
            <w:t xml:space="preserve">Biennial Plan </w:t>
          </w:r>
          <w:r w:rsidRPr="00AE6A90">
            <w:t xml:space="preserve">and Budget </w:t>
          </w:r>
          <w:r>
            <w:t>2022/23</w:t>
          </w:r>
        </w:p>
        <w:p w14:paraId="1991686B" w14:textId="77777777" w:rsidR="00331767" w:rsidRDefault="00331767" w:rsidP="002D669B">
          <w:pPr>
            <w:pStyle w:val="Header"/>
            <w:jc w:val="right"/>
          </w:pPr>
        </w:p>
      </w:tc>
    </w:tr>
  </w:tbl>
  <w:p w14:paraId="3FC96075" w14:textId="20BF46C5" w:rsidR="00331767" w:rsidRPr="00AE6A90" w:rsidRDefault="00331767" w:rsidP="00D376C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639" w:type="dxa"/>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8"/>
    </w:tblGrid>
    <w:tr w:rsidR="00331767" w14:paraId="0E46CB05" w14:textId="77777777" w:rsidTr="00C82DAD">
      <w:tc>
        <w:tcPr>
          <w:tcW w:w="4927" w:type="dxa"/>
        </w:tcPr>
        <w:p w14:paraId="12A55758" w14:textId="73CC6BE4" w:rsidR="00331767" w:rsidRDefault="00331767" w:rsidP="002D669B">
          <w:pPr>
            <w:pStyle w:val="Header"/>
          </w:pPr>
          <w:r>
            <w:rPr>
              <w:b/>
              <w:bCs/>
              <w:noProof/>
              <w:lang w:val="en-US"/>
            </w:rPr>
            <w:fldChar w:fldCharType="begin"/>
          </w:r>
          <w:r>
            <w:rPr>
              <w:b/>
              <w:bCs/>
              <w:noProof/>
              <w:lang w:val="en-US"/>
            </w:rPr>
            <w:instrText xml:space="preserve"> STYLEREF  "SectionTitle"  \* MERGEFORMAT </w:instrText>
          </w:r>
          <w:r>
            <w:rPr>
              <w:b/>
              <w:bCs/>
              <w:noProof/>
              <w:lang w:val="en-US"/>
            </w:rPr>
            <w:fldChar w:fldCharType="separate"/>
          </w:r>
          <w:r w:rsidR="00E813FB">
            <w:rPr>
              <w:b/>
              <w:bCs/>
              <w:noProof/>
              <w:lang w:val="en-US"/>
            </w:rPr>
            <w:t>FOREWORD BY THE DIRECTOR GENERAL</w:t>
          </w:r>
          <w:r>
            <w:rPr>
              <w:b/>
              <w:bCs/>
              <w:noProof/>
              <w:lang w:val="en-US"/>
            </w:rPr>
            <w:fldChar w:fldCharType="end"/>
          </w:r>
        </w:p>
      </w:tc>
      <w:tc>
        <w:tcPr>
          <w:tcW w:w="2586" w:type="dxa"/>
        </w:tcPr>
        <w:p w14:paraId="6C1498D1" w14:textId="77777777" w:rsidR="00331767" w:rsidRPr="00AB0F67" w:rsidRDefault="00331767" w:rsidP="002D669B">
          <w:pPr>
            <w:pStyle w:val="Header"/>
            <w:jc w:val="right"/>
            <w:rPr>
              <w:b/>
            </w:rPr>
          </w:pPr>
          <w:r w:rsidRPr="00AB0F67">
            <w:rPr>
              <w:b/>
            </w:rPr>
            <w:t>World Intellectual Property Organization</w:t>
          </w:r>
        </w:p>
        <w:p w14:paraId="49EB0889" w14:textId="621E95A2" w:rsidR="00331767" w:rsidRDefault="00331767" w:rsidP="00CB0BA9">
          <w:pPr>
            <w:pStyle w:val="Header"/>
            <w:jc w:val="right"/>
          </w:pPr>
          <w:r>
            <w:t xml:space="preserve">Program of Work </w:t>
          </w:r>
          <w:r w:rsidRPr="00AE6A90">
            <w:t xml:space="preserve">and Budget </w:t>
          </w:r>
          <w:r>
            <w:t>2024/25</w:t>
          </w:r>
        </w:p>
        <w:p w14:paraId="0525980D" w14:textId="77777777" w:rsidR="00331767" w:rsidRDefault="00331767" w:rsidP="002D669B">
          <w:pPr>
            <w:pStyle w:val="Header"/>
            <w:jc w:val="right"/>
          </w:pPr>
        </w:p>
      </w:tc>
    </w:tr>
  </w:tbl>
  <w:p w14:paraId="4CE73D4E" w14:textId="5B14130C" w:rsidR="00331767" w:rsidRPr="00AE6A90" w:rsidRDefault="00331767" w:rsidP="00AE6A9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639" w:type="dxa"/>
      <w:tblBorders>
        <w:top w:val="none" w:sz="0" w:space="0" w:color="auto"/>
        <w:left w:val="none" w:sz="0" w:space="0" w:color="auto"/>
        <w:bottom w:val="single" w:sz="4" w:space="0" w:color="005694"/>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321"/>
      <w:gridCol w:w="3318"/>
    </w:tblGrid>
    <w:tr w:rsidR="00331767" w14:paraId="3CE23DE4" w14:textId="77777777" w:rsidTr="00C82DAD">
      <w:tc>
        <w:tcPr>
          <w:tcW w:w="4927" w:type="dxa"/>
        </w:tcPr>
        <w:p w14:paraId="448FE119" w14:textId="44A0901F" w:rsidR="00331767" w:rsidRDefault="00331767" w:rsidP="002D669B">
          <w:pPr>
            <w:pStyle w:val="Header"/>
          </w:pPr>
          <w:r>
            <w:rPr>
              <w:b/>
              <w:bCs/>
              <w:noProof/>
              <w:lang w:val="en-US"/>
            </w:rPr>
            <w:fldChar w:fldCharType="begin"/>
          </w:r>
          <w:r>
            <w:rPr>
              <w:b/>
              <w:bCs/>
              <w:noProof/>
              <w:lang w:val="en-US"/>
            </w:rPr>
            <w:instrText xml:space="preserve"> STYLEREF  "SectionTitle"  \* MERGEFORMAT </w:instrText>
          </w:r>
          <w:r>
            <w:rPr>
              <w:b/>
              <w:bCs/>
              <w:noProof/>
              <w:lang w:val="en-US"/>
            </w:rPr>
            <w:fldChar w:fldCharType="separate"/>
          </w:r>
          <w:r w:rsidR="00E813FB">
            <w:rPr>
              <w:b/>
              <w:bCs/>
              <w:noProof/>
              <w:lang w:val="en-US"/>
            </w:rPr>
            <w:t>FOREWORD BY THE DIRECTOR GENERAL</w:t>
          </w:r>
          <w:r>
            <w:rPr>
              <w:b/>
              <w:bCs/>
              <w:noProof/>
              <w:lang w:val="en-US"/>
            </w:rPr>
            <w:fldChar w:fldCharType="end"/>
          </w:r>
        </w:p>
      </w:tc>
      <w:tc>
        <w:tcPr>
          <w:tcW w:w="2586" w:type="dxa"/>
        </w:tcPr>
        <w:p w14:paraId="5EBB5D90" w14:textId="77777777" w:rsidR="00331767" w:rsidRPr="00AB0F67" w:rsidRDefault="00331767" w:rsidP="002D669B">
          <w:pPr>
            <w:pStyle w:val="Header"/>
            <w:jc w:val="right"/>
            <w:rPr>
              <w:b/>
            </w:rPr>
          </w:pPr>
          <w:r w:rsidRPr="00AB0F67">
            <w:rPr>
              <w:b/>
            </w:rPr>
            <w:t>World Intellectual Property Organization</w:t>
          </w:r>
        </w:p>
        <w:p w14:paraId="55014337" w14:textId="7DECC91C" w:rsidR="00331767" w:rsidRDefault="00331767" w:rsidP="002D669B">
          <w:pPr>
            <w:pStyle w:val="Header"/>
            <w:jc w:val="right"/>
          </w:pPr>
          <w:r>
            <w:t xml:space="preserve">Program of Work </w:t>
          </w:r>
          <w:r w:rsidRPr="00AE6A90">
            <w:t xml:space="preserve">and Budget </w:t>
          </w:r>
          <w:r>
            <w:t>2024/25</w:t>
          </w:r>
        </w:p>
        <w:p w14:paraId="2C7C7005" w14:textId="77777777" w:rsidR="00331767" w:rsidRDefault="00331767" w:rsidP="002D669B">
          <w:pPr>
            <w:pStyle w:val="Header"/>
            <w:jc w:val="right"/>
          </w:pPr>
        </w:p>
      </w:tc>
    </w:tr>
  </w:tbl>
  <w:p w14:paraId="4E6D3802" w14:textId="51AB348C" w:rsidR="00331767" w:rsidRPr="00AE6A90" w:rsidRDefault="00331767" w:rsidP="0038290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993"/>
      <w:gridCol w:w="5245"/>
    </w:tblGrid>
    <w:tr w:rsidR="00331767" w14:paraId="4C0EB758" w14:textId="77777777" w:rsidTr="00F51B79">
      <w:trPr>
        <w:trHeight w:val="679"/>
      </w:trPr>
      <w:tc>
        <w:tcPr>
          <w:tcW w:w="3279" w:type="pct"/>
        </w:tcPr>
        <w:p w14:paraId="06F986D4" w14:textId="45695AD4" w:rsidR="00331767" w:rsidRDefault="00331767" w:rsidP="002D669B">
          <w:pPr>
            <w:pStyle w:val="Header"/>
          </w:pPr>
          <w:r>
            <w:rPr>
              <w:noProof/>
            </w:rPr>
            <w:fldChar w:fldCharType="begin"/>
          </w:r>
          <w:r>
            <w:rPr>
              <w:noProof/>
            </w:rPr>
            <w:instrText xml:space="preserve"> STYLEREF  "SectionTitleNumb" \n  \* MERGEFORMAT </w:instrText>
          </w:r>
          <w:r>
            <w:rPr>
              <w:noProof/>
            </w:rPr>
            <w:fldChar w:fldCharType="separate"/>
          </w:r>
          <w:r>
            <w:rPr>
              <w:noProof/>
            </w:rPr>
            <w:t>I</w:t>
          </w:r>
          <w:r>
            <w:rPr>
              <w:noProof/>
            </w:rPr>
            <w:fldChar w:fldCharType="end"/>
          </w:r>
          <w:r>
            <w:t xml:space="preserve"> </w:t>
          </w:r>
          <w:r>
            <w:rPr>
              <w:noProof/>
            </w:rPr>
            <w:fldChar w:fldCharType="begin"/>
          </w:r>
          <w:r>
            <w:rPr>
              <w:noProof/>
            </w:rPr>
            <w:instrText xml:space="preserve"> STYLEREF  "SectionTitleNumb"  \* MERGEFORMAT </w:instrText>
          </w:r>
          <w:r>
            <w:rPr>
              <w:noProof/>
            </w:rPr>
            <w:fldChar w:fldCharType="separate"/>
          </w:r>
          <w:r>
            <w:rPr>
              <w:noProof/>
            </w:rPr>
            <w:t>FINANCIAL AND RESULTS - OVERVIEW</w:t>
          </w:r>
          <w:r>
            <w:rPr>
              <w:noProof/>
            </w:rPr>
            <w:fldChar w:fldCharType="end"/>
          </w:r>
        </w:p>
        <w:p w14:paraId="2DB632A2" w14:textId="77777777" w:rsidR="00331767" w:rsidRDefault="00331767" w:rsidP="002D669B">
          <w:pPr>
            <w:pStyle w:val="Header"/>
          </w:pPr>
        </w:p>
      </w:tc>
      <w:tc>
        <w:tcPr>
          <w:tcW w:w="1721" w:type="pct"/>
        </w:tcPr>
        <w:p w14:paraId="41C12C7F" w14:textId="77777777" w:rsidR="00331767" w:rsidRPr="00AB0F67" w:rsidRDefault="00331767" w:rsidP="002D669B">
          <w:pPr>
            <w:pStyle w:val="Header"/>
            <w:jc w:val="right"/>
            <w:rPr>
              <w:b/>
            </w:rPr>
          </w:pPr>
          <w:r w:rsidRPr="00AB0F67">
            <w:rPr>
              <w:b/>
            </w:rPr>
            <w:t>World Intellectual Property Organization</w:t>
          </w:r>
        </w:p>
        <w:p w14:paraId="2AD4CE18" w14:textId="77777777" w:rsidR="00331767" w:rsidRDefault="00331767" w:rsidP="002D669B">
          <w:pPr>
            <w:pStyle w:val="Header"/>
            <w:jc w:val="right"/>
          </w:pPr>
          <w:r>
            <w:t xml:space="preserve">Biennial Plan </w:t>
          </w:r>
          <w:r w:rsidRPr="00AE6A90">
            <w:t>and Budget 20</w:t>
          </w:r>
          <w:r>
            <w:t>22</w:t>
          </w:r>
          <w:r w:rsidRPr="00AE6A90">
            <w:t>/</w:t>
          </w:r>
          <w:r>
            <w:t>23</w:t>
          </w:r>
        </w:p>
        <w:p w14:paraId="40F32CE9" w14:textId="77777777" w:rsidR="00331767" w:rsidRDefault="00331767" w:rsidP="002D669B">
          <w:pPr>
            <w:pStyle w:val="Header"/>
            <w:jc w:val="right"/>
          </w:pPr>
        </w:p>
      </w:tc>
    </w:tr>
  </w:tbl>
  <w:p w14:paraId="6B9C767E" w14:textId="77777777" w:rsidR="00331767" w:rsidRPr="00AE6A90" w:rsidRDefault="00E813FB" w:rsidP="00D376C1">
    <w:pPr>
      <w:pStyle w:val="Header"/>
    </w:pPr>
    <w:r>
      <w:rPr>
        <w:noProof/>
      </w:rPr>
      <w:pict w14:anchorId="11B9262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63887" type="#_x0000_t136" style="position:absolute;margin-left:0;margin-top:0;width:555.9pt;height:123.5pt;rotation:315;z-index:-251550720;mso-position-horizontal:center;mso-position-horizontal-relative:margin;mso-position-vertical:center;mso-position-vertical-relative:margin" o:allowincell="f" fillcolor="#c6cfd7 [1302]" stroked="f">
          <v:fill opacity=".5"/>
          <v:textpath style="font-family:&quot;Arial&quot;;font-size:1pt" string="MOCK-UP"/>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single" w:sz="4" w:space="0" w:color="005694"/>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321"/>
      <w:gridCol w:w="3317"/>
    </w:tblGrid>
    <w:tr w:rsidR="00331767" w14:paraId="446492EF" w14:textId="77777777" w:rsidTr="00F51B79">
      <w:trPr>
        <w:trHeight w:val="679"/>
      </w:trPr>
      <w:tc>
        <w:tcPr>
          <w:tcW w:w="3279" w:type="pct"/>
        </w:tcPr>
        <w:p w14:paraId="5561A6DF" w14:textId="4FA074EB" w:rsidR="00331767" w:rsidRDefault="00331767" w:rsidP="002D669B">
          <w:pPr>
            <w:pStyle w:val="Header"/>
          </w:pPr>
          <w:r>
            <w:rPr>
              <w:noProof/>
            </w:rPr>
            <w:fldChar w:fldCharType="begin"/>
          </w:r>
          <w:r>
            <w:rPr>
              <w:noProof/>
            </w:rPr>
            <w:instrText xml:space="preserve"> STYLEREF  "SectionTitleNumb"  \* MERGEFORMAT </w:instrText>
          </w:r>
          <w:r>
            <w:rPr>
              <w:noProof/>
            </w:rPr>
            <w:fldChar w:fldCharType="separate"/>
          </w:r>
          <w:r w:rsidR="00E813FB">
            <w:rPr>
              <w:noProof/>
            </w:rPr>
            <w:t>FINANCIAL AND RESULTS - OVERVIEW</w:t>
          </w:r>
          <w:r>
            <w:rPr>
              <w:noProof/>
            </w:rPr>
            <w:fldChar w:fldCharType="end"/>
          </w:r>
        </w:p>
        <w:p w14:paraId="1E4B8AFC" w14:textId="77777777" w:rsidR="00331767" w:rsidRDefault="00331767" w:rsidP="002D669B">
          <w:pPr>
            <w:pStyle w:val="Header"/>
          </w:pPr>
        </w:p>
      </w:tc>
      <w:tc>
        <w:tcPr>
          <w:tcW w:w="1721" w:type="pct"/>
        </w:tcPr>
        <w:p w14:paraId="531FB472" w14:textId="77777777" w:rsidR="00331767" w:rsidRPr="00AB0F67" w:rsidRDefault="00331767" w:rsidP="002D669B">
          <w:pPr>
            <w:pStyle w:val="Header"/>
            <w:jc w:val="right"/>
            <w:rPr>
              <w:b/>
            </w:rPr>
          </w:pPr>
          <w:r w:rsidRPr="00AB0F67">
            <w:rPr>
              <w:b/>
            </w:rPr>
            <w:t>World Intellectual Property Organization</w:t>
          </w:r>
        </w:p>
        <w:p w14:paraId="1412959F" w14:textId="4878F231" w:rsidR="00331767" w:rsidRDefault="00331767" w:rsidP="00CB0BA9">
          <w:pPr>
            <w:pStyle w:val="Header"/>
            <w:jc w:val="right"/>
          </w:pPr>
          <w:r>
            <w:t xml:space="preserve">Program of Work </w:t>
          </w:r>
          <w:r w:rsidRPr="00AE6A90">
            <w:t xml:space="preserve">and Budget </w:t>
          </w:r>
          <w:r>
            <w:t>2024/25</w:t>
          </w:r>
        </w:p>
        <w:p w14:paraId="5FC28491" w14:textId="77777777" w:rsidR="00331767" w:rsidRDefault="00331767" w:rsidP="002D669B">
          <w:pPr>
            <w:pStyle w:val="Header"/>
            <w:jc w:val="right"/>
          </w:pPr>
        </w:p>
      </w:tc>
    </w:tr>
  </w:tbl>
  <w:p w14:paraId="6165A6A6" w14:textId="1DE5EE6D" w:rsidR="00331767" w:rsidRPr="00AE6A90" w:rsidRDefault="00331767" w:rsidP="00F673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11102"/>
    <w:multiLevelType w:val="multilevel"/>
    <w:tmpl w:val="3676C0E6"/>
    <w:styleLink w:val="NumbListChart"/>
    <w:lvl w:ilvl="0">
      <w:start w:val="1"/>
      <w:numFmt w:val="decimal"/>
      <w:pStyle w:val="ChartTitle"/>
      <w:suff w:val="space"/>
      <w:lvlText w:val="Chart %1:"/>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29675C4"/>
    <w:multiLevelType w:val="hybridMultilevel"/>
    <w:tmpl w:val="5A8C4948"/>
    <w:lvl w:ilvl="0" w:tplc="1C5EA3E0">
      <w:start w:val="901"/>
      <w:numFmt w:val="bullet"/>
      <w:lvlText w:val="-"/>
      <w:lvlJc w:val="left"/>
      <w:pPr>
        <w:ind w:left="473" w:hanging="360"/>
      </w:pPr>
      <w:rPr>
        <w:rFonts w:ascii="Arial Narrow" w:eastAsiaTheme="minorHAnsi" w:hAnsi="Arial Narrow" w:cstheme="minorBidi"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2" w15:restartNumberingAfterBreak="0">
    <w:nsid w:val="09035B37"/>
    <w:multiLevelType w:val="hybridMultilevel"/>
    <w:tmpl w:val="06DEEB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62667F"/>
    <w:multiLevelType w:val="hybridMultilevel"/>
    <w:tmpl w:val="DFB0D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0234320"/>
    <w:multiLevelType w:val="hybridMultilevel"/>
    <w:tmpl w:val="C3EEF6B8"/>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5" w15:restartNumberingAfterBreak="0">
    <w:nsid w:val="13F30CBB"/>
    <w:multiLevelType w:val="multilevel"/>
    <w:tmpl w:val="B1EC3128"/>
    <w:numStyleLink w:val="NumbListMain"/>
  </w:abstractNum>
  <w:abstractNum w:abstractNumId="6" w15:restartNumberingAfterBreak="0">
    <w:nsid w:val="14011B0C"/>
    <w:multiLevelType w:val="hybridMultilevel"/>
    <w:tmpl w:val="8D881F82"/>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7" w15:restartNumberingAfterBreak="0">
    <w:nsid w:val="178B5A9C"/>
    <w:multiLevelType w:val="multilevel"/>
    <w:tmpl w:val="B7583D98"/>
    <w:lvl w:ilvl="0">
      <w:start w:val="1"/>
      <w:numFmt w:val="decimal"/>
      <w:lvlRestart w:val="0"/>
      <w:lvlText w:val="%1."/>
      <w:lvlJc w:val="left"/>
      <w:pPr>
        <w:tabs>
          <w:tab w:val="num" w:pos="567"/>
        </w:tabs>
        <w:ind w:left="0" w:firstLine="0"/>
      </w:pPr>
      <w:rPr>
        <w:rFonts w:hint="default"/>
        <w:b w:val="0"/>
        <w:bCs/>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b w:val="0"/>
        <w:bCs/>
        <w:i w:val="0"/>
        <w:iCs/>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8" w15:restartNumberingAfterBreak="0">
    <w:nsid w:val="18B3460A"/>
    <w:multiLevelType w:val="hybridMultilevel"/>
    <w:tmpl w:val="30E4F08C"/>
    <w:lvl w:ilvl="0" w:tplc="4DEE3316">
      <w:start w:val="1"/>
      <w:numFmt w:val="lowerRoman"/>
      <w:lvlText w:val="(%1)"/>
      <w:lvlJc w:val="right"/>
      <w:pPr>
        <w:ind w:left="1060" w:hanging="360"/>
      </w:pPr>
      <w:rPr>
        <w:rFonts w:hint="default"/>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9" w15:restartNumberingAfterBreak="0">
    <w:nsid w:val="1C6221AD"/>
    <w:multiLevelType w:val="multilevel"/>
    <w:tmpl w:val="97A2A598"/>
    <w:lvl w:ilvl="0">
      <w:start w:val="6"/>
      <w:numFmt w:val="upperRoman"/>
      <w:lvlText w:val="ANNEX %1"/>
      <w:lvlJc w:val="left"/>
      <w:pPr>
        <w:tabs>
          <w:tab w:val="num" w:pos="1814"/>
        </w:tabs>
        <w:ind w:left="1814" w:hanging="181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8B55E37"/>
    <w:multiLevelType w:val="multilevel"/>
    <w:tmpl w:val="3676C0E6"/>
    <w:numStyleLink w:val="NumbListChart"/>
  </w:abstractNum>
  <w:abstractNum w:abstractNumId="11" w15:restartNumberingAfterBreak="0">
    <w:nsid w:val="2AC506A1"/>
    <w:multiLevelType w:val="hybridMultilevel"/>
    <w:tmpl w:val="FF4E1C82"/>
    <w:lvl w:ilvl="0" w:tplc="F5DED7BE">
      <w:start w:val="18"/>
      <w:numFmt w:val="decimal"/>
      <w:lvlText w:val="%1."/>
      <w:lvlJc w:val="left"/>
      <w:pPr>
        <w:ind w:left="313" w:hanging="351"/>
      </w:pPr>
      <w:rPr>
        <w:rFonts w:ascii="Arial" w:eastAsia="Arial" w:hAnsi="Arial" w:cs="Arial" w:hint="default"/>
        <w:w w:val="99"/>
        <w:sz w:val="18"/>
        <w:szCs w:val="18"/>
      </w:rPr>
    </w:lvl>
    <w:lvl w:ilvl="1" w:tplc="4BEE7D6C">
      <w:numFmt w:val="bullet"/>
      <w:lvlText w:val=""/>
      <w:lvlJc w:val="left"/>
      <w:pPr>
        <w:ind w:left="812" w:hanging="339"/>
      </w:pPr>
      <w:rPr>
        <w:rFonts w:ascii="Symbol" w:eastAsia="Symbol" w:hAnsi="Symbol" w:cs="Symbol" w:hint="default"/>
        <w:w w:val="100"/>
        <w:sz w:val="18"/>
        <w:szCs w:val="18"/>
      </w:rPr>
    </w:lvl>
    <w:lvl w:ilvl="2" w:tplc="21EA9A68">
      <w:numFmt w:val="bullet"/>
      <w:lvlText w:val="•"/>
      <w:lvlJc w:val="left"/>
      <w:pPr>
        <w:ind w:left="1831" w:hanging="339"/>
      </w:pPr>
      <w:rPr>
        <w:rFonts w:hint="default"/>
      </w:rPr>
    </w:lvl>
    <w:lvl w:ilvl="3" w:tplc="122A3B20">
      <w:numFmt w:val="bullet"/>
      <w:lvlText w:val="•"/>
      <w:lvlJc w:val="left"/>
      <w:pPr>
        <w:ind w:left="2843" w:hanging="339"/>
      </w:pPr>
      <w:rPr>
        <w:rFonts w:hint="default"/>
      </w:rPr>
    </w:lvl>
    <w:lvl w:ilvl="4" w:tplc="8D8E14F8">
      <w:numFmt w:val="bullet"/>
      <w:lvlText w:val="•"/>
      <w:lvlJc w:val="left"/>
      <w:pPr>
        <w:ind w:left="3855" w:hanging="339"/>
      </w:pPr>
      <w:rPr>
        <w:rFonts w:hint="default"/>
      </w:rPr>
    </w:lvl>
    <w:lvl w:ilvl="5" w:tplc="B3180CC4">
      <w:numFmt w:val="bullet"/>
      <w:lvlText w:val="•"/>
      <w:lvlJc w:val="left"/>
      <w:pPr>
        <w:ind w:left="4867" w:hanging="339"/>
      </w:pPr>
      <w:rPr>
        <w:rFonts w:hint="default"/>
      </w:rPr>
    </w:lvl>
    <w:lvl w:ilvl="6" w:tplc="06B0FA40">
      <w:numFmt w:val="bullet"/>
      <w:lvlText w:val="•"/>
      <w:lvlJc w:val="left"/>
      <w:pPr>
        <w:ind w:left="5879" w:hanging="339"/>
      </w:pPr>
      <w:rPr>
        <w:rFonts w:hint="default"/>
      </w:rPr>
    </w:lvl>
    <w:lvl w:ilvl="7" w:tplc="100E50BE">
      <w:numFmt w:val="bullet"/>
      <w:lvlText w:val="•"/>
      <w:lvlJc w:val="left"/>
      <w:pPr>
        <w:ind w:left="6890" w:hanging="339"/>
      </w:pPr>
      <w:rPr>
        <w:rFonts w:hint="default"/>
      </w:rPr>
    </w:lvl>
    <w:lvl w:ilvl="8" w:tplc="187818DA">
      <w:numFmt w:val="bullet"/>
      <w:lvlText w:val="•"/>
      <w:lvlJc w:val="left"/>
      <w:pPr>
        <w:ind w:left="7902" w:hanging="339"/>
      </w:pPr>
      <w:rPr>
        <w:rFonts w:hint="default"/>
      </w:rPr>
    </w:lvl>
  </w:abstractNum>
  <w:abstractNum w:abstractNumId="12" w15:restartNumberingAfterBreak="0">
    <w:nsid w:val="2B260A72"/>
    <w:multiLevelType w:val="multilevel"/>
    <w:tmpl w:val="C0D8AC20"/>
    <w:styleLink w:val="NUmbListBullet"/>
    <w:lvl w:ilvl="0">
      <w:start w:val="1"/>
      <w:numFmt w:val="bullet"/>
      <w:pStyle w:val="Bullet1"/>
      <w:lvlText w:val=""/>
      <w:lvlJc w:val="left"/>
      <w:pPr>
        <w:tabs>
          <w:tab w:val="num" w:pos="340"/>
        </w:tabs>
        <w:ind w:left="340" w:hanging="340"/>
      </w:pPr>
      <w:rPr>
        <w:rFonts w:ascii="Symbol" w:hAnsi="Symbol" w:hint="default"/>
        <w:color w:val="auto"/>
      </w:rPr>
    </w:lvl>
    <w:lvl w:ilvl="1">
      <w:start w:val="1"/>
      <w:numFmt w:val="bullet"/>
      <w:pStyle w:val="Bullet2"/>
      <w:lvlText w:val=""/>
      <w:lvlJc w:val="left"/>
      <w:pPr>
        <w:tabs>
          <w:tab w:val="num" w:pos="680"/>
        </w:tabs>
        <w:ind w:left="680" w:hanging="340"/>
      </w:pPr>
      <w:rPr>
        <w:rFonts w:ascii="Symbol" w:hAnsi="Symbol" w:hint="default"/>
        <w:color w:val="auto"/>
      </w:rPr>
    </w:lvl>
    <w:lvl w:ilvl="2">
      <w:start w:val="1"/>
      <w:numFmt w:val="lowerRoman"/>
      <w:lvlText w:val="%3)"/>
      <w:lvlJc w:val="left"/>
      <w:pPr>
        <w:ind w:left="1080" w:hanging="360"/>
      </w:pPr>
      <w:rPr>
        <w:rFonts w:hint="default"/>
      </w:rPr>
    </w:lvl>
    <w:lvl w:ilvl="3">
      <w:start w:val="1"/>
      <w:numFmt w:val="lowerRoman"/>
      <w:pStyle w:val="NumbList1"/>
      <w:lvlText w:val="(%4)"/>
      <w:lvlJc w:val="left"/>
      <w:pPr>
        <w:tabs>
          <w:tab w:val="num" w:pos="680"/>
        </w:tabs>
        <w:ind w:left="680" w:hanging="340"/>
      </w:pPr>
      <w:rPr>
        <w:rFonts w:hint="default"/>
      </w:rPr>
    </w:lvl>
    <w:lvl w:ilvl="4">
      <w:start w:val="1"/>
      <w:numFmt w:val="lowerLetter"/>
      <w:pStyle w:val="AlphaList"/>
      <w:lvlText w:val="(%5)"/>
      <w:lvlJc w:val="left"/>
      <w:pPr>
        <w:tabs>
          <w:tab w:val="num" w:pos="680"/>
        </w:tabs>
        <w:ind w:left="680" w:hanging="34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F5B64AE"/>
    <w:multiLevelType w:val="hybridMultilevel"/>
    <w:tmpl w:val="96C459D4"/>
    <w:lvl w:ilvl="0" w:tplc="B53E7D54">
      <w:start w:val="1"/>
      <w:numFmt w:val="bullet"/>
      <w:lvlText w:val=""/>
      <w:lvlJc w:val="left"/>
      <w:pPr>
        <w:tabs>
          <w:tab w:val="num" w:pos="720"/>
        </w:tabs>
        <w:ind w:left="720" w:hanging="360"/>
      </w:pPr>
      <w:rPr>
        <w:rFonts w:ascii="Symbol" w:hAnsi="Symbol" w:hint="default"/>
        <w:color w:val="auto"/>
        <w:sz w:val="18"/>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02B24F0"/>
    <w:multiLevelType w:val="multilevel"/>
    <w:tmpl w:val="F660697A"/>
    <w:styleLink w:val="NumbLstTabBullet"/>
    <w:lvl w:ilvl="0">
      <w:start w:val="1"/>
      <w:numFmt w:val="bullet"/>
      <w:pStyle w:val="TableBullet1"/>
      <w:lvlText w:val="–"/>
      <w:lvlJc w:val="left"/>
      <w:pPr>
        <w:tabs>
          <w:tab w:val="num" w:pos="284"/>
        </w:tabs>
        <w:ind w:left="284" w:hanging="171"/>
      </w:pPr>
      <w:rPr>
        <w:rFonts w:ascii="Arial Narrow" w:hAnsi="Arial Narrow" w:hint="default"/>
        <w:color w:val="auto"/>
      </w:rPr>
    </w:lvl>
    <w:lvl w:ilvl="1">
      <w:start w:val="1"/>
      <w:numFmt w:val="bullet"/>
      <w:pStyle w:val="TableBullet2"/>
      <w:lvlText w:val="•"/>
      <w:lvlJc w:val="left"/>
      <w:pPr>
        <w:tabs>
          <w:tab w:val="num" w:pos="454"/>
        </w:tabs>
        <w:ind w:left="454" w:hanging="170"/>
      </w:pPr>
      <w:rPr>
        <w:rFonts w:ascii="Arial Narrow" w:hAnsi="Arial Narrow"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0A565D3"/>
    <w:multiLevelType w:val="multilevel"/>
    <w:tmpl w:val="DA128A50"/>
    <w:styleLink w:val="NumbListAppendix"/>
    <w:lvl w:ilvl="0">
      <w:start w:val="1"/>
      <w:numFmt w:val="upperLetter"/>
      <w:pStyle w:val="AppendixTitle"/>
      <w:lvlText w:val="APPENDIX %1"/>
      <w:lvlJc w:val="left"/>
      <w:pPr>
        <w:tabs>
          <w:tab w:val="num" w:pos="2268"/>
        </w:tabs>
        <w:ind w:left="2268" w:hanging="2268"/>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335AF8"/>
    <w:multiLevelType w:val="hybridMultilevel"/>
    <w:tmpl w:val="40A8BC36"/>
    <w:lvl w:ilvl="0" w:tplc="04090001">
      <w:start w:val="1"/>
      <w:numFmt w:val="bullet"/>
      <w:lvlText w:val=""/>
      <w:lvlJc w:val="left"/>
      <w:pPr>
        <w:ind w:left="720" w:hanging="360"/>
      </w:pPr>
      <w:rPr>
        <w:rFonts w:ascii="Symbol" w:hAnsi="Symbol" w:hint="default"/>
      </w:rPr>
    </w:lvl>
    <w:lvl w:ilvl="1" w:tplc="2CD2D5D8">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F9559C"/>
    <w:multiLevelType w:val="hybridMultilevel"/>
    <w:tmpl w:val="1CECFD2E"/>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8" w15:restartNumberingAfterBreak="0">
    <w:nsid w:val="46001F5D"/>
    <w:multiLevelType w:val="hybridMultilevel"/>
    <w:tmpl w:val="C12C4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C21547"/>
    <w:multiLevelType w:val="multilevel"/>
    <w:tmpl w:val="B1EC3128"/>
    <w:lvl w:ilvl="0">
      <w:start w:val="1"/>
      <w:numFmt w:val="upperRoman"/>
      <w:lvlText w:val="%1."/>
      <w:lvlJc w:val="left"/>
      <w:pPr>
        <w:tabs>
          <w:tab w:val="num" w:pos="680"/>
        </w:tabs>
        <w:ind w:left="680" w:hanging="680"/>
      </w:pPr>
      <w:rPr>
        <w:rFonts w:hint="default"/>
      </w:rPr>
    </w:lvl>
    <w:lvl w:ilvl="1">
      <w:start w:val="1"/>
      <w:numFmt w:val="upperRoman"/>
      <w:lvlText w:val="Strategic Goal %2"/>
      <w:lvlJc w:val="left"/>
      <w:pPr>
        <w:tabs>
          <w:tab w:val="num" w:pos="4208"/>
        </w:tabs>
        <w:ind w:left="4208" w:hanging="2948"/>
      </w:pPr>
      <w:rPr>
        <w:rFonts w:hint="default"/>
      </w:rPr>
    </w:lvl>
    <w:lvl w:ilvl="2">
      <w:start w:val="1"/>
      <w:numFmt w:val="none"/>
      <w:lvlRestart w:val="0"/>
      <w:suff w:val="nothing"/>
      <w:lvlText w:val=""/>
      <w:lvlJc w:val="left"/>
      <w:pPr>
        <w:ind w:left="2268" w:hanging="2268"/>
      </w:pPr>
      <w:rPr>
        <w:rFonts w:hint="default"/>
      </w:rPr>
    </w:lvl>
    <w:lvl w:ilvl="3">
      <w:start w:val="1"/>
      <w:numFmt w:val="none"/>
      <w:suff w:val="nothing"/>
      <w:lvlText w:val=""/>
      <w:lvlJc w:val="left"/>
      <w:pPr>
        <w:ind w:left="2268" w:hanging="2268"/>
      </w:pPr>
      <w:rPr>
        <w:rFonts w:hint="default"/>
      </w:rPr>
    </w:lvl>
    <w:lvl w:ilvl="4">
      <w:start w:val="1"/>
      <w:numFmt w:val="decimal"/>
      <w:suff w:val="nothing"/>
      <w:lvlText w:val="%5.  "/>
      <w:lvlJc w:val="left"/>
      <w:pPr>
        <w:ind w:left="0" w:firstLine="0"/>
      </w:pPr>
      <w:rPr>
        <w:rFonts w:hint="default"/>
      </w:rPr>
    </w:lvl>
    <w:lvl w:ilvl="5">
      <w:start w:val="1"/>
      <w:numFmt w:val="decimal"/>
      <w:lvlText w:val="%5.%6"/>
      <w:lvlJc w:val="left"/>
      <w:pPr>
        <w:tabs>
          <w:tab w:val="num" w:pos="1361"/>
        </w:tabs>
        <w:ind w:left="1361" w:hanging="681"/>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48D763E"/>
    <w:multiLevelType w:val="hybridMultilevel"/>
    <w:tmpl w:val="EAB24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A024755"/>
    <w:multiLevelType w:val="multilevel"/>
    <w:tmpl w:val="8E6C69FC"/>
    <w:styleLink w:val="NumbListAnnex"/>
    <w:lvl w:ilvl="0">
      <w:start w:val="1"/>
      <w:numFmt w:val="upperRoman"/>
      <w:lvlText w:val="ANNEX %1"/>
      <w:lvlJc w:val="left"/>
      <w:pPr>
        <w:tabs>
          <w:tab w:val="num" w:pos="1814"/>
        </w:tabs>
        <w:ind w:left="1814" w:hanging="181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232C8B"/>
    <w:multiLevelType w:val="hybridMultilevel"/>
    <w:tmpl w:val="38E8A43A"/>
    <w:lvl w:ilvl="0" w:tplc="75FA6534">
      <w:start w:val="1"/>
      <w:numFmt w:val="decimal"/>
      <w:lvlText w:val="%1."/>
      <w:lvlJc w:val="left"/>
      <w:pPr>
        <w:ind w:left="720" w:hanging="360"/>
      </w:pPr>
    </w:lvl>
    <w:lvl w:ilvl="1" w:tplc="DB503AA4">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AD31550"/>
    <w:multiLevelType w:val="hybridMultilevel"/>
    <w:tmpl w:val="9FB46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985564"/>
    <w:multiLevelType w:val="hybridMultilevel"/>
    <w:tmpl w:val="90E4F1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E203ED3"/>
    <w:multiLevelType w:val="hybridMultilevel"/>
    <w:tmpl w:val="0100DD74"/>
    <w:lvl w:ilvl="0" w:tplc="636457FE">
      <w:start w:val="1"/>
      <w:numFmt w:val="decimal"/>
      <w:lvlRestart w:val="0"/>
      <w:pStyle w:val="ListNumber"/>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EFA5F3F"/>
    <w:multiLevelType w:val="hybridMultilevel"/>
    <w:tmpl w:val="9B9066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Tahoma"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0A181E"/>
    <w:multiLevelType w:val="hybridMultilevel"/>
    <w:tmpl w:val="DA544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AB4529"/>
    <w:multiLevelType w:val="hybridMultilevel"/>
    <w:tmpl w:val="DA044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933C47"/>
    <w:multiLevelType w:val="hybridMultilevel"/>
    <w:tmpl w:val="7E305E8A"/>
    <w:lvl w:ilvl="0" w:tplc="41327CE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7E7578"/>
    <w:multiLevelType w:val="multilevel"/>
    <w:tmpl w:val="F660697A"/>
    <w:numStyleLink w:val="NumbLstTabBullet"/>
  </w:abstractNum>
  <w:abstractNum w:abstractNumId="31" w15:restartNumberingAfterBreak="0">
    <w:nsid w:val="65011830"/>
    <w:multiLevelType w:val="hybridMultilevel"/>
    <w:tmpl w:val="26444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AF7A4C"/>
    <w:multiLevelType w:val="multilevel"/>
    <w:tmpl w:val="F70C2DCC"/>
    <w:lvl w:ilvl="0">
      <w:start w:val="1"/>
      <w:numFmt w:val="upperRoman"/>
      <w:pStyle w:val="SectionTitleNumb"/>
      <w:lvlText w:val="%1."/>
      <w:lvlJc w:val="left"/>
      <w:pPr>
        <w:tabs>
          <w:tab w:val="num" w:pos="680"/>
        </w:tabs>
        <w:ind w:left="680" w:hanging="680"/>
      </w:pPr>
      <w:rPr>
        <w:rFonts w:hint="default"/>
      </w:rPr>
    </w:lvl>
    <w:lvl w:ilvl="1">
      <w:start w:val="1"/>
      <w:numFmt w:val="upperRoman"/>
      <w:pStyle w:val="SectorTitle2"/>
      <w:lvlText w:val="Strategic Goal %2"/>
      <w:lvlJc w:val="left"/>
      <w:pPr>
        <w:tabs>
          <w:tab w:val="num" w:pos="4208"/>
        </w:tabs>
        <w:ind w:left="4208" w:hanging="2948"/>
      </w:pPr>
      <w:rPr>
        <w:rFonts w:hint="default"/>
      </w:rPr>
    </w:lvl>
    <w:lvl w:ilvl="2">
      <w:start w:val="1"/>
      <w:numFmt w:val="none"/>
      <w:lvlRestart w:val="0"/>
      <w:suff w:val="nothing"/>
      <w:lvlText w:val=""/>
      <w:lvlJc w:val="left"/>
      <w:pPr>
        <w:ind w:left="2268" w:hanging="2268"/>
      </w:pPr>
      <w:rPr>
        <w:rFonts w:hint="default"/>
      </w:rPr>
    </w:lvl>
    <w:lvl w:ilvl="3">
      <w:start w:val="1"/>
      <w:numFmt w:val="none"/>
      <w:suff w:val="nothing"/>
      <w:lvlText w:val=""/>
      <w:lvlJc w:val="left"/>
      <w:pPr>
        <w:ind w:left="2268" w:hanging="2268"/>
      </w:pPr>
      <w:rPr>
        <w:rFonts w:hint="default"/>
      </w:rPr>
    </w:lvl>
    <w:lvl w:ilvl="4">
      <w:start w:val="1"/>
      <w:numFmt w:val="decimal"/>
      <w:pStyle w:val="NormalNumb"/>
      <w:suff w:val="nothing"/>
      <w:lvlText w:val="%5.  "/>
      <w:lvlJc w:val="left"/>
      <w:pPr>
        <w:ind w:left="270" w:firstLine="0"/>
      </w:pPr>
      <w:rPr>
        <w:rFonts w:hint="default"/>
        <w:sz w:val="18"/>
      </w:rPr>
    </w:lvl>
    <w:lvl w:ilvl="5">
      <w:start w:val="1"/>
      <w:numFmt w:val="decimal"/>
      <w:lvlText w:val="%5.%6"/>
      <w:lvlJc w:val="left"/>
      <w:pPr>
        <w:tabs>
          <w:tab w:val="num" w:pos="1361"/>
        </w:tabs>
        <w:ind w:left="1361" w:hanging="681"/>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6938645E"/>
    <w:multiLevelType w:val="multilevel"/>
    <w:tmpl w:val="0C9AF58C"/>
    <w:lvl w:ilvl="0">
      <w:start w:val="1"/>
      <w:numFmt w:val="decimal"/>
      <w:lvlRestart w:val="0"/>
      <w:pStyle w:val="ONUMFS"/>
      <w:lvlText w:val="%1."/>
      <w:lvlJc w:val="left"/>
      <w:pPr>
        <w:tabs>
          <w:tab w:val="num" w:pos="567"/>
        </w:tabs>
        <w:ind w:left="0" w:firstLine="0"/>
      </w:pPr>
    </w:lvl>
    <w:lvl w:ilvl="1">
      <w:start w:val="1"/>
      <w:numFmt w:val="lowerLetter"/>
      <w:lvlText w:val="%2)"/>
      <w:lvlJc w:val="left"/>
      <w:pPr>
        <w:tabs>
          <w:tab w:val="num" w:pos="1134"/>
        </w:tabs>
        <w:ind w:left="567" w:firstLine="0"/>
      </w:pPr>
    </w:lvl>
    <w:lvl w:ilvl="2">
      <w:start w:val="1"/>
      <w:numFmt w:val="lowerRoman"/>
      <w:lvlText w:val="%3)"/>
      <w:lvlJc w:val="left"/>
      <w:pPr>
        <w:tabs>
          <w:tab w:val="num" w:pos="1701"/>
        </w:tabs>
        <w:ind w:left="1134" w:firstLine="0"/>
      </w:pPr>
    </w:lvl>
    <w:lvl w:ilvl="3">
      <w:start w:val="1"/>
      <w:numFmt w:val="bullet"/>
      <w:lvlText w:val=""/>
      <w:lvlJc w:val="left"/>
      <w:pPr>
        <w:tabs>
          <w:tab w:val="num" w:pos="2268"/>
        </w:tabs>
        <w:ind w:left="1701" w:firstLine="0"/>
      </w:pPr>
    </w:lvl>
    <w:lvl w:ilvl="4">
      <w:start w:val="1"/>
      <w:numFmt w:val="bullet"/>
      <w:lvlText w:val=""/>
      <w:lvlJc w:val="left"/>
      <w:pPr>
        <w:tabs>
          <w:tab w:val="num" w:pos="2835"/>
        </w:tabs>
        <w:ind w:left="2268" w:firstLine="0"/>
      </w:pPr>
    </w:lvl>
    <w:lvl w:ilvl="5">
      <w:start w:val="1"/>
      <w:numFmt w:val="bullet"/>
      <w:lvlText w:val=""/>
      <w:lvlJc w:val="left"/>
      <w:pPr>
        <w:tabs>
          <w:tab w:val="num" w:pos="3402"/>
        </w:tabs>
        <w:ind w:left="2835" w:firstLine="0"/>
      </w:pPr>
    </w:lvl>
    <w:lvl w:ilvl="6">
      <w:start w:val="1"/>
      <w:numFmt w:val="bullet"/>
      <w:lvlText w:val=""/>
      <w:lvlJc w:val="left"/>
      <w:pPr>
        <w:tabs>
          <w:tab w:val="num" w:pos="3969"/>
        </w:tabs>
        <w:ind w:left="3402" w:firstLine="0"/>
      </w:pPr>
    </w:lvl>
    <w:lvl w:ilvl="7">
      <w:start w:val="1"/>
      <w:numFmt w:val="bullet"/>
      <w:lvlText w:val=""/>
      <w:lvlJc w:val="left"/>
      <w:pPr>
        <w:tabs>
          <w:tab w:val="num" w:pos="4535"/>
        </w:tabs>
        <w:ind w:left="3969" w:firstLine="0"/>
      </w:pPr>
    </w:lvl>
    <w:lvl w:ilvl="8">
      <w:start w:val="1"/>
      <w:numFmt w:val="bullet"/>
      <w:lvlText w:val=""/>
      <w:lvlJc w:val="left"/>
      <w:pPr>
        <w:tabs>
          <w:tab w:val="num" w:pos="5102"/>
        </w:tabs>
        <w:ind w:left="4535" w:firstLine="0"/>
      </w:pPr>
    </w:lvl>
  </w:abstractNum>
  <w:abstractNum w:abstractNumId="34" w15:restartNumberingAfterBreak="0">
    <w:nsid w:val="6E4A5C7D"/>
    <w:multiLevelType w:val="multilevel"/>
    <w:tmpl w:val="09D47876"/>
    <w:styleLink w:val="NumbListTable"/>
    <w:lvl w:ilvl="0">
      <w:start w:val="1"/>
      <w:numFmt w:val="decimal"/>
      <w:suff w:val="space"/>
      <w:lvlText w:val="Table %1:"/>
      <w:lvlJc w:val="left"/>
      <w:pPr>
        <w:ind w:left="5104"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29E73BB"/>
    <w:multiLevelType w:val="multilevel"/>
    <w:tmpl w:val="FA0EA892"/>
    <w:lvl w:ilvl="0">
      <w:start w:val="1"/>
      <w:numFmt w:val="upperRoman"/>
      <w:lvlText w:val="ANNEX %1"/>
      <w:lvlJc w:val="left"/>
      <w:pPr>
        <w:tabs>
          <w:tab w:val="num" w:pos="1814"/>
        </w:tabs>
        <w:ind w:left="1814" w:hanging="181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72DD6BE4"/>
    <w:multiLevelType w:val="hybridMultilevel"/>
    <w:tmpl w:val="B282A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670B60"/>
    <w:multiLevelType w:val="hybridMultilevel"/>
    <w:tmpl w:val="35B8427E"/>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38" w15:restartNumberingAfterBreak="0">
    <w:nsid w:val="789825F2"/>
    <w:multiLevelType w:val="hybridMultilevel"/>
    <w:tmpl w:val="3F400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C7438A7"/>
    <w:multiLevelType w:val="multilevel"/>
    <w:tmpl w:val="C0D8AC20"/>
    <w:numStyleLink w:val="NUmbListBullet"/>
  </w:abstractNum>
  <w:abstractNum w:abstractNumId="40" w15:restartNumberingAfterBreak="0">
    <w:nsid w:val="7CE23054"/>
    <w:multiLevelType w:val="multilevel"/>
    <w:tmpl w:val="B1EC3128"/>
    <w:styleLink w:val="NumbListMain"/>
    <w:lvl w:ilvl="0">
      <w:start w:val="1"/>
      <w:numFmt w:val="upperRoman"/>
      <w:lvlText w:val="%1."/>
      <w:lvlJc w:val="left"/>
      <w:pPr>
        <w:tabs>
          <w:tab w:val="num" w:pos="680"/>
        </w:tabs>
        <w:ind w:left="680" w:hanging="680"/>
      </w:pPr>
      <w:rPr>
        <w:rFonts w:hint="default"/>
      </w:rPr>
    </w:lvl>
    <w:lvl w:ilvl="1">
      <w:start w:val="1"/>
      <w:numFmt w:val="upperRoman"/>
      <w:lvlText w:val="Strategic Goal %2"/>
      <w:lvlJc w:val="left"/>
      <w:pPr>
        <w:tabs>
          <w:tab w:val="num" w:pos="4208"/>
        </w:tabs>
        <w:ind w:left="4208" w:hanging="2948"/>
      </w:pPr>
      <w:rPr>
        <w:rFonts w:hint="default"/>
      </w:rPr>
    </w:lvl>
    <w:lvl w:ilvl="2">
      <w:start w:val="1"/>
      <w:numFmt w:val="none"/>
      <w:lvlRestart w:val="0"/>
      <w:suff w:val="nothing"/>
      <w:lvlText w:val=""/>
      <w:lvlJc w:val="left"/>
      <w:pPr>
        <w:ind w:left="2268" w:hanging="2268"/>
      </w:pPr>
      <w:rPr>
        <w:rFonts w:hint="default"/>
      </w:rPr>
    </w:lvl>
    <w:lvl w:ilvl="3">
      <w:start w:val="1"/>
      <w:numFmt w:val="none"/>
      <w:suff w:val="nothing"/>
      <w:lvlText w:val=""/>
      <w:lvlJc w:val="left"/>
      <w:pPr>
        <w:ind w:left="2268" w:hanging="2268"/>
      </w:pPr>
      <w:rPr>
        <w:rFonts w:hint="default"/>
      </w:rPr>
    </w:lvl>
    <w:lvl w:ilvl="4">
      <w:start w:val="1"/>
      <w:numFmt w:val="decimal"/>
      <w:suff w:val="nothing"/>
      <w:lvlText w:val="%5.  "/>
      <w:lvlJc w:val="left"/>
      <w:pPr>
        <w:ind w:left="0" w:firstLine="0"/>
      </w:pPr>
      <w:rPr>
        <w:rFonts w:hint="default"/>
      </w:rPr>
    </w:lvl>
    <w:lvl w:ilvl="5">
      <w:start w:val="1"/>
      <w:numFmt w:val="decimal"/>
      <w:lvlText w:val="%5.%6"/>
      <w:lvlJc w:val="left"/>
      <w:pPr>
        <w:tabs>
          <w:tab w:val="num" w:pos="1361"/>
        </w:tabs>
        <w:ind w:left="1361" w:hanging="681"/>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FA64EC7"/>
    <w:multiLevelType w:val="hybridMultilevel"/>
    <w:tmpl w:val="022CC3F2"/>
    <w:lvl w:ilvl="0" w:tplc="04090001">
      <w:start w:val="1"/>
      <w:numFmt w:val="bullet"/>
      <w:lvlText w:val=""/>
      <w:lvlJc w:val="left"/>
      <w:pPr>
        <w:ind w:left="720" w:hanging="360"/>
      </w:pPr>
      <w:rPr>
        <w:rFonts w:ascii="Symbol" w:hAnsi="Symbol" w:hint="default"/>
      </w:rPr>
    </w:lvl>
    <w:lvl w:ilvl="1" w:tplc="51E083AC">
      <w:numFmt w:val="bullet"/>
      <w:lvlText w:val="-"/>
      <w:lvlJc w:val="left"/>
      <w:pPr>
        <w:ind w:left="1440" w:hanging="360"/>
      </w:pPr>
      <w:rPr>
        <w:rFonts w:ascii="Arial Narrow" w:eastAsiaTheme="minorHAnsi" w:hAnsi="Arial Narrow"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0"/>
  </w:num>
  <w:num w:numId="3">
    <w:abstractNumId w:val="10"/>
  </w:num>
  <w:num w:numId="4">
    <w:abstractNumId w:val="21"/>
  </w:num>
  <w:num w:numId="5">
    <w:abstractNumId w:val="15"/>
    <w:lvlOverride w:ilvl="4">
      <w:lvl w:ilvl="4">
        <w:start w:val="1"/>
        <w:numFmt w:val="lowerLetter"/>
        <w:lvlText w:val="(%5)"/>
        <w:lvlJc w:val="left"/>
        <w:pPr>
          <w:ind w:left="1800" w:hanging="360"/>
        </w:pPr>
        <w:rPr>
          <w:rFonts w:hint="default"/>
        </w:rPr>
      </w:lvl>
    </w:lvlOverride>
    <w:lvlOverride w:ilvl="6">
      <w:lvl w:ilvl="6">
        <w:start w:val="1"/>
        <w:numFmt w:val="decimal"/>
        <w:lvlText w:val="%7."/>
        <w:lvlJc w:val="left"/>
        <w:pPr>
          <w:ind w:left="2520" w:hanging="360"/>
        </w:pPr>
        <w:rPr>
          <w:rFonts w:hint="default"/>
        </w:rPr>
      </w:lvl>
    </w:lvlOverride>
  </w:num>
  <w:num w:numId="6">
    <w:abstractNumId w:val="12"/>
  </w:num>
  <w:num w:numId="7">
    <w:abstractNumId w:val="14"/>
  </w:num>
  <w:num w:numId="8">
    <w:abstractNumId w:val="34"/>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num>
  <w:num w:numId="11">
    <w:abstractNumId w:val="30"/>
  </w:num>
  <w:num w:numId="12">
    <w:abstractNumId w:val="15"/>
  </w:num>
  <w:num w:numId="13">
    <w:abstractNumId w:val="33"/>
  </w:num>
  <w:num w:numId="14">
    <w:abstractNumId w:val="25"/>
  </w:num>
  <w:num w:numId="15">
    <w:abstractNumId w:val="32"/>
  </w:num>
  <w:num w:numId="16">
    <w:abstractNumId w:val="4"/>
  </w:num>
  <w:num w:numId="17">
    <w:abstractNumId w:val="11"/>
  </w:num>
  <w:num w:numId="18">
    <w:abstractNumId w:val="35"/>
  </w:num>
  <w:num w:numId="19">
    <w:abstractNumId w:val="24"/>
  </w:num>
  <w:num w:numId="20">
    <w:abstractNumId w:val="17"/>
  </w:num>
  <w:num w:numId="21">
    <w:abstractNumId w:val="31"/>
  </w:num>
  <w:num w:numId="22">
    <w:abstractNumId w:val="41"/>
  </w:num>
  <w:num w:numId="23">
    <w:abstractNumId w:val="19"/>
  </w:num>
  <w:num w:numId="24">
    <w:abstractNumId w:val="16"/>
  </w:num>
  <w:num w:numId="25">
    <w:abstractNumId w:val="9"/>
  </w:num>
  <w:num w:numId="26">
    <w:abstractNumId w:val="6"/>
  </w:num>
  <w:num w:numId="27">
    <w:abstractNumId w:val="5"/>
    <w:lvlOverride w:ilvl="4">
      <w:lvl w:ilvl="4">
        <w:start w:val="1"/>
        <w:numFmt w:val="decimal"/>
        <w:suff w:val="nothing"/>
        <w:lvlText w:val="%5.  "/>
        <w:lvlJc w:val="left"/>
        <w:pPr>
          <w:ind w:left="0" w:firstLine="0"/>
        </w:pPr>
        <w:rPr>
          <w:rFonts w:hint="default"/>
          <w:b w:val="0"/>
          <w:color w:val="auto"/>
        </w:rPr>
      </w:lvl>
    </w:lvlOverride>
  </w:num>
  <w:num w:numId="28">
    <w:abstractNumId w:val="37"/>
  </w:num>
  <w:num w:numId="29">
    <w:abstractNumId w:val="8"/>
  </w:num>
  <w:num w:numId="30">
    <w:abstractNumId w:val="39"/>
    <w:lvlOverride w:ilvl="0">
      <w:lvl w:ilvl="0">
        <w:start w:val="1"/>
        <w:numFmt w:val="bullet"/>
        <w:pStyle w:val="Bullet1"/>
        <w:lvlText w:val=""/>
        <w:lvlJc w:val="left"/>
        <w:pPr>
          <w:tabs>
            <w:tab w:val="num" w:pos="340"/>
          </w:tabs>
          <w:ind w:left="340" w:hanging="340"/>
        </w:pPr>
        <w:rPr>
          <w:rFonts w:ascii="Symbol" w:hAnsi="Symbol" w:hint="default"/>
          <w:color w:val="auto"/>
        </w:rPr>
      </w:lvl>
    </w:lvlOverride>
  </w:num>
  <w:num w:numId="31">
    <w:abstractNumId w:val="18"/>
  </w:num>
  <w:num w:numId="32">
    <w:abstractNumId w:val="27"/>
  </w:num>
  <w:num w:numId="33">
    <w:abstractNumId w:val="26"/>
  </w:num>
  <w:num w:numId="34">
    <w:abstractNumId w:val="13"/>
  </w:num>
  <w:num w:numId="35">
    <w:abstractNumId w:val="22"/>
  </w:num>
  <w:num w:numId="36">
    <w:abstractNumId w:val="36"/>
  </w:num>
  <w:num w:numId="37">
    <w:abstractNumId w:val="28"/>
  </w:num>
  <w:num w:numId="38">
    <w:abstractNumId w:val="23"/>
  </w:num>
  <w:num w:numId="39">
    <w:abstractNumId w:val="2"/>
  </w:num>
  <w:num w:numId="4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num>
  <w:num w:numId="42">
    <w:abstractNumId w:val="20"/>
  </w:num>
  <w:num w:numId="43">
    <w:abstractNumId w:val="3"/>
  </w:num>
  <w:num w:numId="44">
    <w:abstractNumId w:val="38"/>
  </w:num>
  <w:num w:numId="45">
    <w:abstractNumId w:val="1"/>
  </w:num>
  <w:num w:numId="46">
    <w:abstractNumId w:val="7"/>
  </w:num>
  <w:numIdMacAtCleanup w:val="4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ÄFLIGER Patience">
    <w15:presenceInfo w15:providerId="AD" w15:userId="S-1-5-21-3637208745-3825800285-422149103-27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hideSpellingErrors/>
  <w:activeWritingStyle w:appName="MSWord" w:lang="fr-CH"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s-419" w:vendorID="64" w:dllVersion="131078" w:nlCheck="1" w:checkStyle="0"/>
  <w:activeWritingStyle w:appName="MSWord" w:lang="es-ES_tradnl" w:vendorID="64" w:dllVersion="131078" w:nlCheck="1" w:checkStyle="0"/>
  <w:activeWritingStyle w:appName="MSWord" w:lang="en-CA"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163894"/>
    <o:shapelayout v:ext="edit">
      <o:idmap v:ext="edit" data="160"/>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FooterDocNo" w:val="WIPO Example Layout 2a.docx"/>
    <w:docVar w:name="zFooterFullNameToggle" w:val="False"/>
  </w:docVars>
  <w:rsids>
    <w:rsidRoot w:val="000C733B"/>
    <w:rsid w:val="0000041D"/>
    <w:rsid w:val="00000868"/>
    <w:rsid w:val="00001742"/>
    <w:rsid w:val="000017ED"/>
    <w:rsid w:val="0000187B"/>
    <w:rsid w:val="000021DD"/>
    <w:rsid w:val="000024CC"/>
    <w:rsid w:val="00002B59"/>
    <w:rsid w:val="000030F4"/>
    <w:rsid w:val="00004A2A"/>
    <w:rsid w:val="0000530E"/>
    <w:rsid w:val="00006C45"/>
    <w:rsid w:val="00006D1C"/>
    <w:rsid w:val="00007651"/>
    <w:rsid w:val="00007A4B"/>
    <w:rsid w:val="00010076"/>
    <w:rsid w:val="00010269"/>
    <w:rsid w:val="00010C61"/>
    <w:rsid w:val="00011157"/>
    <w:rsid w:val="00011351"/>
    <w:rsid w:val="00011FB6"/>
    <w:rsid w:val="00013768"/>
    <w:rsid w:val="00014415"/>
    <w:rsid w:val="000153DD"/>
    <w:rsid w:val="000163F9"/>
    <w:rsid w:val="00017303"/>
    <w:rsid w:val="00020303"/>
    <w:rsid w:val="00021051"/>
    <w:rsid w:val="00021471"/>
    <w:rsid w:val="0002415A"/>
    <w:rsid w:val="0002450C"/>
    <w:rsid w:val="000249AC"/>
    <w:rsid w:val="000257FB"/>
    <w:rsid w:val="00025876"/>
    <w:rsid w:val="00025DD9"/>
    <w:rsid w:val="00026C12"/>
    <w:rsid w:val="00026D84"/>
    <w:rsid w:val="000270E5"/>
    <w:rsid w:val="00027175"/>
    <w:rsid w:val="000279C2"/>
    <w:rsid w:val="00027B92"/>
    <w:rsid w:val="00027DEC"/>
    <w:rsid w:val="0003029C"/>
    <w:rsid w:val="000304FA"/>
    <w:rsid w:val="00031394"/>
    <w:rsid w:val="000323BF"/>
    <w:rsid w:val="00032D20"/>
    <w:rsid w:val="0003301C"/>
    <w:rsid w:val="00033674"/>
    <w:rsid w:val="00034493"/>
    <w:rsid w:val="00034525"/>
    <w:rsid w:val="00034628"/>
    <w:rsid w:val="00034E17"/>
    <w:rsid w:val="00036670"/>
    <w:rsid w:val="00036B60"/>
    <w:rsid w:val="00040069"/>
    <w:rsid w:val="00040D33"/>
    <w:rsid w:val="00041273"/>
    <w:rsid w:val="00042765"/>
    <w:rsid w:val="00045298"/>
    <w:rsid w:val="00045379"/>
    <w:rsid w:val="00046283"/>
    <w:rsid w:val="00047C5B"/>
    <w:rsid w:val="00050583"/>
    <w:rsid w:val="000507D3"/>
    <w:rsid w:val="00050D80"/>
    <w:rsid w:val="0005209E"/>
    <w:rsid w:val="000528B7"/>
    <w:rsid w:val="00052917"/>
    <w:rsid w:val="000540FA"/>
    <w:rsid w:val="000545A7"/>
    <w:rsid w:val="0005557B"/>
    <w:rsid w:val="000555BB"/>
    <w:rsid w:val="00056158"/>
    <w:rsid w:val="00057232"/>
    <w:rsid w:val="000576FD"/>
    <w:rsid w:val="00061764"/>
    <w:rsid w:val="0006216B"/>
    <w:rsid w:val="000626E1"/>
    <w:rsid w:val="00063C91"/>
    <w:rsid w:val="0006425A"/>
    <w:rsid w:val="00064ACF"/>
    <w:rsid w:val="0006513F"/>
    <w:rsid w:val="00066500"/>
    <w:rsid w:val="00066BB2"/>
    <w:rsid w:val="00067CB8"/>
    <w:rsid w:val="00070A23"/>
    <w:rsid w:val="00070B21"/>
    <w:rsid w:val="0007281B"/>
    <w:rsid w:val="00072F95"/>
    <w:rsid w:val="00075EDA"/>
    <w:rsid w:val="00076DEF"/>
    <w:rsid w:val="00077B05"/>
    <w:rsid w:val="00077BBC"/>
    <w:rsid w:val="00080454"/>
    <w:rsid w:val="00081AD7"/>
    <w:rsid w:val="00082B6F"/>
    <w:rsid w:val="00082E40"/>
    <w:rsid w:val="0008301F"/>
    <w:rsid w:val="00083480"/>
    <w:rsid w:val="0008357B"/>
    <w:rsid w:val="000845BF"/>
    <w:rsid w:val="00084608"/>
    <w:rsid w:val="00084EB0"/>
    <w:rsid w:val="00084F70"/>
    <w:rsid w:val="00085484"/>
    <w:rsid w:val="00085A7A"/>
    <w:rsid w:val="00086511"/>
    <w:rsid w:val="00086AED"/>
    <w:rsid w:val="000871FB"/>
    <w:rsid w:val="0009099B"/>
    <w:rsid w:val="0009103A"/>
    <w:rsid w:val="000922CD"/>
    <w:rsid w:val="000930C9"/>
    <w:rsid w:val="0009338D"/>
    <w:rsid w:val="000935BF"/>
    <w:rsid w:val="00094BCD"/>
    <w:rsid w:val="00094D7A"/>
    <w:rsid w:val="00094E84"/>
    <w:rsid w:val="00094F69"/>
    <w:rsid w:val="00096281"/>
    <w:rsid w:val="00096382"/>
    <w:rsid w:val="00096A6D"/>
    <w:rsid w:val="00096EE2"/>
    <w:rsid w:val="00096F0A"/>
    <w:rsid w:val="0009739F"/>
    <w:rsid w:val="000A1C36"/>
    <w:rsid w:val="000A1D30"/>
    <w:rsid w:val="000A30C8"/>
    <w:rsid w:val="000A4018"/>
    <w:rsid w:val="000A52B5"/>
    <w:rsid w:val="000A55F0"/>
    <w:rsid w:val="000A67E6"/>
    <w:rsid w:val="000A6D82"/>
    <w:rsid w:val="000A7033"/>
    <w:rsid w:val="000A74D3"/>
    <w:rsid w:val="000B0428"/>
    <w:rsid w:val="000B0597"/>
    <w:rsid w:val="000B0850"/>
    <w:rsid w:val="000B1CF1"/>
    <w:rsid w:val="000B2FCA"/>
    <w:rsid w:val="000B3338"/>
    <w:rsid w:val="000B51A5"/>
    <w:rsid w:val="000B5FA5"/>
    <w:rsid w:val="000B666A"/>
    <w:rsid w:val="000C0A48"/>
    <w:rsid w:val="000C1076"/>
    <w:rsid w:val="000C24F2"/>
    <w:rsid w:val="000C3506"/>
    <w:rsid w:val="000C50B7"/>
    <w:rsid w:val="000C5527"/>
    <w:rsid w:val="000C5E66"/>
    <w:rsid w:val="000C6396"/>
    <w:rsid w:val="000C6F05"/>
    <w:rsid w:val="000C733B"/>
    <w:rsid w:val="000C7970"/>
    <w:rsid w:val="000C7ACC"/>
    <w:rsid w:val="000D0653"/>
    <w:rsid w:val="000D070F"/>
    <w:rsid w:val="000D0E71"/>
    <w:rsid w:val="000D0E8C"/>
    <w:rsid w:val="000D150A"/>
    <w:rsid w:val="000D27B4"/>
    <w:rsid w:val="000D28E8"/>
    <w:rsid w:val="000D29AC"/>
    <w:rsid w:val="000D2E4A"/>
    <w:rsid w:val="000D32D8"/>
    <w:rsid w:val="000D3E43"/>
    <w:rsid w:val="000D428B"/>
    <w:rsid w:val="000D4408"/>
    <w:rsid w:val="000D462B"/>
    <w:rsid w:val="000D4F8F"/>
    <w:rsid w:val="000D53D0"/>
    <w:rsid w:val="000D612A"/>
    <w:rsid w:val="000D66E8"/>
    <w:rsid w:val="000D6FA4"/>
    <w:rsid w:val="000D7689"/>
    <w:rsid w:val="000D76B9"/>
    <w:rsid w:val="000E190A"/>
    <w:rsid w:val="000E2289"/>
    <w:rsid w:val="000E3C45"/>
    <w:rsid w:val="000E41CB"/>
    <w:rsid w:val="000E45F6"/>
    <w:rsid w:val="000E4F28"/>
    <w:rsid w:val="000E527F"/>
    <w:rsid w:val="000E6589"/>
    <w:rsid w:val="000E7BB3"/>
    <w:rsid w:val="000F0231"/>
    <w:rsid w:val="000F0E1C"/>
    <w:rsid w:val="000F1FE2"/>
    <w:rsid w:val="000F255A"/>
    <w:rsid w:val="000F28A2"/>
    <w:rsid w:val="000F3366"/>
    <w:rsid w:val="000F34E8"/>
    <w:rsid w:val="000F3A5C"/>
    <w:rsid w:val="000F3A6C"/>
    <w:rsid w:val="000F3B50"/>
    <w:rsid w:val="000F5D02"/>
    <w:rsid w:val="000F6024"/>
    <w:rsid w:val="000F6A2A"/>
    <w:rsid w:val="00102535"/>
    <w:rsid w:val="00102BA7"/>
    <w:rsid w:val="00102C71"/>
    <w:rsid w:val="00102DF6"/>
    <w:rsid w:val="00103DD1"/>
    <w:rsid w:val="00103FB5"/>
    <w:rsid w:val="001048EB"/>
    <w:rsid w:val="00104AB3"/>
    <w:rsid w:val="00104F21"/>
    <w:rsid w:val="00106A7F"/>
    <w:rsid w:val="00106E67"/>
    <w:rsid w:val="0010730A"/>
    <w:rsid w:val="001079A8"/>
    <w:rsid w:val="00107BF8"/>
    <w:rsid w:val="00107D74"/>
    <w:rsid w:val="001109B3"/>
    <w:rsid w:val="00110B52"/>
    <w:rsid w:val="00110F01"/>
    <w:rsid w:val="00111023"/>
    <w:rsid w:val="00111F87"/>
    <w:rsid w:val="00112FFC"/>
    <w:rsid w:val="00114C65"/>
    <w:rsid w:val="001158DC"/>
    <w:rsid w:val="001163A1"/>
    <w:rsid w:val="00116451"/>
    <w:rsid w:val="00116E16"/>
    <w:rsid w:val="00120C2F"/>
    <w:rsid w:val="001214EF"/>
    <w:rsid w:val="0012156D"/>
    <w:rsid w:val="00121715"/>
    <w:rsid w:val="00122044"/>
    <w:rsid w:val="00122534"/>
    <w:rsid w:val="001232B3"/>
    <w:rsid w:val="00124013"/>
    <w:rsid w:val="0012457C"/>
    <w:rsid w:val="00124E82"/>
    <w:rsid w:val="001254BE"/>
    <w:rsid w:val="001261B6"/>
    <w:rsid w:val="00126315"/>
    <w:rsid w:val="0012737B"/>
    <w:rsid w:val="001274D3"/>
    <w:rsid w:val="001279E2"/>
    <w:rsid w:val="00127C1E"/>
    <w:rsid w:val="00132291"/>
    <w:rsid w:val="00132618"/>
    <w:rsid w:val="00132826"/>
    <w:rsid w:val="00133B4E"/>
    <w:rsid w:val="00133BEF"/>
    <w:rsid w:val="00133CDE"/>
    <w:rsid w:val="00135A50"/>
    <w:rsid w:val="00135DB3"/>
    <w:rsid w:val="00136066"/>
    <w:rsid w:val="001367A7"/>
    <w:rsid w:val="00136DE6"/>
    <w:rsid w:val="0013714D"/>
    <w:rsid w:val="00137435"/>
    <w:rsid w:val="001402D1"/>
    <w:rsid w:val="00140682"/>
    <w:rsid w:val="00140D97"/>
    <w:rsid w:val="00141257"/>
    <w:rsid w:val="001417EF"/>
    <w:rsid w:val="0014183C"/>
    <w:rsid w:val="00141B9D"/>
    <w:rsid w:val="00142508"/>
    <w:rsid w:val="00142D10"/>
    <w:rsid w:val="001438AB"/>
    <w:rsid w:val="00143DF8"/>
    <w:rsid w:val="0014407C"/>
    <w:rsid w:val="00144150"/>
    <w:rsid w:val="00145798"/>
    <w:rsid w:val="00145CCF"/>
    <w:rsid w:val="00146645"/>
    <w:rsid w:val="001469AF"/>
    <w:rsid w:val="00146FA7"/>
    <w:rsid w:val="00147567"/>
    <w:rsid w:val="00147E54"/>
    <w:rsid w:val="001505C3"/>
    <w:rsid w:val="001507D3"/>
    <w:rsid w:val="001507D6"/>
    <w:rsid w:val="00150BC1"/>
    <w:rsid w:val="0015121E"/>
    <w:rsid w:val="0015146F"/>
    <w:rsid w:val="00151AA3"/>
    <w:rsid w:val="0015216C"/>
    <w:rsid w:val="00153029"/>
    <w:rsid w:val="0015327A"/>
    <w:rsid w:val="00153485"/>
    <w:rsid w:val="001538D3"/>
    <w:rsid w:val="00153DF8"/>
    <w:rsid w:val="00154270"/>
    <w:rsid w:val="0015485D"/>
    <w:rsid w:val="001549D8"/>
    <w:rsid w:val="00154A61"/>
    <w:rsid w:val="00154A85"/>
    <w:rsid w:val="0015506E"/>
    <w:rsid w:val="00155172"/>
    <w:rsid w:val="00157C2A"/>
    <w:rsid w:val="00157D0C"/>
    <w:rsid w:val="001609F3"/>
    <w:rsid w:val="00160B54"/>
    <w:rsid w:val="00160DC6"/>
    <w:rsid w:val="00161BE0"/>
    <w:rsid w:val="001622E3"/>
    <w:rsid w:val="00163A50"/>
    <w:rsid w:val="001645EA"/>
    <w:rsid w:val="00164D13"/>
    <w:rsid w:val="0016576D"/>
    <w:rsid w:val="001668BA"/>
    <w:rsid w:val="00166AD4"/>
    <w:rsid w:val="00166D72"/>
    <w:rsid w:val="00166E1B"/>
    <w:rsid w:val="00166FA3"/>
    <w:rsid w:val="001676D8"/>
    <w:rsid w:val="0016780F"/>
    <w:rsid w:val="00167A4E"/>
    <w:rsid w:val="00167E1A"/>
    <w:rsid w:val="00167FE8"/>
    <w:rsid w:val="001707D6"/>
    <w:rsid w:val="00170D03"/>
    <w:rsid w:val="0017145C"/>
    <w:rsid w:val="001717CA"/>
    <w:rsid w:val="00171EE9"/>
    <w:rsid w:val="00172FC1"/>
    <w:rsid w:val="00173489"/>
    <w:rsid w:val="001735EA"/>
    <w:rsid w:val="0017376F"/>
    <w:rsid w:val="0017528D"/>
    <w:rsid w:val="001753F0"/>
    <w:rsid w:val="00175ED7"/>
    <w:rsid w:val="00175F55"/>
    <w:rsid w:val="00177E16"/>
    <w:rsid w:val="00180086"/>
    <w:rsid w:val="001809F0"/>
    <w:rsid w:val="00180D2F"/>
    <w:rsid w:val="00181C39"/>
    <w:rsid w:val="0018211A"/>
    <w:rsid w:val="001829F3"/>
    <w:rsid w:val="00182D90"/>
    <w:rsid w:val="00182F17"/>
    <w:rsid w:val="00183049"/>
    <w:rsid w:val="001834D9"/>
    <w:rsid w:val="00183BCC"/>
    <w:rsid w:val="00184094"/>
    <w:rsid w:val="0018415D"/>
    <w:rsid w:val="00184480"/>
    <w:rsid w:val="00184B37"/>
    <w:rsid w:val="00184ED9"/>
    <w:rsid w:val="001855CE"/>
    <w:rsid w:val="0018563E"/>
    <w:rsid w:val="001859B3"/>
    <w:rsid w:val="00185A7A"/>
    <w:rsid w:val="0018609D"/>
    <w:rsid w:val="00186F99"/>
    <w:rsid w:val="00187D4F"/>
    <w:rsid w:val="00190D6B"/>
    <w:rsid w:val="00191556"/>
    <w:rsid w:val="00192146"/>
    <w:rsid w:val="00192178"/>
    <w:rsid w:val="001921C5"/>
    <w:rsid w:val="00192F4C"/>
    <w:rsid w:val="001931F6"/>
    <w:rsid w:val="00193660"/>
    <w:rsid w:val="00193B04"/>
    <w:rsid w:val="001941CF"/>
    <w:rsid w:val="001943F6"/>
    <w:rsid w:val="00194491"/>
    <w:rsid w:val="001949B7"/>
    <w:rsid w:val="0019599D"/>
    <w:rsid w:val="00196EB3"/>
    <w:rsid w:val="00196FD5"/>
    <w:rsid w:val="0019742F"/>
    <w:rsid w:val="001A0294"/>
    <w:rsid w:val="001A0A89"/>
    <w:rsid w:val="001A13AE"/>
    <w:rsid w:val="001A1A90"/>
    <w:rsid w:val="001A1BE1"/>
    <w:rsid w:val="001A20E2"/>
    <w:rsid w:val="001A2D4A"/>
    <w:rsid w:val="001A3463"/>
    <w:rsid w:val="001A386F"/>
    <w:rsid w:val="001A3AA3"/>
    <w:rsid w:val="001A3F3C"/>
    <w:rsid w:val="001A49DD"/>
    <w:rsid w:val="001A5437"/>
    <w:rsid w:val="001A5A5D"/>
    <w:rsid w:val="001A5DB0"/>
    <w:rsid w:val="001A6AA7"/>
    <w:rsid w:val="001A6FFA"/>
    <w:rsid w:val="001A78EF"/>
    <w:rsid w:val="001A78FA"/>
    <w:rsid w:val="001A7CD2"/>
    <w:rsid w:val="001B077D"/>
    <w:rsid w:val="001B0AEF"/>
    <w:rsid w:val="001B1BF5"/>
    <w:rsid w:val="001B20A3"/>
    <w:rsid w:val="001B214E"/>
    <w:rsid w:val="001B27C0"/>
    <w:rsid w:val="001B28A1"/>
    <w:rsid w:val="001B2915"/>
    <w:rsid w:val="001B323F"/>
    <w:rsid w:val="001B36A0"/>
    <w:rsid w:val="001B377E"/>
    <w:rsid w:val="001B382B"/>
    <w:rsid w:val="001B3A15"/>
    <w:rsid w:val="001B4E2B"/>
    <w:rsid w:val="001B56CB"/>
    <w:rsid w:val="001B5C72"/>
    <w:rsid w:val="001B60E2"/>
    <w:rsid w:val="001B6FDE"/>
    <w:rsid w:val="001C09DC"/>
    <w:rsid w:val="001C1063"/>
    <w:rsid w:val="001C1BE0"/>
    <w:rsid w:val="001C1F2E"/>
    <w:rsid w:val="001C2524"/>
    <w:rsid w:val="001C275E"/>
    <w:rsid w:val="001C2D7E"/>
    <w:rsid w:val="001C3632"/>
    <w:rsid w:val="001C3CBC"/>
    <w:rsid w:val="001C3E94"/>
    <w:rsid w:val="001C44F9"/>
    <w:rsid w:val="001C46EA"/>
    <w:rsid w:val="001C4D24"/>
    <w:rsid w:val="001C5246"/>
    <w:rsid w:val="001C5319"/>
    <w:rsid w:val="001C552F"/>
    <w:rsid w:val="001C7402"/>
    <w:rsid w:val="001C76DE"/>
    <w:rsid w:val="001C7956"/>
    <w:rsid w:val="001C7CF9"/>
    <w:rsid w:val="001D185E"/>
    <w:rsid w:val="001D22F5"/>
    <w:rsid w:val="001D2C04"/>
    <w:rsid w:val="001D33F3"/>
    <w:rsid w:val="001D3A78"/>
    <w:rsid w:val="001D411B"/>
    <w:rsid w:val="001D5611"/>
    <w:rsid w:val="001D5FD6"/>
    <w:rsid w:val="001D601D"/>
    <w:rsid w:val="001D703F"/>
    <w:rsid w:val="001D7989"/>
    <w:rsid w:val="001E0471"/>
    <w:rsid w:val="001E33DC"/>
    <w:rsid w:val="001E3653"/>
    <w:rsid w:val="001E3D3E"/>
    <w:rsid w:val="001E4FD9"/>
    <w:rsid w:val="001E5120"/>
    <w:rsid w:val="001E5392"/>
    <w:rsid w:val="001E5501"/>
    <w:rsid w:val="001E5747"/>
    <w:rsid w:val="001E680D"/>
    <w:rsid w:val="001E6DF4"/>
    <w:rsid w:val="001E716C"/>
    <w:rsid w:val="001E7A58"/>
    <w:rsid w:val="001F02FC"/>
    <w:rsid w:val="001F074C"/>
    <w:rsid w:val="001F18E7"/>
    <w:rsid w:val="001F27B0"/>
    <w:rsid w:val="001F31B1"/>
    <w:rsid w:val="001F44DC"/>
    <w:rsid w:val="001F4D5E"/>
    <w:rsid w:val="001F544C"/>
    <w:rsid w:val="001F7C5C"/>
    <w:rsid w:val="002000F0"/>
    <w:rsid w:val="002001B9"/>
    <w:rsid w:val="0020020F"/>
    <w:rsid w:val="002005CF"/>
    <w:rsid w:val="002005D4"/>
    <w:rsid w:val="002013C7"/>
    <w:rsid w:val="00201794"/>
    <w:rsid w:val="00201AAE"/>
    <w:rsid w:val="00204868"/>
    <w:rsid w:val="002055EA"/>
    <w:rsid w:val="0021104B"/>
    <w:rsid w:val="0021179B"/>
    <w:rsid w:val="002117AD"/>
    <w:rsid w:val="00211AA0"/>
    <w:rsid w:val="00211C74"/>
    <w:rsid w:val="002122D7"/>
    <w:rsid w:val="002126FD"/>
    <w:rsid w:val="0021305A"/>
    <w:rsid w:val="002150CF"/>
    <w:rsid w:val="00216265"/>
    <w:rsid w:val="0021630F"/>
    <w:rsid w:val="00216910"/>
    <w:rsid w:val="002175ED"/>
    <w:rsid w:val="00220022"/>
    <w:rsid w:val="00221901"/>
    <w:rsid w:val="0022203D"/>
    <w:rsid w:val="00222729"/>
    <w:rsid w:val="00223F3C"/>
    <w:rsid w:val="0022473C"/>
    <w:rsid w:val="00225023"/>
    <w:rsid w:val="002259BD"/>
    <w:rsid w:val="00226134"/>
    <w:rsid w:val="002267A4"/>
    <w:rsid w:val="00226BC6"/>
    <w:rsid w:val="002278D5"/>
    <w:rsid w:val="00227DF8"/>
    <w:rsid w:val="002305C3"/>
    <w:rsid w:val="0023095F"/>
    <w:rsid w:val="00230A01"/>
    <w:rsid w:val="002311BF"/>
    <w:rsid w:val="00231C0F"/>
    <w:rsid w:val="00231DEA"/>
    <w:rsid w:val="00232FB9"/>
    <w:rsid w:val="00233129"/>
    <w:rsid w:val="0023337F"/>
    <w:rsid w:val="0023452A"/>
    <w:rsid w:val="0023470D"/>
    <w:rsid w:val="002356E0"/>
    <w:rsid w:val="00235C70"/>
    <w:rsid w:val="002363E7"/>
    <w:rsid w:val="0023696D"/>
    <w:rsid w:val="00236F4E"/>
    <w:rsid w:val="00237605"/>
    <w:rsid w:val="00237C31"/>
    <w:rsid w:val="0024021C"/>
    <w:rsid w:val="00240361"/>
    <w:rsid w:val="00241947"/>
    <w:rsid w:val="00241D1D"/>
    <w:rsid w:val="0024221C"/>
    <w:rsid w:val="0024290E"/>
    <w:rsid w:val="0024485B"/>
    <w:rsid w:val="00244BDE"/>
    <w:rsid w:val="00245AB4"/>
    <w:rsid w:val="00245D4B"/>
    <w:rsid w:val="002463F8"/>
    <w:rsid w:val="00246566"/>
    <w:rsid w:val="002471F0"/>
    <w:rsid w:val="002510C5"/>
    <w:rsid w:val="0025139A"/>
    <w:rsid w:val="002531E0"/>
    <w:rsid w:val="0025327B"/>
    <w:rsid w:val="00253512"/>
    <w:rsid w:val="0025374D"/>
    <w:rsid w:val="00253B03"/>
    <w:rsid w:val="0025413A"/>
    <w:rsid w:val="00254919"/>
    <w:rsid w:val="00255A6C"/>
    <w:rsid w:val="00256C0D"/>
    <w:rsid w:val="002576DB"/>
    <w:rsid w:val="00257AA6"/>
    <w:rsid w:val="00257BA3"/>
    <w:rsid w:val="00260D24"/>
    <w:rsid w:val="0026102D"/>
    <w:rsid w:val="002632DF"/>
    <w:rsid w:val="0026419C"/>
    <w:rsid w:val="00264340"/>
    <w:rsid w:val="0026583A"/>
    <w:rsid w:val="002659B2"/>
    <w:rsid w:val="00265BDB"/>
    <w:rsid w:val="00265F0C"/>
    <w:rsid w:val="0026645A"/>
    <w:rsid w:val="0026686E"/>
    <w:rsid w:val="00266E48"/>
    <w:rsid w:val="00267EC3"/>
    <w:rsid w:val="00270314"/>
    <w:rsid w:val="00270A07"/>
    <w:rsid w:val="00271468"/>
    <w:rsid w:val="0027180E"/>
    <w:rsid w:val="00272054"/>
    <w:rsid w:val="00273E86"/>
    <w:rsid w:val="002747B9"/>
    <w:rsid w:val="00274AE7"/>
    <w:rsid w:val="00275581"/>
    <w:rsid w:val="00275662"/>
    <w:rsid w:val="00275983"/>
    <w:rsid w:val="00275A3D"/>
    <w:rsid w:val="00276835"/>
    <w:rsid w:val="00276E63"/>
    <w:rsid w:val="00280727"/>
    <w:rsid w:val="00280824"/>
    <w:rsid w:val="0028089A"/>
    <w:rsid w:val="0028266D"/>
    <w:rsid w:val="00282F14"/>
    <w:rsid w:val="00283214"/>
    <w:rsid w:val="0028365E"/>
    <w:rsid w:val="00283B93"/>
    <w:rsid w:val="00284DF8"/>
    <w:rsid w:val="00285A5C"/>
    <w:rsid w:val="00285F7B"/>
    <w:rsid w:val="002860EB"/>
    <w:rsid w:val="0028622A"/>
    <w:rsid w:val="0028660F"/>
    <w:rsid w:val="0028712C"/>
    <w:rsid w:val="00287300"/>
    <w:rsid w:val="002873E5"/>
    <w:rsid w:val="00287988"/>
    <w:rsid w:val="0029146C"/>
    <w:rsid w:val="0029180E"/>
    <w:rsid w:val="00292A5D"/>
    <w:rsid w:val="002934E0"/>
    <w:rsid w:val="00293BEF"/>
    <w:rsid w:val="00294396"/>
    <w:rsid w:val="00294444"/>
    <w:rsid w:val="00294B17"/>
    <w:rsid w:val="0029730E"/>
    <w:rsid w:val="00297879"/>
    <w:rsid w:val="002A08EA"/>
    <w:rsid w:val="002A0C67"/>
    <w:rsid w:val="002A1918"/>
    <w:rsid w:val="002A1C9D"/>
    <w:rsid w:val="002A20F7"/>
    <w:rsid w:val="002A3616"/>
    <w:rsid w:val="002A36F3"/>
    <w:rsid w:val="002A3909"/>
    <w:rsid w:val="002A3ACB"/>
    <w:rsid w:val="002A625B"/>
    <w:rsid w:val="002A67A0"/>
    <w:rsid w:val="002A7BD0"/>
    <w:rsid w:val="002B09A4"/>
    <w:rsid w:val="002B2017"/>
    <w:rsid w:val="002B24B7"/>
    <w:rsid w:val="002B45BC"/>
    <w:rsid w:val="002B4EC0"/>
    <w:rsid w:val="002B509F"/>
    <w:rsid w:val="002B64C2"/>
    <w:rsid w:val="002B6AF9"/>
    <w:rsid w:val="002C0276"/>
    <w:rsid w:val="002C092D"/>
    <w:rsid w:val="002C0934"/>
    <w:rsid w:val="002C0D27"/>
    <w:rsid w:val="002C12F5"/>
    <w:rsid w:val="002C1648"/>
    <w:rsid w:val="002C1733"/>
    <w:rsid w:val="002C20C4"/>
    <w:rsid w:val="002C296E"/>
    <w:rsid w:val="002C4C24"/>
    <w:rsid w:val="002C62F5"/>
    <w:rsid w:val="002C657B"/>
    <w:rsid w:val="002C7377"/>
    <w:rsid w:val="002C7B18"/>
    <w:rsid w:val="002C7FA7"/>
    <w:rsid w:val="002D00A3"/>
    <w:rsid w:val="002D1283"/>
    <w:rsid w:val="002D164F"/>
    <w:rsid w:val="002D1E39"/>
    <w:rsid w:val="002D216A"/>
    <w:rsid w:val="002D37F5"/>
    <w:rsid w:val="002D38C2"/>
    <w:rsid w:val="002D4E56"/>
    <w:rsid w:val="002D50C5"/>
    <w:rsid w:val="002D669B"/>
    <w:rsid w:val="002D6872"/>
    <w:rsid w:val="002D78C1"/>
    <w:rsid w:val="002D7BA6"/>
    <w:rsid w:val="002E0376"/>
    <w:rsid w:val="002E04EC"/>
    <w:rsid w:val="002E0560"/>
    <w:rsid w:val="002E0593"/>
    <w:rsid w:val="002E0DC5"/>
    <w:rsid w:val="002E0ED9"/>
    <w:rsid w:val="002E2252"/>
    <w:rsid w:val="002E23CA"/>
    <w:rsid w:val="002E2F63"/>
    <w:rsid w:val="002E3070"/>
    <w:rsid w:val="002E3FD6"/>
    <w:rsid w:val="002E4B5F"/>
    <w:rsid w:val="002E4E5B"/>
    <w:rsid w:val="002E50D4"/>
    <w:rsid w:val="002E57BF"/>
    <w:rsid w:val="002E5A8B"/>
    <w:rsid w:val="002E5CF7"/>
    <w:rsid w:val="002E6360"/>
    <w:rsid w:val="002E64BA"/>
    <w:rsid w:val="002E7C4B"/>
    <w:rsid w:val="002F0A22"/>
    <w:rsid w:val="002F0F72"/>
    <w:rsid w:val="002F268F"/>
    <w:rsid w:val="002F2ED6"/>
    <w:rsid w:val="002F31EF"/>
    <w:rsid w:val="002F36F7"/>
    <w:rsid w:val="002F50B3"/>
    <w:rsid w:val="002F6F1C"/>
    <w:rsid w:val="002F7B8D"/>
    <w:rsid w:val="003003A8"/>
    <w:rsid w:val="00302518"/>
    <w:rsid w:val="0030278F"/>
    <w:rsid w:val="00303920"/>
    <w:rsid w:val="00303B0D"/>
    <w:rsid w:val="00304AF0"/>
    <w:rsid w:val="0030536A"/>
    <w:rsid w:val="00305D70"/>
    <w:rsid w:val="00306282"/>
    <w:rsid w:val="003109F2"/>
    <w:rsid w:val="00311732"/>
    <w:rsid w:val="00311FCB"/>
    <w:rsid w:val="00313009"/>
    <w:rsid w:val="0031344B"/>
    <w:rsid w:val="003140B1"/>
    <w:rsid w:val="00314102"/>
    <w:rsid w:val="00314F19"/>
    <w:rsid w:val="00314F38"/>
    <w:rsid w:val="00314F80"/>
    <w:rsid w:val="003156FB"/>
    <w:rsid w:val="00316052"/>
    <w:rsid w:val="00317AB3"/>
    <w:rsid w:val="00317BF1"/>
    <w:rsid w:val="00317DF1"/>
    <w:rsid w:val="00317F21"/>
    <w:rsid w:val="00321C22"/>
    <w:rsid w:val="003228DF"/>
    <w:rsid w:val="00323CE1"/>
    <w:rsid w:val="003245E7"/>
    <w:rsid w:val="003246A5"/>
    <w:rsid w:val="00324CD7"/>
    <w:rsid w:val="00324DE5"/>
    <w:rsid w:val="00326471"/>
    <w:rsid w:val="0032653E"/>
    <w:rsid w:val="00326607"/>
    <w:rsid w:val="00326832"/>
    <w:rsid w:val="003268F3"/>
    <w:rsid w:val="003308B5"/>
    <w:rsid w:val="00330C0D"/>
    <w:rsid w:val="00330C55"/>
    <w:rsid w:val="00330E3E"/>
    <w:rsid w:val="00330F97"/>
    <w:rsid w:val="00330FCE"/>
    <w:rsid w:val="00331767"/>
    <w:rsid w:val="0033256C"/>
    <w:rsid w:val="00333041"/>
    <w:rsid w:val="00333486"/>
    <w:rsid w:val="00334E08"/>
    <w:rsid w:val="0033512B"/>
    <w:rsid w:val="003353D8"/>
    <w:rsid w:val="003367EE"/>
    <w:rsid w:val="00336A10"/>
    <w:rsid w:val="00336CE0"/>
    <w:rsid w:val="00336E95"/>
    <w:rsid w:val="00337DE0"/>
    <w:rsid w:val="00340FA0"/>
    <w:rsid w:val="00342107"/>
    <w:rsid w:val="00342A9E"/>
    <w:rsid w:val="00342D5D"/>
    <w:rsid w:val="003430C4"/>
    <w:rsid w:val="003443C6"/>
    <w:rsid w:val="00345535"/>
    <w:rsid w:val="00345C51"/>
    <w:rsid w:val="00345E55"/>
    <w:rsid w:val="00346966"/>
    <w:rsid w:val="00346991"/>
    <w:rsid w:val="003469F1"/>
    <w:rsid w:val="0034756C"/>
    <w:rsid w:val="003508B0"/>
    <w:rsid w:val="00351595"/>
    <w:rsid w:val="00351D10"/>
    <w:rsid w:val="00352532"/>
    <w:rsid w:val="003525FF"/>
    <w:rsid w:val="00352ED1"/>
    <w:rsid w:val="00353466"/>
    <w:rsid w:val="0035361F"/>
    <w:rsid w:val="00353964"/>
    <w:rsid w:val="00353E24"/>
    <w:rsid w:val="0035438C"/>
    <w:rsid w:val="00355E90"/>
    <w:rsid w:val="00356104"/>
    <w:rsid w:val="003562AE"/>
    <w:rsid w:val="0035640A"/>
    <w:rsid w:val="0035699C"/>
    <w:rsid w:val="00357903"/>
    <w:rsid w:val="00357CBC"/>
    <w:rsid w:val="00361C15"/>
    <w:rsid w:val="0036203B"/>
    <w:rsid w:val="00362EA3"/>
    <w:rsid w:val="003641AA"/>
    <w:rsid w:val="00364477"/>
    <w:rsid w:val="0036500B"/>
    <w:rsid w:val="003650F4"/>
    <w:rsid w:val="0036583B"/>
    <w:rsid w:val="00366A21"/>
    <w:rsid w:val="00366B3D"/>
    <w:rsid w:val="003706BD"/>
    <w:rsid w:val="00370779"/>
    <w:rsid w:val="00370A95"/>
    <w:rsid w:val="0037207D"/>
    <w:rsid w:val="00372C59"/>
    <w:rsid w:val="00373A22"/>
    <w:rsid w:val="00373DA7"/>
    <w:rsid w:val="003740AF"/>
    <w:rsid w:val="00374861"/>
    <w:rsid w:val="00374A04"/>
    <w:rsid w:val="00374EAD"/>
    <w:rsid w:val="003756EE"/>
    <w:rsid w:val="003757CF"/>
    <w:rsid w:val="003759E7"/>
    <w:rsid w:val="003760F7"/>
    <w:rsid w:val="00376E32"/>
    <w:rsid w:val="00376EF9"/>
    <w:rsid w:val="00377540"/>
    <w:rsid w:val="0037763C"/>
    <w:rsid w:val="00380006"/>
    <w:rsid w:val="00380DE8"/>
    <w:rsid w:val="00382052"/>
    <w:rsid w:val="00382909"/>
    <w:rsid w:val="00382CE1"/>
    <w:rsid w:val="00383A32"/>
    <w:rsid w:val="00384453"/>
    <w:rsid w:val="00384C29"/>
    <w:rsid w:val="0038593F"/>
    <w:rsid w:val="00386D5E"/>
    <w:rsid w:val="00386DB7"/>
    <w:rsid w:val="00387852"/>
    <w:rsid w:val="00390C3B"/>
    <w:rsid w:val="00390CBC"/>
    <w:rsid w:val="00390CF6"/>
    <w:rsid w:val="00391086"/>
    <w:rsid w:val="0039111D"/>
    <w:rsid w:val="003925C8"/>
    <w:rsid w:val="00392951"/>
    <w:rsid w:val="003933F4"/>
    <w:rsid w:val="003936D5"/>
    <w:rsid w:val="0039381C"/>
    <w:rsid w:val="00393992"/>
    <w:rsid w:val="003947AF"/>
    <w:rsid w:val="003952F2"/>
    <w:rsid w:val="00396D5C"/>
    <w:rsid w:val="003977DE"/>
    <w:rsid w:val="003978EA"/>
    <w:rsid w:val="00397BB6"/>
    <w:rsid w:val="003A056F"/>
    <w:rsid w:val="003A18E0"/>
    <w:rsid w:val="003A20EE"/>
    <w:rsid w:val="003A3046"/>
    <w:rsid w:val="003A3C7B"/>
    <w:rsid w:val="003A4D68"/>
    <w:rsid w:val="003A513B"/>
    <w:rsid w:val="003A5564"/>
    <w:rsid w:val="003A5ACE"/>
    <w:rsid w:val="003A5E0F"/>
    <w:rsid w:val="003A5E26"/>
    <w:rsid w:val="003A6841"/>
    <w:rsid w:val="003A7892"/>
    <w:rsid w:val="003A7BE3"/>
    <w:rsid w:val="003B00E6"/>
    <w:rsid w:val="003B24BF"/>
    <w:rsid w:val="003B2CEA"/>
    <w:rsid w:val="003B303C"/>
    <w:rsid w:val="003B31D2"/>
    <w:rsid w:val="003B370B"/>
    <w:rsid w:val="003B3BCD"/>
    <w:rsid w:val="003B48A3"/>
    <w:rsid w:val="003B55AE"/>
    <w:rsid w:val="003B5FC2"/>
    <w:rsid w:val="003B7C1D"/>
    <w:rsid w:val="003C1C67"/>
    <w:rsid w:val="003C2570"/>
    <w:rsid w:val="003C2B96"/>
    <w:rsid w:val="003C2CFB"/>
    <w:rsid w:val="003C5B5A"/>
    <w:rsid w:val="003C62A6"/>
    <w:rsid w:val="003C65F0"/>
    <w:rsid w:val="003D0259"/>
    <w:rsid w:val="003D11F9"/>
    <w:rsid w:val="003D2779"/>
    <w:rsid w:val="003D4405"/>
    <w:rsid w:val="003D4984"/>
    <w:rsid w:val="003D6967"/>
    <w:rsid w:val="003D77DA"/>
    <w:rsid w:val="003D78D2"/>
    <w:rsid w:val="003D7953"/>
    <w:rsid w:val="003D7B01"/>
    <w:rsid w:val="003E0049"/>
    <w:rsid w:val="003E02FA"/>
    <w:rsid w:val="003E0BC9"/>
    <w:rsid w:val="003E15F7"/>
    <w:rsid w:val="003E1B21"/>
    <w:rsid w:val="003E257D"/>
    <w:rsid w:val="003E3039"/>
    <w:rsid w:val="003E325C"/>
    <w:rsid w:val="003E39A4"/>
    <w:rsid w:val="003E3C42"/>
    <w:rsid w:val="003E3FD2"/>
    <w:rsid w:val="003E474C"/>
    <w:rsid w:val="003E5290"/>
    <w:rsid w:val="003E577F"/>
    <w:rsid w:val="003E58F4"/>
    <w:rsid w:val="003E7762"/>
    <w:rsid w:val="003E7E38"/>
    <w:rsid w:val="003F0F63"/>
    <w:rsid w:val="003F17AB"/>
    <w:rsid w:val="003F2141"/>
    <w:rsid w:val="003F2628"/>
    <w:rsid w:val="003F2673"/>
    <w:rsid w:val="003F272C"/>
    <w:rsid w:val="003F37FF"/>
    <w:rsid w:val="003F3C46"/>
    <w:rsid w:val="003F400D"/>
    <w:rsid w:val="003F4607"/>
    <w:rsid w:val="003F50DD"/>
    <w:rsid w:val="003F5EAC"/>
    <w:rsid w:val="003F60EA"/>
    <w:rsid w:val="003F644E"/>
    <w:rsid w:val="004002F5"/>
    <w:rsid w:val="00400877"/>
    <w:rsid w:val="0040158A"/>
    <w:rsid w:val="00403581"/>
    <w:rsid w:val="0040367F"/>
    <w:rsid w:val="0040521E"/>
    <w:rsid w:val="00406045"/>
    <w:rsid w:val="0040679A"/>
    <w:rsid w:val="00406BFE"/>
    <w:rsid w:val="00407521"/>
    <w:rsid w:val="0040762D"/>
    <w:rsid w:val="0040773E"/>
    <w:rsid w:val="00407EAB"/>
    <w:rsid w:val="0041060C"/>
    <w:rsid w:val="00411394"/>
    <w:rsid w:val="0041250D"/>
    <w:rsid w:val="00412E95"/>
    <w:rsid w:val="004130AD"/>
    <w:rsid w:val="004132BC"/>
    <w:rsid w:val="004135FD"/>
    <w:rsid w:val="004141B4"/>
    <w:rsid w:val="004145AC"/>
    <w:rsid w:val="00414F2F"/>
    <w:rsid w:val="004150FE"/>
    <w:rsid w:val="00415AAC"/>
    <w:rsid w:val="00415AFC"/>
    <w:rsid w:val="004162F6"/>
    <w:rsid w:val="004163DE"/>
    <w:rsid w:val="00417537"/>
    <w:rsid w:val="00417CB2"/>
    <w:rsid w:val="00420601"/>
    <w:rsid w:val="00420BD5"/>
    <w:rsid w:val="004214FF"/>
    <w:rsid w:val="004220B2"/>
    <w:rsid w:val="00422C72"/>
    <w:rsid w:val="004240CB"/>
    <w:rsid w:val="00424F68"/>
    <w:rsid w:val="0042561B"/>
    <w:rsid w:val="00426770"/>
    <w:rsid w:val="00426B6B"/>
    <w:rsid w:val="004305C8"/>
    <w:rsid w:val="00430C78"/>
    <w:rsid w:val="004310F9"/>
    <w:rsid w:val="0043137F"/>
    <w:rsid w:val="004318F3"/>
    <w:rsid w:val="00431B5E"/>
    <w:rsid w:val="00431FCB"/>
    <w:rsid w:val="0043202F"/>
    <w:rsid w:val="004324B2"/>
    <w:rsid w:val="00433259"/>
    <w:rsid w:val="0043351C"/>
    <w:rsid w:val="0043379D"/>
    <w:rsid w:val="00434007"/>
    <w:rsid w:val="00434189"/>
    <w:rsid w:val="00434F47"/>
    <w:rsid w:val="004352B7"/>
    <w:rsid w:val="00435450"/>
    <w:rsid w:val="0043679A"/>
    <w:rsid w:val="00437844"/>
    <w:rsid w:val="00437EB4"/>
    <w:rsid w:val="004407E4"/>
    <w:rsid w:val="00440D46"/>
    <w:rsid w:val="0044185F"/>
    <w:rsid w:val="00441E8E"/>
    <w:rsid w:val="00443A1B"/>
    <w:rsid w:val="00444188"/>
    <w:rsid w:val="00444377"/>
    <w:rsid w:val="0044491C"/>
    <w:rsid w:val="0044499C"/>
    <w:rsid w:val="0044510B"/>
    <w:rsid w:val="004505CC"/>
    <w:rsid w:val="00450B84"/>
    <w:rsid w:val="00450DB3"/>
    <w:rsid w:val="00451944"/>
    <w:rsid w:val="004523E3"/>
    <w:rsid w:val="00452614"/>
    <w:rsid w:val="004526DC"/>
    <w:rsid w:val="00452E78"/>
    <w:rsid w:val="004531B2"/>
    <w:rsid w:val="004534DC"/>
    <w:rsid w:val="004546A1"/>
    <w:rsid w:val="004551BF"/>
    <w:rsid w:val="004557DB"/>
    <w:rsid w:val="00455D6D"/>
    <w:rsid w:val="00455E82"/>
    <w:rsid w:val="004563FA"/>
    <w:rsid w:val="004564CD"/>
    <w:rsid w:val="0045683A"/>
    <w:rsid w:val="00460164"/>
    <w:rsid w:val="00460483"/>
    <w:rsid w:val="00460899"/>
    <w:rsid w:val="00460B50"/>
    <w:rsid w:val="00460BD3"/>
    <w:rsid w:val="00460C84"/>
    <w:rsid w:val="00461A61"/>
    <w:rsid w:val="004620B7"/>
    <w:rsid w:val="004625A9"/>
    <w:rsid w:val="00462DDE"/>
    <w:rsid w:val="00464027"/>
    <w:rsid w:val="00464106"/>
    <w:rsid w:val="00464766"/>
    <w:rsid w:val="00464BD7"/>
    <w:rsid w:val="00464ED7"/>
    <w:rsid w:val="004661CD"/>
    <w:rsid w:val="00467CF4"/>
    <w:rsid w:val="0047107A"/>
    <w:rsid w:val="004713F9"/>
    <w:rsid w:val="00471E5A"/>
    <w:rsid w:val="00473500"/>
    <w:rsid w:val="00473AB3"/>
    <w:rsid w:val="0047439A"/>
    <w:rsid w:val="00475113"/>
    <w:rsid w:val="00475B0D"/>
    <w:rsid w:val="00476833"/>
    <w:rsid w:val="004773EA"/>
    <w:rsid w:val="00477960"/>
    <w:rsid w:val="00477A99"/>
    <w:rsid w:val="00477AAF"/>
    <w:rsid w:val="00477E56"/>
    <w:rsid w:val="004807F0"/>
    <w:rsid w:val="0048126C"/>
    <w:rsid w:val="004813AC"/>
    <w:rsid w:val="004816E7"/>
    <w:rsid w:val="00482FF7"/>
    <w:rsid w:val="00483F24"/>
    <w:rsid w:val="0048602E"/>
    <w:rsid w:val="004867E9"/>
    <w:rsid w:val="00486AE1"/>
    <w:rsid w:val="00486EDE"/>
    <w:rsid w:val="00486F0E"/>
    <w:rsid w:val="004871C4"/>
    <w:rsid w:val="00487C76"/>
    <w:rsid w:val="00490C7C"/>
    <w:rsid w:val="00490D1F"/>
    <w:rsid w:val="004917A5"/>
    <w:rsid w:val="004923D5"/>
    <w:rsid w:val="00492499"/>
    <w:rsid w:val="00492710"/>
    <w:rsid w:val="00493BED"/>
    <w:rsid w:val="0049461A"/>
    <w:rsid w:val="0049488D"/>
    <w:rsid w:val="0049602F"/>
    <w:rsid w:val="004963A8"/>
    <w:rsid w:val="00496818"/>
    <w:rsid w:val="004969C1"/>
    <w:rsid w:val="00497F04"/>
    <w:rsid w:val="00497FB8"/>
    <w:rsid w:val="004A0FAF"/>
    <w:rsid w:val="004A11F1"/>
    <w:rsid w:val="004A1240"/>
    <w:rsid w:val="004A1BDA"/>
    <w:rsid w:val="004A317C"/>
    <w:rsid w:val="004A4F15"/>
    <w:rsid w:val="004A5692"/>
    <w:rsid w:val="004A6436"/>
    <w:rsid w:val="004A7467"/>
    <w:rsid w:val="004A7676"/>
    <w:rsid w:val="004B0245"/>
    <w:rsid w:val="004B0E89"/>
    <w:rsid w:val="004B2110"/>
    <w:rsid w:val="004B275A"/>
    <w:rsid w:val="004B382E"/>
    <w:rsid w:val="004B45DB"/>
    <w:rsid w:val="004B460E"/>
    <w:rsid w:val="004B4BBE"/>
    <w:rsid w:val="004B5606"/>
    <w:rsid w:val="004B58D4"/>
    <w:rsid w:val="004B6689"/>
    <w:rsid w:val="004B7172"/>
    <w:rsid w:val="004B7C51"/>
    <w:rsid w:val="004B7F03"/>
    <w:rsid w:val="004C0E34"/>
    <w:rsid w:val="004C0F55"/>
    <w:rsid w:val="004C1107"/>
    <w:rsid w:val="004C1463"/>
    <w:rsid w:val="004C196A"/>
    <w:rsid w:val="004C19D2"/>
    <w:rsid w:val="004C1A88"/>
    <w:rsid w:val="004C2BBE"/>
    <w:rsid w:val="004C3283"/>
    <w:rsid w:val="004C366C"/>
    <w:rsid w:val="004C5036"/>
    <w:rsid w:val="004C6B84"/>
    <w:rsid w:val="004C7366"/>
    <w:rsid w:val="004C7C2F"/>
    <w:rsid w:val="004C7E8D"/>
    <w:rsid w:val="004D13E6"/>
    <w:rsid w:val="004D171B"/>
    <w:rsid w:val="004D3071"/>
    <w:rsid w:val="004D3174"/>
    <w:rsid w:val="004D3DAB"/>
    <w:rsid w:val="004D4BD3"/>
    <w:rsid w:val="004D63F0"/>
    <w:rsid w:val="004D67F9"/>
    <w:rsid w:val="004D688D"/>
    <w:rsid w:val="004D6BA1"/>
    <w:rsid w:val="004D779D"/>
    <w:rsid w:val="004E0643"/>
    <w:rsid w:val="004E06AE"/>
    <w:rsid w:val="004E269A"/>
    <w:rsid w:val="004E2C2E"/>
    <w:rsid w:val="004E3060"/>
    <w:rsid w:val="004E34E9"/>
    <w:rsid w:val="004E3787"/>
    <w:rsid w:val="004E386F"/>
    <w:rsid w:val="004E7D4D"/>
    <w:rsid w:val="004E7DB1"/>
    <w:rsid w:val="004E7E9A"/>
    <w:rsid w:val="004F0B9F"/>
    <w:rsid w:val="004F13CF"/>
    <w:rsid w:val="004F2D74"/>
    <w:rsid w:val="004F2F4F"/>
    <w:rsid w:val="004F35DA"/>
    <w:rsid w:val="004F3749"/>
    <w:rsid w:val="004F445F"/>
    <w:rsid w:val="004F51DB"/>
    <w:rsid w:val="004F6C3A"/>
    <w:rsid w:val="004F6EA0"/>
    <w:rsid w:val="00500AAC"/>
    <w:rsid w:val="00501EC2"/>
    <w:rsid w:val="00502653"/>
    <w:rsid w:val="00502CE2"/>
    <w:rsid w:val="005031BB"/>
    <w:rsid w:val="005039D7"/>
    <w:rsid w:val="005039DA"/>
    <w:rsid w:val="0050466C"/>
    <w:rsid w:val="00504A10"/>
    <w:rsid w:val="00504C61"/>
    <w:rsid w:val="00505049"/>
    <w:rsid w:val="00505805"/>
    <w:rsid w:val="0050583E"/>
    <w:rsid w:val="005059C1"/>
    <w:rsid w:val="005069CA"/>
    <w:rsid w:val="005071E8"/>
    <w:rsid w:val="00507BE1"/>
    <w:rsid w:val="00510364"/>
    <w:rsid w:val="0051053B"/>
    <w:rsid w:val="00511ECB"/>
    <w:rsid w:val="0051378A"/>
    <w:rsid w:val="00514B0B"/>
    <w:rsid w:val="00515A33"/>
    <w:rsid w:val="005165F5"/>
    <w:rsid w:val="005200AD"/>
    <w:rsid w:val="005200F0"/>
    <w:rsid w:val="005202E8"/>
    <w:rsid w:val="00520327"/>
    <w:rsid w:val="00520C12"/>
    <w:rsid w:val="00520C3A"/>
    <w:rsid w:val="00521028"/>
    <w:rsid w:val="005214C6"/>
    <w:rsid w:val="005236A1"/>
    <w:rsid w:val="00523DDC"/>
    <w:rsid w:val="00524031"/>
    <w:rsid w:val="0052409E"/>
    <w:rsid w:val="00524A81"/>
    <w:rsid w:val="00525596"/>
    <w:rsid w:val="005264D3"/>
    <w:rsid w:val="005266CA"/>
    <w:rsid w:val="00526CA6"/>
    <w:rsid w:val="0053078C"/>
    <w:rsid w:val="0053102C"/>
    <w:rsid w:val="005319D8"/>
    <w:rsid w:val="005320C7"/>
    <w:rsid w:val="00532DBD"/>
    <w:rsid w:val="00532F7A"/>
    <w:rsid w:val="005333C8"/>
    <w:rsid w:val="00534333"/>
    <w:rsid w:val="00534810"/>
    <w:rsid w:val="0053625A"/>
    <w:rsid w:val="0053735B"/>
    <w:rsid w:val="005375AD"/>
    <w:rsid w:val="005406A0"/>
    <w:rsid w:val="005412F9"/>
    <w:rsid w:val="005417F9"/>
    <w:rsid w:val="005424EF"/>
    <w:rsid w:val="00542521"/>
    <w:rsid w:val="005427E7"/>
    <w:rsid w:val="005454E2"/>
    <w:rsid w:val="00546049"/>
    <w:rsid w:val="00550368"/>
    <w:rsid w:val="0055134D"/>
    <w:rsid w:val="005513E4"/>
    <w:rsid w:val="0055165B"/>
    <w:rsid w:val="00551BD3"/>
    <w:rsid w:val="00551DFA"/>
    <w:rsid w:val="0055215E"/>
    <w:rsid w:val="00552300"/>
    <w:rsid w:val="00552884"/>
    <w:rsid w:val="00552E87"/>
    <w:rsid w:val="00552FD7"/>
    <w:rsid w:val="0055307D"/>
    <w:rsid w:val="00553315"/>
    <w:rsid w:val="00553A2C"/>
    <w:rsid w:val="00553A69"/>
    <w:rsid w:val="00555B50"/>
    <w:rsid w:val="0055706A"/>
    <w:rsid w:val="00557FFB"/>
    <w:rsid w:val="005615AB"/>
    <w:rsid w:val="00561637"/>
    <w:rsid w:val="0056179B"/>
    <w:rsid w:val="00561AC4"/>
    <w:rsid w:val="00562406"/>
    <w:rsid w:val="00562E46"/>
    <w:rsid w:val="00562E5F"/>
    <w:rsid w:val="00563E56"/>
    <w:rsid w:val="005641DD"/>
    <w:rsid w:val="00564280"/>
    <w:rsid w:val="005647E0"/>
    <w:rsid w:val="00564812"/>
    <w:rsid w:val="00564BB3"/>
    <w:rsid w:val="00564C1B"/>
    <w:rsid w:val="00565B19"/>
    <w:rsid w:val="00565E69"/>
    <w:rsid w:val="0056643E"/>
    <w:rsid w:val="00566EF1"/>
    <w:rsid w:val="005670F5"/>
    <w:rsid w:val="005705F6"/>
    <w:rsid w:val="00570B71"/>
    <w:rsid w:val="00571832"/>
    <w:rsid w:val="005735CA"/>
    <w:rsid w:val="00573DBF"/>
    <w:rsid w:val="00574129"/>
    <w:rsid w:val="00574566"/>
    <w:rsid w:val="00574769"/>
    <w:rsid w:val="0057543B"/>
    <w:rsid w:val="005757FD"/>
    <w:rsid w:val="00576002"/>
    <w:rsid w:val="00576E77"/>
    <w:rsid w:val="005773ED"/>
    <w:rsid w:val="00577781"/>
    <w:rsid w:val="005809C3"/>
    <w:rsid w:val="00581544"/>
    <w:rsid w:val="00584311"/>
    <w:rsid w:val="00584891"/>
    <w:rsid w:val="0058679E"/>
    <w:rsid w:val="00586CE6"/>
    <w:rsid w:val="005901EE"/>
    <w:rsid w:val="005902E7"/>
    <w:rsid w:val="0059211C"/>
    <w:rsid w:val="005921D0"/>
    <w:rsid w:val="0059287C"/>
    <w:rsid w:val="00592A03"/>
    <w:rsid w:val="0059371D"/>
    <w:rsid w:val="00594762"/>
    <w:rsid w:val="00595454"/>
    <w:rsid w:val="005956DC"/>
    <w:rsid w:val="00595E37"/>
    <w:rsid w:val="00596508"/>
    <w:rsid w:val="005977F9"/>
    <w:rsid w:val="005A01B7"/>
    <w:rsid w:val="005A0513"/>
    <w:rsid w:val="005A0817"/>
    <w:rsid w:val="005A1635"/>
    <w:rsid w:val="005A1878"/>
    <w:rsid w:val="005A189B"/>
    <w:rsid w:val="005A1D34"/>
    <w:rsid w:val="005A26D8"/>
    <w:rsid w:val="005A2EAE"/>
    <w:rsid w:val="005A35EF"/>
    <w:rsid w:val="005A3E55"/>
    <w:rsid w:val="005A3FA0"/>
    <w:rsid w:val="005A4751"/>
    <w:rsid w:val="005A50BE"/>
    <w:rsid w:val="005A5653"/>
    <w:rsid w:val="005A58B7"/>
    <w:rsid w:val="005A605A"/>
    <w:rsid w:val="005A66EE"/>
    <w:rsid w:val="005A6D9F"/>
    <w:rsid w:val="005A71E5"/>
    <w:rsid w:val="005B0987"/>
    <w:rsid w:val="005B0AE9"/>
    <w:rsid w:val="005B0D5A"/>
    <w:rsid w:val="005B1094"/>
    <w:rsid w:val="005B187C"/>
    <w:rsid w:val="005B18FB"/>
    <w:rsid w:val="005B1F05"/>
    <w:rsid w:val="005B26E5"/>
    <w:rsid w:val="005B2702"/>
    <w:rsid w:val="005B3A78"/>
    <w:rsid w:val="005B3C28"/>
    <w:rsid w:val="005B5A3F"/>
    <w:rsid w:val="005B7D22"/>
    <w:rsid w:val="005C1E3B"/>
    <w:rsid w:val="005C1EC7"/>
    <w:rsid w:val="005C309E"/>
    <w:rsid w:val="005C38B3"/>
    <w:rsid w:val="005C3DA2"/>
    <w:rsid w:val="005C41D5"/>
    <w:rsid w:val="005C4DB0"/>
    <w:rsid w:val="005C5373"/>
    <w:rsid w:val="005C5EBB"/>
    <w:rsid w:val="005C6026"/>
    <w:rsid w:val="005C6052"/>
    <w:rsid w:val="005D0DEF"/>
    <w:rsid w:val="005D0E86"/>
    <w:rsid w:val="005D1019"/>
    <w:rsid w:val="005D233E"/>
    <w:rsid w:val="005D2531"/>
    <w:rsid w:val="005D3215"/>
    <w:rsid w:val="005D4066"/>
    <w:rsid w:val="005D431C"/>
    <w:rsid w:val="005D48D7"/>
    <w:rsid w:val="005D4B70"/>
    <w:rsid w:val="005D4EBB"/>
    <w:rsid w:val="005D63E3"/>
    <w:rsid w:val="005D7150"/>
    <w:rsid w:val="005D7F78"/>
    <w:rsid w:val="005D7FC3"/>
    <w:rsid w:val="005E0280"/>
    <w:rsid w:val="005E0BEA"/>
    <w:rsid w:val="005E0BFC"/>
    <w:rsid w:val="005E0DCC"/>
    <w:rsid w:val="005E1382"/>
    <w:rsid w:val="005E1A42"/>
    <w:rsid w:val="005E2A0E"/>
    <w:rsid w:val="005E2EC8"/>
    <w:rsid w:val="005E444F"/>
    <w:rsid w:val="005E4502"/>
    <w:rsid w:val="005E5196"/>
    <w:rsid w:val="005E59B6"/>
    <w:rsid w:val="005E667B"/>
    <w:rsid w:val="005E744F"/>
    <w:rsid w:val="005E7FE4"/>
    <w:rsid w:val="005F007E"/>
    <w:rsid w:val="005F1045"/>
    <w:rsid w:val="005F1901"/>
    <w:rsid w:val="005F2812"/>
    <w:rsid w:val="005F2A4C"/>
    <w:rsid w:val="005F2B6C"/>
    <w:rsid w:val="005F43FC"/>
    <w:rsid w:val="005F4808"/>
    <w:rsid w:val="005F4C42"/>
    <w:rsid w:val="005F6811"/>
    <w:rsid w:val="005F6BC7"/>
    <w:rsid w:val="005F7025"/>
    <w:rsid w:val="005F7377"/>
    <w:rsid w:val="005F77FD"/>
    <w:rsid w:val="0060156F"/>
    <w:rsid w:val="006023D7"/>
    <w:rsid w:val="00603DC5"/>
    <w:rsid w:val="006047BE"/>
    <w:rsid w:val="00604A54"/>
    <w:rsid w:val="00604EEB"/>
    <w:rsid w:val="00605383"/>
    <w:rsid w:val="006060BE"/>
    <w:rsid w:val="006065C5"/>
    <w:rsid w:val="00606675"/>
    <w:rsid w:val="0060699A"/>
    <w:rsid w:val="00606E43"/>
    <w:rsid w:val="00607486"/>
    <w:rsid w:val="006078E8"/>
    <w:rsid w:val="00610B4B"/>
    <w:rsid w:val="0061105D"/>
    <w:rsid w:val="00611CC3"/>
    <w:rsid w:val="00612377"/>
    <w:rsid w:val="0061252B"/>
    <w:rsid w:val="006140A3"/>
    <w:rsid w:val="006141ED"/>
    <w:rsid w:val="006145B8"/>
    <w:rsid w:val="00615555"/>
    <w:rsid w:val="006161FA"/>
    <w:rsid w:val="00616EE8"/>
    <w:rsid w:val="00616EEE"/>
    <w:rsid w:val="00620068"/>
    <w:rsid w:val="00620414"/>
    <w:rsid w:val="006208F2"/>
    <w:rsid w:val="00620AE3"/>
    <w:rsid w:val="00620FBA"/>
    <w:rsid w:val="00621517"/>
    <w:rsid w:val="006220DA"/>
    <w:rsid w:val="00622A88"/>
    <w:rsid w:val="00622E74"/>
    <w:rsid w:val="00623953"/>
    <w:rsid w:val="00623E9E"/>
    <w:rsid w:val="00624C85"/>
    <w:rsid w:val="00624D11"/>
    <w:rsid w:val="00624E2A"/>
    <w:rsid w:val="00625350"/>
    <w:rsid w:val="00625367"/>
    <w:rsid w:val="0062570A"/>
    <w:rsid w:val="006264C3"/>
    <w:rsid w:val="00626D57"/>
    <w:rsid w:val="00626F04"/>
    <w:rsid w:val="00626FAC"/>
    <w:rsid w:val="00627229"/>
    <w:rsid w:val="00627516"/>
    <w:rsid w:val="006277C5"/>
    <w:rsid w:val="00627B61"/>
    <w:rsid w:val="00630EE8"/>
    <w:rsid w:val="0063116B"/>
    <w:rsid w:val="00631E9D"/>
    <w:rsid w:val="00632154"/>
    <w:rsid w:val="0063232B"/>
    <w:rsid w:val="0063262C"/>
    <w:rsid w:val="00632C54"/>
    <w:rsid w:val="006330B6"/>
    <w:rsid w:val="00633CCE"/>
    <w:rsid w:val="00633DD3"/>
    <w:rsid w:val="00634303"/>
    <w:rsid w:val="006343DA"/>
    <w:rsid w:val="00635000"/>
    <w:rsid w:val="006367C5"/>
    <w:rsid w:val="00636C54"/>
    <w:rsid w:val="00636CD4"/>
    <w:rsid w:val="00636CE6"/>
    <w:rsid w:val="0063714D"/>
    <w:rsid w:val="0063798D"/>
    <w:rsid w:val="00637B99"/>
    <w:rsid w:val="00637FB7"/>
    <w:rsid w:val="00640479"/>
    <w:rsid w:val="00640CF1"/>
    <w:rsid w:val="006413BC"/>
    <w:rsid w:val="006421D7"/>
    <w:rsid w:val="00642729"/>
    <w:rsid w:val="00642C80"/>
    <w:rsid w:val="00643D85"/>
    <w:rsid w:val="0064411B"/>
    <w:rsid w:val="0064467B"/>
    <w:rsid w:val="00644BF5"/>
    <w:rsid w:val="00644E7C"/>
    <w:rsid w:val="00644F0A"/>
    <w:rsid w:val="00645676"/>
    <w:rsid w:val="00645B0F"/>
    <w:rsid w:val="006464FB"/>
    <w:rsid w:val="0064680C"/>
    <w:rsid w:val="006501C0"/>
    <w:rsid w:val="00652492"/>
    <w:rsid w:val="006525DA"/>
    <w:rsid w:val="006526D7"/>
    <w:rsid w:val="006534AE"/>
    <w:rsid w:val="0065362E"/>
    <w:rsid w:val="00654189"/>
    <w:rsid w:val="00654B86"/>
    <w:rsid w:val="00654FEF"/>
    <w:rsid w:val="00655056"/>
    <w:rsid w:val="00655267"/>
    <w:rsid w:val="00655BFB"/>
    <w:rsid w:val="00655DCA"/>
    <w:rsid w:val="0065645B"/>
    <w:rsid w:val="00656C9B"/>
    <w:rsid w:val="00660027"/>
    <w:rsid w:val="00660277"/>
    <w:rsid w:val="00660BE6"/>
    <w:rsid w:val="006611FB"/>
    <w:rsid w:val="00661A67"/>
    <w:rsid w:val="0066234F"/>
    <w:rsid w:val="00665B08"/>
    <w:rsid w:val="006671FD"/>
    <w:rsid w:val="00670E98"/>
    <w:rsid w:val="006716F5"/>
    <w:rsid w:val="00671E99"/>
    <w:rsid w:val="006725F9"/>
    <w:rsid w:val="00672FCB"/>
    <w:rsid w:val="00673144"/>
    <w:rsid w:val="00673255"/>
    <w:rsid w:val="00674023"/>
    <w:rsid w:val="006744FA"/>
    <w:rsid w:val="006760B7"/>
    <w:rsid w:val="00676E4A"/>
    <w:rsid w:val="006772B2"/>
    <w:rsid w:val="00680F6B"/>
    <w:rsid w:val="00681C7A"/>
    <w:rsid w:val="0068238D"/>
    <w:rsid w:val="00683266"/>
    <w:rsid w:val="00683526"/>
    <w:rsid w:val="00683542"/>
    <w:rsid w:val="00685546"/>
    <w:rsid w:val="00686304"/>
    <w:rsid w:val="00686A04"/>
    <w:rsid w:val="00687096"/>
    <w:rsid w:val="006873A7"/>
    <w:rsid w:val="00687D8D"/>
    <w:rsid w:val="006900F2"/>
    <w:rsid w:val="0069032F"/>
    <w:rsid w:val="0069036D"/>
    <w:rsid w:val="00691145"/>
    <w:rsid w:val="00691703"/>
    <w:rsid w:val="00691D2A"/>
    <w:rsid w:val="0069259C"/>
    <w:rsid w:val="00692C6B"/>
    <w:rsid w:val="00694B98"/>
    <w:rsid w:val="00695C98"/>
    <w:rsid w:val="00695DDD"/>
    <w:rsid w:val="00696560"/>
    <w:rsid w:val="0069689D"/>
    <w:rsid w:val="00697486"/>
    <w:rsid w:val="00697904"/>
    <w:rsid w:val="00697B21"/>
    <w:rsid w:val="006A03A3"/>
    <w:rsid w:val="006A0C0B"/>
    <w:rsid w:val="006A18B8"/>
    <w:rsid w:val="006A1C06"/>
    <w:rsid w:val="006A1DEA"/>
    <w:rsid w:val="006A1E4F"/>
    <w:rsid w:val="006A1ECB"/>
    <w:rsid w:val="006A3769"/>
    <w:rsid w:val="006A39F6"/>
    <w:rsid w:val="006A3D13"/>
    <w:rsid w:val="006A3FAE"/>
    <w:rsid w:val="006A447D"/>
    <w:rsid w:val="006A4EDB"/>
    <w:rsid w:val="006A5276"/>
    <w:rsid w:val="006A5292"/>
    <w:rsid w:val="006A5670"/>
    <w:rsid w:val="006A7220"/>
    <w:rsid w:val="006A7404"/>
    <w:rsid w:val="006A7D16"/>
    <w:rsid w:val="006B0D54"/>
    <w:rsid w:val="006B24CF"/>
    <w:rsid w:val="006B2534"/>
    <w:rsid w:val="006B25FC"/>
    <w:rsid w:val="006B2B44"/>
    <w:rsid w:val="006B3A53"/>
    <w:rsid w:val="006B4CC0"/>
    <w:rsid w:val="006B4D1A"/>
    <w:rsid w:val="006B5A7A"/>
    <w:rsid w:val="006B61CE"/>
    <w:rsid w:val="006B63E4"/>
    <w:rsid w:val="006B6568"/>
    <w:rsid w:val="006B68E4"/>
    <w:rsid w:val="006B76F0"/>
    <w:rsid w:val="006B7D6B"/>
    <w:rsid w:val="006C0475"/>
    <w:rsid w:val="006C0E14"/>
    <w:rsid w:val="006C151B"/>
    <w:rsid w:val="006C1671"/>
    <w:rsid w:val="006C215C"/>
    <w:rsid w:val="006C24EB"/>
    <w:rsid w:val="006C26FD"/>
    <w:rsid w:val="006C28E0"/>
    <w:rsid w:val="006C2EE6"/>
    <w:rsid w:val="006C3ACE"/>
    <w:rsid w:val="006C4AA9"/>
    <w:rsid w:val="006C54DA"/>
    <w:rsid w:val="006C577D"/>
    <w:rsid w:val="006C5A82"/>
    <w:rsid w:val="006C5EE5"/>
    <w:rsid w:val="006C6030"/>
    <w:rsid w:val="006C704E"/>
    <w:rsid w:val="006C72E2"/>
    <w:rsid w:val="006C7C9D"/>
    <w:rsid w:val="006D0039"/>
    <w:rsid w:val="006D0A8E"/>
    <w:rsid w:val="006D0CD0"/>
    <w:rsid w:val="006D10A6"/>
    <w:rsid w:val="006D1A3D"/>
    <w:rsid w:val="006D25A6"/>
    <w:rsid w:val="006D2964"/>
    <w:rsid w:val="006D2FC9"/>
    <w:rsid w:val="006D30D1"/>
    <w:rsid w:val="006D3544"/>
    <w:rsid w:val="006D3E05"/>
    <w:rsid w:val="006D3EE0"/>
    <w:rsid w:val="006D67E4"/>
    <w:rsid w:val="006D689A"/>
    <w:rsid w:val="006D6C27"/>
    <w:rsid w:val="006D6F35"/>
    <w:rsid w:val="006D7494"/>
    <w:rsid w:val="006D7822"/>
    <w:rsid w:val="006E01EA"/>
    <w:rsid w:val="006E09A1"/>
    <w:rsid w:val="006E0C27"/>
    <w:rsid w:val="006E1019"/>
    <w:rsid w:val="006E158C"/>
    <w:rsid w:val="006E1E12"/>
    <w:rsid w:val="006E23DA"/>
    <w:rsid w:val="006E251F"/>
    <w:rsid w:val="006E40BB"/>
    <w:rsid w:val="006E4DED"/>
    <w:rsid w:val="006E4E1B"/>
    <w:rsid w:val="006E5833"/>
    <w:rsid w:val="006E63DA"/>
    <w:rsid w:val="006F0253"/>
    <w:rsid w:val="006F19FA"/>
    <w:rsid w:val="006F1BC2"/>
    <w:rsid w:val="006F1F81"/>
    <w:rsid w:val="006F1FE0"/>
    <w:rsid w:val="006F2294"/>
    <w:rsid w:val="006F303D"/>
    <w:rsid w:val="006F32CE"/>
    <w:rsid w:val="006F33F7"/>
    <w:rsid w:val="006F369B"/>
    <w:rsid w:val="006F4EA3"/>
    <w:rsid w:val="006F63CE"/>
    <w:rsid w:val="006F6877"/>
    <w:rsid w:val="006F70EE"/>
    <w:rsid w:val="006F763F"/>
    <w:rsid w:val="006F7BCA"/>
    <w:rsid w:val="0070015D"/>
    <w:rsid w:val="00700BB6"/>
    <w:rsid w:val="00702460"/>
    <w:rsid w:val="0070359D"/>
    <w:rsid w:val="00703CD0"/>
    <w:rsid w:val="00703E66"/>
    <w:rsid w:val="00705710"/>
    <w:rsid w:val="00707916"/>
    <w:rsid w:val="00707A45"/>
    <w:rsid w:val="00707C28"/>
    <w:rsid w:val="007100BA"/>
    <w:rsid w:val="00710E7A"/>
    <w:rsid w:val="0071106C"/>
    <w:rsid w:val="007110A4"/>
    <w:rsid w:val="00711304"/>
    <w:rsid w:val="00711B1B"/>
    <w:rsid w:val="007133CD"/>
    <w:rsid w:val="00713DAD"/>
    <w:rsid w:val="00715196"/>
    <w:rsid w:val="007151FA"/>
    <w:rsid w:val="007160D4"/>
    <w:rsid w:val="007167CF"/>
    <w:rsid w:val="007200EC"/>
    <w:rsid w:val="00720920"/>
    <w:rsid w:val="0072176C"/>
    <w:rsid w:val="00721D32"/>
    <w:rsid w:val="0072224B"/>
    <w:rsid w:val="00723290"/>
    <w:rsid w:val="00724147"/>
    <w:rsid w:val="00724CC8"/>
    <w:rsid w:val="00724ED0"/>
    <w:rsid w:val="007254BA"/>
    <w:rsid w:val="007260EA"/>
    <w:rsid w:val="0072661E"/>
    <w:rsid w:val="00726A9F"/>
    <w:rsid w:val="0072724F"/>
    <w:rsid w:val="00730226"/>
    <w:rsid w:val="00731090"/>
    <w:rsid w:val="00731EAA"/>
    <w:rsid w:val="007323A2"/>
    <w:rsid w:val="00733157"/>
    <w:rsid w:val="00733924"/>
    <w:rsid w:val="00733AA8"/>
    <w:rsid w:val="00734D22"/>
    <w:rsid w:val="007355F6"/>
    <w:rsid w:val="00735BAC"/>
    <w:rsid w:val="007361A1"/>
    <w:rsid w:val="00737CF5"/>
    <w:rsid w:val="0074045A"/>
    <w:rsid w:val="007406C1"/>
    <w:rsid w:val="0074137A"/>
    <w:rsid w:val="0074193F"/>
    <w:rsid w:val="00742B9B"/>
    <w:rsid w:val="00742C89"/>
    <w:rsid w:val="00742D15"/>
    <w:rsid w:val="00744612"/>
    <w:rsid w:val="007446A3"/>
    <w:rsid w:val="0074581F"/>
    <w:rsid w:val="00745A6B"/>
    <w:rsid w:val="00746369"/>
    <w:rsid w:val="00746BFE"/>
    <w:rsid w:val="00746FEB"/>
    <w:rsid w:val="00747487"/>
    <w:rsid w:val="00750938"/>
    <w:rsid w:val="00750B3E"/>
    <w:rsid w:val="007513C3"/>
    <w:rsid w:val="00752EEC"/>
    <w:rsid w:val="007533ED"/>
    <w:rsid w:val="007534E3"/>
    <w:rsid w:val="00753791"/>
    <w:rsid w:val="0075425B"/>
    <w:rsid w:val="00754613"/>
    <w:rsid w:val="0075462C"/>
    <w:rsid w:val="0075485D"/>
    <w:rsid w:val="007548D6"/>
    <w:rsid w:val="00754E50"/>
    <w:rsid w:val="00755FCD"/>
    <w:rsid w:val="00756AD9"/>
    <w:rsid w:val="007570F0"/>
    <w:rsid w:val="00760759"/>
    <w:rsid w:val="00760924"/>
    <w:rsid w:val="00760C79"/>
    <w:rsid w:val="0076118C"/>
    <w:rsid w:val="007616B6"/>
    <w:rsid w:val="007619EA"/>
    <w:rsid w:val="0076217A"/>
    <w:rsid w:val="00762182"/>
    <w:rsid w:val="00762700"/>
    <w:rsid w:val="00762AFB"/>
    <w:rsid w:val="007636EA"/>
    <w:rsid w:val="00763758"/>
    <w:rsid w:val="00763E13"/>
    <w:rsid w:val="0076424E"/>
    <w:rsid w:val="00764DD3"/>
    <w:rsid w:val="007653E2"/>
    <w:rsid w:val="007662E0"/>
    <w:rsid w:val="00766CB1"/>
    <w:rsid w:val="00766D7B"/>
    <w:rsid w:val="00767B69"/>
    <w:rsid w:val="007704E5"/>
    <w:rsid w:val="00770821"/>
    <w:rsid w:val="007710F6"/>
    <w:rsid w:val="00773226"/>
    <w:rsid w:val="00775F69"/>
    <w:rsid w:val="00775F74"/>
    <w:rsid w:val="00776B94"/>
    <w:rsid w:val="0078137A"/>
    <w:rsid w:val="007813B4"/>
    <w:rsid w:val="00781457"/>
    <w:rsid w:val="00781994"/>
    <w:rsid w:val="00781D35"/>
    <w:rsid w:val="0078294E"/>
    <w:rsid w:val="00782B60"/>
    <w:rsid w:val="007834BF"/>
    <w:rsid w:val="007834DE"/>
    <w:rsid w:val="00783681"/>
    <w:rsid w:val="007838BB"/>
    <w:rsid w:val="00784C40"/>
    <w:rsid w:val="00784F8A"/>
    <w:rsid w:val="00785120"/>
    <w:rsid w:val="00785508"/>
    <w:rsid w:val="00786129"/>
    <w:rsid w:val="00786B3E"/>
    <w:rsid w:val="00786DE6"/>
    <w:rsid w:val="00787934"/>
    <w:rsid w:val="00787BCE"/>
    <w:rsid w:val="0079074D"/>
    <w:rsid w:val="00790976"/>
    <w:rsid w:val="00790D26"/>
    <w:rsid w:val="007918D2"/>
    <w:rsid w:val="00791F0F"/>
    <w:rsid w:val="00792544"/>
    <w:rsid w:val="0079260D"/>
    <w:rsid w:val="00792785"/>
    <w:rsid w:val="00792A58"/>
    <w:rsid w:val="00792AF7"/>
    <w:rsid w:val="00793B5D"/>
    <w:rsid w:val="0079589E"/>
    <w:rsid w:val="00797662"/>
    <w:rsid w:val="007978FB"/>
    <w:rsid w:val="007979B4"/>
    <w:rsid w:val="00797AA6"/>
    <w:rsid w:val="00797AB8"/>
    <w:rsid w:val="00797E38"/>
    <w:rsid w:val="007A1346"/>
    <w:rsid w:val="007A1611"/>
    <w:rsid w:val="007A275B"/>
    <w:rsid w:val="007A3C18"/>
    <w:rsid w:val="007A40ED"/>
    <w:rsid w:val="007A5A38"/>
    <w:rsid w:val="007A5D5F"/>
    <w:rsid w:val="007A73A1"/>
    <w:rsid w:val="007A7575"/>
    <w:rsid w:val="007B0306"/>
    <w:rsid w:val="007B04CF"/>
    <w:rsid w:val="007B17FF"/>
    <w:rsid w:val="007B3993"/>
    <w:rsid w:val="007B5409"/>
    <w:rsid w:val="007B60BD"/>
    <w:rsid w:val="007B67FA"/>
    <w:rsid w:val="007C08B3"/>
    <w:rsid w:val="007C2533"/>
    <w:rsid w:val="007C358B"/>
    <w:rsid w:val="007C39E3"/>
    <w:rsid w:val="007C3CA9"/>
    <w:rsid w:val="007C5188"/>
    <w:rsid w:val="007C58ED"/>
    <w:rsid w:val="007C6212"/>
    <w:rsid w:val="007C66D5"/>
    <w:rsid w:val="007C6F3D"/>
    <w:rsid w:val="007C708E"/>
    <w:rsid w:val="007D0337"/>
    <w:rsid w:val="007D0B7C"/>
    <w:rsid w:val="007D32EF"/>
    <w:rsid w:val="007D4047"/>
    <w:rsid w:val="007D482D"/>
    <w:rsid w:val="007D5EC0"/>
    <w:rsid w:val="007D6039"/>
    <w:rsid w:val="007D69E7"/>
    <w:rsid w:val="007D72D7"/>
    <w:rsid w:val="007D72D8"/>
    <w:rsid w:val="007D7846"/>
    <w:rsid w:val="007E10EC"/>
    <w:rsid w:val="007E112E"/>
    <w:rsid w:val="007E1DC3"/>
    <w:rsid w:val="007E1FC4"/>
    <w:rsid w:val="007E21B2"/>
    <w:rsid w:val="007E3324"/>
    <w:rsid w:val="007E461A"/>
    <w:rsid w:val="007E7575"/>
    <w:rsid w:val="007E79EA"/>
    <w:rsid w:val="007F02C8"/>
    <w:rsid w:val="007F0580"/>
    <w:rsid w:val="007F0799"/>
    <w:rsid w:val="007F0D07"/>
    <w:rsid w:val="007F19DA"/>
    <w:rsid w:val="007F21B1"/>
    <w:rsid w:val="007F22A3"/>
    <w:rsid w:val="007F28B4"/>
    <w:rsid w:val="007F290F"/>
    <w:rsid w:val="007F2ED8"/>
    <w:rsid w:val="007F302A"/>
    <w:rsid w:val="007F3696"/>
    <w:rsid w:val="007F3EBD"/>
    <w:rsid w:val="007F3EC7"/>
    <w:rsid w:val="007F3FCB"/>
    <w:rsid w:val="007F40C9"/>
    <w:rsid w:val="007F40F7"/>
    <w:rsid w:val="007F4998"/>
    <w:rsid w:val="007F4F95"/>
    <w:rsid w:val="007F5167"/>
    <w:rsid w:val="007F7932"/>
    <w:rsid w:val="0080116C"/>
    <w:rsid w:val="00802444"/>
    <w:rsid w:val="00802D58"/>
    <w:rsid w:val="00802F9F"/>
    <w:rsid w:val="00802FE7"/>
    <w:rsid w:val="00803740"/>
    <w:rsid w:val="00804AA0"/>
    <w:rsid w:val="00804D19"/>
    <w:rsid w:val="0080563D"/>
    <w:rsid w:val="008060C9"/>
    <w:rsid w:val="0080749C"/>
    <w:rsid w:val="008074E0"/>
    <w:rsid w:val="00812AA4"/>
    <w:rsid w:val="00814EBD"/>
    <w:rsid w:val="00816075"/>
    <w:rsid w:val="008179B9"/>
    <w:rsid w:val="008205C3"/>
    <w:rsid w:val="008206DE"/>
    <w:rsid w:val="00820E20"/>
    <w:rsid w:val="00821131"/>
    <w:rsid w:val="008211AF"/>
    <w:rsid w:val="00821953"/>
    <w:rsid w:val="00821BE7"/>
    <w:rsid w:val="00822D1E"/>
    <w:rsid w:val="00822E35"/>
    <w:rsid w:val="00823441"/>
    <w:rsid w:val="008234A1"/>
    <w:rsid w:val="00823BF2"/>
    <w:rsid w:val="00823D9B"/>
    <w:rsid w:val="0082446F"/>
    <w:rsid w:val="00824B11"/>
    <w:rsid w:val="0082559E"/>
    <w:rsid w:val="0082662D"/>
    <w:rsid w:val="008266C3"/>
    <w:rsid w:val="00826F58"/>
    <w:rsid w:val="00827F60"/>
    <w:rsid w:val="008301CB"/>
    <w:rsid w:val="00830FAF"/>
    <w:rsid w:val="00831567"/>
    <w:rsid w:val="008317C0"/>
    <w:rsid w:val="008320ED"/>
    <w:rsid w:val="00832B25"/>
    <w:rsid w:val="0083341F"/>
    <w:rsid w:val="00834BA6"/>
    <w:rsid w:val="00835378"/>
    <w:rsid w:val="00836618"/>
    <w:rsid w:val="00836E26"/>
    <w:rsid w:val="00836FB7"/>
    <w:rsid w:val="008371C1"/>
    <w:rsid w:val="00837324"/>
    <w:rsid w:val="008377B2"/>
    <w:rsid w:val="00837CAA"/>
    <w:rsid w:val="008407D7"/>
    <w:rsid w:val="008410A0"/>
    <w:rsid w:val="008423F2"/>
    <w:rsid w:val="0084307D"/>
    <w:rsid w:val="008432EA"/>
    <w:rsid w:val="00843615"/>
    <w:rsid w:val="00843C16"/>
    <w:rsid w:val="00844249"/>
    <w:rsid w:val="00845EF4"/>
    <w:rsid w:val="00846965"/>
    <w:rsid w:val="00847544"/>
    <w:rsid w:val="0085025F"/>
    <w:rsid w:val="00851B23"/>
    <w:rsid w:val="00852141"/>
    <w:rsid w:val="0085345A"/>
    <w:rsid w:val="00853A40"/>
    <w:rsid w:val="00854CDE"/>
    <w:rsid w:val="00854D03"/>
    <w:rsid w:val="00855355"/>
    <w:rsid w:val="00856890"/>
    <w:rsid w:val="008612C6"/>
    <w:rsid w:val="00861CF8"/>
    <w:rsid w:val="00862327"/>
    <w:rsid w:val="008628AE"/>
    <w:rsid w:val="00863A1D"/>
    <w:rsid w:val="00863FD6"/>
    <w:rsid w:val="008643CD"/>
    <w:rsid w:val="008651FC"/>
    <w:rsid w:val="0086554E"/>
    <w:rsid w:val="00865E87"/>
    <w:rsid w:val="00866370"/>
    <w:rsid w:val="00870096"/>
    <w:rsid w:val="0087165B"/>
    <w:rsid w:val="00873412"/>
    <w:rsid w:val="008736F7"/>
    <w:rsid w:val="00874E03"/>
    <w:rsid w:val="008750FD"/>
    <w:rsid w:val="00876C94"/>
    <w:rsid w:val="00876EEA"/>
    <w:rsid w:val="008778A2"/>
    <w:rsid w:val="00877FF2"/>
    <w:rsid w:val="00880086"/>
    <w:rsid w:val="00880CAF"/>
    <w:rsid w:val="008812DB"/>
    <w:rsid w:val="008812EF"/>
    <w:rsid w:val="0088144A"/>
    <w:rsid w:val="00881E4D"/>
    <w:rsid w:val="00881EA0"/>
    <w:rsid w:val="008844B8"/>
    <w:rsid w:val="00884AC4"/>
    <w:rsid w:val="00884B13"/>
    <w:rsid w:val="00884F81"/>
    <w:rsid w:val="0088595F"/>
    <w:rsid w:val="00885F2D"/>
    <w:rsid w:val="00886CCA"/>
    <w:rsid w:val="00887ED2"/>
    <w:rsid w:val="00891114"/>
    <w:rsid w:val="00891726"/>
    <w:rsid w:val="008939D0"/>
    <w:rsid w:val="00894998"/>
    <w:rsid w:val="00895236"/>
    <w:rsid w:val="008967FE"/>
    <w:rsid w:val="0089750C"/>
    <w:rsid w:val="008A121C"/>
    <w:rsid w:val="008A20B1"/>
    <w:rsid w:val="008A42F7"/>
    <w:rsid w:val="008A4E46"/>
    <w:rsid w:val="008A521C"/>
    <w:rsid w:val="008A5403"/>
    <w:rsid w:val="008A54C0"/>
    <w:rsid w:val="008A6367"/>
    <w:rsid w:val="008A7765"/>
    <w:rsid w:val="008A7777"/>
    <w:rsid w:val="008B01BA"/>
    <w:rsid w:val="008B02EA"/>
    <w:rsid w:val="008B219D"/>
    <w:rsid w:val="008B286B"/>
    <w:rsid w:val="008B2CCC"/>
    <w:rsid w:val="008B2F4D"/>
    <w:rsid w:val="008B389B"/>
    <w:rsid w:val="008B3CF2"/>
    <w:rsid w:val="008B4685"/>
    <w:rsid w:val="008B4975"/>
    <w:rsid w:val="008B4CC8"/>
    <w:rsid w:val="008B539E"/>
    <w:rsid w:val="008B5651"/>
    <w:rsid w:val="008B5FDE"/>
    <w:rsid w:val="008B6C87"/>
    <w:rsid w:val="008C0096"/>
    <w:rsid w:val="008C032A"/>
    <w:rsid w:val="008C062F"/>
    <w:rsid w:val="008C1978"/>
    <w:rsid w:val="008C41F1"/>
    <w:rsid w:val="008C4432"/>
    <w:rsid w:val="008C4654"/>
    <w:rsid w:val="008C5B4D"/>
    <w:rsid w:val="008C6492"/>
    <w:rsid w:val="008C6661"/>
    <w:rsid w:val="008C791D"/>
    <w:rsid w:val="008D1AB5"/>
    <w:rsid w:val="008D27A7"/>
    <w:rsid w:val="008D2C85"/>
    <w:rsid w:val="008D2CBF"/>
    <w:rsid w:val="008D39B6"/>
    <w:rsid w:val="008D3FD2"/>
    <w:rsid w:val="008D4A20"/>
    <w:rsid w:val="008D4AC2"/>
    <w:rsid w:val="008D4FD1"/>
    <w:rsid w:val="008D51FD"/>
    <w:rsid w:val="008D6540"/>
    <w:rsid w:val="008D68E1"/>
    <w:rsid w:val="008D69B6"/>
    <w:rsid w:val="008D7E4E"/>
    <w:rsid w:val="008D7EDA"/>
    <w:rsid w:val="008E0A02"/>
    <w:rsid w:val="008E13D5"/>
    <w:rsid w:val="008E1DAB"/>
    <w:rsid w:val="008E27E7"/>
    <w:rsid w:val="008E2F57"/>
    <w:rsid w:val="008E3499"/>
    <w:rsid w:val="008E3DEC"/>
    <w:rsid w:val="008E4731"/>
    <w:rsid w:val="008E488A"/>
    <w:rsid w:val="008E4D1C"/>
    <w:rsid w:val="008E4FDE"/>
    <w:rsid w:val="008E5AFB"/>
    <w:rsid w:val="008E731A"/>
    <w:rsid w:val="008E77AE"/>
    <w:rsid w:val="008E782A"/>
    <w:rsid w:val="008F0612"/>
    <w:rsid w:val="008F16F4"/>
    <w:rsid w:val="008F1ACA"/>
    <w:rsid w:val="008F2513"/>
    <w:rsid w:val="008F264C"/>
    <w:rsid w:val="008F31C0"/>
    <w:rsid w:val="008F4362"/>
    <w:rsid w:val="008F4780"/>
    <w:rsid w:val="008F4DE0"/>
    <w:rsid w:val="008F4E77"/>
    <w:rsid w:val="008F545F"/>
    <w:rsid w:val="008F5A6B"/>
    <w:rsid w:val="009000D8"/>
    <w:rsid w:val="00900287"/>
    <w:rsid w:val="009002D1"/>
    <w:rsid w:val="009002F1"/>
    <w:rsid w:val="0090042F"/>
    <w:rsid w:val="009016D8"/>
    <w:rsid w:val="009019A4"/>
    <w:rsid w:val="00902E26"/>
    <w:rsid w:val="00904738"/>
    <w:rsid w:val="0090591A"/>
    <w:rsid w:val="00906735"/>
    <w:rsid w:val="00906ED0"/>
    <w:rsid w:val="00907677"/>
    <w:rsid w:val="009077D1"/>
    <w:rsid w:val="00907903"/>
    <w:rsid w:val="009126B2"/>
    <w:rsid w:val="009130A2"/>
    <w:rsid w:val="0091322D"/>
    <w:rsid w:val="00913691"/>
    <w:rsid w:val="00914981"/>
    <w:rsid w:val="00914CD5"/>
    <w:rsid w:val="0091607E"/>
    <w:rsid w:val="00917092"/>
    <w:rsid w:val="00920B67"/>
    <w:rsid w:val="00921664"/>
    <w:rsid w:val="00921FB2"/>
    <w:rsid w:val="0092238D"/>
    <w:rsid w:val="00922AFC"/>
    <w:rsid w:val="00924625"/>
    <w:rsid w:val="00925FD8"/>
    <w:rsid w:val="009271DC"/>
    <w:rsid w:val="00927819"/>
    <w:rsid w:val="00927ACA"/>
    <w:rsid w:val="00927C65"/>
    <w:rsid w:val="00927E41"/>
    <w:rsid w:val="00931213"/>
    <w:rsid w:val="0093192A"/>
    <w:rsid w:val="00932F22"/>
    <w:rsid w:val="00933494"/>
    <w:rsid w:val="00933F25"/>
    <w:rsid w:val="0093448E"/>
    <w:rsid w:val="009347C9"/>
    <w:rsid w:val="00935779"/>
    <w:rsid w:val="00936842"/>
    <w:rsid w:val="009401DF"/>
    <w:rsid w:val="00940625"/>
    <w:rsid w:val="00941150"/>
    <w:rsid w:val="009420E9"/>
    <w:rsid w:val="00942FEE"/>
    <w:rsid w:val="009434A1"/>
    <w:rsid w:val="0094350E"/>
    <w:rsid w:val="00943FD0"/>
    <w:rsid w:val="00944D69"/>
    <w:rsid w:val="009455CB"/>
    <w:rsid w:val="00945FB1"/>
    <w:rsid w:val="00946459"/>
    <w:rsid w:val="00946842"/>
    <w:rsid w:val="00946848"/>
    <w:rsid w:val="00946927"/>
    <w:rsid w:val="00950314"/>
    <w:rsid w:val="00950950"/>
    <w:rsid w:val="009509D2"/>
    <w:rsid w:val="00950ADC"/>
    <w:rsid w:val="00950EB7"/>
    <w:rsid w:val="0095133D"/>
    <w:rsid w:val="009529C4"/>
    <w:rsid w:val="00953838"/>
    <w:rsid w:val="00953D17"/>
    <w:rsid w:val="00953FA5"/>
    <w:rsid w:val="00954B11"/>
    <w:rsid w:val="00955124"/>
    <w:rsid w:val="00957378"/>
    <w:rsid w:val="009579B0"/>
    <w:rsid w:val="00957C0A"/>
    <w:rsid w:val="00957D40"/>
    <w:rsid w:val="00957FC6"/>
    <w:rsid w:val="009604C8"/>
    <w:rsid w:val="009608D8"/>
    <w:rsid w:val="00960BC6"/>
    <w:rsid w:val="009615DE"/>
    <w:rsid w:val="0096174B"/>
    <w:rsid w:val="0096227E"/>
    <w:rsid w:val="0096231C"/>
    <w:rsid w:val="009625D4"/>
    <w:rsid w:val="0096287F"/>
    <w:rsid w:val="00963559"/>
    <w:rsid w:val="009644AE"/>
    <w:rsid w:val="0096472F"/>
    <w:rsid w:val="009649F0"/>
    <w:rsid w:val="00964DC2"/>
    <w:rsid w:val="00965462"/>
    <w:rsid w:val="00966727"/>
    <w:rsid w:val="009668B9"/>
    <w:rsid w:val="009669C9"/>
    <w:rsid w:val="009676AC"/>
    <w:rsid w:val="009677DD"/>
    <w:rsid w:val="0097106A"/>
    <w:rsid w:val="009719EF"/>
    <w:rsid w:val="00972877"/>
    <w:rsid w:val="009728E5"/>
    <w:rsid w:val="00973189"/>
    <w:rsid w:val="00973CFC"/>
    <w:rsid w:val="009740EF"/>
    <w:rsid w:val="00974F71"/>
    <w:rsid w:val="0097510D"/>
    <w:rsid w:val="00975541"/>
    <w:rsid w:val="00976205"/>
    <w:rsid w:val="009773E2"/>
    <w:rsid w:val="009775D5"/>
    <w:rsid w:val="009779B4"/>
    <w:rsid w:val="00977DAF"/>
    <w:rsid w:val="00977F18"/>
    <w:rsid w:val="00980167"/>
    <w:rsid w:val="009814E2"/>
    <w:rsid w:val="00981813"/>
    <w:rsid w:val="009828B9"/>
    <w:rsid w:val="00982BE3"/>
    <w:rsid w:val="00983035"/>
    <w:rsid w:val="00983486"/>
    <w:rsid w:val="0098644A"/>
    <w:rsid w:val="00986B2C"/>
    <w:rsid w:val="00987AA5"/>
    <w:rsid w:val="009908EB"/>
    <w:rsid w:val="009920AF"/>
    <w:rsid w:val="0099265A"/>
    <w:rsid w:val="0099307F"/>
    <w:rsid w:val="0099335C"/>
    <w:rsid w:val="00993648"/>
    <w:rsid w:val="00993CE0"/>
    <w:rsid w:val="009942A6"/>
    <w:rsid w:val="00994965"/>
    <w:rsid w:val="00995611"/>
    <w:rsid w:val="00996A80"/>
    <w:rsid w:val="00996E47"/>
    <w:rsid w:val="009978FB"/>
    <w:rsid w:val="0099797D"/>
    <w:rsid w:val="00997EA2"/>
    <w:rsid w:val="009A1095"/>
    <w:rsid w:val="009A3139"/>
    <w:rsid w:val="009A32BF"/>
    <w:rsid w:val="009A3595"/>
    <w:rsid w:val="009A4245"/>
    <w:rsid w:val="009A4E79"/>
    <w:rsid w:val="009A51B3"/>
    <w:rsid w:val="009A5FDC"/>
    <w:rsid w:val="009A6F20"/>
    <w:rsid w:val="009A74F2"/>
    <w:rsid w:val="009B0455"/>
    <w:rsid w:val="009B24AD"/>
    <w:rsid w:val="009B29DC"/>
    <w:rsid w:val="009B3DCD"/>
    <w:rsid w:val="009B438E"/>
    <w:rsid w:val="009B474D"/>
    <w:rsid w:val="009B4BAE"/>
    <w:rsid w:val="009B50DC"/>
    <w:rsid w:val="009B581B"/>
    <w:rsid w:val="009B60D4"/>
    <w:rsid w:val="009B613B"/>
    <w:rsid w:val="009B6504"/>
    <w:rsid w:val="009B6FBE"/>
    <w:rsid w:val="009B78C7"/>
    <w:rsid w:val="009B7B00"/>
    <w:rsid w:val="009C0A0C"/>
    <w:rsid w:val="009C184D"/>
    <w:rsid w:val="009C24FE"/>
    <w:rsid w:val="009C2F76"/>
    <w:rsid w:val="009C39E2"/>
    <w:rsid w:val="009C4CF1"/>
    <w:rsid w:val="009C5905"/>
    <w:rsid w:val="009C6A49"/>
    <w:rsid w:val="009C70AA"/>
    <w:rsid w:val="009D00B2"/>
    <w:rsid w:val="009D0359"/>
    <w:rsid w:val="009D23D8"/>
    <w:rsid w:val="009D254D"/>
    <w:rsid w:val="009D2594"/>
    <w:rsid w:val="009D2C57"/>
    <w:rsid w:val="009D2FE8"/>
    <w:rsid w:val="009D3C42"/>
    <w:rsid w:val="009D4959"/>
    <w:rsid w:val="009D4BF1"/>
    <w:rsid w:val="009D4C02"/>
    <w:rsid w:val="009D5F52"/>
    <w:rsid w:val="009D664C"/>
    <w:rsid w:val="009D6EB2"/>
    <w:rsid w:val="009D743B"/>
    <w:rsid w:val="009D7BC5"/>
    <w:rsid w:val="009E1109"/>
    <w:rsid w:val="009E11C5"/>
    <w:rsid w:val="009E14FD"/>
    <w:rsid w:val="009E1E45"/>
    <w:rsid w:val="009E3556"/>
    <w:rsid w:val="009E3E56"/>
    <w:rsid w:val="009E441B"/>
    <w:rsid w:val="009E5017"/>
    <w:rsid w:val="009E58BD"/>
    <w:rsid w:val="009E5C80"/>
    <w:rsid w:val="009E5CFC"/>
    <w:rsid w:val="009E675A"/>
    <w:rsid w:val="009E692F"/>
    <w:rsid w:val="009E69C8"/>
    <w:rsid w:val="009E73BB"/>
    <w:rsid w:val="009E7438"/>
    <w:rsid w:val="009F162B"/>
    <w:rsid w:val="009F1E9E"/>
    <w:rsid w:val="009F2049"/>
    <w:rsid w:val="009F223F"/>
    <w:rsid w:val="009F2998"/>
    <w:rsid w:val="009F2C75"/>
    <w:rsid w:val="009F2D2C"/>
    <w:rsid w:val="009F35CE"/>
    <w:rsid w:val="009F3AC6"/>
    <w:rsid w:val="009F447A"/>
    <w:rsid w:val="009F498C"/>
    <w:rsid w:val="009F58B8"/>
    <w:rsid w:val="009F6446"/>
    <w:rsid w:val="009F77B0"/>
    <w:rsid w:val="009F7D6C"/>
    <w:rsid w:val="00A0032A"/>
    <w:rsid w:val="00A0058B"/>
    <w:rsid w:val="00A0091B"/>
    <w:rsid w:val="00A0120B"/>
    <w:rsid w:val="00A01421"/>
    <w:rsid w:val="00A01510"/>
    <w:rsid w:val="00A0179C"/>
    <w:rsid w:val="00A01C86"/>
    <w:rsid w:val="00A01EFE"/>
    <w:rsid w:val="00A01F11"/>
    <w:rsid w:val="00A02D5F"/>
    <w:rsid w:val="00A02EC5"/>
    <w:rsid w:val="00A0393C"/>
    <w:rsid w:val="00A039F9"/>
    <w:rsid w:val="00A05695"/>
    <w:rsid w:val="00A058F1"/>
    <w:rsid w:val="00A05F81"/>
    <w:rsid w:val="00A06AA1"/>
    <w:rsid w:val="00A06B7E"/>
    <w:rsid w:val="00A077E3"/>
    <w:rsid w:val="00A10F37"/>
    <w:rsid w:val="00A116AB"/>
    <w:rsid w:val="00A11876"/>
    <w:rsid w:val="00A1215E"/>
    <w:rsid w:val="00A1262A"/>
    <w:rsid w:val="00A1267D"/>
    <w:rsid w:val="00A142D8"/>
    <w:rsid w:val="00A15A5F"/>
    <w:rsid w:val="00A15FE2"/>
    <w:rsid w:val="00A16318"/>
    <w:rsid w:val="00A17228"/>
    <w:rsid w:val="00A175B6"/>
    <w:rsid w:val="00A17A6A"/>
    <w:rsid w:val="00A2163A"/>
    <w:rsid w:val="00A2238E"/>
    <w:rsid w:val="00A2257A"/>
    <w:rsid w:val="00A22A47"/>
    <w:rsid w:val="00A23055"/>
    <w:rsid w:val="00A23621"/>
    <w:rsid w:val="00A23698"/>
    <w:rsid w:val="00A26F21"/>
    <w:rsid w:val="00A2722D"/>
    <w:rsid w:val="00A27447"/>
    <w:rsid w:val="00A307A3"/>
    <w:rsid w:val="00A3094D"/>
    <w:rsid w:val="00A31255"/>
    <w:rsid w:val="00A3159C"/>
    <w:rsid w:val="00A3231E"/>
    <w:rsid w:val="00A32402"/>
    <w:rsid w:val="00A3281F"/>
    <w:rsid w:val="00A32835"/>
    <w:rsid w:val="00A33392"/>
    <w:rsid w:val="00A33C13"/>
    <w:rsid w:val="00A35410"/>
    <w:rsid w:val="00A35DAE"/>
    <w:rsid w:val="00A36050"/>
    <w:rsid w:val="00A36F09"/>
    <w:rsid w:val="00A372F1"/>
    <w:rsid w:val="00A378E8"/>
    <w:rsid w:val="00A37B74"/>
    <w:rsid w:val="00A40F22"/>
    <w:rsid w:val="00A415A9"/>
    <w:rsid w:val="00A42F6D"/>
    <w:rsid w:val="00A43243"/>
    <w:rsid w:val="00A43857"/>
    <w:rsid w:val="00A43B29"/>
    <w:rsid w:val="00A44522"/>
    <w:rsid w:val="00A44578"/>
    <w:rsid w:val="00A445AF"/>
    <w:rsid w:val="00A451A4"/>
    <w:rsid w:val="00A45A11"/>
    <w:rsid w:val="00A46C6F"/>
    <w:rsid w:val="00A46DFA"/>
    <w:rsid w:val="00A479C2"/>
    <w:rsid w:val="00A47ECF"/>
    <w:rsid w:val="00A501CA"/>
    <w:rsid w:val="00A5029C"/>
    <w:rsid w:val="00A51947"/>
    <w:rsid w:val="00A51C1B"/>
    <w:rsid w:val="00A51FDD"/>
    <w:rsid w:val="00A52D80"/>
    <w:rsid w:val="00A535A0"/>
    <w:rsid w:val="00A53F69"/>
    <w:rsid w:val="00A556BA"/>
    <w:rsid w:val="00A55F0A"/>
    <w:rsid w:val="00A56017"/>
    <w:rsid w:val="00A56687"/>
    <w:rsid w:val="00A57412"/>
    <w:rsid w:val="00A5764D"/>
    <w:rsid w:val="00A57931"/>
    <w:rsid w:val="00A579B7"/>
    <w:rsid w:val="00A600F6"/>
    <w:rsid w:val="00A6077D"/>
    <w:rsid w:val="00A61ACF"/>
    <w:rsid w:val="00A6214D"/>
    <w:rsid w:val="00A6252C"/>
    <w:rsid w:val="00A62534"/>
    <w:rsid w:val="00A62A5F"/>
    <w:rsid w:val="00A63408"/>
    <w:rsid w:val="00A6384F"/>
    <w:rsid w:val="00A63859"/>
    <w:rsid w:val="00A646A2"/>
    <w:rsid w:val="00A649DE"/>
    <w:rsid w:val="00A656A9"/>
    <w:rsid w:val="00A65983"/>
    <w:rsid w:val="00A65C4B"/>
    <w:rsid w:val="00A65F01"/>
    <w:rsid w:val="00A66783"/>
    <w:rsid w:val="00A673D0"/>
    <w:rsid w:val="00A677BB"/>
    <w:rsid w:val="00A705AA"/>
    <w:rsid w:val="00A70D1B"/>
    <w:rsid w:val="00A70DA8"/>
    <w:rsid w:val="00A71334"/>
    <w:rsid w:val="00A72955"/>
    <w:rsid w:val="00A72B38"/>
    <w:rsid w:val="00A72B92"/>
    <w:rsid w:val="00A73552"/>
    <w:rsid w:val="00A7436E"/>
    <w:rsid w:val="00A74668"/>
    <w:rsid w:val="00A74DBC"/>
    <w:rsid w:val="00A75B20"/>
    <w:rsid w:val="00A75B2E"/>
    <w:rsid w:val="00A75FE0"/>
    <w:rsid w:val="00A7636D"/>
    <w:rsid w:val="00A76785"/>
    <w:rsid w:val="00A76B5D"/>
    <w:rsid w:val="00A76B98"/>
    <w:rsid w:val="00A76C75"/>
    <w:rsid w:val="00A776DA"/>
    <w:rsid w:val="00A80364"/>
    <w:rsid w:val="00A809A9"/>
    <w:rsid w:val="00A81C07"/>
    <w:rsid w:val="00A821D3"/>
    <w:rsid w:val="00A82628"/>
    <w:rsid w:val="00A83202"/>
    <w:rsid w:val="00A84F74"/>
    <w:rsid w:val="00A85764"/>
    <w:rsid w:val="00A85AA4"/>
    <w:rsid w:val="00A8600D"/>
    <w:rsid w:val="00A86734"/>
    <w:rsid w:val="00A8698F"/>
    <w:rsid w:val="00A86D7A"/>
    <w:rsid w:val="00A872A4"/>
    <w:rsid w:val="00A9002C"/>
    <w:rsid w:val="00A9068D"/>
    <w:rsid w:val="00A910DD"/>
    <w:rsid w:val="00A91805"/>
    <w:rsid w:val="00A91AF5"/>
    <w:rsid w:val="00A91DEC"/>
    <w:rsid w:val="00A92EB8"/>
    <w:rsid w:val="00A93D57"/>
    <w:rsid w:val="00A93F6F"/>
    <w:rsid w:val="00A94D2B"/>
    <w:rsid w:val="00A957E0"/>
    <w:rsid w:val="00A95CDA"/>
    <w:rsid w:val="00A96194"/>
    <w:rsid w:val="00A97126"/>
    <w:rsid w:val="00A97BB0"/>
    <w:rsid w:val="00AA01B1"/>
    <w:rsid w:val="00AA0306"/>
    <w:rsid w:val="00AA06B2"/>
    <w:rsid w:val="00AA0BD0"/>
    <w:rsid w:val="00AA119C"/>
    <w:rsid w:val="00AA1B48"/>
    <w:rsid w:val="00AA3844"/>
    <w:rsid w:val="00AA4DF6"/>
    <w:rsid w:val="00AA55C7"/>
    <w:rsid w:val="00AA5A9A"/>
    <w:rsid w:val="00AB0235"/>
    <w:rsid w:val="00AB028D"/>
    <w:rsid w:val="00AB060E"/>
    <w:rsid w:val="00AB0F67"/>
    <w:rsid w:val="00AB3042"/>
    <w:rsid w:val="00AB377C"/>
    <w:rsid w:val="00AB4D4A"/>
    <w:rsid w:val="00AB5DA6"/>
    <w:rsid w:val="00AB5F78"/>
    <w:rsid w:val="00AB6096"/>
    <w:rsid w:val="00AB65E3"/>
    <w:rsid w:val="00AC02A5"/>
    <w:rsid w:val="00AC1229"/>
    <w:rsid w:val="00AC1307"/>
    <w:rsid w:val="00AC14C1"/>
    <w:rsid w:val="00AC1BD3"/>
    <w:rsid w:val="00AC2ED9"/>
    <w:rsid w:val="00AC3127"/>
    <w:rsid w:val="00AC3759"/>
    <w:rsid w:val="00AC3E2A"/>
    <w:rsid w:val="00AC3E4C"/>
    <w:rsid w:val="00AC514B"/>
    <w:rsid w:val="00AC5500"/>
    <w:rsid w:val="00AC5A03"/>
    <w:rsid w:val="00AC5E57"/>
    <w:rsid w:val="00AC5FC0"/>
    <w:rsid w:val="00AC7681"/>
    <w:rsid w:val="00AC7C81"/>
    <w:rsid w:val="00AD1069"/>
    <w:rsid w:val="00AD1656"/>
    <w:rsid w:val="00AD1D63"/>
    <w:rsid w:val="00AD2EA0"/>
    <w:rsid w:val="00AD38CA"/>
    <w:rsid w:val="00AD3EE6"/>
    <w:rsid w:val="00AD3FE4"/>
    <w:rsid w:val="00AD490F"/>
    <w:rsid w:val="00AD5048"/>
    <w:rsid w:val="00AD56F7"/>
    <w:rsid w:val="00AD5C49"/>
    <w:rsid w:val="00AD5CCB"/>
    <w:rsid w:val="00AD6348"/>
    <w:rsid w:val="00AD771E"/>
    <w:rsid w:val="00AE067E"/>
    <w:rsid w:val="00AE0F52"/>
    <w:rsid w:val="00AE19FA"/>
    <w:rsid w:val="00AE213F"/>
    <w:rsid w:val="00AE2966"/>
    <w:rsid w:val="00AE314F"/>
    <w:rsid w:val="00AE470A"/>
    <w:rsid w:val="00AE5769"/>
    <w:rsid w:val="00AE6A90"/>
    <w:rsid w:val="00AE6FDF"/>
    <w:rsid w:val="00AE7A2D"/>
    <w:rsid w:val="00AF0C1D"/>
    <w:rsid w:val="00AF0C67"/>
    <w:rsid w:val="00AF1120"/>
    <w:rsid w:val="00AF1DD8"/>
    <w:rsid w:val="00AF1DEB"/>
    <w:rsid w:val="00AF2F62"/>
    <w:rsid w:val="00AF3A87"/>
    <w:rsid w:val="00AF417F"/>
    <w:rsid w:val="00AF4650"/>
    <w:rsid w:val="00AF4C89"/>
    <w:rsid w:val="00AF54C3"/>
    <w:rsid w:val="00AF580D"/>
    <w:rsid w:val="00AF5929"/>
    <w:rsid w:val="00AF5A05"/>
    <w:rsid w:val="00AF5A87"/>
    <w:rsid w:val="00AF5D16"/>
    <w:rsid w:val="00AF608C"/>
    <w:rsid w:val="00AF751A"/>
    <w:rsid w:val="00AF7F25"/>
    <w:rsid w:val="00B003AB"/>
    <w:rsid w:val="00B00B08"/>
    <w:rsid w:val="00B01142"/>
    <w:rsid w:val="00B02668"/>
    <w:rsid w:val="00B02684"/>
    <w:rsid w:val="00B02B72"/>
    <w:rsid w:val="00B03352"/>
    <w:rsid w:val="00B03A83"/>
    <w:rsid w:val="00B04536"/>
    <w:rsid w:val="00B048A5"/>
    <w:rsid w:val="00B05322"/>
    <w:rsid w:val="00B0551D"/>
    <w:rsid w:val="00B05527"/>
    <w:rsid w:val="00B05922"/>
    <w:rsid w:val="00B06A47"/>
    <w:rsid w:val="00B06D6B"/>
    <w:rsid w:val="00B06D83"/>
    <w:rsid w:val="00B07199"/>
    <w:rsid w:val="00B072C7"/>
    <w:rsid w:val="00B072D5"/>
    <w:rsid w:val="00B10412"/>
    <w:rsid w:val="00B10D32"/>
    <w:rsid w:val="00B114A7"/>
    <w:rsid w:val="00B12C9A"/>
    <w:rsid w:val="00B14943"/>
    <w:rsid w:val="00B149DD"/>
    <w:rsid w:val="00B14BAF"/>
    <w:rsid w:val="00B15DB3"/>
    <w:rsid w:val="00B16F04"/>
    <w:rsid w:val="00B17A2B"/>
    <w:rsid w:val="00B2029A"/>
    <w:rsid w:val="00B21030"/>
    <w:rsid w:val="00B214A5"/>
    <w:rsid w:val="00B21A76"/>
    <w:rsid w:val="00B21D01"/>
    <w:rsid w:val="00B22227"/>
    <w:rsid w:val="00B22257"/>
    <w:rsid w:val="00B2336D"/>
    <w:rsid w:val="00B234F1"/>
    <w:rsid w:val="00B2381D"/>
    <w:rsid w:val="00B247BC"/>
    <w:rsid w:val="00B254BB"/>
    <w:rsid w:val="00B27A67"/>
    <w:rsid w:val="00B27CD8"/>
    <w:rsid w:val="00B30489"/>
    <w:rsid w:val="00B32794"/>
    <w:rsid w:val="00B33364"/>
    <w:rsid w:val="00B33E08"/>
    <w:rsid w:val="00B33F17"/>
    <w:rsid w:val="00B35AE0"/>
    <w:rsid w:val="00B360D6"/>
    <w:rsid w:val="00B36249"/>
    <w:rsid w:val="00B36D8F"/>
    <w:rsid w:val="00B41569"/>
    <w:rsid w:val="00B41621"/>
    <w:rsid w:val="00B42F33"/>
    <w:rsid w:val="00B4308F"/>
    <w:rsid w:val="00B453D6"/>
    <w:rsid w:val="00B45626"/>
    <w:rsid w:val="00B45903"/>
    <w:rsid w:val="00B46CA8"/>
    <w:rsid w:val="00B47586"/>
    <w:rsid w:val="00B475BE"/>
    <w:rsid w:val="00B47A61"/>
    <w:rsid w:val="00B503EC"/>
    <w:rsid w:val="00B5066E"/>
    <w:rsid w:val="00B5137B"/>
    <w:rsid w:val="00B516F8"/>
    <w:rsid w:val="00B5242F"/>
    <w:rsid w:val="00B52D5C"/>
    <w:rsid w:val="00B52DEF"/>
    <w:rsid w:val="00B52F0F"/>
    <w:rsid w:val="00B52F10"/>
    <w:rsid w:val="00B54215"/>
    <w:rsid w:val="00B565FE"/>
    <w:rsid w:val="00B56CE4"/>
    <w:rsid w:val="00B60DAD"/>
    <w:rsid w:val="00B621E7"/>
    <w:rsid w:val="00B64BB5"/>
    <w:rsid w:val="00B64E0F"/>
    <w:rsid w:val="00B6521B"/>
    <w:rsid w:val="00B65223"/>
    <w:rsid w:val="00B65295"/>
    <w:rsid w:val="00B6591B"/>
    <w:rsid w:val="00B66357"/>
    <w:rsid w:val="00B6691A"/>
    <w:rsid w:val="00B673ED"/>
    <w:rsid w:val="00B71188"/>
    <w:rsid w:val="00B72BAD"/>
    <w:rsid w:val="00B73327"/>
    <w:rsid w:val="00B735D2"/>
    <w:rsid w:val="00B7360E"/>
    <w:rsid w:val="00B73EF2"/>
    <w:rsid w:val="00B743C4"/>
    <w:rsid w:val="00B74A24"/>
    <w:rsid w:val="00B76804"/>
    <w:rsid w:val="00B76AAF"/>
    <w:rsid w:val="00B76C6F"/>
    <w:rsid w:val="00B80669"/>
    <w:rsid w:val="00B80717"/>
    <w:rsid w:val="00B80B67"/>
    <w:rsid w:val="00B80FAB"/>
    <w:rsid w:val="00B81352"/>
    <w:rsid w:val="00B815E4"/>
    <w:rsid w:val="00B82812"/>
    <w:rsid w:val="00B82BC5"/>
    <w:rsid w:val="00B8319F"/>
    <w:rsid w:val="00B832CD"/>
    <w:rsid w:val="00B83720"/>
    <w:rsid w:val="00B83BFF"/>
    <w:rsid w:val="00B840B2"/>
    <w:rsid w:val="00B84F0E"/>
    <w:rsid w:val="00B8528E"/>
    <w:rsid w:val="00B85764"/>
    <w:rsid w:val="00B85DFC"/>
    <w:rsid w:val="00B86628"/>
    <w:rsid w:val="00B907FC"/>
    <w:rsid w:val="00B90832"/>
    <w:rsid w:val="00B9092C"/>
    <w:rsid w:val="00B91E59"/>
    <w:rsid w:val="00B92B06"/>
    <w:rsid w:val="00B92C7E"/>
    <w:rsid w:val="00B92EEF"/>
    <w:rsid w:val="00B9378F"/>
    <w:rsid w:val="00B9520D"/>
    <w:rsid w:val="00B9589C"/>
    <w:rsid w:val="00B968E0"/>
    <w:rsid w:val="00BA01BE"/>
    <w:rsid w:val="00BA03D8"/>
    <w:rsid w:val="00BA0A3F"/>
    <w:rsid w:val="00BA0E03"/>
    <w:rsid w:val="00BA184B"/>
    <w:rsid w:val="00BA1BD2"/>
    <w:rsid w:val="00BA2A79"/>
    <w:rsid w:val="00BA31BB"/>
    <w:rsid w:val="00BA4138"/>
    <w:rsid w:val="00BA4243"/>
    <w:rsid w:val="00BA44DE"/>
    <w:rsid w:val="00BA5ED2"/>
    <w:rsid w:val="00BA6ED4"/>
    <w:rsid w:val="00BA7631"/>
    <w:rsid w:val="00BA7779"/>
    <w:rsid w:val="00BA7F69"/>
    <w:rsid w:val="00BB0BBE"/>
    <w:rsid w:val="00BB10DC"/>
    <w:rsid w:val="00BB11F9"/>
    <w:rsid w:val="00BB1A7B"/>
    <w:rsid w:val="00BB2539"/>
    <w:rsid w:val="00BB26B4"/>
    <w:rsid w:val="00BB2833"/>
    <w:rsid w:val="00BB34AF"/>
    <w:rsid w:val="00BB4A4C"/>
    <w:rsid w:val="00BB5F0C"/>
    <w:rsid w:val="00BB606C"/>
    <w:rsid w:val="00BB6142"/>
    <w:rsid w:val="00BB61CA"/>
    <w:rsid w:val="00BB61FF"/>
    <w:rsid w:val="00BC12E5"/>
    <w:rsid w:val="00BC1325"/>
    <w:rsid w:val="00BC2806"/>
    <w:rsid w:val="00BC2C43"/>
    <w:rsid w:val="00BC346B"/>
    <w:rsid w:val="00BC40A8"/>
    <w:rsid w:val="00BC4441"/>
    <w:rsid w:val="00BC48B8"/>
    <w:rsid w:val="00BC4A22"/>
    <w:rsid w:val="00BC5267"/>
    <w:rsid w:val="00BC638C"/>
    <w:rsid w:val="00BC7E22"/>
    <w:rsid w:val="00BD0E22"/>
    <w:rsid w:val="00BD17AA"/>
    <w:rsid w:val="00BD2905"/>
    <w:rsid w:val="00BD3443"/>
    <w:rsid w:val="00BD38AB"/>
    <w:rsid w:val="00BD4559"/>
    <w:rsid w:val="00BD5881"/>
    <w:rsid w:val="00BD75A0"/>
    <w:rsid w:val="00BD7B43"/>
    <w:rsid w:val="00BD7CF2"/>
    <w:rsid w:val="00BD7CFA"/>
    <w:rsid w:val="00BD7E6C"/>
    <w:rsid w:val="00BE10C2"/>
    <w:rsid w:val="00BE138C"/>
    <w:rsid w:val="00BE157C"/>
    <w:rsid w:val="00BE1748"/>
    <w:rsid w:val="00BE18AB"/>
    <w:rsid w:val="00BE28E8"/>
    <w:rsid w:val="00BE2E3F"/>
    <w:rsid w:val="00BE531B"/>
    <w:rsid w:val="00BE5387"/>
    <w:rsid w:val="00BE7161"/>
    <w:rsid w:val="00BE7982"/>
    <w:rsid w:val="00BF05C9"/>
    <w:rsid w:val="00BF05D6"/>
    <w:rsid w:val="00BF2021"/>
    <w:rsid w:val="00BF22C4"/>
    <w:rsid w:val="00BF260B"/>
    <w:rsid w:val="00BF26B6"/>
    <w:rsid w:val="00BF282B"/>
    <w:rsid w:val="00BF29D0"/>
    <w:rsid w:val="00BF3120"/>
    <w:rsid w:val="00BF420A"/>
    <w:rsid w:val="00BF4F01"/>
    <w:rsid w:val="00BF529A"/>
    <w:rsid w:val="00BF5CDC"/>
    <w:rsid w:val="00BF5DD0"/>
    <w:rsid w:val="00BF66FE"/>
    <w:rsid w:val="00BF6D9C"/>
    <w:rsid w:val="00C020B2"/>
    <w:rsid w:val="00C032AE"/>
    <w:rsid w:val="00C05EAF"/>
    <w:rsid w:val="00C06359"/>
    <w:rsid w:val="00C07606"/>
    <w:rsid w:val="00C1092A"/>
    <w:rsid w:val="00C10E28"/>
    <w:rsid w:val="00C11395"/>
    <w:rsid w:val="00C1214E"/>
    <w:rsid w:val="00C12ED1"/>
    <w:rsid w:val="00C13145"/>
    <w:rsid w:val="00C14580"/>
    <w:rsid w:val="00C15F06"/>
    <w:rsid w:val="00C16B28"/>
    <w:rsid w:val="00C16FB0"/>
    <w:rsid w:val="00C17C7A"/>
    <w:rsid w:val="00C21A59"/>
    <w:rsid w:val="00C2265B"/>
    <w:rsid w:val="00C2299A"/>
    <w:rsid w:val="00C230F7"/>
    <w:rsid w:val="00C25B93"/>
    <w:rsid w:val="00C26FA7"/>
    <w:rsid w:val="00C277A4"/>
    <w:rsid w:val="00C27C88"/>
    <w:rsid w:val="00C27D24"/>
    <w:rsid w:val="00C30937"/>
    <w:rsid w:val="00C30F4A"/>
    <w:rsid w:val="00C3168E"/>
    <w:rsid w:val="00C31C95"/>
    <w:rsid w:val="00C31D7F"/>
    <w:rsid w:val="00C31FDC"/>
    <w:rsid w:val="00C333AF"/>
    <w:rsid w:val="00C353C4"/>
    <w:rsid w:val="00C35665"/>
    <w:rsid w:val="00C359E7"/>
    <w:rsid w:val="00C36B9F"/>
    <w:rsid w:val="00C36FD2"/>
    <w:rsid w:val="00C370F7"/>
    <w:rsid w:val="00C4156E"/>
    <w:rsid w:val="00C41DFE"/>
    <w:rsid w:val="00C41E4E"/>
    <w:rsid w:val="00C41F32"/>
    <w:rsid w:val="00C43FAE"/>
    <w:rsid w:val="00C44290"/>
    <w:rsid w:val="00C45E7D"/>
    <w:rsid w:val="00C463D3"/>
    <w:rsid w:val="00C46552"/>
    <w:rsid w:val="00C50DBE"/>
    <w:rsid w:val="00C52E9E"/>
    <w:rsid w:val="00C532EB"/>
    <w:rsid w:val="00C53BBD"/>
    <w:rsid w:val="00C5498D"/>
    <w:rsid w:val="00C54C8C"/>
    <w:rsid w:val="00C55A36"/>
    <w:rsid w:val="00C5731D"/>
    <w:rsid w:val="00C57466"/>
    <w:rsid w:val="00C57600"/>
    <w:rsid w:val="00C57786"/>
    <w:rsid w:val="00C604E7"/>
    <w:rsid w:val="00C6109E"/>
    <w:rsid w:val="00C61F48"/>
    <w:rsid w:val="00C63340"/>
    <w:rsid w:val="00C6419C"/>
    <w:rsid w:val="00C64811"/>
    <w:rsid w:val="00C648A1"/>
    <w:rsid w:val="00C65111"/>
    <w:rsid w:val="00C660C0"/>
    <w:rsid w:val="00C66286"/>
    <w:rsid w:val="00C67B5E"/>
    <w:rsid w:val="00C67C32"/>
    <w:rsid w:val="00C70CC0"/>
    <w:rsid w:val="00C70DA3"/>
    <w:rsid w:val="00C70DDE"/>
    <w:rsid w:val="00C70F25"/>
    <w:rsid w:val="00C714EA"/>
    <w:rsid w:val="00C72140"/>
    <w:rsid w:val="00C730B1"/>
    <w:rsid w:val="00C73369"/>
    <w:rsid w:val="00C738B9"/>
    <w:rsid w:val="00C73E0C"/>
    <w:rsid w:val="00C74597"/>
    <w:rsid w:val="00C75948"/>
    <w:rsid w:val="00C7657B"/>
    <w:rsid w:val="00C76F18"/>
    <w:rsid w:val="00C80790"/>
    <w:rsid w:val="00C80849"/>
    <w:rsid w:val="00C80917"/>
    <w:rsid w:val="00C80BAE"/>
    <w:rsid w:val="00C80BBF"/>
    <w:rsid w:val="00C81161"/>
    <w:rsid w:val="00C812D4"/>
    <w:rsid w:val="00C82DAD"/>
    <w:rsid w:val="00C841ED"/>
    <w:rsid w:val="00C84A00"/>
    <w:rsid w:val="00C85555"/>
    <w:rsid w:val="00C85EA8"/>
    <w:rsid w:val="00C85F36"/>
    <w:rsid w:val="00C866AD"/>
    <w:rsid w:val="00C900C9"/>
    <w:rsid w:val="00C90138"/>
    <w:rsid w:val="00C90305"/>
    <w:rsid w:val="00C908D2"/>
    <w:rsid w:val="00C90A61"/>
    <w:rsid w:val="00C91F08"/>
    <w:rsid w:val="00C928ED"/>
    <w:rsid w:val="00C92E01"/>
    <w:rsid w:val="00C9305B"/>
    <w:rsid w:val="00C9378A"/>
    <w:rsid w:val="00C93C31"/>
    <w:rsid w:val="00C93E0B"/>
    <w:rsid w:val="00C950DA"/>
    <w:rsid w:val="00C95349"/>
    <w:rsid w:val="00C95581"/>
    <w:rsid w:val="00C9628A"/>
    <w:rsid w:val="00C9656B"/>
    <w:rsid w:val="00C96AD8"/>
    <w:rsid w:val="00C96CBB"/>
    <w:rsid w:val="00CA0444"/>
    <w:rsid w:val="00CA0A77"/>
    <w:rsid w:val="00CA0F41"/>
    <w:rsid w:val="00CA11DE"/>
    <w:rsid w:val="00CA1225"/>
    <w:rsid w:val="00CA1D20"/>
    <w:rsid w:val="00CA229D"/>
    <w:rsid w:val="00CA29FB"/>
    <w:rsid w:val="00CA2EAC"/>
    <w:rsid w:val="00CA36D3"/>
    <w:rsid w:val="00CA396B"/>
    <w:rsid w:val="00CA40A9"/>
    <w:rsid w:val="00CA58E0"/>
    <w:rsid w:val="00CA69B3"/>
    <w:rsid w:val="00CA6A18"/>
    <w:rsid w:val="00CA6E23"/>
    <w:rsid w:val="00CA6F1F"/>
    <w:rsid w:val="00CA7CD3"/>
    <w:rsid w:val="00CB0BA9"/>
    <w:rsid w:val="00CB163A"/>
    <w:rsid w:val="00CB1AF7"/>
    <w:rsid w:val="00CB2E6B"/>
    <w:rsid w:val="00CB387D"/>
    <w:rsid w:val="00CB3BB3"/>
    <w:rsid w:val="00CB3FC4"/>
    <w:rsid w:val="00CB405D"/>
    <w:rsid w:val="00CB459F"/>
    <w:rsid w:val="00CB7B5E"/>
    <w:rsid w:val="00CB7D7A"/>
    <w:rsid w:val="00CC0232"/>
    <w:rsid w:val="00CC0822"/>
    <w:rsid w:val="00CC2401"/>
    <w:rsid w:val="00CC46A1"/>
    <w:rsid w:val="00CC4A2E"/>
    <w:rsid w:val="00CC4F59"/>
    <w:rsid w:val="00CC55CE"/>
    <w:rsid w:val="00CC5E4F"/>
    <w:rsid w:val="00CC660D"/>
    <w:rsid w:val="00CC6657"/>
    <w:rsid w:val="00CC6B29"/>
    <w:rsid w:val="00CC7388"/>
    <w:rsid w:val="00CC7DCE"/>
    <w:rsid w:val="00CD028C"/>
    <w:rsid w:val="00CD12A1"/>
    <w:rsid w:val="00CD1AE2"/>
    <w:rsid w:val="00CD1C4E"/>
    <w:rsid w:val="00CD34B4"/>
    <w:rsid w:val="00CD4093"/>
    <w:rsid w:val="00CD5B1E"/>
    <w:rsid w:val="00CD61D4"/>
    <w:rsid w:val="00CD63AE"/>
    <w:rsid w:val="00CD6919"/>
    <w:rsid w:val="00CD72F4"/>
    <w:rsid w:val="00CD7C99"/>
    <w:rsid w:val="00CE16A4"/>
    <w:rsid w:val="00CE1D15"/>
    <w:rsid w:val="00CE2A21"/>
    <w:rsid w:val="00CE2B93"/>
    <w:rsid w:val="00CE2C36"/>
    <w:rsid w:val="00CE3155"/>
    <w:rsid w:val="00CE43C1"/>
    <w:rsid w:val="00CE55D8"/>
    <w:rsid w:val="00CE68BA"/>
    <w:rsid w:val="00CE68C6"/>
    <w:rsid w:val="00CE6CFC"/>
    <w:rsid w:val="00CE6D81"/>
    <w:rsid w:val="00CE7001"/>
    <w:rsid w:val="00CF0DFF"/>
    <w:rsid w:val="00CF2210"/>
    <w:rsid w:val="00CF2690"/>
    <w:rsid w:val="00CF2960"/>
    <w:rsid w:val="00CF2C4A"/>
    <w:rsid w:val="00CF2F85"/>
    <w:rsid w:val="00CF3647"/>
    <w:rsid w:val="00CF377F"/>
    <w:rsid w:val="00CF384B"/>
    <w:rsid w:val="00CF41D5"/>
    <w:rsid w:val="00CF423E"/>
    <w:rsid w:val="00CF4D45"/>
    <w:rsid w:val="00CF52C0"/>
    <w:rsid w:val="00CF7AD2"/>
    <w:rsid w:val="00D00229"/>
    <w:rsid w:val="00D0137A"/>
    <w:rsid w:val="00D01F52"/>
    <w:rsid w:val="00D02317"/>
    <w:rsid w:val="00D025E7"/>
    <w:rsid w:val="00D02EA6"/>
    <w:rsid w:val="00D0307C"/>
    <w:rsid w:val="00D03280"/>
    <w:rsid w:val="00D044B8"/>
    <w:rsid w:val="00D0463F"/>
    <w:rsid w:val="00D05B1C"/>
    <w:rsid w:val="00D05BDB"/>
    <w:rsid w:val="00D05EC9"/>
    <w:rsid w:val="00D074A3"/>
    <w:rsid w:val="00D07581"/>
    <w:rsid w:val="00D10A7C"/>
    <w:rsid w:val="00D12B04"/>
    <w:rsid w:val="00D13B10"/>
    <w:rsid w:val="00D14512"/>
    <w:rsid w:val="00D15C18"/>
    <w:rsid w:val="00D15E34"/>
    <w:rsid w:val="00D207BD"/>
    <w:rsid w:val="00D217EF"/>
    <w:rsid w:val="00D21B1D"/>
    <w:rsid w:val="00D21DFC"/>
    <w:rsid w:val="00D2210C"/>
    <w:rsid w:val="00D222B8"/>
    <w:rsid w:val="00D232A7"/>
    <w:rsid w:val="00D23492"/>
    <w:rsid w:val="00D246E6"/>
    <w:rsid w:val="00D24E5A"/>
    <w:rsid w:val="00D25C16"/>
    <w:rsid w:val="00D26A07"/>
    <w:rsid w:val="00D2758A"/>
    <w:rsid w:val="00D27CE8"/>
    <w:rsid w:val="00D317C7"/>
    <w:rsid w:val="00D3195D"/>
    <w:rsid w:val="00D335E8"/>
    <w:rsid w:val="00D33AEC"/>
    <w:rsid w:val="00D34A9A"/>
    <w:rsid w:val="00D34E67"/>
    <w:rsid w:val="00D350B5"/>
    <w:rsid w:val="00D358FB"/>
    <w:rsid w:val="00D35940"/>
    <w:rsid w:val="00D360DC"/>
    <w:rsid w:val="00D371EF"/>
    <w:rsid w:val="00D3734F"/>
    <w:rsid w:val="00D376C1"/>
    <w:rsid w:val="00D378C5"/>
    <w:rsid w:val="00D37FEC"/>
    <w:rsid w:val="00D40262"/>
    <w:rsid w:val="00D42282"/>
    <w:rsid w:val="00D423CC"/>
    <w:rsid w:val="00D427FD"/>
    <w:rsid w:val="00D433CD"/>
    <w:rsid w:val="00D43B42"/>
    <w:rsid w:val="00D43BCF"/>
    <w:rsid w:val="00D44297"/>
    <w:rsid w:val="00D44941"/>
    <w:rsid w:val="00D44E7B"/>
    <w:rsid w:val="00D45109"/>
    <w:rsid w:val="00D469CC"/>
    <w:rsid w:val="00D46A0C"/>
    <w:rsid w:val="00D47909"/>
    <w:rsid w:val="00D47AF3"/>
    <w:rsid w:val="00D50344"/>
    <w:rsid w:val="00D50C24"/>
    <w:rsid w:val="00D51C94"/>
    <w:rsid w:val="00D53B4E"/>
    <w:rsid w:val="00D53C1B"/>
    <w:rsid w:val="00D53DE4"/>
    <w:rsid w:val="00D55110"/>
    <w:rsid w:val="00D56626"/>
    <w:rsid w:val="00D567AB"/>
    <w:rsid w:val="00D56BB8"/>
    <w:rsid w:val="00D573F5"/>
    <w:rsid w:val="00D57BD7"/>
    <w:rsid w:val="00D57E17"/>
    <w:rsid w:val="00D57FF9"/>
    <w:rsid w:val="00D603EB"/>
    <w:rsid w:val="00D61D93"/>
    <w:rsid w:val="00D620B0"/>
    <w:rsid w:val="00D6581E"/>
    <w:rsid w:val="00D660FD"/>
    <w:rsid w:val="00D66999"/>
    <w:rsid w:val="00D677BA"/>
    <w:rsid w:val="00D67EC2"/>
    <w:rsid w:val="00D70155"/>
    <w:rsid w:val="00D70543"/>
    <w:rsid w:val="00D72D0E"/>
    <w:rsid w:val="00D73B73"/>
    <w:rsid w:val="00D7468E"/>
    <w:rsid w:val="00D74A04"/>
    <w:rsid w:val="00D76B62"/>
    <w:rsid w:val="00D76F12"/>
    <w:rsid w:val="00D76FE7"/>
    <w:rsid w:val="00D779AD"/>
    <w:rsid w:val="00D77B71"/>
    <w:rsid w:val="00D77F90"/>
    <w:rsid w:val="00D82A5F"/>
    <w:rsid w:val="00D837E5"/>
    <w:rsid w:val="00D844FC"/>
    <w:rsid w:val="00D84707"/>
    <w:rsid w:val="00D84A5A"/>
    <w:rsid w:val="00D85326"/>
    <w:rsid w:val="00D853EC"/>
    <w:rsid w:val="00D87183"/>
    <w:rsid w:val="00D879B1"/>
    <w:rsid w:val="00D87DA7"/>
    <w:rsid w:val="00D9077B"/>
    <w:rsid w:val="00D909A1"/>
    <w:rsid w:val="00D90CC3"/>
    <w:rsid w:val="00D91132"/>
    <w:rsid w:val="00D915C4"/>
    <w:rsid w:val="00D9257D"/>
    <w:rsid w:val="00D92680"/>
    <w:rsid w:val="00D92A23"/>
    <w:rsid w:val="00D931C4"/>
    <w:rsid w:val="00D933ED"/>
    <w:rsid w:val="00D94214"/>
    <w:rsid w:val="00D950A7"/>
    <w:rsid w:val="00D96210"/>
    <w:rsid w:val="00D97245"/>
    <w:rsid w:val="00D97431"/>
    <w:rsid w:val="00DA0136"/>
    <w:rsid w:val="00DA3CDD"/>
    <w:rsid w:val="00DA3F6C"/>
    <w:rsid w:val="00DA4550"/>
    <w:rsid w:val="00DA4C1C"/>
    <w:rsid w:val="00DA666E"/>
    <w:rsid w:val="00DA7014"/>
    <w:rsid w:val="00DB089C"/>
    <w:rsid w:val="00DB0A81"/>
    <w:rsid w:val="00DB1F12"/>
    <w:rsid w:val="00DB2EE9"/>
    <w:rsid w:val="00DB31AA"/>
    <w:rsid w:val="00DB438A"/>
    <w:rsid w:val="00DB4C84"/>
    <w:rsid w:val="00DB50A5"/>
    <w:rsid w:val="00DB50A7"/>
    <w:rsid w:val="00DB66A3"/>
    <w:rsid w:val="00DB70CD"/>
    <w:rsid w:val="00DB7236"/>
    <w:rsid w:val="00DB7690"/>
    <w:rsid w:val="00DB76BE"/>
    <w:rsid w:val="00DB7F86"/>
    <w:rsid w:val="00DC06E5"/>
    <w:rsid w:val="00DC070B"/>
    <w:rsid w:val="00DC0BE1"/>
    <w:rsid w:val="00DC176E"/>
    <w:rsid w:val="00DC1FEC"/>
    <w:rsid w:val="00DC272B"/>
    <w:rsid w:val="00DC2C9F"/>
    <w:rsid w:val="00DC2D62"/>
    <w:rsid w:val="00DC421D"/>
    <w:rsid w:val="00DC47C9"/>
    <w:rsid w:val="00DC4B73"/>
    <w:rsid w:val="00DC55BA"/>
    <w:rsid w:val="00DC6E6F"/>
    <w:rsid w:val="00DC729B"/>
    <w:rsid w:val="00DD00E8"/>
    <w:rsid w:val="00DD0FA7"/>
    <w:rsid w:val="00DD109E"/>
    <w:rsid w:val="00DD2230"/>
    <w:rsid w:val="00DD254B"/>
    <w:rsid w:val="00DD29BF"/>
    <w:rsid w:val="00DD3146"/>
    <w:rsid w:val="00DD51FD"/>
    <w:rsid w:val="00DD5BC4"/>
    <w:rsid w:val="00DD5DB1"/>
    <w:rsid w:val="00DD636F"/>
    <w:rsid w:val="00DD699A"/>
    <w:rsid w:val="00DE038A"/>
    <w:rsid w:val="00DE14E7"/>
    <w:rsid w:val="00DE199A"/>
    <w:rsid w:val="00DE2808"/>
    <w:rsid w:val="00DE372E"/>
    <w:rsid w:val="00DE4CE7"/>
    <w:rsid w:val="00DE56DD"/>
    <w:rsid w:val="00DE67A4"/>
    <w:rsid w:val="00DE6D62"/>
    <w:rsid w:val="00DE7AD6"/>
    <w:rsid w:val="00DF0225"/>
    <w:rsid w:val="00DF05B6"/>
    <w:rsid w:val="00DF073F"/>
    <w:rsid w:val="00DF198C"/>
    <w:rsid w:val="00DF290D"/>
    <w:rsid w:val="00DF350C"/>
    <w:rsid w:val="00DF3C57"/>
    <w:rsid w:val="00DF3CC1"/>
    <w:rsid w:val="00DF448C"/>
    <w:rsid w:val="00DF4966"/>
    <w:rsid w:val="00DF4B49"/>
    <w:rsid w:val="00DF5CC7"/>
    <w:rsid w:val="00DF600D"/>
    <w:rsid w:val="00DF623F"/>
    <w:rsid w:val="00DF7044"/>
    <w:rsid w:val="00DF7151"/>
    <w:rsid w:val="00DF7A8C"/>
    <w:rsid w:val="00DF7B4E"/>
    <w:rsid w:val="00E00337"/>
    <w:rsid w:val="00E005BB"/>
    <w:rsid w:val="00E00C2C"/>
    <w:rsid w:val="00E0199B"/>
    <w:rsid w:val="00E02067"/>
    <w:rsid w:val="00E02E6F"/>
    <w:rsid w:val="00E04AE7"/>
    <w:rsid w:val="00E04E4F"/>
    <w:rsid w:val="00E04F16"/>
    <w:rsid w:val="00E050EB"/>
    <w:rsid w:val="00E05AE8"/>
    <w:rsid w:val="00E06504"/>
    <w:rsid w:val="00E06CFD"/>
    <w:rsid w:val="00E06EF1"/>
    <w:rsid w:val="00E1004D"/>
    <w:rsid w:val="00E104EC"/>
    <w:rsid w:val="00E11D90"/>
    <w:rsid w:val="00E12451"/>
    <w:rsid w:val="00E12B3D"/>
    <w:rsid w:val="00E13370"/>
    <w:rsid w:val="00E141BB"/>
    <w:rsid w:val="00E148BA"/>
    <w:rsid w:val="00E14F53"/>
    <w:rsid w:val="00E178B4"/>
    <w:rsid w:val="00E20ED0"/>
    <w:rsid w:val="00E2224B"/>
    <w:rsid w:val="00E231E2"/>
    <w:rsid w:val="00E23696"/>
    <w:rsid w:val="00E243C0"/>
    <w:rsid w:val="00E252DB"/>
    <w:rsid w:val="00E257B6"/>
    <w:rsid w:val="00E269A8"/>
    <w:rsid w:val="00E27D46"/>
    <w:rsid w:val="00E30681"/>
    <w:rsid w:val="00E31362"/>
    <w:rsid w:val="00E32285"/>
    <w:rsid w:val="00E35BCC"/>
    <w:rsid w:val="00E35D9E"/>
    <w:rsid w:val="00E37638"/>
    <w:rsid w:val="00E37830"/>
    <w:rsid w:val="00E400FB"/>
    <w:rsid w:val="00E402E5"/>
    <w:rsid w:val="00E4068C"/>
    <w:rsid w:val="00E40A29"/>
    <w:rsid w:val="00E41753"/>
    <w:rsid w:val="00E417BA"/>
    <w:rsid w:val="00E41920"/>
    <w:rsid w:val="00E41A5B"/>
    <w:rsid w:val="00E4326A"/>
    <w:rsid w:val="00E440DB"/>
    <w:rsid w:val="00E44D0B"/>
    <w:rsid w:val="00E44D49"/>
    <w:rsid w:val="00E45D2E"/>
    <w:rsid w:val="00E45D31"/>
    <w:rsid w:val="00E45DB4"/>
    <w:rsid w:val="00E46A92"/>
    <w:rsid w:val="00E47309"/>
    <w:rsid w:val="00E47665"/>
    <w:rsid w:val="00E47677"/>
    <w:rsid w:val="00E47DBE"/>
    <w:rsid w:val="00E502C9"/>
    <w:rsid w:val="00E50DCF"/>
    <w:rsid w:val="00E5111A"/>
    <w:rsid w:val="00E51CD8"/>
    <w:rsid w:val="00E51D02"/>
    <w:rsid w:val="00E52211"/>
    <w:rsid w:val="00E54724"/>
    <w:rsid w:val="00E54773"/>
    <w:rsid w:val="00E54AE4"/>
    <w:rsid w:val="00E5576E"/>
    <w:rsid w:val="00E56E18"/>
    <w:rsid w:val="00E5705F"/>
    <w:rsid w:val="00E575FD"/>
    <w:rsid w:val="00E5792C"/>
    <w:rsid w:val="00E57D5E"/>
    <w:rsid w:val="00E6006E"/>
    <w:rsid w:val="00E62101"/>
    <w:rsid w:val="00E637F4"/>
    <w:rsid w:val="00E63ADE"/>
    <w:rsid w:val="00E647AE"/>
    <w:rsid w:val="00E649AF"/>
    <w:rsid w:val="00E659F4"/>
    <w:rsid w:val="00E662BF"/>
    <w:rsid w:val="00E668F8"/>
    <w:rsid w:val="00E702C1"/>
    <w:rsid w:val="00E70A9F"/>
    <w:rsid w:val="00E71965"/>
    <w:rsid w:val="00E71B91"/>
    <w:rsid w:val="00E733FB"/>
    <w:rsid w:val="00E73466"/>
    <w:rsid w:val="00E7381F"/>
    <w:rsid w:val="00E742F5"/>
    <w:rsid w:val="00E74508"/>
    <w:rsid w:val="00E74CF7"/>
    <w:rsid w:val="00E751F6"/>
    <w:rsid w:val="00E75392"/>
    <w:rsid w:val="00E76830"/>
    <w:rsid w:val="00E76F6E"/>
    <w:rsid w:val="00E77386"/>
    <w:rsid w:val="00E7752B"/>
    <w:rsid w:val="00E803A4"/>
    <w:rsid w:val="00E80F05"/>
    <w:rsid w:val="00E813FB"/>
    <w:rsid w:val="00E81DF8"/>
    <w:rsid w:val="00E82782"/>
    <w:rsid w:val="00E83523"/>
    <w:rsid w:val="00E83D48"/>
    <w:rsid w:val="00E84A9B"/>
    <w:rsid w:val="00E84DB1"/>
    <w:rsid w:val="00E859C4"/>
    <w:rsid w:val="00E877B5"/>
    <w:rsid w:val="00E87975"/>
    <w:rsid w:val="00E9022A"/>
    <w:rsid w:val="00E91762"/>
    <w:rsid w:val="00E92235"/>
    <w:rsid w:val="00E9337C"/>
    <w:rsid w:val="00E9544E"/>
    <w:rsid w:val="00E95E7D"/>
    <w:rsid w:val="00E95F37"/>
    <w:rsid w:val="00E97489"/>
    <w:rsid w:val="00E976B6"/>
    <w:rsid w:val="00E97A5A"/>
    <w:rsid w:val="00EA0974"/>
    <w:rsid w:val="00EA0EEF"/>
    <w:rsid w:val="00EA10A8"/>
    <w:rsid w:val="00EA123D"/>
    <w:rsid w:val="00EA1593"/>
    <w:rsid w:val="00EA1F48"/>
    <w:rsid w:val="00EA28D6"/>
    <w:rsid w:val="00EA29C2"/>
    <w:rsid w:val="00EA39D2"/>
    <w:rsid w:val="00EA3BD2"/>
    <w:rsid w:val="00EA3C8F"/>
    <w:rsid w:val="00EA4041"/>
    <w:rsid w:val="00EA4330"/>
    <w:rsid w:val="00EA442B"/>
    <w:rsid w:val="00EA45A0"/>
    <w:rsid w:val="00EA4F67"/>
    <w:rsid w:val="00EA5340"/>
    <w:rsid w:val="00EA584C"/>
    <w:rsid w:val="00EA6057"/>
    <w:rsid w:val="00EA60CD"/>
    <w:rsid w:val="00EA6DE0"/>
    <w:rsid w:val="00EA7605"/>
    <w:rsid w:val="00EB09FF"/>
    <w:rsid w:val="00EB0C99"/>
    <w:rsid w:val="00EB1686"/>
    <w:rsid w:val="00EB1A95"/>
    <w:rsid w:val="00EB1CCB"/>
    <w:rsid w:val="00EB27BE"/>
    <w:rsid w:val="00EB3207"/>
    <w:rsid w:val="00EB39D2"/>
    <w:rsid w:val="00EB3B56"/>
    <w:rsid w:val="00EB4125"/>
    <w:rsid w:val="00EB4204"/>
    <w:rsid w:val="00EB628D"/>
    <w:rsid w:val="00EB6529"/>
    <w:rsid w:val="00EB66F1"/>
    <w:rsid w:val="00EB71AB"/>
    <w:rsid w:val="00EB77C0"/>
    <w:rsid w:val="00EC01BF"/>
    <w:rsid w:val="00EC02D2"/>
    <w:rsid w:val="00EC0977"/>
    <w:rsid w:val="00EC0EE5"/>
    <w:rsid w:val="00EC1B54"/>
    <w:rsid w:val="00EC2088"/>
    <w:rsid w:val="00EC21A0"/>
    <w:rsid w:val="00EC38E5"/>
    <w:rsid w:val="00EC3C28"/>
    <w:rsid w:val="00EC3E95"/>
    <w:rsid w:val="00EC58F3"/>
    <w:rsid w:val="00EC5AD6"/>
    <w:rsid w:val="00EC7DDF"/>
    <w:rsid w:val="00ED0883"/>
    <w:rsid w:val="00ED0AFC"/>
    <w:rsid w:val="00ED0BE1"/>
    <w:rsid w:val="00ED155D"/>
    <w:rsid w:val="00ED26E5"/>
    <w:rsid w:val="00ED343E"/>
    <w:rsid w:val="00ED53C7"/>
    <w:rsid w:val="00ED5A34"/>
    <w:rsid w:val="00ED62AA"/>
    <w:rsid w:val="00ED6EC8"/>
    <w:rsid w:val="00EE111E"/>
    <w:rsid w:val="00EE17C8"/>
    <w:rsid w:val="00EE1C84"/>
    <w:rsid w:val="00EE2409"/>
    <w:rsid w:val="00EE2CEB"/>
    <w:rsid w:val="00EE2D12"/>
    <w:rsid w:val="00EE3C1F"/>
    <w:rsid w:val="00EE610D"/>
    <w:rsid w:val="00EE6190"/>
    <w:rsid w:val="00EE640A"/>
    <w:rsid w:val="00EE78B4"/>
    <w:rsid w:val="00EE7B6F"/>
    <w:rsid w:val="00EE7F03"/>
    <w:rsid w:val="00EF028B"/>
    <w:rsid w:val="00EF0BB3"/>
    <w:rsid w:val="00EF0F28"/>
    <w:rsid w:val="00EF1894"/>
    <w:rsid w:val="00EF1B08"/>
    <w:rsid w:val="00EF2695"/>
    <w:rsid w:val="00EF3A5A"/>
    <w:rsid w:val="00EF3B0C"/>
    <w:rsid w:val="00EF4754"/>
    <w:rsid w:val="00EF4C91"/>
    <w:rsid w:val="00EF4D3D"/>
    <w:rsid w:val="00EF64E5"/>
    <w:rsid w:val="00EF6572"/>
    <w:rsid w:val="00EF6BB2"/>
    <w:rsid w:val="00EF7D1D"/>
    <w:rsid w:val="00EF7F45"/>
    <w:rsid w:val="00F01674"/>
    <w:rsid w:val="00F01B55"/>
    <w:rsid w:val="00F01F79"/>
    <w:rsid w:val="00F03649"/>
    <w:rsid w:val="00F039F4"/>
    <w:rsid w:val="00F04A48"/>
    <w:rsid w:val="00F05030"/>
    <w:rsid w:val="00F05D1A"/>
    <w:rsid w:val="00F06D67"/>
    <w:rsid w:val="00F07081"/>
    <w:rsid w:val="00F073CE"/>
    <w:rsid w:val="00F0741C"/>
    <w:rsid w:val="00F07BA0"/>
    <w:rsid w:val="00F1076C"/>
    <w:rsid w:val="00F119E4"/>
    <w:rsid w:val="00F12C53"/>
    <w:rsid w:val="00F13D95"/>
    <w:rsid w:val="00F174A9"/>
    <w:rsid w:val="00F20730"/>
    <w:rsid w:val="00F217D0"/>
    <w:rsid w:val="00F22808"/>
    <w:rsid w:val="00F22EE6"/>
    <w:rsid w:val="00F233BA"/>
    <w:rsid w:val="00F2559C"/>
    <w:rsid w:val="00F2758E"/>
    <w:rsid w:val="00F27789"/>
    <w:rsid w:val="00F277A9"/>
    <w:rsid w:val="00F27B1C"/>
    <w:rsid w:val="00F3125D"/>
    <w:rsid w:val="00F323B4"/>
    <w:rsid w:val="00F32C41"/>
    <w:rsid w:val="00F32F32"/>
    <w:rsid w:val="00F32FF1"/>
    <w:rsid w:val="00F34506"/>
    <w:rsid w:val="00F3458B"/>
    <w:rsid w:val="00F3552C"/>
    <w:rsid w:val="00F35C63"/>
    <w:rsid w:val="00F363DB"/>
    <w:rsid w:val="00F364B4"/>
    <w:rsid w:val="00F3713D"/>
    <w:rsid w:val="00F37356"/>
    <w:rsid w:val="00F40042"/>
    <w:rsid w:val="00F40256"/>
    <w:rsid w:val="00F402B7"/>
    <w:rsid w:val="00F419C7"/>
    <w:rsid w:val="00F41C36"/>
    <w:rsid w:val="00F42323"/>
    <w:rsid w:val="00F42C87"/>
    <w:rsid w:val="00F43C77"/>
    <w:rsid w:val="00F44574"/>
    <w:rsid w:val="00F448E6"/>
    <w:rsid w:val="00F470AF"/>
    <w:rsid w:val="00F47817"/>
    <w:rsid w:val="00F5007C"/>
    <w:rsid w:val="00F50C25"/>
    <w:rsid w:val="00F517AF"/>
    <w:rsid w:val="00F51A16"/>
    <w:rsid w:val="00F51B79"/>
    <w:rsid w:val="00F51E58"/>
    <w:rsid w:val="00F52152"/>
    <w:rsid w:val="00F555AE"/>
    <w:rsid w:val="00F56702"/>
    <w:rsid w:val="00F56D21"/>
    <w:rsid w:val="00F56E49"/>
    <w:rsid w:val="00F60370"/>
    <w:rsid w:val="00F603CC"/>
    <w:rsid w:val="00F604E5"/>
    <w:rsid w:val="00F605DB"/>
    <w:rsid w:val="00F60634"/>
    <w:rsid w:val="00F60A11"/>
    <w:rsid w:val="00F60DD5"/>
    <w:rsid w:val="00F6114F"/>
    <w:rsid w:val="00F61504"/>
    <w:rsid w:val="00F619C2"/>
    <w:rsid w:val="00F61F69"/>
    <w:rsid w:val="00F6218E"/>
    <w:rsid w:val="00F62E0D"/>
    <w:rsid w:val="00F6300F"/>
    <w:rsid w:val="00F6313C"/>
    <w:rsid w:val="00F63958"/>
    <w:rsid w:val="00F639BD"/>
    <w:rsid w:val="00F63CD2"/>
    <w:rsid w:val="00F64BE0"/>
    <w:rsid w:val="00F64C66"/>
    <w:rsid w:val="00F65533"/>
    <w:rsid w:val="00F65E4F"/>
    <w:rsid w:val="00F664D0"/>
    <w:rsid w:val="00F6719E"/>
    <w:rsid w:val="00F67352"/>
    <w:rsid w:val="00F675DA"/>
    <w:rsid w:val="00F67AC4"/>
    <w:rsid w:val="00F67F80"/>
    <w:rsid w:val="00F70424"/>
    <w:rsid w:val="00F70B07"/>
    <w:rsid w:val="00F70E5B"/>
    <w:rsid w:val="00F71340"/>
    <w:rsid w:val="00F71DC0"/>
    <w:rsid w:val="00F720AE"/>
    <w:rsid w:val="00F720BE"/>
    <w:rsid w:val="00F72BB0"/>
    <w:rsid w:val="00F730BB"/>
    <w:rsid w:val="00F75527"/>
    <w:rsid w:val="00F755F5"/>
    <w:rsid w:val="00F75953"/>
    <w:rsid w:val="00F75EAD"/>
    <w:rsid w:val="00F777E0"/>
    <w:rsid w:val="00F80265"/>
    <w:rsid w:val="00F80C9B"/>
    <w:rsid w:val="00F821F7"/>
    <w:rsid w:val="00F825A4"/>
    <w:rsid w:val="00F829EA"/>
    <w:rsid w:val="00F82B5D"/>
    <w:rsid w:val="00F82B99"/>
    <w:rsid w:val="00F83180"/>
    <w:rsid w:val="00F8456D"/>
    <w:rsid w:val="00F8593C"/>
    <w:rsid w:val="00F85BE9"/>
    <w:rsid w:val="00F8620C"/>
    <w:rsid w:val="00F86485"/>
    <w:rsid w:val="00F867B0"/>
    <w:rsid w:val="00F8704B"/>
    <w:rsid w:val="00F870D3"/>
    <w:rsid w:val="00F87CB1"/>
    <w:rsid w:val="00F87DB4"/>
    <w:rsid w:val="00F87F73"/>
    <w:rsid w:val="00F90195"/>
    <w:rsid w:val="00F90296"/>
    <w:rsid w:val="00F905F4"/>
    <w:rsid w:val="00F925D7"/>
    <w:rsid w:val="00F929A9"/>
    <w:rsid w:val="00F93876"/>
    <w:rsid w:val="00F93957"/>
    <w:rsid w:val="00F939D7"/>
    <w:rsid w:val="00F9422A"/>
    <w:rsid w:val="00F946CA"/>
    <w:rsid w:val="00F9567E"/>
    <w:rsid w:val="00F95CA0"/>
    <w:rsid w:val="00F96631"/>
    <w:rsid w:val="00F967A0"/>
    <w:rsid w:val="00F97014"/>
    <w:rsid w:val="00F97023"/>
    <w:rsid w:val="00F97DB6"/>
    <w:rsid w:val="00FA019B"/>
    <w:rsid w:val="00FA058B"/>
    <w:rsid w:val="00FA116C"/>
    <w:rsid w:val="00FA240C"/>
    <w:rsid w:val="00FA3D50"/>
    <w:rsid w:val="00FA512C"/>
    <w:rsid w:val="00FA5CD5"/>
    <w:rsid w:val="00FA5E14"/>
    <w:rsid w:val="00FA62F3"/>
    <w:rsid w:val="00FB015F"/>
    <w:rsid w:val="00FB0A30"/>
    <w:rsid w:val="00FB281B"/>
    <w:rsid w:val="00FB2BB0"/>
    <w:rsid w:val="00FB305D"/>
    <w:rsid w:val="00FB3C28"/>
    <w:rsid w:val="00FB3CEF"/>
    <w:rsid w:val="00FB4CBE"/>
    <w:rsid w:val="00FB4F96"/>
    <w:rsid w:val="00FB5792"/>
    <w:rsid w:val="00FB6447"/>
    <w:rsid w:val="00FB6AC9"/>
    <w:rsid w:val="00FB7717"/>
    <w:rsid w:val="00FC010F"/>
    <w:rsid w:val="00FC0146"/>
    <w:rsid w:val="00FC1B93"/>
    <w:rsid w:val="00FC2CAE"/>
    <w:rsid w:val="00FC30E3"/>
    <w:rsid w:val="00FC328E"/>
    <w:rsid w:val="00FC4918"/>
    <w:rsid w:val="00FC4FDD"/>
    <w:rsid w:val="00FC59C4"/>
    <w:rsid w:val="00FC59CA"/>
    <w:rsid w:val="00FC5CEC"/>
    <w:rsid w:val="00FC621E"/>
    <w:rsid w:val="00FC6600"/>
    <w:rsid w:val="00FC75FA"/>
    <w:rsid w:val="00FC7AA3"/>
    <w:rsid w:val="00FD03A5"/>
    <w:rsid w:val="00FD041F"/>
    <w:rsid w:val="00FD154C"/>
    <w:rsid w:val="00FD16F0"/>
    <w:rsid w:val="00FD197B"/>
    <w:rsid w:val="00FD1B2E"/>
    <w:rsid w:val="00FD2488"/>
    <w:rsid w:val="00FD256C"/>
    <w:rsid w:val="00FD2699"/>
    <w:rsid w:val="00FD3015"/>
    <w:rsid w:val="00FD3BA0"/>
    <w:rsid w:val="00FD4337"/>
    <w:rsid w:val="00FD4379"/>
    <w:rsid w:val="00FD5595"/>
    <w:rsid w:val="00FD59AF"/>
    <w:rsid w:val="00FD63B0"/>
    <w:rsid w:val="00FD78F8"/>
    <w:rsid w:val="00FE0A17"/>
    <w:rsid w:val="00FE2523"/>
    <w:rsid w:val="00FE40D1"/>
    <w:rsid w:val="00FE416F"/>
    <w:rsid w:val="00FE63AB"/>
    <w:rsid w:val="00FE67D4"/>
    <w:rsid w:val="00FE6901"/>
    <w:rsid w:val="00FE750C"/>
    <w:rsid w:val="00FE7F45"/>
    <w:rsid w:val="00FF0509"/>
    <w:rsid w:val="00FF162A"/>
    <w:rsid w:val="00FF172D"/>
    <w:rsid w:val="00FF24E2"/>
    <w:rsid w:val="00FF295C"/>
    <w:rsid w:val="00FF2DE1"/>
    <w:rsid w:val="00FF41F0"/>
    <w:rsid w:val="00FF436F"/>
    <w:rsid w:val="00FF44D7"/>
    <w:rsid w:val="00FF536E"/>
    <w:rsid w:val="00FF772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63894"/>
    <o:shapelayout v:ext="edit">
      <o:idmap v:ext="edit" data="1"/>
    </o:shapelayout>
  </w:shapeDefaults>
  <w:decimalSymbol w:val="."/>
  <w:listSeparator w:val=","/>
  <w14:docId w14:val="6D72BDFB"/>
  <w15:docId w15:val="{7FC10EC3-BB4D-4065-A4E3-5AE02DC6E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6" w:qFormat="1"/>
    <w:lsdException w:name="heading 1" w:uiPriority="49" w:qFormat="1"/>
    <w:lsdException w:name="heading 2" w:semiHidden="1" w:uiPriority="49" w:unhideWhenUsed="1" w:qFormat="1"/>
    <w:lsdException w:name="heading 3" w:semiHidden="1" w:uiPriority="49" w:unhideWhenUsed="1" w:qFormat="1"/>
    <w:lsdException w:name="heading 4" w:semiHidden="1" w:uiPriority="6" w:qFormat="1"/>
    <w:lsdException w:name="heading 5" w:semiHidden="1" w:uiPriority="49" w:qFormat="1"/>
    <w:lsdException w:name="heading 6" w:semiHidden="1" w:uiPriority="49" w:qFormat="1"/>
    <w:lsdException w:name="heading 7" w:semiHidden="1" w:uiPriority="49" w:qFormat="1"/>
    <w:lsdException w:name="heading 8" w:semiHidden="1" w:uiPriority="49" w:qFormat="1"/>
    <w:lsdException w:name="heading 9" w:semiHidden="1" w:uiPriority="4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9"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9"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9" w:qFormat="1"/>
    <w:lsdException w:name="Emphasis" w:uiPriority="49"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4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49" w:qFormat="1"/>
    <w:lsdException w:name="Intense Quote" w:uiPriority="4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49" w:qFormat="1"/>
    <w:lsdException w:name="Intense Emphasis" w:uiPriority="21" w:qFormat="1"/>
    <w:lsdException w:name="Subtle Reference" w:uiPriority="49" w:qFormat="1"/>
    <w:lsdException w:name="Intense Reference" w:uiPriority="49" w:qFormat="1"/>
    <w:lsdException w:name="Book Title" w:uiPriority="4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6"/>
    <w:qFormat/>
    <w:rsid w:val="00A23621"/>
    <w:pPr>
      <w:spacing w:after="180" w:line="220" w:lineRule="atLeast"/>
    </w:pPr>
    <w:rPr>
      <w:rFonts w:ascii="Arial" w:hAnsi="Arial"/>
      <w:sz w:val="18"/>
    </w:rPr>
  </w:style>
  <w:style w:type="paragraph" w:styleId="Heading1">
    <w:name w:val="heading 1"/>
    <w:basedOn w:val="Normal"/>
    <w:next w:val="Normal"/>
    <w:link w:val="Heading1Char"/>
    <w:uiPriority w:val="49"/>
    <w:qFormat/>
    <w:rsid w:val="001417EF"/>
    <w:pPr>
      <w:keepNext/>
      <w:keepLines/>
      <w:spacing w:before="280"/>
      <w:outlineLvl w:val="0"/>
    </w:pPr>
    <w:rPr>
      <w:rFonts w:eastAsiaTheme="majorEastAsia" w:cstheme="majorBidi"/>
      <w:bCs/>
      <w:color w:val="005172" w:themeColor="text2"/>
      <w:sz w:val="32"/>
      <w:szCs w:val="28"/>
    </w:rPr>
  </w:style>
  <w:style w:type="paragraph" w:styleId="Heading2">
    <w:name w:val="heading 2"/>
    <w:basedOn w:val="Normal"/>
    <w:next w:val="Normal"/>
    <w:link w:val="Heading2Char"/>
    <w:uiPriority w:val="49"/>
    <w:qFormat/>
    <w:rsid w:val="001417EF"/>
    <w:pPr>
      <w:keepNext/>
      <w:keepLines/>
      <w:spacing w:before="180" w:after="90"/>
      <w:ind w:left="680"/>
      <w:outlineLvl w:val="1"/>
    </w:pPr>
    <w:rPr>
      <w:rFonts w:ascii="Arial Bold" w:eastAsiaTheme="majorEastAsia" w:hAnsi="Arial Bold" w:cstheme="majorBidi"/>
      <w:b/>
      <w:bCs/>
      <w:color w:val="005172" w:themeColor="text2"/>
      <w:sz w:val="22"/>
      <w:szCs w:val="26"/>
    </w:rPr>
  </w:style>
  <w:style w:type="paragraph" w:styleId="Heading3">
    <w:name w:val="heading 3"/>
    <w:basedOn w:val="Normal"/>
    <w:next w:val="Normal"/>
    <w:link w:val="Heading3Char"/>
    <w:uiPriority w:val="49"/>
    <w:qFormat/>
    <w:rsid w:val="0031344B"/>
    <w:pPr>
      <w:keepNext/>
      <w:keepLines/>
      <w:spacing w:before="240" w:after="120"/>
      <w:outlineLvl w:val="2"/>
    </w:pPr>
    <w:rPr>
      <w:rFonts w:eastAsiaTheme="majorEastAsia" w:cstheme="majorBidi"/>
      <w:b/>
      <w:bCs/>
      <w:i/>
      <w:color w:val="005172" w:themeColor="text2"/>
    </w:rPr>
  </w:style>
  <w:style w:type="paragraph" w:styleId="Heading4">
    <w:name w:val="heading 4"/>
    <w:basedOn w:val="Normal"/>
    <w:next w:val="Normal"/>
    <w:link w:val="Heading4Char"/>
    <w:uiPriority w:val="6"/>
    <w:qFormat/>
    <w:rsid w:val="001417EF"/>
    <w:pPr>
      <w:keepNext/>
      <w:keepLines/>
      <w:spacing w:before="200" w:after="0"/>
      <w:outlineLvl w:val="3"/>
    </w:pPr>
    <w:rPr>
      <w:rFonts w:asciiTheme="majorHAnsi" w:eastAsiaTheme="majorEastAsia" w:hAnsiTheme="majorHAnsi" w:cstheme="majorBidi"/>
      <w:b/>
      <w:bCs/>
      <w:i/>
      <w:iCs/>
      <w:color w:val="005172"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49"/>
    <w:rsid w:val="001417EF"/>
    <w:rPr>
      <w:rFonts w:ascii="Arial" w:eastAsiaTheme="majorEastAsia" w:hAnsi="Arial" w:cstheme="majorBidi"/>
      <w:bCs/>
      <w:color w:val="005172" w:themeColor="text2"/>
      <w:sz w:val="32"/>
      <w:szCs w:val="28"/>
    </w:rPr>
  </w:style>
  <w:style w:type="character" w:customStyle="1" w:styleId="Heading2Char">
    <w:name w:val="Heading 2 Char"/>
    <w:basedOn w:val="DefaultParagraphFont"/>
    <w:link w:val="Heading2"/>
    <w:uiPriority w:val="49"/>
    <w:rsid w:val="001417EF"/>
    <w:rPr>
      <w:rFonts w:ascii="Arial Bold" w:eastAsiaTheme="majorEastAsia" w:hAnsi="Arial Bold" w:cstheme="majorBidi"/>
      <w:b/>
      <w:bCs/>
      <w:color w:val="005172" w:themeColor="text2"/>
      <w:szCs w:val="26"/>
    </w:rPr>
  </w:style>
  <w:style w:type="paragraph" w:customStyle="1" w:styleId="Heading1Numb">
    <w:name w:val="Heading 1Numb"/>
    <w:basedOn w:val="Heading1NoNumb"/>
    <w:uiPriority w:val="49"/>
    <w:semiHidden/>
    <w:qFormat/>
    <w:rsid w:val="00B81352"/>
  </w:style>
  <w:style w:type="paragraph" w:customStyle="1" w:styleId="NormalNumb">
    <w:name w:val="NormalNumb"/>
    <w:basedOn w:val="Normal"/>
    <w:uiPriority w:val="6"/>
    <w:qFormat/>
    <w:rsid w:val="00AA3844"/>
    <w:pPr>
      <w:numPr>
        <w:ilvl w:val="4"/>
        <w:numId w:val="15"/>
      </w:numPr>
      <w:ind w:left="142"/>
    </w:pPr>
  </w:style>
  <w:style w:type="numbering" w:customStyle="1" w:styleId="NumbListMain">
    <w:name w:val="NumbListMain"/>
    <w:uiPriority w:val="99"/>
    <w:rsid w:val="00AA3844"/>
    <w:pPr>
      <w:numPr>
        <w:numId w:val="1"/>
      </w:numPr>
    </w:pPr>
  </w:style>
  <w:style w:type="character" w:customStyle="1" w:styleId="Heading3Char">
    <w:name w:val="Heading 3 Char"/>
    <w:basedOn w:val="DefaultParagraphFont"/>
    <w:link w:val="Heading3"/>
    <w:uiPriority w:val="49"/>
    <w:rsid w:val="0031344B"/>
    <w:rPr>
      <w:rFonts w:ascii="Arial" w:eastAsiaTheme="majorEastAsia" w:hAnsi="Arial" w:cstheme="majorBidi"/>
      <w:b/>
      <w:bCs/>
      <w:i/>
      <w:color w:val="005172" w:themeColor="text2"/>
      <w:sz w:val="18"/>
    </w:rPr>
  </w:style>
  <w:style w:type="paragraph" w:styleId="FootnoteText">
    <w:name w:val="footnote text"/>
    <w:basedOn w:val="Normal"/>
    <w:link w:val="FootnoteTextChar"/>
    <w:uiPriority w:val="99"/>
    <w:unhideWhenUsed/>
    <w:rsid w:val="007167CF"/>
    <w:pPr>
      <w:spacing w:after="60" w:line="240" w:lineRule="auto"/>
      <w:ind w:left="113" w:hanging="113"/>
    </w:pPr>
    <w:rPr>
      <w:sz w:val="16"/>
      <w:szCs w:val="20"/>
    </w:rPr>
  </w:style>
  <w:style w:type="character" w:customStyle="1" w:styleId="FootnoteTextChar">
    <w:name w:val="Footnote Text Char"/>
    <w:basedOn w:val="DefaultParagraphFont"/>
    <w:link w:val="FootnoteText"/>
    <w:uiPriority w:val="99"/>
    <w:rsid w:val="007167CF"/>
    <w:rPr>
      <w:rFonts w:ascii="Arial" w:hAnsi="Arial"/>
      <w:sz w:val="16"/>
      <w:szCs w:val="20"/>
    </w:rPr>
  </w:style>
  <w:style w:type="character" w:styleId="FootnoteReference">
    <w:name w:val="footnote reference"/>
    <w:aliases w:val="Footnote,callout"/>
    <w:basedOn w:val="DefaultParagraphFont"/>
    <w:uiPriority w:val="99"/>
    <w:unhideWhenUsed/>
    <w:qFormat/>
    <w:rsid w:val="005F4C42"/>
    <w:rPr>
      <w:vertAlign w:val="superscript"/>
    </w:rPr>
  </w:style>
  <w:style w:type="table" w:styleId="TableGrid">
    <w:name w:val="Table Grid"/>
    <w:basedOn w:val="TableNormal"/>
    <w:uiPriority w:val="59"/>
    <w:rsid w:val="008436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Text"/>
    <w:basedOn w:val="Normal"/>
    <w:uiPriority w:val="17"/>
    <w:qFormat/>
    <w:rsid w:val="00A6214D"/>
    <w:pPr>
      <w:spacing w:after="0" w:line="200" w:lineRule="atLeast"/>
      <w:ind w:left="113"/>
    </w:pPr>
    <w:rPr>
      <w:rFonts w:ascii="Arial Narrow" w:hAnsi="Arial Narrow"/>
      <w:sz w:val="16"/>
    </w:rPr>
  </w:style>
  <w:style w:type="paragraph" w:customStyle="1" w:styleId="TableTextBold">
    <w:name w:val="TableTextBold"/>
    <w:basedOn w:val="TableText"/>
    <w:uiPriority w:val="17"/>
    <w:qFormat/>
    <w:rsid w:val="0003301C"/>
    <w:rPr>
      <w:b/>
    </w:rPr>
  </w:style>
  <w:style w:type="paragraph" w:customStyle="1" w:styleId="TableTextItalic">
    <w:name w:val="TableTextItalic"/>
    <w:basedOn w:val="TableText"/>
    <w:uiPriority w:val="17"/>
    <w:qFormat/>
    <w:rsid w:val="003E0BC9"/>
    <w:pPr>
      <w:ind w:left="340"/>
    </w:pPr>
    <w:rPr>
      <w:i/>
    </w:rPr>
  </w:style>
  <w:style w:type="paragraph" w:customStyle="1" w:styleId="TableHeading">
    <w:name w:val="TableHeading"/>
    <w:basedOn w:val="TableText"/>
    <w:uiPriority w:val="17"/>
    <w:qFormat/>
    <w:rsid w:val="00A6214D"/>
    <w:pPr>
      <w:keepNext/>
      <w:spacing w:before="40" w:after="20"/>
    </w:pPr>
    <w:rPr>
      <w:b/>
    </w:rPr>
  </w:style>
  <w:style w:type="paragraph" w:customStyle="1" w:styleId="TableNumb">
    <w:name w:val="TableNumb"/>
    <w:basedOn w:val="TableText"/>
    <w:uiPriority w:val="19"/>
    <w:qFormat/>
    <w:rsid w:val="00660277"/>
    <w:pPr>
      <w:ind w:left="0" w:right="113"/>
      <w:jc w:val="right"/>
    </w:pPr>
  </w:style>
  <w:style w:type="paragraph" w:customStyle="1" w:styleId="TableHeadingRight">
    <w:name w:val="TableHeadingRight"/>
    <w:basedOn w:val="TableHeading"/>
    <w:uiPriority w:val="17"/>
    <w:qFormat/>
    <w:rsid w:val="00515A33"/>
    <w:pPr>
      <w:ind w:left="0" w:right="113"/>
      <w:jc w:val="right"/>
    </w:pPr>
  </w:style>
  <w:style w:type="paragraph" w:customStyle="1" w:styleId="TableNumbBold">
    <w:name w:val="TableNumbBold"/>
    <w:basedOn w:val="TableNumb"/>
    <w:uiPriority w:val="19"/>
    <w:qFormat/>
    <w:rsid w:val="002D6872"/>
    <w:rPr>
      <w:b/>
    </w:rPr>
  </w:style>
  <w:style w:type="character" w:styleId="PlaceholderText">
    <w:name w:val="Placeholder Text"/>
    <w:basedOn w:val="DefaultParagraphFont"/>
    <w:uiPriority w:val="99"/>
    <w:semiHidden/>
    <w:rsid w:val="0090042F"/>
    <w:rPr>
      <w:color w:val="808080"/>
    </w:rPr>
  </w:style>
  <w:style w:type="numbering" w:customStyle="1" w:styleId="NumbListTable">
    <w:name w:val="NumbListTable"/>
    <w:uiPriority w:val="99"/>
    <w:rsid w:val="008E5AFB"/>
    <w:pPr>
      <w:numPr>
        <w:numId w:val="8"/>
      </w:numPr>
    </w:pPr>
  </w:style>
  <w:style w:type="paragraph" w:customStyle="1" w:styleId="TableAndChartTitleAddText">
    <w:name w:val="TableAndChartTitleAddText"/>
    <w:basedOn w:val="Normal"/>
    <w:next w:val="Normal"/>
    <w:uiPriority w:val="15"/>
    <w:qFormat/>
    <w:rsid w:val="005A26D8"/>
    <w:pPr>
      <w:keepNext/>
      <w:keepLines/>
      <w:spacing w:before="60"/>
      <w:jc w:val="center"/>
    </w:pPr>
    <w:rPr>
      <w:i/>
    </w:rPr>
  </w:style>
  <w:style w:type="paragraph" w:styleId="Header">
    <w:name w:val="header"/>
    <w:basedOn w:val="Normal"/>
    <w:link w:val="HeaderChar"/>
    <w:uiPriority w:val="99"/>
    <w:unhideWhenUsed/>
    <w:rsid w:val="002F31EF"/>
    <w:pPr>
      <w:tabs>
        <w:tab w:val="center" w:pos="4513"/>
        <w:tab w:val="right" w:pos="9026"/>
      </w:tabs>
      <w:spacing w:after="0"/>
    </w:pPr>
    <w:rPr>
      <w:color w:val="005172" w:themeColor="accent1"/>
      <w:sz w:val="16"/>
    </w:rPr>
  </w:style>
  <w:style w:type="character" w:customStyle="1" w:styleId="HeaderChar">
    <w:name w:val="Header Char"/>
    <w:basedOn w:val="DefaultParagraphFont"/>
    <w:link w:val="Header"/>
    <w:uiPriority w:val="99"/>
    <w:rsid w:val="002F31EF"/>
    <w:rPr>
      <w:rFonts w:ascii="Arial" w:hAnsi="Arial"/>
      <w:color w:val="005172" w:themeColor="accent1"/>
      <w:sz w:val="16"/>
    </w:rPr>
  </w:style>
  <w:style w:type="paragraph" w:styleId="Footer">
    <w:name w:val="footer"/>
    <w:basedOn w:val="Normal"/>
    <w:link w:val="FooterChar"/>
    <w:uiPriority w:val="99"/>
    <w:unhideWhenUsed/>
    <w:rsid w:val="006534AE"/>
    <w:pPr>
      <w:tabs>
        <w:tab w:val="center" w:pos="4513"/>
        <w:tab w:val="right" w:pos="9026"/>
      </w:tabs>
      <w:spacing w:after="0"/>
    </w:pPr>
  </w:style>
  <w:style w:type="character" w:customStyle="1" w:styleId="FooterChar">
    <w:name w:val="Footer Char"/>
    <w:basedOn w:val="DefaultParagraphFont"/>
    <w:link w:val="Footer"/>
    <w:uiPriority w:val="99"/>
    <w:rsid w:val="006534AE"/>
    <w:rPr>
      <w:rFonts w:ascii="Arial" w:hAnsi="Arial"/>
      <w:sz w:val="18"/>
    </w:rPr>
  </w:style>
  <w:style w:type="paragraph" w:customStyle="1" w:styleId="ChartTitle">
    <w:name w:val="ChartTitle"/>
    <w:basedOn w:val="Normal"/>
    <w:next w:val="Normal"/>
    <w:uiPriority w:val="49"/>
    <w:semiHidden/>
    <w:qFormat/>
    <w:rsid w:val="001417EF"/>
    <w:pPr>
      <w:numPr>
        <w:numId w:val="3"/>
      </w:numPr>
      <w:spacing w:before="180" w:after="90"/>
      <w:jc w:val="center"/>
    </w:pPr>
    <w:rPr>
      <w:b/>
      <w:color w:val="005172" w:themeColor="text2"/>
    </w:rPr>
  </w:style>
  <w:style w:type="numbering" w:customStyle="1" w:styleId="NumbListChart">
    <w:name w:val="NumbListChart"/>
    <w:uiPriority w:val="99"/>
    <w:rsid w:val="005F7025"/>
    <w:pPr>
      <w:numPr>
        <w:numId w:val="2"/>
      </w:numPr>
    </w:pPr>
  </w:style>
  <w:style w:type="paragraph" w:styleId="BalloonText">
    <w:name w:val="Balloon Text"/>
    <w:basedOn w:val="Normal"/>
    <w:link w:val="BalloonTextChar"/>
    <w:uiPriority w:val="99"/>
    <w:semiHidden/>
    <w:unhideWhenUsed/>
    <w:rsid w:val="00C95581"/>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95581"/>
    <w:rPr>
      <w:rFonts w:ascii="Tahoma" w:hAnsi="Tahoma" w:cs="Tahoma"/>
      <w:sz w:val="16"/>
      <w:szCs w:val="16"/>
    </w:rPr>
  </w:style>
  <w:style w:type="paragraph" w:customStyle="1" w:styleId="NormalNoSpace">
    <w:name w:val="NormalNoSpace"/>
    <w:basedOn w:val="Normal"/>
    <w:uiPriority w:val="6"/>
    <w:qFormat/>
    <w:rsid w:val="007C66D5"/>
    <w:pPr>
      <w:spacing w:after="0"/>
    </w:pPr>
  </w:style>
  <w:style w:type="paragraph" w:customStyle="1" w:styleId="TableNumbItalics">
    <w:name w:val="TableNumbItalics"/>
    <w:basedOn w:val="TableNumb"/>
    <w:uiPriority w:val="19"/>
    <w:qFormat/>
    <w:rsid w:val="00A06AA1"/>
    <w:rPr>
      <w:i/>
    </w:rPr>
  </w:style>
  <w:style w:type="paragraph" w:customStyle="1" w:styleId="NormalNumb2">
    <w:name w:val="NormalNumb2"/>
    <w:basedOn w:val="NormalNumb"/>
    <w:uiPriority w:val="6"/>
    <w:qFormat/>
    <w:rsid w:val="00287988"/>
  </w:style>
  <w:style w:type="paragraph" w:customStyle="1" w:styleId="FooterSmall">
    <w:name w:val="FooterSmall"/>
    <w:basedOn w:val="Footer"/>
    <w:uiPriority w:val="49"/>
    <w:semiHidden/>
    <w:qFormat/>
    <w:rsid w:val="00AB0F67"/>
    <w:rPr>
      <w:sz w:val="16"/>
    </w:rPr>
  </w:style>
  <w:style w:type="paragraph" w:customStyle="1" w:styleId="SectionTitle">
    <w:name w:val="SectionTitle"/>
    <w:basedOn w:val="Normal"/>
    <w:uiPriority w:val="1"/>
    <w:qFormat/>
    <w:rsid w:val="001417EF"/>
    <w:pPr>
      <w:keepNext/>
      <w:keepLines/>
      <w:pageBreakBefore/>
      <w:spacing w:after="480"/>
      <w:outlineLvl w:val="0"/>
    </w:pPr>
    <w:rPr>
      <w:caps/>
      <w:color w:val="005172" w:themeColor="text2"/>
      <w:sz w:val="44"/>
    </w:rPr>
  </w:style>
  <w:style w:type="paragraph" w:customStyle="1" w:styleId="SectionTitleNumb">
    <w:name w:val="SectionTitleNumb"/>
    <w:basedOn w:val="SectionTitle"/>
    <w:uiPriority w:val="1"/>
    <w:qFormat/>
    <w:rsid w:val="00802444"/>
    <w:pPr>
      <w:pageBreakBefore w:val="0"/>
      <w:numPr>
        <w:numId w:val="15"/>
      </w:numPr>
    </w:pPr>
  </w:style>
  <w:style w:type="paragraph" w:customStyle="1" w:styleId="SectorTitle2">
    <w:name w:val="SectorTitle2"/>
    <w:basedOn w:val="Normal"/>
    <w:uiPriority w:val="2"/>
    <w:qFormat/>
    <w:rsid w:val="0099265A"/>
    <w:pPr>
      <w:keepNext/>
      <w:keepLines/>
      <w:pageBreakBefore/>
      <w:numPr>
        <w:ilvl w:val="1"/>
        <w:numId w:val="15"/>
      </w:numPr>
      <w:outlineLvl w:val="0"/>
    </w:pPr>
    <w:rPr>
      <w:color w:val="005172" w:themeColor="text2"/>
      <w:sz w:val="32"/>
    </w:rPr>
  </w:style>
  <w:style w:type="paragraph" w:customStyle="1" w:styleId="SectorTitle">
    <w:name w:val="SectorTitle"/>
    <w:basedOn w:val="Normal"/>
    <w:autoRedefine/>
    <w:uiPriority w:val="3"/>
    <w:qFormat/>
    <w:rsid w:val="00802444"/>
    <w:pPr>
      <w:keepNext/>
      <w:keepLines/>
      <w:spacing w:after="240"/>
      <w:ind w:left="2693" w:hanging="2693"/>
      <w:outlineLvl w:val="1"/>
    </w:pPr>
    <w:rPr>
      <w:b/>
      <w:color w:val="005172" w:themeColor="text2"/>
      <w:sz w:val="32"/>
      <w:lang w:val="en-US"/>
    </w:rPr>
  </w:style>
  <w:style w:type="paragraph" w:styleId="TOC1">
    <w:name w:val="toc 1"/>
    <w:basedOn w:val="Normal"/>
    <w:next w:val="Normal"/>
    <w:autoRedefine/>
    <w:uiPriority w:val="39"/>
    <w:qFormat/>
    <w:rsid w:val="00154270"/>
    <w:pPr>
      <w:pBdr>
        <w:top w:val="single" w:sz="4" w:space="9" w:color="005172" w:themeColor="text2"/>
        <w:between w:val="single" w:sz="4" w:space="9" w:color="005172" w:themeColor="text2"/>
      </w:pBdr>
      <w:tabs>
        <w:tab w:val="left" w:pos="680"/>
        <w:tab w:val="right" w:pos="9356"/>
      </w:tabs>
      <w:spacing w:after="0"/>
      <w:ind w:right="282"/>
    </w:pPr>
    <w:rPr>
      <w:color w:val="005172" w:themeColor="text2"/>
      <w:sz w:val="22"/>
    </w:rPr>
  </w:style>
  <w:style w:type="paragraph" w:styleId="TOC2">
    <w:name w:val="toc 2"/>
    <w:basedOn w:val="Normal"/>
    <w:next w:val="Normal"/>
    <w:autoRedefine/>
    <w:uiPriority w:val="39"/>
    <w:qFormat/>
    <w:rsid w:val="002B509F"/>
    <w:pPr>
      <w:keepNext/>
      <w:tabs>
        <w:tab w:val="left" w:pos="2381"/>
        <w:tab w:val="right" w:leader="dot" w:pos="9639"/>
      </w:tabs>
      <w:spacing w:before="180" w:after="90"/>
      <w:ind w:left="2353" w:right="340" w:hanging="1673"/>
    </w:pPr>
    <w:rPr>
      <w:b/>
    </w:rPr>
  </w:style>
  <w:style w:type="paragraph" w:styleId="TOC3">
    <w:name w:val="toc 3"/>
    <w:basedOn w:val="Normal"/>
    <w:next w:val="Normal"/>
    <w:autoRedefine/>
    <w:uiPriority w:val="39"/>
    <w:qFormat/>
    <w:rsid w:val="002B509F"/>
    <w:pPr>
      <w:tabs>
        <w:tab w:val="left" w:pos="2381"/>
        <w:tab w:val="right" w:leader="dot" w:pos="9639"/>
      </w:tabs>
      <w:spacing w:before="90" w:after="90"/>
      <w:ind w:left="2353" w:right="357" w:hanging="1673"/>
    </w:pPr>
  </w:style>
  <w:style w:type="character" w:styleId="Hyperlink">
    <w:name w:val="Hyperlink"/>
    <w:basedOn w:val="DefaultParagraphFont"/>
    <w:uiPriority w:val="99"/>
    <w:unhideWhenUsed/>
    <w:rsid w:val="00643D85"/>
    <w:rPr>
      <w:color w:val="005694" w:themeColor="hyperlink"/>
      <w:u w:val="single"/>
    </w:rPr>
  </w:style>
  <w:style w:type="paragraph" w:customStyle="1" w:styleId="ProgramAnnex">
    <w:name w:val="ProgramAnnex"/>
    <w:basedOn w:val="Normal"/>
    <w:uiPriority w:val="5"/>
    <w:semiHidden/>
    <w:qFormat/>
    <w:rsid w:val="00B516F8"/>
    <w:pPr>
      <w:keepNext/>
      <w:keepLines/>
      <w:pageBreakBefore/>
      <w:spacing w:after="120"/>
      <w:ind w:left="3062" w:hanging="3062"/>
      <w:outlineLvl w:val="1"/>
    </w:pPr>
    <w:rPr>
      <w:b/>
      <w:color w:val="005172" w:themeColor="text2"/>
      <w:sz w:val="32"/>
    </w:rPr>
  </w:style>
  <w:style w:type="paragraph" w:styleId="TOC4">
    <w:name w:val="toc 4"/>
    <w:basedOn w:val="Normal"/>
    <w:next w:val="Normal"/>
    <w:autoRedefine/>
    <w:uiPriority w:val="39"/>
    <w:rsid w:val="002471F0"/>
    <w:pPr>
      <w:tabs>
        <w:tab w:val="left" w:pos="3969"/>
        <w:tab w:val="right" w:leader="dot" w:pos="9639"/>
      </w:tabs>
      <w:spacing w:after="90"/>
      <w:ind w:left="2381"/>
    </w:pPr>
    <w:rPr>
      <w:i/>
    </w:rPr>
  </w:style>
  <w:style w:type="paragraph" w:customStyle="1" w:styleId="TableHeading2">
    <w:name w:val="TableHeading2"/>
    <w:basedOn w:val="TableHeading"/>
    <w:uiPriority w:val="16"/>
    <w:qFormat/>
    <w:rsid w:val="001417EF"/>
    <w:pPr>
      <w:spacing w:before="60" w:after="60"/>
    </w:pPr>
    <w:rPr>
      <w:rFonts w:ascii="Arial Bold" w:hAnsi="Arial Bold"/>
      <w:color w:val="005172" w:themeColor="text2"/>
      <w:sz w:val="22"/>
    </w:rPr>
  </w:style>
  <w:style w:type="paragraph" w:customStyle="1" w:styleId="TableAndChartTitle">
    <w:name w:val="TableAndChartTitle"/>
    <w:basedOn w:val="Normal"/>
    <w:next w:val="Normal"/>
    <w:uiPriority w:val="14"/>
    <w:qFormat/>
    <w:rsid w:val="00132618"/>
    <w:pPr>
      <w:keepNext/>
      <w:keepLines/>
      <w:spacing w:before="240" w:after="60"/>
      <w:jc w:val="center"/>
    </w:pPr>
    <w:rPr>
      <w:b/>
      <w:color w:val="005172" w:themeColor="text2"/>
    </w:rPr>
  </w:style>
  <w:style w:type="paragraph" w:customStyle="1" w:styleId="Heading1NoNumb">
    <w:name w:val="Heading 1NoNumb"/>
    <w:basedOn w:val="Normal"/>
    <w:next w:val="Normal"/>
    <w:uiPriority w:val="6"/>
    <w:qFormat/>
    <w:rsid w:val="008B5651"/>
    <w:pPr>
      <w:keepNext/>
      <w:spacing w:before="320" w:after="240"/>
      <w:outlineLvl w:val="2"/>
    </w:pPr>
    <w:rPr>
      <w:color w:val="005172" w:themeColor="text2"/>
      <w:sz w:val="32"/>
    </w:rPr>
  </w:style>
  <w:style w:type="paragraph" w:customStyle="1" w:styleId="Heading2NoNumb">
    <w:name w:val="Heading 2NoNumb"/>
    <w:basedOn w:val="Normal"/>
    <w:uiPriority w:val="6"/>
    <w:qFormat/>
    <w:rsid w:val="008B5651"/>
    <w:pPr>
      <w:keepNext/>
      <w:spacing w:before="240"/>
      <w:outlineLvl w:val="2"/>
    </w:pPr>
    <w:rPr>
      <w:rFonts w:ascii="Arial Bold" w:hAnsi="Arial Bold"/>
      <w:b/>
      <w:color w:val="005172" w:themeColor="text2"/>
      <w:sz w:val="22"/>
    </w:rPr>
  </w:style>
  <w:style w:type="paragraph" w:customStyle="1" w:styleId="AnnexTitle2">
    <w:name w:val="AnnexTitle2"/>
    <w:basedOn w:val="Normal"/>
    <w:uiPriority w:val="5"/>
    <w:qFormat/>
    <w:rsid w:val="00730226"/>
    <w:pPr>
      <w:keepNext/>
      <w:keepLines/>
      <w:outlineLvl w:val="1"/>
    </w:pPr>
    <w:rPr>
      <w:b/>
      <w:color w:val="005172" w:themeColor="text2"/>
      <w:sz w:val="32"/>
    </w:rPr>
  </w:style>
  <w:style w:type="numbering" w:customStyle="1" w:styleId="NumbListAnnex">
    <w:name w:val="NumbListAnnex"/>
    <w:uiPriority w:val="99"/>
    <w:rsid w:val="00BC2C43"/>
    <w:pPr>
      <w:numPr>
        <w:numId w:val="4"/>
      </w:numPr>
    </w:pPr>
  </w:style>
  <w:style w:type="paragraph" w:customStyle="1" w:styleId="AppendixTitle">
    <w:name w:val="AppendixTitle"/>
    <w:basedOn w:val="Normal"/>
    <w:next w:val="Normal"/>
    <w:uiPriority w:val="6"/>
    <w:qFormat/>
    <w:rsid w:val="003A5ACE"/>
    <w:pPr>
      <w:keepNext/>
      <w:keepLines/>
      <w:pageBreakBefore/>
      <w:numPr>
        <w:numId w:val="5"/>
      </w:numPr>
      <w:outlineLvl w:val="1"/>
    </w:pPr>
    <w:rPr>
      <w:b/>
      <w:color w:val="005172" w:themeColor="text2"/>
      <w:sz w:val="32"/>
    </w:rPr>
  </w:style>
  <w:style w:type="numbering" w:customStyle="1" w:styleId="NumbListAppendix">
    <w:name w:val="NumbListAppendix"/>
    <w:uiPriority w:val="99"/>
    <w:rsid w:val="008377B2"/>
    <w:pPr>
      <w:numPr>
        <w:numId w:val="12"/>
      </w:numPr>
    </w:pPr>
  </w:style>
  <w:style w:type="paragraph" w:customStyle="1" w:styleId="SectionTitleNoTOC">
    <w:name w:val="SectionTitleNoTOC"/>
    <w:basedOn w:val="SectionTitle"/>
    <w:uiPriority w:val="6"/>
    <w:qFormat/>
    <w:rsid w:val="00884AC4"/>
  </w:style>
  <w:style w:type="paragraph" w:customStyle="1" w:styleId="TableNotes">
    <w:name w:val="TableNotes"/>
    <w:basedOn w:val="Normal"/>
    <w:uiPriority w:val="8"/>
    <w:qFormat/>
    <w:rsid w:val="00EE2D12"/>
    <w:pPr>
      <w:spacing w:before="60"/>
    </w:pPr>
    <w:rPr>
      <w:sz w:val="15"/>
    </w:rPr>
  </w:style>
  <w:style w:type="paragraph" w:customStyle="1" w:styleId="Bullet1">
    <w:name w:val="Bullet 1"/>
    <w:basedOn w:val="Normal"/>
    <w:uiPriority w:val="6"/>
    <w:qFormat/>
    <w:rsid w:val="006B5A7A"/>
    <w:pPr>
      <w:numPr>
        <w:numId w:val="10"/>
      </w:numPr>
    </w:pPr>
  </w:style>
  <w:style w:type="numbering" w:customStyle="1" w:styleId="NUmbListBullet">
    <w:name w:val="NUmbListBullet"/>
    <w:uiPriority w:val="99"/>
    <w:rsid w:val="006B5A7A"/>
    <w:pPr>
      <w:numPr>
        <w:numId w:val="6"/>
      </w:numPr>
    </w:pPr>
  </w:style>
  <w:style w:type="character" w:customStyle="1" w:styleId="charColoured">
    <w:name w:val="charColoured"/>
    <w:basedOn w:val="DefaultParagraphFont"/>
    <w:uiPriority w:val="1"/>
    <w:qFormat/>
    <w:rsid w:val="001417EF"/>
    <w:rPr>
      <w:color w:val="005172" w:themeColor="text2"/>
    </w:rPr>
  </w:style>
  <w:style w:type="character" w:customStyle="1" w:styleId="Heading4Char">
    <w:name w:val="Heading 4 Char"/>
    <w:basedOn w:val="DefaultParagraphFont"/>
    <w:link w:val="Heading4"/>
    <w:uiPriority w:val="6"/>
    <w:rsid w:val="00B516F8"/>
    <w:rPr>
      <w:rFonts w:asciiTheme="majorHAnsi" w:eastAsiaTheme="majorEastAsia" w:hAnsiTheme="majorHAnsi" w:cstheme="majorBidi"/>
      <w:b/>
      <w:bCs/>
      <w:i/>
      <w:iCs/>
      <w:color w:val="005172" w:themeColor="text2"/>
      <w:sz w:val="18"/>
    </w:rPr>
  </w:style>
  <w:style w:type="paragraph" w:styleId="TOCHeading">
    <w:name w:val="TOC Heading"/>
    <w:basedOn w:val="Heading1"/>
    <w:next w:val="Normal"/>
    <w:uiPriority w:val="39"/>
    <w:semiHidden/>
    <w:unhideWhenUsed/>
    <w:qFormat/>
    <w:rsid w:val="0096227E"/>
    <w:pPr>
      <w:spacing w:before="480" w:after="0" w:line="276" w:lineRule="auto"/>
      <w:outlineLvl w:val="9"/>
    </w:pPr>
    <w:rPr>
      <w:rFonts w:asciiTheme="majorHAnsi" w:hAnsiTheme="majorHAnsi"/>
      <w:b/>
      <w:color w:val="003C55" w:themeColor="accent1" w:themeShade="BF"/>
      <w:sz w:val="28"/>
      <w:lang w:val="en-US" w:eastAsia="ja-JP"/>
    </w:rPr>
  </w:style>
  <w:style w:type="paragraph" w:customStyle="1" w:styleId="Bullet2">
    <w:name w:val="Bullet 2"/>
    <w:basedOn w:val="Normal"/>
    <w:uiPriority w:val="6"/>
    <w:qFormat/>
    <w:rsid w:val="006B5A7A"/>
    <w:pPr>
      <w:numPr>
        <w:ilvl w:val="1"/>
        <w:numId w:val="10"/>
      </w:numPr>
    </w:pPr>
  </w:style>
  <w:style w:type="paragraph" w:customStyle="1" w:styleId="NormalProgram">
    <w:name w:val="NormalProgram"/>
    <w:basedOn w:val="Normal"/>
    <w:uiPriority w:val="6"/>
    <w:qFormat/>
    <w:rsid w:val="00045298"/>
    <w:pPr>
      <w:tabs>
        <w:tab w:val="left" w:pos="1701"/>
      </w:tabs>
      <w:ind w:left="1701" w:hanging="1021"/>
      <w:contextualSpacing/>
    </w:pPr>
  </w:style>
  <w:style w:type="paragraph" w:styleId="Title">
    <w:name w:val="Title"/>
    <w:basedOn w:val="Normal"/>
    <w:next w:val="Normal"/>
    <w:link w:val="TitleChar"/>
    <w:uiPriority w:val="49"/>
    <w:qFormat/>
    <w:rsid w:val="00F42C87"/>
    <w:pPr>
      <w:pBdr>
        <w:bottom w:val="single" w:sz="8" w:space="4" w:color="005172" w:themeColor="accent1"/>
      </w:pBdr>
      <w:spacing w:after="300"/>
      <w:contextualSpacing/>
    </w:pPr>
    <w:rPr>
      <w:rFonts w:asciiTheme="majorHAnsi" w:eastAsiaTheme="majorEastAsia" w:hAnsiTheme="majorHAnsi" w:cstheme="majorBidi"/>
      <w:color w:val="003C55" w:themeColor="text2" w:themeShade="BF"/>
      <w:spacing w:val="5"/>
      <w:kern w:val="28"/>
      <w:sz w:val="52"/>
      <w:szCs w:val="52"/>
    </w:rPr>
  </w:style>
  <w:style w:type="character" w:customStyle="1" w:styleId="TitleChar">
    <w:name w:val="Title Char"/>
    <w:basedOn w:val="DefaultParagraphFont"/>
    <w:link w:val="Title"/>
    <w:uiPriority w:val="49"/>
    <w:rsid w:val="00F42C87"/>
    <w:rPr>
      <w:rFonts w:asciiTheme="majorHAnsi" w:eastAsiaTheme="majorEastAsia" w:hAnsiTheme="majorHAnsi" w:cstheme="majorBidi"/>
      <w:color w:val="003C55" w:themeColor="text2" w:themeShade="BF"/>
      <w:spacing w:val="5"/>
      <w:kern w:val="28"/>
      <w:sz w:val="52"/>
      <w:szCs w:val="52"/>
    </w:rPr>
  </w:style>
  <w:style w:type="paragraph" w:styleId="BodyText2">
    <w:name w:val="Body Text 2"/>
    <w:basedOn w:val="Normal"/>
    <w:link w:val="BodyText2Char"/>
    <w:uiPriority w:val="99"/>
    <w:semiHidden/>
    <w:unhideWhenUsed/>
    <w:rsid w:val="00F42C87"/>
    <w:pPr>
      <w:spacing w:after="120" w:line="480" w:lineRule="auto"/>
    </w:pPr>
  </w:style>
  <w:style w:type="character" w:customStyle="1" w:styleId="BodyText2Char">
    <w:name w:val="Body Text 2 Char"/>
    <w:basedOn w:val="DefaultParagraphFont"/>
    <w:link w:val="BodyText2"/>
    <w:uiPriority w:val="99"/>
    <w:semiHidden/>
    <w:rsid w:val="00F42C87"/>
    <w:rPr>
      <w:rFonts w:ascii="Arial" w:hAnsi="Arial"/>
      <w:sz w:val="18"/>
    </w:rPr>
  </w:style>
  <w:style w:type="paragraph" w:styleId="BodyText3">
    <w:name w:val="Body Text 3"/>
    <w:basedOn w:val="Normal"/>
    <w:link w:val="BodyText3Char"/>
    <w:uiPriority w:val="99"/>
    <w:semiHidden/>
    <w:unhideWhenUsed/>
    <w:rsid w:val="00F42C87"/>
    <w:pPr>
      <w:spacing w:after="120"/>
    </w:pPr>
    <w:rPr>
      <w:sz w:val="16"/>
      <w:szCs w:val="16"/>
    </w:rPr>
  </w:style>
  <w:style w:type="character" w:customStyle="1" w:styleId="BodyText3Char">
    <w:name w:val="Body Text 3 Char"/>
    <w:basedOn w:val="DefaultParagraphFont"/>
    <w:link w:val="BodyText3"/>
    <w:uiPriority w:val="99"/>
    <w:semiHidden/>
    <w:rsid w:val="00F42C87"/>
    <w:rPr>
      <w:rFonts w:ascii="Arial" w:hAnsi="Arial"/>
      <w:sz w:val="16"/>
      <w:szCs w:val="16"/>
    </w:rPr>
  </w:style>
  <w:style w:type="paragraph" w:customStyle="1" w:styleId="TableSmText">
    <w:name w:val="TableSmText"/>
    <w:basedOn w:val="TableText"/>
    <w:uiPriority w:val="8"/>
    <w:qFormat/>
    <w:rsid w:val="009604C8"/>
    <w:pPr>
      <w:spacing w:line="160" w:lineRule="atLeast"/>
    </w:pPr>
    <w:rPr>
      <w:sz w:val="14"/>
    </w:rPr>
  </w:style>
  <w:style w:type="paragraph" w:customStyle="1" w:styleId="TableSmHeading">
    <w:name w:val="TableSmHeading"/>
    <w:basedOn w:val="TableSmText"/>
    <w:uiPriority w:val="8"/>
    <w:qFormat/>
    <w:rsid w:val="0080563D"/>
    <w:pPr>
      <w:spacing w:before="20" w:after="10"/>
    </w:pPr>
    <w:rPr>
      <w:b/>
    </w:rPr>
  </w:style>
  <w:style w:type="paragraph" w:customStyle="1" w:styleId="TableTextWith">
    <w:name w:val="TableTextWith"/>
    <w:basedOn w:val="TableText"/>
    <w:uiPriority w:val="8"/>
    <w:qFormat/>
    <w:rsid w:val="00524031"/>
    <w:pPr>
      <w:spacing w:after="80"/>
    </w:pPr>
  </w:style>
  <w:style w:type="paragraph" w:customStyle="1" w:styleId="TableBullet1">
    <w:name w:val="TableBullet1"/>
    <w:basedOn w:val="TableText"/>
    <w:uiPriority w:val="8"/>
    <w:qFormat/>
    <w:rsid w:val="006B5A7A"/>
    <w:pPr>
      <w:numPr>
        <w:numId w:val="11"/>
      </w:numPr>
    </w:pPr>
  </w:style>
  <w:style w:type="numbering" w:customStyle="1" w:styleId="NumbLstTabBullet">
    <w:name w:val="NumbLstTabBullet"/>
    <w:uiPriority w:val="99"/>
    <w:rsid w:val="006B5A7A"/>
    <w:pPr>
      <w:numPr>
        <w:numId w:val="7"/>
      </w:numPr>
    </w:pPr>
  </w:style>
  <w:style w:type="paragraph" w:styleId="BodyText">
    <w:name w:val="Body Text"/>
    <w:basedOn w:val="Normal"/>
    <w:link w:val="BodyTextChar"/>
    <w:rsid w:val="00282F14"/>
    <w:pPr>
      <w:spacing w:after="120"/>
    </w:pPr>
  </w:style>
  <w:style w:type="character" w:customStyle="1" w:styleId="BodyTextChar">
    <w:name w:val="Body Text Char"/>
    <w:basedOn w:val="DefaultParagraphFont"/>
    <w:link w:val="BodyText"/>
    <w:rsid w:val="00B516F8"/>
    <w:rPr>
      <w:rFonts w:ascii="Arial" w:hAnsi="Arial"/>
      <w:sz w:val="18"/>
    </w:rPr>
  </w:style>
  <w:style w:type="paragraph" w:styleId="ListParagraph">
    <w:name w:val="List Paragraph"/>
    <w:aliases w:val="Bullet List,FooterText,List Paragraph1,Colorful List Accent 1,numbered,Paragraphe de liste1,列出段落,列出段落1,Bulletr List Paragraph,List Paragraph2,List Paragraph21,Párrafo de lista1,Parágrafo da Lista1,リスト段落1,Plan,Dot pt,F5 List Paragraph,????"/>
    <w:basedOn w:val="Normal"/>
    <w:link w:val="ListParagraphChar"/>
    <w:uiPriority w:val="1"/>
    <w:qFormat/>
    <w:rsid w:val="004407E4"/>
    <w:pPr>
      <w:spacing w:after="0" w:line="240" w:lineRule="auto"/>
      <w:ind w:left="720"/>
      <w:contextualSpacing/>
    </w:pPr>
    <w:rPr>
      <w:rFonts w:ascii="Calibri" w:eastAsia="Times New Roman" w:hAnsi="Calibri" w:cs="Arial"/>
      <w:sz w:val="22"/>
      <w:lang w:val="en-US" w:eastAsia="ja-JP"/>
    </w:rPr>
  </w:style>
  <w:style w:type="paragraph" w:customStyle="1" w:styleId="NumbList1">
    <w:name w:val="NumbList 1"/>
    <w:basedOn w:val="Normal"/>
    <w:uiPriority w:val="6"/>
    <w:qFormat/>
    <w:rsid w:val="006B5A7A"/>
    <w:pPr>
      <w:numPr>
        <w:ilvl w:val="3"/>
        <w:numId w:val="10"/>
      </w:numPr>
    </w:pPr>
  </w:style>
  <w:style w:type="paragraph" w:customStyle="1" w:styleId="TableHeadingCenter">
    <w:name w:val="TableHeadingCenter"/>
    <w:basedOn w:val="TableHeading"/>
    <w:uiPriority w:val="8"/>
    <w:qFormat/>
    <w:rsid w:val="00EA1F48"/>
    <w:pPr>
      <w:jc w:val="center"/>
    </w:pPr>
  </w:style>
  <w:style w:type="paragraph" w:customStyle="1" w:styleId="TableTextCenter">
    <w:name w:val="TableTextCenter"/>
    <w:basedOn w:val="TableText"/>
    <w:uiPriority w:val="8"/>
    <w:qFormat/>
    <w:rsid w:val="00EA1F48"/>
    <w:pPr>
      <w:jc w:val="center"/>
    </w:pPr>
  </w:style>
  <w:style w:type="paragraph" w:customStyle="1" w:styleId="TableItalic">
    <w:name w:val="TableItalic"/>
    <w:basedOn w:val="TableText"/>
    <w:uiPriority w:val="8"/>
    <w:qFormat/>
    <w:rsid w:val="00F97023"/>
    <w:pPr>
      <w:keepNext/>
      <w:keepLines/>
    </w:pPr>
    <w:rPr>
      <w:i/>
    </w:rPr>
  </w:style>
  <w:style w:type="paragraph" w:customStyle="1" w:styleId="TableItalicCenter">
    <w:name w:val="TableItalicCenter"/>
    <w:basedOn w:val="TableItalic"/>
    <w:uiPriority w:val="8"/>
    <w:qFormat/>
    <w:rsid w:val="00F97023"/>
    <w:pPr>
      <w:jc w:val="center"/>
    </w:pPr>
  </w:style>
  <w:style w:type="paragraph" w:customStyle="1" w:styleId="AlphaList">
    <w:name w:val="AlphaList"/>
    <w:basedOn w:val="Normal"/>
    <w:uiPriority w:val="6"/>
    <w:qFormat/>
    <w:rsid w:val="006B5A7A"/>
    <w:pPr>
      <w:numPr>
        <w:ilvl w:val="4"/>
        <w:numId w:val="10"/>
      </w:numPr>
    </w:pPr>
  </w:style>
  <w:style w:type="paragraph" w:customStyle="1" w:styleId="TableBullet2">
    <w:name w:val="TableBullet2"/>
    <w:basedOn w:val="TableText"/>
    <w:uiPriority w:val="6"/>
    <w:qFormat/>
    <w:rsid w:val="006B5A7A"/>
    <w:pPr>
      <w:numPr>
        <w:ilvl w:val="1"/>
        <w:numId w:val="11"/>
      </w:numPr>
    </w:pPr>
    <w:rPr>
      <w:color w:val="000000"/>
      <w:szCs w:val="16"/>
    </w:rPr>
  </w:style>
  <w:style w:type="paragraph" w:customStyle="1" w:styleId="NormalAbb">
    <w:name w:val="NormalAbb"/>
    <w:basedOn w:val="Normal"/>
    <w:uiPriority w:val="6"/>
    <w:qFormat/>
    <w:rsid w:val="000D070F"/>
    <w:pPr>
      <w:ind w:left="1361" w:hanging="1361"/>
      <w:contextualSpacing/>
    </w:pPr>
  </w:style>
  <w:style w:type="paragraph" w:customStyle="1" w:styleId="TableSmNumb">
    <w:name w:val="TableSmNumb"/>
    <w:basedOn w:val="TableSmText"/>
    <w:uiPriority w:val="8"/>
    <w:qFormat/>
    <w:rsid w:val="00797AB8"/>
    <w:pPr>
      <w:ind w:left="0" w:right="85"/>
      <w:jc w:val="right"/>
    </w:pPr>
  </w:style>
  <w:style w:type="paragraph" w:customStyle="1" w:styleId="TableSmHeadingRight">
    <w:name w:val="TableSmHeadingRight"/>
    <w:basedOn w:val="TableSmHeading"/>
    <w:uiPriority w:val="8"/>
    <w:qFormat/>
    <w:rsid w:val="00797AB8"/>
    <w:pPr>
      <w:ind w:left="0" w:right="85"/>
      <w:jc w:val="right"/>
    </w:pPr>
  </w:style>
  <w:style w:type="paragraph" w:customStyle="1" w:styleId="TableFootnote">
    <w:name w:val="TableFootnote"/>
    <w:basedOn w:val="TableText"/>
    <w:uiPriority w:val="8"/>
    <w:qFormat/>
    <w:rsid w:val="00096382"/>
    <w:pPr>
      <w:ind w:left="226" w:hanging="113"/>
    </w:pPr>
  </w:style>
  <w:style w:type="paragraph" w:styleId="Caption">
    <w:name w:val="caption"/>
    <w:basedOn w:val="Normal"/>
    <w:next w:val="Normal"/>
    <w:uiPriority w:val="35"/>
    <w:unhideWhenUsed/>
    <w:qFormat/>
    <w:rsid w:val="001417EF"/>
    <w:pPr>
      <w:spacing w:after="200" w:line="240" w:lineRule="auto"/>
    </w:pPr>
    <w:rPr>
      <w:b/>
      <w:bCs/>
      <w:color w:val="005172" w:themeColor="text2"/>
      <w:szCs w:val="18"/>
    </w:rPr>
  </w:style>
  <w:style w:type="character" w:styleId="IntenseEmphasis">
    <w:name w:val="Intense Emphasis"/>
    <w:basedOn w:val="DefaultParagraphFont"/>
    <w:uiPriority w:val="21"/>
    <w:qFormat/>
    <w:rsid w:val="001417EF"/>
    <w:rPr>
      <w:b/>
      <w:bCs/>
      <w:i/>
      <w:iCs/>
      <w:color w:val="005172" w:themeColor="text2"/>
    </w:rPr>
  </w:style>
  <w:style w:type="paragraph" w:styleId="IntenseQuote">
    <w:name w:val="Intense Quote"/>
    <w:basedOn w:val="Normal"/>
    <w:next w:val="Normal"/>
    <w:link w:val="IntenseQuoteChar"/>
    <w:uiPriority w:val="49"/>
    <w:qFormat/>
    <w:rsid w:val="001417EF"/>
    <w:pPr>
      <w:pBdr>
        <w:bottom w:val="single" w:sz="4" w:space="4" w:color="005172" w:themeColor="accent1"/>
      </w:pBdr>
      <w:spacing w:before="200" w:after="280"/>
      <w:ind w:left="936" w:right="936"/>
    </w:pPr>
    <w:rPr>
      <w:b/>
      <w:bCs/>
      <w:i/>
      <w:iCs/>
      <w:color w:val="005172" w:themeColor="text2"/>
    </w:rPr>
  </w:style>
  <w:style w:type="character" w:customStyle="1" w:styleId="IntenseQuoteChar">
    <w:name w:val="Intense Quote Char"/>
    <w:basedOn w:val="DefaultParagraphFont"/>
    <w:link w:val="IntenseQuote"/>
    <w:uiPriority w:val="49"/>
    <w:rsid w:val="001417EF"/>
    <w:rPr>
      <w:rFonts w:ascii="Arial" w:hAnsi="Arial"/>
      <w:b/>
      <w:bCs/>
      <w:i/>
      <w:iCs/>
      <w:color w:val="005172" w:themeColor="text2"/>
      <w:sz w:val="18"/>
    </w:rPr>
  </w:style>
  <w:style w:type="paragraph" w:customStyle="1" w:styleId="ChartPara">
    <w:name w:val="ChartPara"/>
    <w:basedOn w:val="Normal"/>
    <w:uiPriority w:val="6"/>
    <w:qFormat/>
    <w:rsid w:val="00DF623F"/>
    <w:pPr>
      <w:ind w:left="1418"/>
    </w:pPr>
  </w:style>
  <w:style w:type="paragraph" w:customStyle="1" w:styleId="ProgramIntro">
    <w:name w:val="ProgramIntro"/>
    <w:basedOn w:val="Normal"/>
    <w:uiPriority w:val="5"/>
    <w:qFormat/>
    <w:rsid w:val="00B516F8"/>
    <w:pPr>
      <w:ind w:left="3062"/>
    </w:pPr>
    <w:rPr>
      <w:color w:val="005172" w:themeColor="text2"/>
      <w:sz w:val="26"/>
    </w:rPr>
  </w:style>
  <w:style w:type="paragraph" w:customStyle="1" w:styleId="DocTitle">
    <w:name w:val="DocTitle"/>
    <w:basedOn w:val="Normal"/>
    <w:uiPriority w:val="6"/>
    <w:qFormat/>
    <w:rsid w:val="0059211C"/>
    <w:pPr>
      <w:jc w:val="center"/>
    </w:pPr>
    <w:rPr>
      <w:color w:val="005172" w:themeColor="text2"/>
      <w:sz w:val="44"/>
    </w:rPr>
  </w:style>
  <w:style w:type="paragraph" w:customStyle="1" w:styleId="TYableText">
    <w:name w:val="TYableText"/>
    <w:basedOn w:val="Normal"/>
    <w:rsid w:val="00584311"/>
  </w:style>
  <w:style w:type="character" w:styleId="CommentReference">
    <w:name w:val="annotation reference"/>
    <w:basedOn w:val="DefaultParagraphFont"/>
    <w:unhideWhenUsed/>
    <w:rsid w:val="008D7EDA"/>
    <w:rPr>
      <w:sz w:val="16"/>
      <w:szCs w:val="16"/>
    </w:rPr>
  </w:style>
  <w:style w:type="paragraph" w:styleId="CommentText">
    <w:name w:val="annotation text"/>
    <w:basedOn w:val="Normal"/>
    <w:link w:val="CommentTextChar"/>
    <w:uiPriority w:val="99"/>
    <w:unhideWhenUsed/>
    <w:rsid w:val="008D7EDA"/>
    <w:pPr>
      <w:spacing w:line="240" w:lineRule="auto"/>
    </w:pPr>
    <w:rPr>
      <w:sz w:val="20"/>
      <w:szCs w:val="20"/>
    </w:rPr>
  </w:style>
  <w:style w:type="character" w:customStyle="1" w:styleId="CommentTextChar">
    <w:name w:val="Comment Text Char"/>
    <w:basedOn w:val="DefaultParagraphFont"/>
    <w:link w:val="CommentText"/>
    <w:uiPriority w:val="99"/>
    <w:rsid w:val="008D7EDA"/>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8D7EDA"/>
    <w:rPr>
      <w:b/>
      <w:bCs/>
    </w:rPr>
  </w:style>
  <w:style w:type="character" w:customStyle="1" w:styleId="CommentSubjectChar">
    <w:name w:val="Comment Subject Char"/>
    <w:basedOn w:val="CommentTextChar"/>
    <w:link w:val="CommentSubject"/>
    <w:uiPriority w:val="99"/>
    <w:semiHidden/>
    <w:rsid w:val="008D7EDA"/>
    <w:rPr>
      <w:rFonts w:ascii="Arial" w:hAnsi="Arial"/>
      <w:b/>
      <w:bCs/>
      <w:sz w:val="20"/>
      <w:szCs w:val="20"/>
    </w:rPr>
  </w:style>
  <w:style w:type="paragraph" w:styleId="Revision">
    <w:name w:val="Revision"/>
    <w:hidden/>
    <w:uiPriority w:val="99"/>
    <w:semiHidden/>
    <w:rsid w:val="00EE7F03"/>
    <w:pPr>
      <w:spacing w:after="0" w:line="240" w:lineRule="auto"/>
    </w:pPr>
    <w:rPr>
      <w:rFonts w:ascii="Arial" w:hAnsi="Arial"/>
      <w:sz w:val="18"/>
    </w:rPr>
  </w:style>
  <w:style w:type="character" w:styleId="FollowedHyperlink">
    <w:name w:val="FollowedHyperlink"/>
    <w:basedOn w:val="DefaultParagraphFont"/>
    <w:uiPriority w:val="99"/>
    <w:semiHidden/>
    <w:unhideWhenUsed/>
    <w:rsid w:val="00122044"/>
    <w:rPr>
      <w:color w:val="9B7CB7"/>
      <w:u w:val="single"/>
    </w:rPr>
  </w:style>
  <w:style w:type="paragraph" w:customStyle="1" w:styleId="msonormal0">
    <w:name w:val="msonormal"/>
    <w:basedOn w:val="Normal"/>
    <w:rsid w:val="0012204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Normal"/>
    <w:rsid w:val="00122044"/>
    <w:pPr>
      <w:spacing w:before="100" w:beforeAutospacing="1" w:after="100" w:afterAutospacing="1" w:line="240" w:lineRule="auto"/>
    </w:pPr>
    <w:rPr>
      <w:rFonts w:eastAsia="Times New Roman" w:cs="Arial"/>
      <w:color w:val="FF0000"/>
      <w:szCs w:val="18"/>
      <w:lang w:val="en-US"/>
    </w:rPr>
  </w:style>
  <w:style w:type="paragraph" w:customStyle="1" w:styleId="font6">
    <w:name w:val="font6"/>
    <w:basedOn w:val="Normal"/>
    <w:rsid w:val="00122044"/>
    <w:pPr>
      <w:spacing w:before="100" w:beforeAutospacing="1" w:after="100" w:afterAutospacing="1" w:line="240" w:lineRule="auto"/>
    </w:pPr>
    <w:rPr>
      <w:rFonts w:eastAsia="Times New Roman" w:cs="Arial"/>
      <w:szCs w:val="18"/>
      <w:lang w:val="en-US"/>
    </w:rPr>
  </w:style>
  <w:style w:type="paragraph" w:customStyle="1" w:styleId="font7">
    <w:name w:val="font7"/>
    <w:basedOn w:val="Normal"/>
    <w:rsid w:val="00122044"/>
    <w:pPr>
      <w:spacing w:before="100" w:beforeAutospacing="1" w:after="100" w:afterAutospacing="1" w:line="240" w:lineRule="auto"/>
    </w:pPr>
    <w:rPr>
      <w:rFonts w:eastAsia="Times New Roman" w:cs="Arial"/>
      <w:b/>
      <w:bCs/>
      <w:color w:val="000000"/>
      <w:szCs w:val="18"/>
      <w:lang w:val="en-US"/>
    </w:rPr>
  </w:style>
  <w:style w:type="paragraph" w:customStyle="1" w:styleId="font8">
    <w:name w:val="font8"/>
    <w:basedOn w:val="Normal"/>
    <w:rsid w:val="00122044"/>
    <w:pPr>
      <w:spacing w:before="100" w:beforeAutospacing="1" w:after="100" w:afterAutospacing="1" w:line="240" w:lineRule="auto"/>
    </w:pPr>
    <w:rPr>
      <w:rFonts w:eastAsia="Times New Roman" w:cs="Arial"/>
      <w:b/>
      <w:bCs/>
      <w:szCs w:val="18"/>
      <w:lang w:val="en-US"/>
    </w:rPr>
  </w:style>
  <w:style w:type="paragraph" w:customStyle="1" w:styleId="font9">
    <w:name w:val="font9"/>
    <w:basedOn w:val="Normal"/>
    <w:rsid w:val="00122044"/>
    <w:pPr>
      <w:spacing w:before="100" w:beforeAutospacing="1" w:after="100" w:afterAutospacing="1" w:line="240" w:lineRule="auto"/>
    </w:pPr>
    <w:rPr>
      <w:rFonts w:eastAsia="Times New Roman" w:cs="Arial"/>
      <w:sz w:val="16"/>
      <w:szCs w:val="16"/>
      <w:lang w:val="en-US"/>
    </w:rPr>
  </w:style>
  <w:style w:type="paragraph" w:customStyle="1" w:styleId="font10">
    <w:name w:val="font10"/>
    <w:basedOn w:val="Normal"/>
    <w:rsid w:val="00122044"/>
    <w:pPr>
      <w:spacing w:before="100" w:beforeAutospacing="1" w:after="100" w:afterAutospacing="1" w:line="240" w:lineRule="auto"/>
    </w:pPr>
    <w:rPr>
      <w:rFonts w:eastAsia="Times New Roman" w:cs="Arial"/>
      <w:sz w:val="16"/>
      <w:szCs w:val="16"/>
      <w:lang w:val="en-US"/>
    </w:rPr>
  </w:style>
  <w:style w:type="paragraph" w:customStyle="1" w:styleId="xl65">
    <w:name w:val="xl65"/>
    <w:basedOn w:val="Normal"/>
    <w:rsid w:val="00122044"/>
    <w:pP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66">
    <w:name w:val="xl66"/>
    <w:basedOn w:val="Normal"/>
    <w:rsid w:val="00122044"/>
    <w:pP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67">
    <w:name w:val="xl67"/>
    <w:basedOn w:val="Normal"/>
    <w:rsid w:val="00122044"/>
    <w:pPr>
      <w:spacing w:before="100" w:beforeAutospacing="1" w:after="100" w:afterAutospacing="1" w:line="240" w:lineRule="auto"/>
      <w:textAlignment w:val="center"/>
    </w:pPr>
    <w:rPr>
      <w:rFonts w:ascii="Times New Roman" w:eastAsia="Times New Roman" w:hAnsi="Times New Roman" w:cs="Times New Roman"/>
      <w:b/>
      <w:bCs/>
      <w:szCs w:val="18"/>
      <w:lang w:val="en-US"/>
    </w:rPr>
  </w:style>
  <w:style w:type="paragraph" w:customStyle="1" w:styleId="xl68">
    <w:name w:val="xl68"/>
    <w:basedOn w:val="Normal"/>
    <w:rsid w:val="00122044"/>
    <w:pP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69">
    <w:name w:val="xl69"/>
    <w:basedOn w:val="Normal"/>
    <w:rsid w:val="00122044"/>
    <w:pPr>
      <w:spacing w:before="100" w:beforeAutospacing="1" w:after="100" w:afterAutospacing="1" w:line="240" w:lineRule="auto"/>
      <w:textAlignment w:val="center"/>
    </w:pPr>
    <w:rPr>
      <w:rFonts w:ascii="Times New Roman" w:eastAsia="Times New Roman" w:hAnsi="Times New Roman" w:cs="Times New Roman"/>
      <w:b/>
      <w:bCs/>
      <w:szCs w:val="18"/>
      <w:lang w:val="en-US"/>
    </w:rPr>
  </w:style>
  <w:style w:type="paragraph" w:customStyle="1" w:styleId="xl70">
    <w:name w:val="xl70"/>
    <w:basedOn w:val="Normal"/>
    <w:rsid w:val="00122044"/>
    <w:pPr>
      <w:shd w:val="clear" w:color="000000" w:fill="C7CFD8"/>
      <w:spacing w:before="100" w:beforeAutospacing="1" w:after="100" w:afterAutospacing="1" w:line="240" w:lineRule="auto"/>
      <w:textAlignment w:val="center"/>
    </w:pPr>
    <w:rPr>
      <w:rFonts w:ascii="Times New Roman" w:eastAsia="Times New Roman" w:hAnsi="Times New Roman" w:cs="Times New Roman"/>
      <w:b/>
      <w:bCs/>
      <w:szCs w:val="18"/>
      <w:lang w:val="en-US"/>
    </w:rPr>
  </w:style>
  <w:style w:type="paragraph" w:customStyle="1" w:styleId="xl71">
    <w:name w:val="xl71"/>
    <w:basedOn w:val="Normal"/>
    <w:rsid w:val="00122044"/>
    <w:pPr>
      <w:shd w:val="clear" w:color="000000" w:fill="C7CFD8"/>
      <w:spacing w:before="100" w:beforeAutospacing="1" w:after="100" w:afterAutospacing="1" w:line="240" w:lineRule="auto"/>
      <w:jc w:val="center"/>
      <w:textAlignment w:val="center"/>
    </w:pPr>
    <w:rPr>
      <w:rFonts w:ascii="Times New Roman" w:eastAsia="Times New Roman" w:hAnsi="Times New Roman" w:cs="Times New Roman"/>
      <w:b/>
      <w:bCs/>
      <w:szCs w:val="18"/>
      <w:lang w:val="en-US"/>
    </w:rPr>
  </w:style>
  <w:style w:type="paragraph" w:customStyle="1" w:styleId="xl72">
    <w:name w:val="xl72"/>
    <w:basedOn w:val="Normal"/>
    <w:rsid w:val="00122044"/>
    <w:pPr>
      <w:pBdr>
        <w:bottom w:val="single" w:sz="4" w:space="0" w:color="BFBFBF"/>
      </w:pBd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73">
    <w:name w:val="xl73"/>
    <w:basedOn w:val="Normal"/>
    <w:rsid w:val="00122044"/>
    <w:pPr>
      <w:pBdr>
        <w:bottom w:val="single" w:sz="4" w:space="0" w:color="BFBFBF"/>
      </w:pBd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74">
    <w:name w:val="xl74"/>
    <w:basedOn w:val="Normal"/>
    <w:rsid w:val="00122044"/>
    <w:pPr>
      <w:pBdr>
        <w:bottom w:val="single" w:sz="4" w:space="0" w:color="BFBFBF"/>
      </w:pBd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75">
    <w:name w:val="xl75"/>
    <w:basedOn w:val="Normal"/>
    <w:rsid w:val="00122044"/>
    <w:pPr>
      <w:pBdr>
        <w:bottom w:val="single" w:sz="8" w:space="0" w:color="BFBFBF"/>
      </w:pBd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76">
    <w:name w:val="xl76"/>
    <w:basedOn w:val="Normal"/>
    <w:rsid w:val="00122044"/>
    <w:pPr>
      <w:pBdr>
        <w:bottom w:val="single" w:sz="8" w:space="0" w:color="BFBFBF"/>
      </w:pBd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77">
    <w:name w:val="xl77"/>
    <w:basedOn w:val="Normal"/>
    <w:rsid w:val="00122044"/>
    <w:pP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78">
    <w:name w:val="xl78"/>
    <w:basedOn w:val="Normal"/>
    <w:rsid w:val="00122044"/>
    <w:pPr>
      <w:shd w:val="clear" w:color="000000" w:fill="C7CFD8"/>
      <w:spacing w:before="100" w:beforeAutospacing="1" w:after="100" w:afterAutospacing="1" w:line="240" w:lineRule="auto"/>
      <w:jc w:val="center"/>
      <w:textAlignment w:val="center"/>
    </w:pPr>
    <w:rPr>
      <w:rFonts w:ascii="Times New Roman" w:eastAsia="Times New Roman" w:hAnsi="Times New Roman" w:cs="Times New Roman"/>
      <w:b/>
      <w:bCs/>
      <w:szCs w:val="18"/>
      <w:lang w:val="en-US"/>
    </w:rPr>
  </w:style>
  <w:style w:type="paragraph" w:customStyle="1" w:styleId="xl63">
    <w:name w:val="xl63"/>
    <w:basedOn w:val="Normal"/>
    <w:rsid w:val="00D46A0C"/>
    <w:pP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64">
    <w:name w:val="xl64"/>
    <w:basedOn w:val="Normal"/>
    <w:rsid w:val="00D46A0C"/>
    <w:pPr>
      <w:spacing w:before="100" w:beforeAutospacing="1" w:after="100" w:afterAutospacing="1" w:line="240" w:lineRule="auto"/>
      <w:textAlignment w:val="center"/>
    </w:pPr>
    <w:rPr>
      <w:rFonts w:ascii="Times New Roman" w:eastAsia="Times New Roman" w:hAnsi="Times New Roman" w:cs="Times New Roman"/>
      <w:szCs w:val="18"/>
      <w:lang w:val="en-US"/>
    </w:rPr>
  </w:style>
  <w:style w:type="paragraph" w:customStyle="1" w:styleId="xl79">
    <w:name w:val="xl79"/>
    <w:basedOn w:val="Normal"/>
    <w:rsid w:val="003E02FA"/>
    <w:pPr>
      <w:pBdr>
        <w:bottom w:val="single" w:sz="8" w:space="0" w:color="BFBFBF"/>
      </w:pBdr>
      <w:spacing w:before="100" w:beforeAutospacing="1" w:after="100" w:afterAutospacing="1" w:line="240" w:lineRule="auto"/>
      <w:jc w:val="right"/>
      <w:textAlignment w:val="top"/>
    </w:pPr>
    <w:rPr>
      <w:rFonts w:ascii="Arial Narrow" w:eastAsia="Times New Roman" w:hAnsi="Arial Narrow" w:cs="Times New Roman"/>
      <w:sz w:val="16"/>
      <w:szCs w:val="16"/>
      <w:lang w:val="en-US"/>
    </w:rPr>
  </w:style>
  <w:style w:type="paragraph" w:customStyle="1" w:styleId="xl80">
    <w:name w:val="xl80"/>
    <w:basedOn w:val="Normal"/>
    <w:rsid w:val="003E02FA"/>
    <w:pPr>
      <w:pBdr>
        <w:bottom w:val="single" w:sz="8" w:space="0" w:color="BFBFBF"/>
      </w:pBdr>
      <w:spacing w:before="100" w:beforeAutospacing="1" w:after="100" w:afterAutospacing="1" w:line="240" w:lineRule="auto"/>
      <w:jc w:val="right"/>
      <w:textAlignment w:val="top"/>
    </w:pPr>
    <w:rPr>
      <w:rFonts w:ascii="Arial Narrow" w:eastAsia="Times New Roman" w:hAnsi="Arial Narrow" w:cs="Times New Roman"/>
      <w:sz w:val="16"/>
      <w:szCs w:val="16"/>
      <w:lang w:val="en-US"/>
    </w:rPr>
  </w:style>
  <w:style w:type="paragraph" w:customStyle="1" w:styleId="xl81">
    <w:name w:val="xl81"/>
    <w:basedOn w:val="Normal"/>
    <w:rsid w:val="003E02FA"/>
    <w:pPr>
      <w:spacing w:before="100" w:beforeAutospacing="1" w:after="100" w:afterAutospacing="1" w:line="240" w:lineRule="auto"/>
      <w:jc w:val="right"/>
      <w:textAlignment w:val="top"/>
    </w:pPr>
    <w:rPr>
      <w:rFonts w:ascii="Arial Narrow" w:eastAsia="Times New Roman" w:hAnsi="Arial Narrow" w:cs="Times New Roman"/>
      <w:b/>
      <w:bCs/>
      <w:sz w:val="16"/>
      <w:szCs w:val="16"/>
      <w:lang w:val="en-US"/>
    </w:rPr>
  </w:style>
  <w:style w:type="paragraph" w:customStyle="1" w:styleId="xl82">
    <w:name w:val="xl82"/>
    <w:basedOn w:val="Normal"/>
    <w:rsid w:val="003E02FA"/>
    <w:pPr>
      <w:spacing w:before="100" w:beforeAutospacing="1" w:after="100" w:afterAutospacing="1" w:line="240" w:lineRule="auto"/>
      <w:jc w:val="right"/>
      <w:textAlignment w:val="top"/>
    </w:pPr>
    <w:rPr>
      <w:rFonts w:ascii="Arial Narrow" w:eastAsia="Times New Roman" w:hAnsi="Arial Narrow" w:cs="Times New Roman"/>
      <w:b/>
      <w:bCs/>
      <w:sz w:val="16"/>
      <w:szCs w:val="16"/>
      <w:lang w:val="en-US"/>
    </w:rPr>
  </w:style>
  <w:style w:type="paragraph" w:customStyle="1" w:styleId="xl83">
    <w:name w:val="xl83"/>
    <w:basedOn w:val="Normal"/>
    <w:rsid w:val="003E02FA"/>
    <w:pPr>
      <w:spacing w:before="100" w:beforeAutospacing="1" w:after="100" w:afterAutospacing="1" w:line="240" w:lineRule="auto"/>
      <w:jc w:val="right"/>
      <w:textAlignment w:val="top"/>
    </w:pPr>
    <w:rPr>
      <w:rFonts w:ascii="Arial Narrow" w:eastAsia="Times New Roman" w:hAnsi="Arial Narrow" w:cs="Times New Roman"/>
      <w:sz w:val="16"/>
      <w:szCs w:val="16"/>
      <w:lang w:val="en-US"/>
    </w:rPr>
  </w:style>
  <w:style w:type="paragraph" w:styleId="NormalWeb">
    <w:name w:val="Normal (Web)"/>
    <w:basedOn w:val="Normal"/>
    <w:uiPriority w:val="99"/>
    <w:rsid w:val="00191556"/>
    <w:pPr>
      <w:spacing w:before="100" w:beforeAutospacing="1" w:after="100" w:afterAutospacing="1" w:line="240" w:lineRule="auto"/>
    </w:pPr>
    <w:rPr>
      <w:rFonts w:eastAsia="Times New Roman" w:cs="Arial"/>
      <w:szCs w:val="18"/>
      <w:lang w:val="en-US"/>
    </w:rPr>
  </w:style>
  <w:style w:type="paragraph" w:styleId="PlainText">
    <w:name w:val="Plain Text"/>
    <w:basedOn w:val="Normal"/>
    <w:link w:val="PlainTextChar"/>
    <w:uiPriority w:val="99"/>
    <w:rsid w:val="00191556"/>
    <w:pPr>
      <w:spacing w:after="0" w:line="240" w:lineRule="auto"/>
    </w:pPr>
    <w:rPr>
      <w:rFonts w:ascii="Courier New" w:eastAsia="SimSun" w:hAnsi="Courier New" w:cs="Courier New"/>
      <w:color w:val="0000FF"/>
      <w:sz w:val="20"/>
      <w:szCs w:val="20"/>
      <w:lang w:val="en-US" w:eastAsia="zh-CN"/>
    </w:rPr>
  </w:style>
  <w:style w:type="character" w:customStyle="1" w:styleId="PlainTextChar">
    <w:name w:val="Plain Text Char"/>
    <w:basedOn w:val="DefaultParagraphFont"/>
    <w:link w:val="PlainText"/>
    <w:uiPriority w:val="99"/>
    <w:rsid w:val="00191556"/>
    <w:rPr>
      <w:rFonts w:ascii="Courier New" w:eastAsia="SimSun" w:hAnsi="Courier New" w:cs="Courier New"/>
      <w:color w:val="0000FF"/>
      <w:sz w:val="20"/>
      <w:szCs w:val="20"/>
      <w:lang w:val="en-US" w:eastAsia="zh-CN"/>
    </w:rPr>
  </w:style>
  <w:style w:type="paragraph" w:customStyle="1" w:styleId="ONUME">
    <w:name w:val="ONUM E"/>
    <w:basedOn w:val="BodyText"/>
    <w:link w:val="ONUMEChar"/>
    <w:rsid w:val="00EB1CCB"/>
    <w:pPr>
      <w:spacing w:after="220"/>
    </w:pPr>
  </w:style>
  <w:style w:type="table" w:customStyle="1" w:styleId="TableGrid1">
    <w:name w:val="Table Grid1"/>
    <w:basedOn w:val="TableNormal"/>
    <w:next w:val="TableGrid"/>
    <w:uiPriority w:val="59"/>
    <w:rsid w:val="00B7360E"/>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ll1">
    <w:name w:val="null1"/>
    <w:basedOn w:val="DefaultParagraphFont"/>
    <w:rsid w:val="00763758"/>
  </w:style>
  <w:style w:type="paragraph" w:customStyle="1" w:styleId="xl84">
    <w:name w:val="xl84"/>
    <w:basedOn w:val="Normal"/>
    <w:rsid w:val="005757FD"/>
    <w:pPr>
      <w:spacing w:before="100" w:beforeAutospacing="1" w:after="100" w:afterAutospacing="1" w:line="240" w:lineRule="auto"/>
      <w:jc w:val="right"/>
      <w:textAlignment w:val="top"/>
    </w:pPr>
    <w:rPr>
      <w:rFonts w:eastAsia="Times New Roman" w:cs="Arial"/>
      <w:sz w:val="20"/>
      <w:szCs w:val="20"/>
      <w:lang w:val="fr-CH" w:eastAsia="fr-CH"/>
    </w:rPr>
  </w:style>
  <w:style w:type="paragraph" w:customStyle="1" w:styleId="xl85">
    <w:name w:val="xl85"/>
    <w:basedOn w:val="Normal"/>
    <w:rsid w:val="005757FD"/>
    <w:pPr>
      <w:spacing w:before="100" w:beforeAutospacing="1" w:after="100" w:afterAutospacing="1" w:line="240" w:lineRule="auto"/>
      <w:textAlignment w:val="top"/>
    </w:pPr>
    <w:rPr>
      <w:rFonts w:eastAsia="Times New Roman" w:cs="Arial"/>
      <w:b/>
      <w:bCs/>
      <w:sz w:val="20"/>
      <w:szCs w:val="20"/>
      <w:lang w:val="fr-CH" w:eastAsia="fr-CH"/>
    </w:rPr>
  </w:style>
  <w:style w:type="paragraph" w:customStyle="1" w:styleId="xl86">
    <w:name w:val="xl86"/>
    <w:basedOn w:val="Normal"/>
    <w:rsid w:val="005757FD"/>
    <w:pPr>
      <w:spacing w:before="100" w:beforeAutospacing="1" w:after="100" w:afterAutospacing="1" w:line="240" w:lineRule="auto"/>
      <w:jc w:val="right"/>
      <w:textAlignment w:val="top"/>
    </w:pPr>
    <w:rPr>
      <w:rFonts w:eastAsia="Times New Roman" w:cs="Arial"/>
      <w:b/>
      <w:bCs/>
      <w:sz w:val="20"/>
      <w:szCs w:val="20"/>
      <w:lang w:val="fr-CH" w:eastAsia="fr-CH"/>
    </w:rPr>
  </w:style>
  <w:style w:type="paragraph" w:customStyle="1" w:styleId="xl87">
    <w:name w:val="xl87"/>
    <w:basedOn w:val="Normal"/>
    <w:rsid w:val="005757FD"/>
    <w:pPr>
      <w:spacing w:before="100" w:beforeAutospacing="1" w:after="100" w:afterAutospacing="1" w:line="240" w:lineRule="auto"/>
      <w:textAlignment w:val="top"/>
    </w:pPr>
    <w:rPr>
      <w:rFonts w:eastAsia="Times New Roman" w:cs="Arial"/>
      <w:sz w:val="20"/>
      <w:szCs w:val="20"/>
      <w:lang w:val="fr-CH" w:eastAsia="fr-CH"/>
    </w:rPr>
  </w:style>
  <w:style w:type="paragraph" w:customStyle="1" w:styleId="xl88">
    <w:name w:val="xl88"/>
    <w:basedOn w:val="Normal"/>
    <w:rsid w:val="005757FD"/>
    <w:pPr>
      <w:shd w:val="clear" w:color="000000" w:fill="FFFF00"/>
      <w:spacing w:before="100" w:beforeAutospacing="1" w:after="100" w:afterAutospacing="1" w:line="240" w:lineRule="auto"/>
      <w:textAlignment w:val="top"/>
    </w:pPr>
    <w:rPr>
      <w:rFonts w:eastAsia="Times New Roman" w:cs="Arial"/>
      <w:sz w:val="20"/>
      <w:szCs w:val="20"/>
      <w:lang w:val="fr-CH" w:eastAsia="fr-CH"/>
    </w:rPr>
  </w:style>
  <w:style w:type="paragraph" w:customStyle="1" w:styleId="xl89">
    <w:name w:val="xl89"/>
    <w:basedOn w:val="Normal"/>
    <w:rsid w:val="005757FD"/>
    <w:pPr>
      <w:spacing w:before="100" w:beforeAutospacing="1" w:after="100" w:afterAutospacing="1" w:line="240" w:lineRule="auto"/>
      <w:textAlignment w:val="top"/>
    </w:pPr>
    <w:rPr>
      <w:rFonts w:eastAsia="Times New Roman" w:cs="Arial"/>
      <w:b/>
      <w:bCs/>
      <w:sz w:val="20"/>
      <w:szCs w:val="20"/>
      <w:lang w:val="fr-CH" w:eastAsia="fr-CH"/>
    </w:rPr>
  </w:style>
  <w:style w:type="paragraph" w:customStyle="1" w:styleId="xl90">
    <w:name w:val="xl90"/>
    <w:basedOn w:val="Normal"/>
    <w:rsid w:val="005757FD"/>
    <w:pPr>
      <w:shd w:val="clear" w:color="000000" w:fill="C7CFD8"/>
      <w:spacing w:before="100" w:beforeAutospacing="1" w:after="100" w:afterAutospacing="1" w:line="240" w:lineRule="auto"/>
      <w:textAlignment w:val="top"/>
    </w:pPr>
    <w:rPr>
      <w:rFonts w:eastAsia="Times New Roman" w:cs="Arial"/>
      <w:b/>
      <w:bCs/>
      <w:sz w:val="22"/>
      <w:lang w:val="fr-CH" w:eastAsia="fr-CH"/>
    </w:rPr>
  </w:style>
  <w:style w:type="paragraph" w:customStyle="1" w:styleId="xl91">
    <w:name w:val="xl91"/>
    <w:basedOn w:val="Normal"/>
    <w:rsid w:val="005757FD"/>
    <w:pPr>
      <w:shd w:val="clear" w:color="000000" w:fill="C7CFD8"/>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92">
    <w:name w:val="xl92"/>
    <w:basedOn w:val="Normal"/>
    <w:rsid w:val="005757FD"/>
    <w:pPr>
      <w:pBdr>
        <w:top w:val="single" w:sz="4" w:space="0" w:color="546778"/>
      </w:pBdr>
      <w:shd w:val="clear" w:color="000000" w:fill="C7CFD8"/>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93">
    <w:name w:val="xl93"/>
    <w:basedOn w:val="Normal"/>
    <w:rsid w:val="005757FD"/>
    <w:pPr>
      <w:pBdr>
        <w:top w:val="single" w:sz="4" w:space="0" w:color="546778"/>
        <w:right w:val="single" w:sz="4" w:space="0" w:color="546778"/>
      </w:pBdr>
      <w:shd w:val="clear" w:color="000000" w:fill="C7CFD8"/>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94">
    <w:name w:val="xl94"/>
    <w:basedOn w:val="Normal"/>
    <w:rsid w:val="005757FD"/>
    <w:pPr>
      <w:pBdr>
        <w:top w:val="single" w:sz="4" w:space="0" w:color="546778"/>
        <w:left w:val="single" w:sz="4" w:space="0" w:color="546778"/>
      </w:pBdr>
      <w:shd w:val="clear" w:color="000000" w:fill="C7CFD8"/>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95">
    <w:name w:val="xl95"/>
    <w:basedOn w:val="Normal"/>
    <w:rsid w:val="005757FD"/>
    <w:pPr>
      <w:pBdr>
        <w:top w:val="single" w:sz="4" w:space="0" w:color="546778"/>
        <w:right w:val="single" w:sz="4" w:space="0" w:color="546778"/>
      </w:pBdr>
      <w:shd w:val="clear" w:color="000000" w:fill="C7CFD8"/>
      <w:spacing w:before="100" w:beforeAutospacing="1" w:after="100" w:afterAutospacing="1" w:line="240" w:lineRule="auto"/>
      <w:jc w:val="right"/>
      <w:textAlignment w:val="top"/>
    </w:pPr>
    <w:rPr>
      <w:rFonts w:eastAsia="Times New Roman" w:cs="Arial"/>
      <w:b/>
      <w:bCs/>
      <w:sz w:val="22"/>
      <w:lang w:val="fr-CH" w:eastAsia="fr-CH"/>
    </w:rPr>
  </w:style>
  <w:style w:type="paragraph" w:customStyle="1" w:styleId="xl96">
    <w:name w:val="xl96"/>
    <w:basedOn w:val="Normal"/>
    <w:rsid w:val="005757FD"/>
    <w:pPr>
      <w:pBdr>
        <w:top w:val="single" w:sz="4" w:space="0" w:color="546778"/>
      </w:pBdr>
      <w:shd w:val="clear" w:color="000000" w:fill="C7CFD8"/>
      <w:spacing w:before="100" w:beforeAutospacing="1" w:after="100" w:afterAutospacing="1" w:line="240" w:lineRule="auto"/>
      <w:jc w:val="right"/>
      <w:textAlignment w:val="top"/>
    </w:pPr>
    <w:rPr>
      <w:rFonts w:eastAsia="Times New Roman" w:cs="Arial"/>
      <w:b/>
      <w:bCs/>
      <w:sz w:val="22"/>
      <w:lang w:val="fr-CH" w:eastAsia="fr-CH"/>
    </w:rPr>
  </w:style>
  <w:style w:type="paragraph" w:customStyle="1" w:styleId="xl97">
    <w:name w:val="xl97"/>
    <w:basedOn w:val="Normal"/>
    <w:rsid w:val="005757FD"/>
    <w:pPr>
      <w:spacing w:before="100" w:beforeAutospacing="1" w:after="100" w:afterAutospacing="1" w:line="240" w:lineRule="auto"/>
      <w:jc w:val="right"/>
      <w:textAlignment w:val="top"/>
    </w:pPr>
    <w:rPr>
      <w:rFonts w:eastAsia="Times New Roman" w:cs="Arial"/>
      <w:b/>
      <w:bCs/>
      <w:sz w:val="22"/>
      <w:lang w:val="fr-CH" w:eastAsia="fr-CH"/>
    </w:rPr>
  </w:style>
  <w:style w:type="paragraph" w:customStyle="1" w:styleId="xl98">
    <w:name w:val="xl98"/>
    <w:basedOn w:val="Normal"/>
    <w:rsid w:val="005757FD"/>
    <w:pPr>
      <w:spacing w:before="100" w:beforeAutospacing="1" w:after="100" w:afterAutospacing="1" w:line="240" w:lineRule="auto"/>
      <w:textAlignment w:val="top"/>
    </w:pPr>
    <w:rPr>
      <w:rFonts w:eastAsia="Times New Roman" w:cs="Arial"/>
      <w:color w:val="000000"/>
      <w:sz w:val="22"/>
      <w:lang w:val="fr-CH" w:eastAsia="fr-CH"/>
    </w:rPr>
  </w:style>
  <w:style w:type="paragraph" w:customStyle="1" w:styleId="xl99">
    <w:name w:val="xl99"/>
    <w:basedOn w:val="Normal"/>
    <w:rsid w:val="005757FD"/>
    <w:pPr>
      <w:spacing w:before="100" w:beforeAutospacing="1" w:after="100" w:afterAutospacing="1" w:line="240" w:lineRule="auto"/>
      <w:textAlignment w:val="top"/>
    </w:pPr>
    <w:rPr>
      <w:rFonts w:eastAsia="Times New Roman" w:cs="Arial"/>
      <w:sz w:val="22"/>
      <w:lang w:val="fr-CH" w:eastAsia="fr-CH"/>
    </w:rPr>
  </w:style>
  <w:style w:type="paragraph" w:customStyle="1" w:styleId="xl100">
    <w:name w:val="xl100"/>
    <w:basedOn w:val="Normal"/>
    <w:rsid w:val="005757FD"/>
    <w:pPr>
      <w:spacing w:before="100" w:beforeAutospacing="1" w:after="100" w:afterAutospacing="1" w:line="240" w:lineRule="auto"/>
      <w:textAlignment w:val="top"/>
    </w:pPr>
    <w:rPr>
      <w:rFonts w:eastAsia="Times New Roman" w:cs="Arial"/>
      <w:b/>
      <w:bCs/>
      <w:sz w:val="22"/>
      <w:lang w:val="fr-CH" w:eastAsia="fr-CH"/>
    </w:rPr>
  </w:style>
  <w:style w:type="paragraph" w:customStyle="1" w:styleId="xl101">
    <w:name w:val="xl101"/>
    <w:basedOn w:val="Normal"/>
    <w:rsid w:val="005757FD"/>
    <w:pPr>
      <w:pBdr>
        <w:top w:val="single" w:sz="4" w:space="0" w:color="C7CFD8"/>
        <w:bottom w:val="single" w:sz="12" w:space="0" w:color="C7CFD8"/>
      </w:pBdr>
      <w:shd w:val="clear" w:color="000000" w:fill="FFFFFF"/>
      <w:spacing w:before="100" w:beforeAutospacing="1" w:after="100" w:afterAutospacing="1" w:line="240" w:lineRule="auto"/>
      <w:textAlignment w:val="top"/>
    </w:pPr>
    <w:rPr>
      <w:rFonts w:eastAsia="Times New Roman" w:cs="Arial"/>
      <w:b/>
      <w:bCs/>
      <w:sz w:val="22"/>
      <w:lang w:val="fr-CH" w:eastAsia="fr-CH"/>
    </w:rPr>
  </w:style>
  <w:style w:type="paragraph" w:customStyle="1" w:styleId="xl102">
    <w:name w:val="xl102"/>
    <w:basedOn w:val="Normal"/>
    <w:rsid w:val="005757FD"/>
    <w:pPr>
      <w:pBdr>
        <w:top w:val="single" w:sz="4" w:space="0" w:color="C7CFD8"/>
        <w:bottom w:val="single" w:sz="12" w:space="0" w:color="C7CFD8"/>
        <w:right w:val="single" w:sz="4" w:space="0" w:color="FFFFFF"/>
      </w:pBdr>
      <w:shd w:val="clear" w:color="000000" w:fill="FFFFFF"/>
      <w:spacing w:before="100" w:beforeAutospacing="1" w:after="100" w:afterAutospacing="1" w:line="240" w:lineRule="auto"/>
      <w:textAlignment w:val="top"/>
    </w:pPr>
    <w:rPr>
      <w:rFonts w:eastAsia="Times New Roman" w:cs="Arial"/>
      <w:b/>
      <w:bCs/>
      <w:sz w:val="22"/>
      <w:lang w:val="fr-CH" w:eastAsia="fr-CH"/>
    </w:rPr>
  </w:style>
  <w:style w:type="paragraph" w:customStyle="1" w:styleId="xl103">
    <w:name w:val="xl103"/>
    <w:basedOn w:val="Normal"/>
    <w:rsid w:val="005757FD"/>
    <w:pPr>
      <w:spacing w:before="100" w:beforeAutospacing="1" w:after="100" w:afterAutospacing="1" w:line="240" w:lineRule="auto"/>
      <w:textAlignment w:val="top"/>
    </w:pPr>
    <w:rPr>
      <w:rFonts w:eastAsia="Times New Roman" w:cs="Arial"/>
      <w:color w:val="000000"/>
      <w:sz w:val="22"/>
      <w:lang w:val="fr-CH" w:eastAsia="fr-CH"/>
    </w:rPr>
  </w:style>
  <w:style w:type="paragraph" w:customStyle="1" w:styleId="xl104">
    <w:name w:val="xl104"/>
    <w:basedOn w:val="Normal"/>
    <w:rsid w:val="005757FD"/>
    <w:pPr>
      <w:spacing w:before="100" w:beforeAutospacing="1" w:after="100" w:afterAutospacing="1" w:line="240" w:lineRule="auto"/>
      <w:jc w:val="center"/>
      <w:textAlignment w:val="top"/>
    </w:pPr>
    <w:rPr>
      <w:rFonts w:eastAsia="Times New Roman" w:cs="Arial"/>
      <w:sz w:val="22"/>
      <w:lang w:val="fr-CH" w:eastAsia="fr-CH"/>
    </w:rPr>
  </w:style>
  <w:style w:type="paragraph" w:customStyle="1" w:styleId="xl105">
    <w:name w:val="xl105"/>
    <w:basedOn w:val="Normal"/>
    <w:rsid w:val="005757FD"/>
    <w:pPr>
      <w:spacing w:before="100" w:beforeAutospacing="1" w:after="100" w:afterAutospacing="1" w:line="240" w:lineRule="auto"/>
      <w:jc w:val="center"/>
      <w:textAlignment w:val="top"/>
    </w:pPr>
    <w:rPr>
      <w:rFonts w:eastAsia="Times New Roman" w:cs="Arial"/>
      <w:sz w:val="22"/>
      <w:lang w:val="fr-CH" w:eastAsia="fr-CH"/>
    </w:rPr>
  </w:style>
  <w:style w:type="paragraph" w:customStyle="1" w:styleId="xl106">
    <w:name w:val="xl106"/>
    <w:basedOn w:val="Normal"/>
    <w:rsid w:val="005757FD"/>
    <w:pPr>
      <w:pBdr>
        <w:top w:val="single" w:sz="4" w:space="0" w:color="C7CFD8"/>
        <w:left w:val="single" w:sz="4" w:space="0" w:color="FFFFFF"/>
        <w:bottom w:val="single" w:sz="12" w:space="0" w:color="C7CFD8"/>
        <w:right w:val="single" w:sz="4" w:space="0" w:color="FFFFFF"/>
      </w:pBdr>
      <w:shd w:val="clear" w:color="000000" w:fill="FFFFFF"/>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107">
    <w:name w:val="xl107"/>
    <w:basedOn w:val="Normal"/>
    <w:rsid w:val="005757FD"/>
    <w:pPr>
      <w:pBdr>
        <w:top w:val="single" w:sz="4" w:space="0" w:color="C7CFD8"/>
        <w:left w:val="single" w:sz="4" w:space="0" w:color="FFFFFF"/>
        <w:bottom w:val="single" w:sz="12" w:space="0" w:color="C7CFD8"/>
        <w:right w:val="single" w:sz="4" w:space="0" w:color="FFFFFF"/>
      </w:pBdr>
      <w:shd w:val="clear" w:color="000000" w:fill="FFFFFF"/>
      <w:spacing w:before="100" w:beforeAutospacing="1" w:after="100" w:afterAutospacing="1" w:line="240" w:lineRule="auto"/>
      <w:jc w:val="center"/>
      <w:textAlignment w:val="top"/>
    </w:pPr>
    <w:rPr>
      <w:rFonts w:eastAsia="Times New Roman" w:cs="Arial"/>
      <w:b/>
      <w:bCs/>
      <w:sz w:val="22"/>
      <w:lang w:val="fr-CH" w:eastAsia="fr-CH"/>
    </w:rPr>
  </w:style>
  <w:style w:type="paragraph" w:customStyle="1" w:styleId="xl108">
    <w:name w:val="xl108"/>
    <w:basedOn w:val="Normal"/>
    <w:rsid w:val="005757FD"/>
    <w:pPr>
      <w:pBdr>
        <w:top w:val="single" w:sz="4" w:space="0" w:color="C7CFD8"/>
        <w:left w:val="single" w:sz="4" w:space="0" w:color="FFFFFF"/>
        <w:bottom w:val="single" w:sz="12" w:space="0" w:color="C7CFD8"/>
        <w:right w:val="single" w:sz="4" w:space="0" w:color="FFFFFF"/>
      </w:pBdr>
      <w:shd w:val="clear" w:color="000000" w:fill="FFFFFF"/>
      <w:spacing w:before="100" w:beforeAutospacing="1" w:after="100" w:afterAutospacing="1" w:line="240" w:lineRule="auto"/>
      <w:jc w:val="right"/>
      <w:textAlignment w:val="top"/>
    </w:pPr>
    <w:rPr>
      <w:rFonts w:eastAsia="Times New Roman" w:cs="Arial"/>
      <w:b/>
      <w:bCs/>
      <w:sz w:val="22"/>
      <w:lang w:val="fr-CH" w:eastAsia="fr-CH"/>
    </w:rPr>
  </w:style>
  <w:style w:type="paragraph" w:customStyle="1" w:styleId="xl109">
    <w:name w:val="xl109"/>
    <w:basedOn w:val="Normal"/>
    <w:rsid w:val="005757FD"/>
    <w:pPr>
      <w:spacing w:before="100" w:beforeAutospacing="1" w:after="100" w:afterAutospacing="1" w:line="240" w:lineRule="auto"/>
      <w:jc w:val="right"/>
      <w:textAlignment w:val="top"/>
    </w:pPr>
    <w:rPr>
      <w:rFonts w:eastAsia="Times New Roman" w:cs="Arial"/>
      <w:sz w:val="22"/>
      <w:lang w:val="fr-CH" w:eastAsia="fr-CH"/>
    </w:rPr>
  </w:style>
  <w:style w:type="paragraph" w:customStyle="1" w:styleId="xl110">
    <w:name w:val="xl110"/>
    <w:basedOn w:val="Normal"/>
    <w:rsid w:val="005757FD"/>
    <w:pPr>
      <w:shd w:val="clear" w:color="000000" w:fill="C7CFD8"/>
      <w:spacing w:before="100" w:beforeAutospacing="1" w:after="100" w:afterAutospacing="1" w:line="240" w:lineRule="auto"/>
      <w:jc w:val="center"/>
      <w:textAlignment w:val="top"/>
    </w:pPr>
    <w:rPr>
      <w:rFonts w:eastAsia="Times New Roman" w:cs="Arial"/>
      <w:b/>
      <w:bCs/>
      <w:sz w:val="22"/>
      <w:lang w:val="fr-CH" w:eastAsia="fr-CH"/>
    </w:rPr>
  </w:style>
  <w:style w:type="paragraph" w:styleId="Salutation">
    <w:name w:val="Salutation"/>
    <w:basedOn w:val="Normal"/>
    <w:next w:val="Normal"/>
    <w:link w:val="SalutationChar"/>
    <w:semiHidden/>
    <w:rsid w:val="00E440DB"/>
  </w:style>
  <w:style w:type="character" w:customStyle="1" w:styleId="SalutationChar">
    <w:name w:val="Salutation Char"/>
    <w:basedOn w:val="DefaultParagraphFont"/>
    <w:link w:val="Salutation"/>
    <w:semiHidden/>
    <w:rsid w:val="00E440DB"/>
    <w:rPr>
      <w:rFonts w:ascii="Arial" w:hAnsi="Arial"/>
      <w:sz w:val="18"/>
    </w:rPr>
  </w:style>
  <w:style w:type="paragraph" w:styleId="Signature">
    <w:name w:val="Signature"/>
    <w:basedOn w:val="Normal"/>
    <w:link w:val="SignatureChar"/>
    <w:semiHidden/>
    <w:rsid w:val="00E440DB"/>
    <w:pPr>
      <w:ind w:left="5250"/>
    </w:pPr>
  </w:style>
  <w:style w:type="character" w:customStyle="1" w:styleId="SignatureChar">
    <w:name w:val="Signature Char"/>
    <w:basedOn w:val="DefaultParagraphFont"/>
    <w:link w:val="Signature"/>
    <w:semiHidden/>
    <w:rsid w:val="00E440DB"/>
    <w:rPr>
      <w:rFonts w:ascii="Arial" w:hAnsi="Arial"/>
      <w:sz w:val="18"/>
    </w:rPr>
  </w:style>
  <w:style w:type="paragraph" w:styleId="EndnoteText">
    <w:name w:val="endnote text"/>
    <w:basedOn w:val="Normal"/>
    <w:link w:val="EndnoteTextChar"/>
    <w:semiHidden/>
    <w:rsid w:val="00E440DB"/>
  </w:style>
  <w:style w:type="character" w:customStyle="1" w:styleId="EndnoteTextChar">
    <w:name w:val="Endnote Text Char"/>
    <w:basedOn w:val="DefaultParagraphFont"/>
    <w:link w:val="EndnoteText"/>
    <w:semiHidden/>
    <w:rsid w:val="00E440DB"/>
    <w:rPr>
      <w:rFonts w:ascii="Arial" w:hAnsi="Arial"/>
      <w:sz w:val="18"/>
    </w:rPr>
  </w:style>
  <w:style w:type="paragraph" w:customStyle="1" w:styleId="ONUMFS">
    <w:name w:val="ONUM FS"/>
    <w:basedOn w:val="BodyText"/>
    <w:rsid w:val="00E440DB"/>
    <w:pPr>
      <w:numPr>
        <w:numId w:val="13"/>
      </w:numPr>
      <w:spacing w:after="220"/>
    </w:pPr>
  </w:style>
  <w:style w:type="paragraph" w:styleId="ListNumber">
    <w:name w:val="List Number"/>
    <w:basedOn w:val="Normal"/>
    <w:semiHidden/>
    <w:rsid w:val="00E440DB"/>
    <w:pPr>
      <w:numPr>
        <w:numId w:val="14"/>
      </w:numPr>
    </w:pPr>
  </w:style>
  <w:style w:type="numbering" w:customStyle="1" w:styleId="NumbListChart1">
    <w:name w:val="NumbListChart1"/>
    <w:uiPriority w:val="99"/>
    <w:rsid w:val="00E440DB"/>
  </w:style>
  <w:style w:type="numbering" w:customStyle="1" w:styleId="NumbListAnnex1">
    <w:name w:val="NumbListAnnex1"/>
    <w:uiPriority w:val="99"/>
    <w:rsid w:val="00E440DB"/>
  </w:style>
  <w:style w:type="numbering" w:customStyle="1" w:styleId="NumbLstTabBullet1">
    <w:name w:val="NumbLstTabBullet1"/>
    <w:uiPriority w:val="99"/>
    <w:rsid w:val="00E440DB"/>
  </w:style>
  <w:style w:type="paragraph" w:customStyle="1" w:styleId="Default">
    <w:name w:val="Default"/>
    <w:rsid w:val="00E440DB"/>
    <w:pPr>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xl111">
    <w:name w:val="xl111"/>
    <w:basedOn w:val="Normal"/>
    <w:rsid w:val="00F675DA"/>
    <w:pPr>
      <w:pBdr>
        <w:top w:val="single" w:sz="4" w:space="0" w:color="C7CFD8"/>
        <w:bottom w:val="single" w:sz="4" w:space="0" w:color="C7CFD8"/>
      </w:pBdr>
      <w:spacing w:before="100" w:beforeAutospacing="1" w:after="100" w:afterAutospacing="1" w:line="240" w:lineRule="auto"/>
      <w:textAlignment w:val="center"/>
    </w:pPr>
    <w:rPr>
      <w:rFonts w:ascii="Arial Narrow" w:eastAsia="Times New Roman" w:hAnsi="Arial Narrow" w:cs="Times New Roman"/>
      <w:sz w:val="16"/>
      <w:szCs w:val="16"/>
      <w:lang w:val="fr-CH" w:eastAsia="fr-CH"/>
    </w:rPr>
  </w:style>
  <w:style w:type="paragraph" w:customStyle="1" w:styleId="xl112">
    <w:name w:val="xl112"/>
    <w:basedOn w:val="Normal"/>
    <w:rsid w:val="00F675DA"/>
    <w:pPr>
      <w:pBdr>
        <w:top w:val="single" w:sz="4" w:space="0" w:color="C7CFD8"/>
        <w:bottom w:val="single" w:sz="4" w:space="0" w:color="C7CFD8"/>
      </w:pBdr>
      <w:spacing w:before="100" w:beforeAutospacing="1" w:after="100" w:afterAutospacing="1" w:line="240" w:lineRule="auto"/>
      <w:textAlignment w:val="center"/>
    </w:pPr>
    <w:rPr>
      <w:rFonts w:ascii="Arial Narrow" w:eastAsia="Times New Roman" w:hAnsi="Arial Narrow" w:cs="Times New Roman"/>
      <w:sz w:val="16"/>
      <w:szCs w:val="16"/>
      <w:lang w:val="fr-CH" w:eastAsia="fr-CH"/>
    </w:rPr>
  </w:style>
  <w:style w:type="paragraph" w:customStyle="1" w:styleId="xl113">
    <w:name w:val="xl113"/>
    <w:basedOn w:val="Normal"/>
    <w:rsid w:val="00F675DA"/>
    <w:pPr>
      <w:pBdr>
        <w:top w:val="single" w:sz="4" w:space="0" w:color="C7CFD8"/>
        <w:bottom w:val="single" w:sz="4" w:space="0" w:color="C7CFD8"/>
      </w:pBdr>
      <w:spacing w:before="100" w:beforeAutospacing="1" w:after="100" w:afterAutospacing="1" w:line="240" w:lineRule="auto"/>
      <w:textAlignment w:val="center"/>
    </w:pPr>
    <w:rPr>
      <w:rFonts w:ascii="Arial Narrow" w:eastAsia="Times New Roman" w:hAnsi="Arial Narrow" w:cs="Times New Roman"/>
      <w:sz w:val="16"/>
      <w:szCs w:val="16"/>
      <w:lang w:val="fr-CH" w:eastAsia="fr-CH"/>
    </w:rPr>
  </w:style>
  <w:style w:type="paragraph" w:customStyle="1" w:styleId="xl114">
    <w:name w:val="xl114"/>
    <w:basedOn w:val="Normal"/>
    <w:rsid w:val="00F675DA"/>
    <w:pPr>
      <w:pBdr>
        <w:top w:val="single" w:sz="4" w:space="0" w:color="C7CFD8"/>
        <w:bottom w:val="single" w:sz="4" w:space="0" w:color="C7CFD8"/>
      </w:pBdr>
      <w:spacing w:before="100" w:beforeAutospacing="1" w:after="100" w:afterAutospacing="1" w:line="240" w:lineRule="auto"/>
      <w:textAlignment w:val="center"/>
    </w:pPr>
    <w:rPr>
      <w:rFonts w:ascii="Arial Narrow" w:eastAsia="Times New Roman" w:hAnsi="Arial Narrow" w:cs="Times New Roman"/>
      <w:sz w:val="16"/>
      <w:szCs w:val="16"/>
      <w:lang w:val="fr-CH" w:eastAsia="fr-CH"/>
    </w:rPr>
  </w:style>
  <w:style w:type="paragraph" w:customStyle="1" w:styleId="xl115">
    <w:name w:val="xl115"/>
    <w:basedOn w:val="Normal"/>
    <w:rsid w:val="00F675DA"/>
    <w:pPr>
      <w:pBdr>
        <w:top w:val="single" w:sz="4" w:space="0" w:color="C7CFD8"/>
        <w:bottom w:val="single" w:sz="4" w:space="0" w:color="C7CFD8"/>
      </w:pBdr>
      <w:spacing w:before="100" w:beforeAutospacing="1" w:after="100" w:afterAutospacing="1" w:line="240" w:lineRule="auto"/>
      <w:jc w:val="right"/>
      <w:textAlignment w:val="center"/>
    </w:pPr>
    <w:rPr>
      <w:rFonts w:ascii="Arial Narrow" w:eastAsia="Times New Roman" w:hAnsi="Arial Narrow" w:cs="Times New Roman"/>
      <w:sz w:val="16"/>
      <w:szCs w:val="16"/>
      <w:lang w:val="fr-CH" w:eastAsia="fr-CH"/>
    </w:rPr>
  </w:style>
  <w:style w:type="paragraph" w:customStyle="1" w:styleId="xl116">
    <w:name w:val="xl116"/>
    <w:basedOn w:val="Normal"/>
    <w:rsid w:val="00F675DA"/>
    <w:pPr>
      <w:pBdr>
        <w:top w:val="single" w:sz="4" w:space="0" w:color="C7CFD8"/>
        <w:bottom w:val="single" w:sz="8" w:space="0" w:color="C7CFD8"/>
      </w:pBdr>
      <w:spacing w:before="100" w:beforeAutospacing="1" w:after="100" w:afterAutospacing="1" w:line="240" w:lineRule="auto"/>
    </w:pPr>
    <w:rPr>
      <w:rFonts w:ascii="Arial Narrow" w:eastAsia="Times New Roman" w:hAnsi="Arial Narrow" w:cs="Times New Roman"/>
      <w:color w:val="005694"/>
      <w:sz w:val="16"/>
      <w:szCs w:val="16"/>
      <w:lang w:val="fr-CH" w:eastAsia="fr-CH"/>
    </w:rPr>
  </w:style>
  <w:style w:type="paragraph" w:customStyle="1" w:styleId="xl117">
    <w:name w:val="xl117"/>
    <w:basedOn w:val="Normal"/>
    <w:rsid w:val="00F675DA"/>
    <w:pPr>
      <w:pBdr>
        <w:top w:val="single" w:sz="4" w:space="0" w:color="C7CFD8"/>
        <w:bottom w:val="single" w:sz="8" w:space="0" w:color="C7CFD8"/>
      </w:pBdr>
      <w:spacing w:before="100" w:beforeAutospacing="1" w:after="100" w:afterAutospacing="1" w:line="240" w:lineRule="auto"/>
    </w:pPr>
    <w:rPr>
      <w:rFonts w:ascii="Arial Narrow" w:eastAsia="Times New Roman" w:hAnsi="Arial Narrow" w:cs="Times New Roman"/>
      <w:b/>
      <w:bCs/>
      <w:sz w:val="16"/>
      <w:szCs w:val="16"/>
      <w:lang w:val="fr-CH" w:eastAsia="fr-CH"/>
    </w:rPr>
  </w:style>
  <w:style w:type="paragraph" w:customStyle="1" w:styleId="xl118">
    <w:name w:val="xl118"/>
    <w:basedOn w:val="Normal"/>
    <w:rsid w:val="00F675DA"/>
    <w:pPr>
      <w:pBdr>
        <w:top w:val="single" w:sz="4" w:space="0" w:color="C7CFD8"/>
        <w:bottom w:val="single" w:sz="8" w:space="0" w:color="C7CFD8"/>
      </w:pBdr>
      <w:spacing w:before="100" w:beforeAutospacing="1" w:after="100" w:afterAutospacing="1" w:line="240" w:lineRule="auto"/>
      <w:textAlignment w:val="center"/>
    </w:pPr>
    <w:rPr>
      <w:rFonts w:ascii="Arial Narrow" w:eastAsia="Times New Roman" w:hAnsi="Arial Narrow" w:cs="Times New Roman"/>
      <w:b/>
      <w:bCs/>
      <w:sz w:val="16"/>
      <w:szCs w:val="16"/>
      <w:lang w:val="fr-CH" w:eastAsia="fr-CH"/>
    </w:rPr>
  </w:style>
  <w:style w:type="paragraph" w:customStyle="1" w:styleId="xl119">
    <w:name w:val="xl119"/>
    <w:basedOn w:val="Normal"/>
    <w:rsid w:val="00F675DA"/>
    <w:pPr>
      <w:shd w:val="clear" w:color="000000" w:fill="C7CFD8"/>
      <w:spacing w:before="100" w:beforeAutospacing="1" w:after="100" w:afterAutospacing="1" w:line="240" w:lineRule="auto"/>
      <w:jc w:val="center"/>
      <w:textAlignment w:val="center"/>
    </w:pPr>
    <w:rPr>
      <w:rFonts w:ascii="Arial Narrow" w:eastAsia="Times New Roman" w:hAnsi="Arial Narrow" w:cs="Times New Roman"/>
      <w:b/>
      <w:bCs/>
      <w:sz w:val="16"/>
      <w:szCs w:val="16"/>
      <w:lang w:val="fr-CH" w:eastAsia="fr-CH"/>
    </w:rPr>
  </w:style>
  <w:style w:type="numbering" w:customStyle="1" w:styleId="NoList1">
    <w:name w:val="No List1"/>
    <w:next w:val="NoList"/>
    <w:uiPriority w:val="99"/>
    <w:semiHidden/>
    <w:unhideWhenUsed/>
    <w:rsid w:val="008E731A"/>
  </w:style>
  <w:style w:type="paragraph" w:customStyle="1" w:styleId="TOC11">
    <w:name w:val="TOC 11"/>
    <w:basedOn w:val="Normal"/>
    <w:next w:val="Normal"/>
    <w:autoRedefine/>
    <w:uiPriority w:val="39"/>
    <w:qFormat/>
    <w:rsid w:val="008E731A"/>
    <w:pPr>
      <w:pBdr>
        <w:top w:val="single" w:sz="4" w:space="9" w:color="005172"/>
        <w:between w:val="single" w:sz="4" w:space="9" w:color="005172"/>
      </w:pBdr>
      <w:tabs>
        <w:tab w:val="left" w:pos="680"/>
        <w:tab w:val="right" w:pos="9639"/>
      </w:tabs>
      <w:spacing w:after="0"/>
    </w:pPr>
    <w:rPr>
      <w:rFonts w:eastAsia="Arial" w:cs="Arial"/>
      <w:color w:val="005172"/>
      <w:sz w:val="22"/>
    </w:rPr>
  </w:style>
  <w:style w:type="character" w:customStyle="1" w:styleId="Hyperlink1">
    <w:name w:val="Hyperlink1"/>
    <w:basedOn w:val="DefaultParagraphFont"/>
    <w:uiPriority w:val="99"/>
    <w:unhideWhenUsed/>
    <w:rsid w:val="008E731A"/>
    <w:rPr>
      <w:color w:val="005694"/>
      <w:u w:val="single"/>
    </w:rPr>
  </w:style>
  <w:style w:type="paragraph" w:customStyle="1" w:styleId="TOCHeading1">
    <w:name w:val="TOC Heading1"/>
    <w:basedOn w:val="Heading1"/>
    <w:next w:val="Normal"/>
    <w:uiPriority w:val="39"/>
    <w:semiHidden/>
    <w:unhideWhenUsed/>
    <w:qFormat/>
    <w:rsid w:val="008E731A"/>
    <w:pPr>
      <w:spacing w:before="480" w:after="0" w:line="276" w:lineRule="auto"/>
      <w:outlineLvl w:val="9"/>
    </w:pPr>
    <w:rPr>
      <w:rFonts w:eastAsia="SimHei" w:cs="Arial"/>
      <w:b/>
      <w:color w:val="003C55"/>
      <w:sz w:val="28"/>
      <w:lang w:val="en-US" w:eastAsia="ja-JP"/>
    </w:rPr>
  </w:style>
  <w:style w:type="paragraph" w:customStyle="1" w:styleId="Title1">
    <w:name w:val="Title1"/>
    <w:basedOn w:val="Normal"/>
    <w:next w:val="Normal"/>
    <w:uiPriority w:val="49"/>
    <w:qFormat/>
    <w:rsid w:val="008E731A"/>
    <w:pPr>
      <w:pBdr>
        <w:bottom w:val="single" w:sz="8" w:space="4" w:color="005172"/>
      </w:pBdr>
      <w:spacing w:after="300"/>
      <w:contextualSpacing/>
    </w:pPr>
    <w:rPr>
      <w:rFonts w:eastAsia="SimHei" w:cs="Arial"/>
      <w:color w:val="003C55"/>
      <w:spacing w:val="5"/>
      <w:kern w:val="28"/>
      <w:sz w:val="52"/>
      <w:szCs w:val="52"/>
    </w:rPr>
  </w:style>
  <w:style w:type="character" w:customStyle="1" w:styleId="IntenseEmphasis1">
    <w:name w:val="Intense Emphasis1"/>
    <w:basedOn w:val="DefaultParagraphFont"/>
    <w:uiPriority w:val="49"/>
    <w:semiHidden/>
    <w:qFormat/>
    <w:rsid w:val="008E731A"/>
    <w:rPr>
      <w:b/>
      <w:bCs/>
      <w:i/>
      <w:iCs/>
      <w:color w:val="005172"/>
    </w:rPr>
  </w:style>
  <w:style w:type="paragraph" w:customStyle="1" w:styleId="IntenseQuote1">
    <w:name w:val="Intense Quote1"/>
    <w:basedOn w:val="Normal"/>
    <w:next w:val="Normal"/>
    <w:uiPriority w:val="49"/>
    <w:semiHidden/>
    <w:qFormat/>
    <w:rsid w:val="008E731A"/>
    <w:pPr>
      <w:pBdr>
        <w:bottom w:val="single" w:sz="4" w:space="4" w:color="005172"/>
      </w:pBdr>
      <w:spacing w:before="200" w:after="280"/>
      <w:ind w:left="936" w:right="936"/>
    </w:pPr>
    <w:rPr>
      <w:rFonts w:eastAsia="Arial" w:cs="Arial"/>
      <w:b/>
      <w:bCs/>
      <w:i/>
      <w:iCs/>
      <w:color w:val="005172"/>
    </w:rPr>
  </w:style>
  <w:style w:type="character" w:customStyle="1" w:styleId="CommentTextChar1">
    <w:name w:val="Comment Text Char1"/>
    <w:basedOn w:val="DefaultParagraphFont"/>
    <w:uiPriority w:val="99"/>
    <w:semiHidden/>
    <w:rsid w:val="008E731A"/>
    <w:rPr>
      <w:rFonts w:ascii="Arial" w:hAnsi="Arial" w:cs="Arial"/>
      <w:sz w:val="18"/>
    </w:rPr>
  </w:style>
  <w:style w:type="character" w:customStyle="1" w:styleId="TitleChar1">
    <w:name w:val="Title Char1"/>
    <w:basedOn w:val="DefaultParagraphFont"/>
    <w:rsid w:val="008E731A"/>
    <w:rPr>
      <w:rFonts w:asciiTheme="majorHAnsi" w:eastAsiaTheme="majorEastAsia" w:hAnsiTheme="majorHAnsi" w:cstheme="majorBidi"/>
      <w:spacing w:val="-10"/>
      <w:kern w:val="28"/>
      <w:sz w:val="56"/>
      <w:szCs w:val="56"/>
    </w:rPr>
  </w:style>
  <w:style w:type="character" w:customStyle="1" w:styleId="IntenseQuoteChar1">
    <w:name w:val="Intense Quote Char1"/>
    <w:basedOn w:val="DefaultParagraphFont"/>
    <w:uiPriority w:val="30"/>
    <w:rsid w:val="008E731A"/>
    <w:rPr>
      <w:rFonts w:ascii="Arial" w:hAnsi="Arial" w:cs="Arial"/>
      <w:i/>
      <w:iCs/>
      <w:color w:val="005172" w:themeColor="accent1"/>
      <w:sz w:val="22"/>
    </w:rPr>
  </w:style>
  <w:style w:type="table" w:customStyle="1" w:styleId="TableGrid2">
    <w:name w:val="Table Grid2"/>
    <w:basedOn w:val="TableNormal"/>
    <w:next w:val="TableGrid"/>
    <w:uiPriority w:val="59"/>
    <w:rsid w:val="00CD34B4"/>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D34B4"/>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bListChart2">
    <w:name w:val="NumbListChart2"/>
    <w:uiPriority w:val="99"/>
    <w:rsid w:val="00CD34B4"/>
  </w:style>
  <w:style w:type="table" w:customStyle="1" w:styleId="TableGrid4">
    <w:name w:val="Table Grid4"/>
    <w:basedOn w:val="TableNormal"/>
    <w:next w:val="TableGrid"/>
    <w:uiPriority w:val="59"/>
    <w:rsid w:val="00CD34B4"/>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bListChart3">
    <w:name w:val="NumbListChart3"/>
    <w:uiPriority w:val="99"/>
    <w:rsid w:val="00CD34B4"/>
  </w:style>
  <w:style w:type="numbering" w:customStyle="1" w:styleId="NoList2">
    <w:name w:val="No List2"/>
    <w:next w:val="NoList"/>
    <w:uiPriority w:val="99"/>
    <w:semiHidden/>
    <w:unhideWhenUsed/>
    <w:rsid w:val="00292A5D"/>
  </w:style>
  <w:style w:type="numbering" w:customStyle="1" w:styleId="NoList11">
    <w:name w:val="No List11"/>
    <w:next w:val="NoList"/>
    <w:uiPriority w:val="99"/>
    <w:semiHidden/>
    <w:unhideWhenUsed/>
    <w:rsid w:val="00292A5D"/>
  </w:style>
  <w:style w:type="numbering" w:customStyle="1" w:styleId="NumbListMain1">
    <w:name w:val="NumbListMain1"/>
    <w:uiPriority w:val="99"/>
    <w:rsid w:val="00292A5D"/>
  </w:style>
  <w:style w:type="table" w:customStyle="1" w:styleId="TableGrid5">
    <w:name w:val="Table Grid5"/>
    <w:basedOn w:val="TableNormal"/>
    <w:next w:val="TableGrid"/>
    <w:uiPriority w:val="59"/>
    <w:rsid w:val="00292A5D"/>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bListTable1">
    <w:name w:val="NumbListTable1"/>
    <w:uiPriority w:val="99"/>
    <w:rsid w:val="00292A5D"/>
  </w:style>
  <w:style w:type="numbering" w:customStyle="1" w:styleId="NumbListChart4">
    <w:name w:val="NumbListChart4"/>
    <w:uiPriority w:val="99"/>
    <w:rsid w:val="00292A5D"/>
  </w:style>
  <w:style w:type="numbering" w:customStyle="1" w:styleId="NumbListAnnex2">
    <w:name w:val="NumbListAnnex2"/>
    <w:uiPriority w:val="99"/>
    <w:rsid w:val="00292A5D"/>
  </w:style>
  <w:style w:type="numbering" w:customStyle="1" w:styleId="NumbListAppendix1">
    <w:name w:val="NumbListAppendix1"/>
    <w:uiPriority w:val="99"/>
    <w:rsid w:val="00292A5D"/>
  </w:style>
  <w:style w:type="numbering" w:customStyle="1" w:styleId="NUmbListBullet1">
    <w:name w:val="NUmbListBullet1"/>
    <w:uiPriority w:val="99"/>
    <w:rsid w:val="00292A5D"/>
  </w:style>
  <w:style w:type="numbering" w:customStyle="1" w:styleId="NumbLstTabBullet2">
    <w:name w:val="NumbLstTabBullet2"/>
    <w:uiPriority w:val="99"/>
    <w:rsid w:val="00292A5D"/>
  </w:style>
  <w:style w:type="numbering" w:customStyle="1" w:styleId="NoList3">
    <w:name w:val="No List3"/>
    <w:next w:val="NoList"/>
    <w:uiPriority w:val="99"/>
    <w:semiHidden/>
    <w:unhideWhenUsed/>
    <w:rsid w:val="0090591A"/>
  </w:style>
  <w:style w:type="numbering" w:customStyle="1" w:styleId="NoList12">
    <w:name w:val="No List12"/>
    <w:next w:val="NoList"/>
    <w:uiPriority w:val="99"/>
    <w:semiHidden/>
    <w:unhideWhenUsed/>
    <w:rsid w:val="0090591A"/>
  </w:style>
  <w:style w:type="numbering" w:customStyle="1" w:styleId="NumbListMain2">
    <w:name w:val="NumbListMain2"/>
    <w:uiPriority w:val="99"/>
    <w:rsid w:val="0090591A"/>
  </w:style>
  <w:style w:type="table" w:customStyle="1" w:styleId="TableGrid6">
    <w:name w:val="Table Grid6"/>
    <w:basedOn w:val="TableNormal"/>
    <w:next w:val="TableGrid"/>
    <w:uiPriority w:val="59"/>
    <w:rsid w:val="0090591A"/>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bListTable2">
    <w:name w:val="NumbListTable2"/>
    <w:uiPriority w:val="99"/>
    <w:rsid w:val="0090591A"/>
  </w:style>
  <w:style w:type="numbering" w:customStyle="1" w:styleId="NumbListChart5">
    <w:name w:val="NumbListChart5"/>
    <w:uiPriority w:val="99"/>
    <w:rsid w:val="0090591A"/>
  </w:style>
  <w:style w:type="numbering" w:customStyle="1" w:styleId="NumbListAnnex3">
    <w:name w:val="NumbListAnnex3"/>
    <w:uiPriority w:val="99"/>
    <w:rsid w:val="0090591A"/>
  </w:style>
  <w:style w:type="numbering" w:customStyle="1" w:styleId="NumbListAppendix2">
    <w:name w:val="NumbListAppendix2"/>
    <w:uiPriority w:val="99"/>
    <w:rsid w:val="0090591A"/>
  </w:style>
  <w:style w:type="numbering" w:customStyle="1" w:styleId="NUmbListBullet2">
    <w:name w:val="NUmbListBullet2"/>
    <w:uiPriority w:val="99"/>
    <w:rsid w:val="0090591A"/>
  </w:style>
  <w:style w:type="numbering" w:customStyle="1" w:styleId="NumbLstTabBullet3">
    <w:name w:val="NumbLstTabBullet3"/>
    <w:uiPriority w:val="99"/>
    <w:rsid w:val="0090591A"/>
  </w:style>
  <w:style w:type="table" w:customStyle="1" w:styleId="TableGrid7">
    <w:name w:val="Table Grid7"/>
    <w:basedOn w:val="TableNormal"/>
    <w:next w:val="TableGrid"/>
    <w:uiPriority w:val="59"/>
    <w:rsid w:val="00104F21"/>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20">
    <w:name w:val="xl120"/>
    <w:basedOn w:val="Normal"/>
    <w:rsid w:val="00DD29BF"/>
    <w:pPr>
      <w:pBdr>
        <w:bottom w:val="single" w:sz="4" w:space="0" w:color="BFBFBF"/>
      </w:pBdr>
      <w:spacing w:before="100" w:beforeAutospacing="1" w:after="100" w:afterAutospacing="1" w:line="240" w:lineRule="auto"/>
      <w:ind w:firstLineChars="100" w:firstLine="100"/>
      <w:textAlignment w:val="top"/>
    </w:pPr>
    <w:rPr>
      <w:rFonts w:ascii="Arial Narrow" w:eastAsia="Times New Roman" w:hAnsi="Arial Narrow" w:cs="Times New Roman"/>
      <w:sz w:val="16"/>
      <w:szCs w:val="16"/>
      <w:lang w:val="fr-CH" w:eastAsia="fr-CH"/>
    </w:rPr>
  </w:style>
  <w:style w:type="paragraph" w:customStyle="1" w:styleId="xl121">
    <w:name w:val="xl121"/>
    <w:basedOn w:val="Normal"/>
    <w:rsid w:val="00DD29BF"/>
    <w:pPr>
      <w:pBdr>
        <w:bottom w:val="single" w:sz="8" w:space="0" w:color="A6A6A6"/>
      </w:pBdr>
      <w:spacing w:before="100" w:beforeAutospacing="1" w:after="100" w:afterAutospacing="1" w:line="240" w:lineRule="auto"/>
      <w:ind w:firstLineChars="100" w:firstLine="100"/>
      <w:textAlignment w:val="center"/>
    </w:pPr>
    <w:rPr>
      <w:rFonts w:ascii="Arial Narrow" w:eastAsia="Times New Roman" w:hAnsi="Arial Narrow" w:cs="Times New Roman"/>
      <w:b/>
      <w:bCs/>
      <w:sz w:val="20"/>
      <w:szCs w:val="20"/>
      <w:lang w:val="fr-CH" w:eastAsia="fr-CH"/>
    </w:rPr>
  </w:style>
  <w:style w:type="paragraph" w:customStyle="1" w:styleId="xl122">
    <w:name w:val="xl122"/>
    <w:basedOn w:val="Normal"/>
    <w:rsid w:val="00DD29BF"/>
    <w:pPr>
      <w:pBdr>
        <w:top w:val="single" w:sz="4" w:space="0" w:color="748B9E"/>
      </w:pBdr>
      <w:shd w:val="clear" w:color="000000" w:fill="C7CFD8"/>
      <w:spacing w:before="100" w:beforeAutospacing="1" w:after="100" w:afterAutospacing="1" w:line="240" w:lineRule="auto"/>
      <w:ind w:firstLineChars="300" w:firstLine="300"/>
      <w:textAlignment w:val="center"/>
    </w:pPr>
    <w:rPr>
      <w:rFonts w:ascii="Arial Narrow" w:eastAsia="Times New Roman" w:hAnsi="Arial Narrow" w:cs="Times New Roman"/>
      <w:b/>
      <w:bCs/>
      <w:sz w:val="16"/>
      <w:szCs w:val="16"/>
      <w:lang w:val="fr-CH" w:eastAsia="fr-CH"/>
    </w:rPr>
  </w:style>
  <w:style w:type="paragraph" w:customStyle="1" w:styleId="StrategyTitle">
    <w:name w:val="StrategyTitle"/>
    <w:basedOn w:val="Normal"/>
    <w:uiPriority w:val="2"/>
    <w:qFormat/>
    <w:rsid w:val="00124E82"/>
    <w:pPr>
      <w:keepNext/>
      <w:keepLines/>
      <w:pageBreakBefore/>
      <w:tabs>
        <w:tab w:val="num" w:pos="2948"/>
      </w:tabs>
      <w:ind w:left="2948" w:hanging="2948"/>
      <w:outlineLvl w:val="0"/>
    </w:pPr>
    <w:rPr>
      <w:color w:val="005172" w:themeColor="text2"/>
      <w:sz w:val="32"/>
    </w:rPr>
  </w:style>
  <w:style w:type="paragraph" w:styleId="TOC9">
    <w:name w:val="toc 9"/>
    <w:basedOn w:val="Normal"/>
    <w:next w:val="Normal"/>
    <w:autoRedefine/>
    <w:uiPriority w:val="39"/>
    <w:semiHidden/>
    <w:rsid w:val="00D55110"/>
    <w:pPr>
      <w:spacing w:after="100"/>
      <w:ind w:left="1440"/>
    </w:pPr>
  </w:style>
  <w:style w:type="table" w:customStyle="1" w:styleId="TableGrid8">
    <w:name w:val="Table Grid8"/>
    <w:basedOn w:val="TableNormal"/>
    <w:next w:val="TableGrid"/>
    <w:rsid w:val="0078145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921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1921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EF7D1D"/>
    <w:pPr>
      <w:widowControl w:val="0"/>
      <w:autoSpaceDE w:val="0"/>
      <w:autoSpaceDN w:val="0"/>
      <w:spacing w:after="0" w:line="240" w:lineRule="auto"/>
      <w:ind w:left="71"/>
    </w:pPr>
    <w:rPr>
      <w:rFonts w:ascii="Arial Narrow" w:eastAsia="Arial Narrow" w:hAnsi="Arial Narrow" w:cs="Arial Narrow"/>
      <w:sz w:val="22"/>
      <w:lang w:val="en-US"/>
    </w:rPr>
  </w:style>
  <w:style w:type="paragraph" w:customStyle="1" w:styleId="bullet10">
    <w:name w:val="bullet1"/>
    <w:basedOn w:val="Normal"/>
    <w:rsid w:val="00EF7D1D"/>
    <w:pPr>
      <w:ind w:left="340" w:hanging="340"/>
    </w:pPr>
    <w:rPr>
      <w:rFonts w:cs="Arial"/>
      <w:szCs w:val="18"/>
      <w:lang w:val="en-US"/>
    </w:rPr>
  </w:style>
  <w:style w:type="table" w:customStyle="1" w:styleId="TableGrid71">
    <w:name w:val="Table Grid71"/>
    <w:basedOn w:val="TableNormal"/>
    <w:next w:val="TableGrid"/>
    <w:uiPriority w:val="59"/>
    <w:rsid w:val="00AB028D"/>
    <w:pPr>
      <w:spacing w:after="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434007"/>
  </w:style>
  <w:style w:type="paragraph" w:customStyle="1" w:styleId="xmsonormal">
    <w:name w:val="x_msonormal"/>
    <w:basedOn w:val="Normal"/>
    <w:uiPriority w:val="99"/>
    <w:rsid w:val="007151FA"/>
    <w:pPr>
      <w:spacing w:after="0" w:line="240" w:lineRule="auto"/>
    </w:pPr>
    <w:rPr>
      <w:rFonts w:ascii="Calibri" w:hAnsi="Calibri" w:cs="Calibri"/>
      <w:sz w:val="22"/>
      <w:lang w:val="en-US"/>
    </w:rPr>
  </w:style>
  <w:style w:type="character" w:customStyle="1" w:styleId="ONUMEChar">
    <w:name w:val="ONUM E Char"/>
    <w:link w:val="ONUME"/>
    <w:locked/>
    <w:rsid w:val="007151FA"/>
    <w:rPr>
      <w:rFonts w:ascii="Arial" w:hAnsi="Arial"/>
      <w:sz w:val="18"/>
    </w:rPr>
  </w:style>
  <w:style w:type="paragraph" w:customStyle="1" w:styleId="xxheading1nonumb">
    <w:name w:val="x_xheading1nonumb"/>
    <w:basedOn w:val="Normal"/>
    <w:rsid w:val="0044491C"/>
    <w:pPr>
      <w:keepNext/>
      <w:spacing w:before="320" w:after="240" w:line="240" w:lineRule="auto"/>
    </w:pPr>
    <w:rPr>
      <w:rFonts w:cs="Arial"/>
      <w:color w:val="44546A"/>
      <w:sz w:val="32"/>
      <w:szCs w:val="32"/>
      <w:lang w:val="en-US"/>
    </w:rPr>
  </w:style>
  <w:style w:type="paragraph" w:customStyle="1" w:styleId="Endofdocument-Annex">
    <w:name w:val="[End of document - Annex]"/>
    <w:basedOn w:val="Normal"/>
    <w:rsid w:val="00BF3120"/>
    <w:pPr>
      <w:spacing w:after="0" w:line="240" w:lineRule="auto"/>
      <w:ind w:left="5534"/>
    </w:pPr>
    <w:rPr>
      <w:rFonts w:eastAsia="SimSun" w:cs="Arial"/>
      <w:sz w:val="22"/>
      <w:szCs w:val="20"/>
      <w:lang w:val="en-US" w:eastAsia="zh-CN"/>
    </w:rPr>
  </w:style>
  <w:style w:type="paragraph" w:customStyle="1" w:styleId="xtableparagraph">
    <w:name w:val="x_tableparagraph"/>
    <w:basedOn w:val="Normal"/>
    <w:rsid w:val="00BD75A0"/>
    <w:pPr>
      <w:autoSpaceDE w:val="0"/>
      <w:autoSpaceDN w:val="0"/>
      <w:spacing w:after="0" w:line="240" w:lineRule="auto"/>
      <w:ind w:left="76"/>
    </w:pPr>
    <w:rPr>
      <w:rFonts w:ascii="Arial Narrow" w:hAnsi="Arial Narrow" w:cs="Times New Roman"/>
      <w:sz w:val="22"/>
      <w:lang w:val="en-US"/>
    </w:rPr>
  </w:style>
  <w:style w:type="character" w:customStyle="1" w:styleId="ListParagraphChar">
    <w:name w:val="List Paragraph Char"/>
    <w:aliases w:val="Bullet List Char,FooterText Char,List Paragraph1 Char,Colorful List Accent 1 Char,numbered Char,Paragraphe de liste1 Char,列出段落 Char,列出段落1 Char,Bulletr List Paragraph Char,List Paragraph2 Char,List Paragraph21 Char,リスト段落1 Char"/>
    <w:link w:val="ListParagraph"/>
    <w:uiPriority w:val="1"/>
    <w:qFormat/>
    <w:locked/>
    <w:rsid w:val="00E74508"/>
    <w:rPr>
      <w:rFonts w:ascii="Calibri" w:eastAsia="Times New Roman" w:hAnsi="Calibri" w:cs="Arial"/>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65039">
      <w:bodyDiv w:val="1"/>
      <w:marLeft w:val="0"/>
      <w:marRight w:val="0"/>
      <w:marTop w:val="0"/>
      <w:marBottom w:val="0"/>
      <w:divBdr>
        <w:top w:val="none" w:sz="0" w:space="0" w:color="auto"/>
        <w:left w:val="none" w:sz="0" w:space="0" w:color="auto"/>
        <w:bottom w:val="none" w:sz="0" w:space="0" w:color="auto"/>
        <w:right w:val="none" w:sz="0" w:space="0" w:color="auto"/>
      </w:divBdr>
    </w:div>
    <w:div w:id="10493088">
      <w:bodyDiv w:val="1"/>
      <w:marLeft w:val="0"/>
      <w:marRight w:val="0"/>
      <w:marTop w:val="0"/>
      <w:marBottom w:val="0"/>
      <w:divBdr>
        <w:top w:val="none" w:sz="0" w:space="0" w:color="auto"/>
        <w:left w:val="none" w:sz="0" w:space="0" w:color="auto"/>
        <w:bottom w:val="none" w:sz="0" w:space="0" w:color="auto"/>
        <w:right w:val="none" w:sz="0" w:space="0" w:color="auto"/>
      </w:divBdr>
    </w:div>
    <w:div w:id="14118996">
      <w:bodyDiv w:val="1"/>
      <w:marLeft w:val="0"/>
      <w:marRight w:val="0"/>
      <w:marTop w:val="0"/>
      <w:marBottom w:val="0"/>
      <w:divBdr>
        <w:top w:val="none" w:sz="0" w:space="0" w:color="auto"/>
        <w:left w:val="none" w:sz="0" w:space="0" w:color="auto"/>
        <w:bottom w:val="none" w:sz="0" w:space="0" w:color="auto"/>
        <w:right w:val="none" w:sz="0" w:space="0" w:color="auto"/>
      </w:divBdr>
    </w:div>
    <w:div w:id="22248290">
      <w:bodyDiv w:val="1"/>
      <w:marLeft w:val="0"/>
      <w:marRight w:val="0"/>
      <w:marTop w:val="0"/>
      <w:marBottom w:val="0"/>
      <w:divBdr>
        <w:top w:val="none" w:sz="0" w:space="0" w:color="auto"/>
        <w:left w:val="none" w:sz="0" w:space="0" w:color="auto"/>
        <w:bottom w:val="none" w:sz="0" w:space="0" w:color="auto"/>
        <w:right w:val="none" w:sz="0" w:space="0" w:color="auto"/>
      </w:divBdr>
    </w:div>
    <w:div w:id="32389262">
      <w:bodyDiv w:val="1"/>
      <w:marLeft w:val="0"/>
      <w:marRight w:val="0"/>
      <w:marTop w:val="0"/>
      <w:marBottom w:val="0"/>
      <w:divBdr>
        <w:top w:val="none" w:sz="0" w:space="0" w:color="auto"/>
        <w:left w:val="none" w:sz="0" w:space="0" w:color="auto"/>
        <w:bottom w:val="none" w:sz="0" w:space="0" w:color="auto"/>
        <w:right w:val="none" w:sz="0" w:space="0" w:color="auto"/>
      </w:divBdr>
    </w:div>
    <w:div w:id="33624926">
      <w:bodyDiv w:val="1"/>
      <w:marLeft w:val="0"/>
      <w:marRight w:val="0"/>
      <w:marTop w:val="0"/>
      <w:marBottom w:val="0"/>
      <w:divBdr>
        <w:top w:val="none" w:sz="0" w:space="0" w:color="auto"/>
        <w:left w:val="none" w:sz="0" w:space="0" w:color="auto"/>
        <w:bottom w:val="none" w:sz="0" w:space="0" w:color="auto"/>
        <w:right w:val="none" w:sz="0" w:space="0" w:color="auto"/>
      </w:divBdr>
    </w:div>
    <w:div w:id="36395708">
      <w:bodyDiv w:val="1"/>
      <w:marLeft w:val="0"/>
      <w:marRight w:val="0"/>
      <w:marTop w:val="0"/>
      <w:marBottom w:val="0"/>
      <w:divBdr>
        <w:top w:val="none" w:sz="0" w:space="0" w:color="auto"/>
        <w:left w:val="none" w:sz="0" w:space="0" w:color="auto"/>
        <w:bottom w:val="none" w:sz="0" w:space="0" w:color="auto"/>
        <w:right w:val="none" w:sz="0" w:space="0" w:color="auto"/>
      </w:divBdr>
    </w:div>
    <w:div w:id="44565807">
      <w:bodyDiv w:val="1"/>
      <w:marLeft w:val="0"/>
      <w:marRight w:val="0"/>
      <w:marTop w:val="0"/>
      <w:marBottom w:val="0"/>
      <w:divBdr>
        <w:top w:val="none" w:sz="0" w:space="0" w:color="auto"/>
        <w:left w:val="none" w:sz="0" w:space="0" w:color="auto"/>
        <w:bottom w:val="none" w:sz="0" w:space="0" w:color="auto"/>
        <w:right w:val="none" w:sz="0" w:space="0" w:color="auto"/>
      </w:divBdr>
    </w:div>
    <w:div w:id="46924871">
      <w:bodyDiv w:val="1"/>
      <w:marLeft w:val="0"/>
      <w:marRight w:val="0"/>
      <w:marTop w:val="0"/>
      <w:marBottom w:val="0"/>
      <w:divBdr>
        <w:top w:val="none" w:sz="0" w:space="0" w:color="auto"/>
        <w:left w:val="none" w:sz="0" w:space="0" w:color="auto"/>
        <w:bottom w:val="none" w:sz="0" w:space="0" w:color="auto"/>
        <w:right w:val="none" w:sz="0" w:space="0" w:color="auto"/>
      </w:divBdr>
    </w:div>
    <w:div w:id="52848547">
      <w:bodyDiv w:val="1"/>
      <w:marLeft w:val="0"/>
      <w:marRight w:val="0"/>
      <w:marTop w:val="0"/>
      <w:marBottom w:val="0"/>
      <w:divBdr>
        <w:top w:val="none" w:sz="0" w:space="0" w:color="auto"/>
        <w:left w:val="none" w:sz="0" w:space="0" w:color="auto"/>
        <w:bottom w:val="none" w:sz="0" w:space="0" w:color="auto"/>
        <w:right w:val="none" w:sz="0" w:space="0" w:color="auto"/>
      </w:divBdr>
    </w:div>
    <w:div w:id="53744011">
      <w:bodyDiv w:val="1"/>
      <w:marLeft w:val="0"/>
      <w:marRight w:val="0"/>
      <w:marTop w:val="0"/>
      <w:marBottom w:val="0"/>
      <w:divBdr>
        <w:top w:val="none" w:sz="0" w:space="0" w:color="auto"/>
        <w:left w:val="none" w:sz="0" w:space="0" w:color="auto"/>
        <w:bottom w:val="none" w:sz="0" w:space="0" w:color="auto"/>
        <w:right w:val="none" w:sz="0" w:space="0" w:color="auto"/>
      </w:divBdr>
    </w:div>
    <w:div w:id="58527106">
      <w:bodyDiv w:val="1"/>
      <w:marLeft w:val="0"/>
      <w:marRight w:val="0"/>
      <w:marTop w:val="0"/>
      <w:marBottom w:val="0"/>
      <w:divBdr>
        <w:top w:val="none" w:sz="0" w:space="0" w:color="auto"/>
        <w:left w:val="none" w:sz="0" w:space="0" w:color="auto"/>
        <w:bottom w:val="none" w:sz="0" w:space="0" w:color="auto"/>
        <w:right w:val="none" w:sz="0" w:space="0" w:color="auto"/>
      </w:divBdr>
    </w:div>
    <w:div w:id="60907471">
      <w:bodyDiv w:val="1"/>
      <w:marLeft w:val="0"/>
      <w:marRight w:val="0"/>
      <w:marTop w:val="0"/>
      <w:marBottom w:val="0"/>
      <w:divBdr>
        <w:top w:val="none" w:sz="0" w:space="0" w:color="auto"/>
        <w:left w:val="none" w:sz="0" w:space="0" w:color="auto"/>
        <w:bottom w:val="none" w:sz="0" w:space="0" w:color="auto"/>
        <w:right w:val="none" w:sz="0" w:space="0" w:color="auto"/>
      </w:divBdr>
    </w:div>
    <w:div w:id="70395401">
      <w:bodyDiv w:val="1"/>
      <w:marLeft w:val="0"/>
      <w:marRight w:val="0"/>
      <w:marTop w:val="0"/>
      <w:marBottom w:val="0"/>
      <w:divBdr>
        <w:top w:val="none" w:sz="0" w:space="0" w:color="auto"/>
        <w:left w:val="none" w:sz="0" w:space="0" w:color="auto"/>
        <w:bottom w:val="none" w:sz="0" w:space="0" w:color="auto"/>
        <w:right w:val="none" w:sz="0" w:space="0" w:color="auto"/>
      </w:divBdr>
    </w:div>
    <w:div w:id="72973037">
      <w:bodyDiv w:val="1"/>
      <w:marLeft w:val="0"/>
      <w:marRight w:val="0"/>
      <w:marTop w:val="0"/>
      <w:marBottom w:val="0"/>
      <w:divBdr>
        <w:top w:val="none" w:sz="0" w:space="0" w:color="auto"/>
        <w:left w:val="none" w:sz="0" w:space="0" w:color="auto"/>
        <w:bottom w:val="none" w:sz="0" w:space="0" w:color="auto"/>
        <w:right w:val="none" w:sz="0" w:space="0" w:color="auto"/>
      </w:divBdr>
    </w:div>
    <w:div w:id="76291190">
      <w:bodyDiv w:val="1"/>
      <w:marLeft w:val="0"/>
      <w:marRight w:val="0"/>
      <w:marTop w:val="0"/>
      <w:marBottom w:val="0"/>
      <w:divBdr>
        <w:top w:val="none" w:sz="0" w:space="0" w:color="auto"/>
        <w:left w:val="none" w:sz="0" w:space="0" w:color="auto"/>
        <w:bottom w:val="none" w:sz="0" w:space="0" w:color="auto"/>
        <w:right w:val="none" w:sz="0" w:space="0" w:color="auto"/>
      </w:divBdr>
    </w:div>
    <w:div w:id="77411619">
      <w:bodyDiv w:val="1"/>
      <w:marLeft w:val="0"/>
      <w:marRight w:val="0"/>
      <w:marTop w:val="0"/>
      <w:marBottom w:val="0"/>
      <w:divBdr>
        <w:top w:val="none" w:sz="0" w:space="0" w:color="auto"/>
        <w:left w:val="none" w:sz="0" w:space="0" w:color="auto"/>
        <w:bottom w:val="none" w:sz="0" w:space="0" w:color="auto"/>
        <w:right w:val="none" w:sz="0" w:space="0" w:color="auto"/>
      </w:divBdr>
    </w:div>
    <w:div w:id="78913986">
      <w:bodyDiv w:val="1"/>
      <w:marLeft w:val="0"/>
      <w:marRight w:val="0"/>
      <w:marTop w:val="0"/>
      <w:marBottom w:val="0"/>
      <w:divBdr>
        <w:top w:val="none" w:sz="0" w:space="0" w:color="auto"/>
        <w:left w:val="none" w:sz="0" w:space="0" w:color="auto"/>
        <w:bottom w:val="none" w:sz="0" w:space="0" w:color="auto"/>
        <w:right w:val="none" w:sz="0" w:space="0" w:color="auto"/>
      </w:divBdr>
    </w:div>
    <w:div w:id="79065030">
      <w:bodyDiv w:val="1"/>
      <w:marLeft w:val="0"/>
      <w:marRight w:val="0"/>
      <w:marTop w:val="0"/>
      <w:marBottom w:val="0"/>
      <w:divBdr>
        <w:top w:val="none" w:sz="0" w:space="0" w:color="auto"/>
        <w:left w:val="none" w:sz="0" w:space="0" w:color="auto"/>
        <w:bottom w:val="none" w:sz="0" w:space="0" w:color="auto"/>
        <w:right w:val="none" w:sz="0" w:space="0" w:color="auto"/>
      </w:divBdr>
    </w:div>
    <w:div w:id="82000109">
      <w:bodyDiv w:val="1"/>
      <w:marLeft w:val="0"/>
      <w:marRight w:val="0"/>
      <w:marTop w:val="0"/>
      <w:marBottom w:val="0"/>
      <w:divBdr>
        <w:top w:val="none" w:sz="0" w:space="0" w:color="auto"/>
        <w:left w:val="none" w:sz="0" w:space="0" w:color="auto"/>
        <w:bottom w:val="none" w:sz="0" w:space="0" w:color="auto"/>
        <w:right w:val="none" w:sz="0" w:space="0" w:color="auto"/>
      </w:divBdr>
    </w:div>
    <w:div w:id="82604468">
      <w:bodyDiv w:val="1"/>
      <w:marLeft w:val="0"/>
      <w:marRight w:val="0"/>
      <w:marTop w:val="0"/>
      <w:marBottom w:val="0"/>
      <w:divBdr>
        <w:top w:val="none" w:sz="0" w:space="0" w:color="auto"/>
        <w:left w:val="none" w:sz="0" w:space="0" w:color="auto"/>
        <w:bottom w:val="none" w:sz="0" w:space="0" w:color="auto"/>
        <w:right w:val="none" w:sz="0" w:space="0" w:color="auto"/>
      </w:divBdr>
    </w:div>
    <w:div w:id="87892493">
      <w:bodyDiv w:val="1"/>
      <w:marLeft w:val="0"/>
      <w:marRight w:val="0"/>
      <w:marTop w:val="0"/>
      <w:marBottom w:val="0"/>
      <w:divBdr>
        <w:top w:val="none" w:sz="0" w:space="0" w:color="auto"/>
        <w:left w:val="none" w:sz="0" w:space="0" w:color="auto"/>
        <w:bottom w:val="none" w:sz="0" w:space="0" w:color="auto"/>
        <w:right w:val="none" w:sz="0" w:space="0" w:color="auto"/>
      </w:divBdr>
    </w:div>
    <w:div w:id="91173134">
      <w:bodyDiv w:val="1"/>
      <w:marLeft w:val="0"/>
      <w:marRight w:val="0"/>
      <w:marTop w:val="0"/>
      <w:marBottom w:val="0"/>
      <w:divBdr>
        <w:top w:val="none" w:sz="0" w:space="0" w:color="auto"/>
        <w:left w:val="none" w:sz="0" w:space="0" w:color="auto"/>
        <w:bottom w:val="none" w:sz="0" w:space="0" w:color="auto"/>
        <w:right w:val="none" w:sz="0" w:space="0" w:color="auto"/>
      </w:divBdr>
    </w:div>
    <w:div w:id="91777736">
      <w:bodyDiv w:val="1"/>
      <w:marLeft w:val="0"/>
      <w:marRight w:val="0"/>
      <w:marTop w:val="0"/>
      <w:marBottom w:val="0"/>
      <w:divBdr>
        <w:top w:val="none" w:sz="0" w:space="0" w:color="auto"/>
        <w:left w:val="none" w:sz="0" w:space="0" w:color="auto"/>
        <w:bottom w:val="none" w:sz="0" w:space="0" w:color="auto"/>
        <w:right w:val="none" w:sz="0" w:space="0" w:color="auto"/>
      </w:divBdr>
    </w:div>
    <w:div w:id="94252416">
      <w:bodyDiv w:val="1"/>
      <w:marLeft w:val="0"/>
      <w:marRight w:val="0"/>
      <w:marTop w:val="0"/>
      <w:marBottom w:val="0"/>
      <w:divBdr>
        <w:top w:val="none" w:sz="0" w:space="0" w:color="auto"/>
        <w:left w:val="none" w:sz="0" w:space="0" w:color="auto"/>
        <w:bottom w:val="none" w:sz="0" w:space="0" w:color="auto"/>
        <w:right w:val="none" w:sz="0" w:space="0" w:color="auto"/>
      </w:divBdr>
    </w:div>
    <w:div w:id="106513985">
      <w:bodyDiv w:val="1"/>
      <w:marLeft w:val="0"/>
      <w:marRight w:val="0"/>
      <w:marTop w:val="0"/>
      <w:marBottom w:val="0"/>
      <w:divBdr>
        <w:top w:val="none" w:sz="0" w:space="0" w:color="auto"/>
        <w:left w:val="none" w:sz="0" w:space="0" w:color="auto"/>
        <w:bottom w:val="none" w:sz="0" w:space="0" w:color="auto"/>
        <w:right w:val="none" w:sz="0" w:space="0" w:color="auto"/>
      </w:divBdr>
    </w:div>
    <w:div w:id="107356385">
      <w:bodyDiv w:val="1"/>
      <w:marLeft w:val="0"/>
      <w:marRight w:val="0"/>
      <w:marTop w:val="0"/>
      <w:marBottom w:val="0"/>
      <w:divBdr>
        <w:top w:val="none" w:sz="0" w:space="0" w:color="auto"/>
        <w:left w:val="none" w:sz="0" w:space="0" w:color="auto"/>
        <w:bottom w:val="none" w:sz="0" w:space="0" w:color="auto"/>
        <w:right w:val="none" w:sz="0" w:space="0" w:color="auto"/>
      </w:divBdr>
    </w:div>
    <w:div w:id="114100628">
      <w:bodyDiv w:val="1"/>
      <w:marLeft w:val="0"/>
      <w:marRight w:val="0"/>
      <w:marTop w:val="0"/>
      <w:marBottom w:val="0"/>
      <w:divBdr>
        <w:top w:val="none" w:sz="0" w:space="0" w:color="auto"/>
        <w:left w:val="none" w:sz="0" w:space="0" w:color="auto"/>
        <w:bottom w:val="none" w:sz="0" w:space="0" w:color="auto"/>
        <w:right w:val="none" w:sz="0" w:space="0" w:color="auto"/>
      </w:divBdr>
    </w:div>
    <w:div w:id="114446454">
      <w:bodyDiv w:val="1"/>
      <w:marLeft w:val="0"/>
      <w:marRight w:val="0"/>
      <w:marTop w:val="0"/>
      <w:marBottom w:val="0"/>
      <w:divBdr>
        <w:top w:val="none" w:sz="0" w:space="0" w:color="auto"/>
        <w:left w:val="none" w:sz="0" w:space="0" w:color="auto"/>
        <w:bottom w:val="none" w:sz="0" w:space="0" w:color="auto"/>
        <w:right w:val="none" w:sz="0" w:space="0" w:color="auto"/>
      </w:divBdr>
    </w:div>
    <w:div w:id="115875868">
      <w:bodyDiv w:val="1"/>
      <w:marLeft w:val="0"/>
      <w:marRight w:val="0"/>
      <w:marTop w:val="0"/>
      <w:marBottom w:val="0"/>
      <w:divBdr>
        <w:top w:val="none" w:sz="0" w:space="0" w:color="auto"/>
        <w:left w:val="none" w:sz="0" w:space="0" w:color="auto"/>
        <w:bottom w:val="none" w:sz="0" w:space="0" w:color="auto"/>
        <w:right w:val="none" w:sz="0" w:space="0" w:color="auto"/>
      </w:divBdr>
    </w:div>
    <w:div w:id="122114299">
      <w:bodyDiv w:val="1"/>
      <w:marLeft w:val="0"/>
      <w:marRight w:val="0"/>
      <w:marTop w:val="0"/>
      <w:marBottom w:val="0"/>
      <w:divBdr>
        <w:top w:val="none" w:sz="0" w:space="0" w:color="auto"/>
        <w:left w:val="none" w:sz="0" w:space="0" w:color="auto"/>
        <w:bottom w:val="none" w:sz="0" w:space="0" w:color="auto"/>
        <w:right w:val="none" w:sz="0" w:space="0" w:color="auto"/>
      </w:divBdr>
    </w:div>
    <w:div w:id="130102061">
      <w:bodyDiv w:val="1"/>
      <w:marLeft w:val="0"/>
      <w:marRight w:val="0"/>
      <w:marTop w:val="0"/>
      <w:marBottom w:val="0"/>
      <w:divBdr>
        <w:top w:val="none" w:sz="0" w:space="0" w:color="auto"/>
        <w:left w:val="none" w:sz="0" w:space="0" w:color="auto"/>
        <w:bottom w:val="none" w:sz="0" w:space="0" w:color="auto"/>
        <w:right w:val="none" w:sz="0" w:space="0" w:color="auto"/>
      </w:divBdr>
    </w:div>
    <w:div w:id="131749992">
      <w:bodyDiv w:val="1"/>
      <w:marLeft w:val="0"/>
      <w:marRight w:val="0"/>
      <w:marTop w:val="0"/>
      <w:marBottom w:val="0"/>
      <w:divBdr>
        <w:top w:val="none" w:sz="0" w:space="0" w:color="auto"/>
        <w:left w:val="none" w:sz="0" w:space="0" w:color="auto"/>
        <w:bottom w:val="none" w:sz="0" w:space="0" w:color="auto"/>
        <w:right w:val="none" w:sz="0" w:space="0" w:color="auto"/>
      </w:divBdr>
    </w:div>
    <w:div w:id="132062619">
      <w:bodyDiv w:val="1"/>
      <w:marLeft w:val="0"/>
      <w:marRight w:val="0"/>
      <w:marTop w:val="0"/>
      <w:marBottom w:val="0"/>
      <w:divBdr>
        <w:top w:val="none" w:sz="0" w:space="0" w:color="auto"/>
        <w:left w:val="none" w:sz="0" w:space="0" w:color="auto"/>
        <w:bottom w:val="none" w:sz="0" w:space="0" w:color="auto"/>
        <w:right w:val="none" w:sz="0" w:space="0" w:color="auto"/>
      </w:divBdr>
    </w:div>
    <w:div w:id="133760980">
      <w:bodyDiv w:val="1"/>
      <w:marLeft w:val="0"/>
      <w:marRight w:val="0"/>
      <w:marTop w:val="0"/>
      <w:marBottom w:val="0"/>
      <w:divBdr>
        <w:top w:val="none" w:sz="0" w:space="0" w:color="auto"/>
        <w:left w:val="none" w:sz="0" w:space="0" w:color="auto"/>
        <w:bottom w:val="none" w:sz="0" w:space="0" w:color="auto"/>
        <w:right w:val="none" w:sz="0" w:space="0" w:color="auto"/>
      </w:divBdr>
    </w:div>
    <w:div w:id="138764320">
      <w:bodyDiv w:val="1"/>
      <w:marLeft w:val="0"/>
      <w:marRight w:val="0"/>
      <w:marTop w:val="0"/>
      <w:marBottom w:val="0"/>
      <w:divBdr>
        <w:top w:val="none" w:sz="0" w:space="0" w:color="auto"/>
        <w:left w:val="none" w:sz="0" w:space="0" w:color="auto"/>
        <w:bottom w:val="none" w:sz="0" w:space="0" w:color="auto"/>
        <w:right w:val="none" w:sz="0" w:space="0" w:color="auto"/>
      </w:divBdr>
    </w:div>
    <w:div w:id="141385242">
      <w:bodyDiv w:val="1"/>
      <w:marLeft w:val="0"/>
      <w:marRight w:val="0"/>
      <w:marTop w:val="0"/>
      <w:marBottom w:val="0"/>
      <w:divBdr>
        <w:top w:val="none" w:sz="0" w:space="0" w:color="auto"/>
        <w:left w:val="none" w:sz="0" w:space="0" w:color="auto"/>
        <w:bottom w:val="none" w:sz="0" w:space="0" w:color="auto"/>
        <w:right w:val="none" w:sz="0" w:space="0" w:color="auto"/>
      </w:divBdr>
    </w:div>
    <w:div w:id="144471783">
      <w:bodyDiv w:val="1"/>
      <w:marLeft w:val="0"/>
      <w:marRight w:val="0"/>
      <w:marTop w:val="0"/>
      <w:marBottom w:val="0"/>
      <w:divBdr>
        <w:top w:val="none" w:sz="0" w:space="0" w:color="auto"/>
        <w:left w:val="none" w:sz="0" w:space="0" w:color="auto"/>
        <w:bottom w:val="none" w:sz="0" w:space="0" w:color="auto"/>
        <w:right w:val="none" w:sz="0" w:space="0" w:color="auto"/>
      </w:divBdr>
    </w:div>
    <w:div w:id="145123132">
      <w:bodyDiv w:val="1"/>
      <w:marLeft w:val="0"/>
      <w:marRight w:val="0"/>
      <w:marTop w:val="0"/>
      <w:marBottom w:val="0"/>
      <w:divBdr>
        <w:top w:val="none" w:sz="0" w:space="0" w:color="auto"/>
        <w:left w:val="none" w:sz="0" w:space="0" w:color="auto"/>
        <w:bottom w:val="none" w:sz="0" w:space="0" w:color="auto"/>
        <w:right w:val="none" w:sz="0" w:space="0" w:color="auto"/>
      </w:divBdr>
    </w:div>
    <w:div w:id="148979067">
      <w:bodyDiv w:val="1"/>
      <w:marLeft w:val="0"/>
      <w:marRight w:val="0"/>
      <w:marTop w:val="0"/>
      <w:marBottom w:val="0"/>
      <w:divBdr>
        <w:top w:val="none" w:sz="0" w:space="0" w:color="auto"/>
        <w:left w:val="none" w:sz="0" w:space="0" w:color="auto"/>
        <w:bottom w:val="none" w:sz="0" w:space="0" w:color="auto"/>
        <w:right w:val="none" w:sz="0" w:space="0" w:color="auto"/>
      </w:divBdr>
    </w:div>
    <w:div w:id="149828565">
      <w:bodyDiv w:val="1"/>
      <w:marLeft w:val="0"/>
      <w:marRight w:val="0"/>
      <w:marTop w:val="0"/>
      <w:marBottom w:val="0"/>
      <w:divBdr>
        <w:top w:val="none" w:sz="0" w:space="0" w:color="auto"/>
        <w:left w:val="none" w:sz="0" w:space="0" w:color="auto"/>
        <w:bottom w:val="none" w:sz="0" w:space="0" w:color="auto"/>
        <w:right w:val="none" w:sz="0" w:space="0" w:color="auto"/>
      </w:divBdr>
    </w:div>
    <w:div w:id="150565717">
      <w:bodyDiv w:val="1"/>
      <w:marLeft w:val="0"/>
      <w:marRight w:val="0"/>
      <w:marTop w:val="0"/>
      <w:marBottom w:val="0"/>
      <w:divBdr>
        <w:top w:val="none" w:sz="0" w:space="0" w:color="auto"/>
        <w:left w:val="none" w:sz="0" w:space="0" w:color="auto"/>
        <w:bottom w:val="none" w:sz="0" w:space="0" w:color="auto"/>
        <w:right w:val="none" w:sz="0" w:space="0" w:color="auto"/>
      </w:divBdr>
    </w:div>
    <w:div w:id="150945986">
      <w:bodyDiv w:val="1"/>
      <w:marLeft w:val="0"/>
      <w:marRight w:val="0"/>
      <w:marTop w:val="0"/>
      <w:marBottom w:val="0"/>
      <w:divBdr>
        <w:top w:val="none" w:sz="0" w:space="0" w:color="auto"/>
        <w:left w:val="none" w:sz="0" w:space="0" w:color="auto"/>
        <w:bottom w:val="none" w:sz="0" w:space="0" w:color="auto"/>
        <w:right w:val="none" w:sz="0" w:space="0" w:color="auto"/>
      </w:divBdr>
    </w:div>
    <w:div w:id="155609552">
      <w:bodyDiv w:val="1"/>
      <w:marLeft w:val="0"/>
      <w:marRight w:val="0"/>
      <w:marTop w:val="0"/>
      <w:marBottom w:val="0"/>
      <w:divBdr>
        <w:top w:val="none" w:sz="0" w:space="0" w:color="auto"/>
        <w:left w:val="none" w:sz="0" w:space="0" w:color="auto"/>
        <w:bottom w:val="none" w:sz="0" w:space="0" w:color="auto"/>
        <w:right w:val="none" w:sz="0" w:space="0" w:color="auto"/>
      </w:divBdr>
    </w:div>
    <w:div w:id="155610911">
      <w:bodyDiv w:val="1"/>
      <w:marLeft w:val="0"/>
      <w:marRight w:val="0"/>
      <w:marTop w:val="0"/>
      <w:marBottom w:val="0"/>
      <w:divBdr>
        <w:top w:val="none" w:sz="0" w:space="0" w:color="auto"/>
        <w:left w:val="none" w:sz="0" w:space="0" w:color="auto"/>
        <w:bottom w:val="none" w:sz="0" w:space="0" w:color="auto"/>
        <w:right w:val="none" w:sz="0" w:space="0" w:color="auto"/>
      </w:divBdr>
    </w:div>
    <w:div w:id="160778051">
      <w:bodyDiv w:val="1"/>
      <w:marLeft w:val="0"/>
      <w:marRight w:val="0"/>
      <w:marTop w:val="0"/>
      <w:marBottom w:val="0"/>
      <w:divBdr>
        <w:top w:val="none" w:sz="0" w:space="0" w:color="auto"/>
        <w:left w:val="none" w:sz="0" w:space="0" w:color="auto"/>
        <w:bottom w:val="none" w:sz="0" w:space="0" w:color="auto"/>
        <w:right w:val="none" w:sz="0" w:space="0" w:color="auto"/>
      </w:divBdr>
    </w:div>
    <w:div w:id="165050069">
      <w:bodyDiv w:val="1"/>
      <w:marLeft w:val="0"/>
      <w:marRight w:val="0"/>
      <w:marTop w:val="0"/>
      <w:marBottom w:val="0"/>
      <w:divBdr>
        <w:top w:val="none" w:sz="0" w:space="0" w:color="auto"/>
        <w:left w:val="none" w:sz="0" w:space="0" w:color="auto"/>
        <w:bottom w:val="none" w:sz="0" w:space="0" w:color="auto"/>
        <w:right w:val="none" w:sz="0" w:space="0" w:color="auto"/>
      </w:divBdr>
    </w:div>
    <w:div w:id="170411654">
      <w:bodyDiv w:val="1"/>
      <w:marLeft w:val="0"/>
      <w:marRight w:val="0"/>
      <w:marTop w:val="0"/>
      <w:marBottom w:val="0"/>
      <w:divBdr>
        <w:top w:val="none" w:sz="0" w:space="0" w:color="auto"/>
        <w:left w:val="none" w:sz="0" w:space="0" w:color="auto"/>
        <w:bottom w:val="none" w:sz="0" w:space="0" w:color="auto"/>
        <w:right w:val="none" w:sz="0" w:space="0" w:color="auto"/>
      </w:divBdr>
    </w:div>
    <w:div w:id="175970620">
      <w:bodyDiv w:val="1"/>
      <w:marLeft w:val="0"/>
      <w:marRight w:val="0"/>
      <w:marTop w:val="0"/>
      <w:marBottom w:val="0"/>
      <w:divBdr>
        <w:top w:val="none" w:sz="0" w:space="0" w:color="auto"/>
        <w:left w:val="none" w:sz="0" w:space="0" w:color="auto"/>
        <w:bottom w:val="none" w:sz="0" w:space="0" w:color="auto"/>
        <w:right w:val="none" w:sz="0" w:space="0" w:color="auto"/>
      </w:divBdr>
    </w:div>
    <w:div w:id="176817328">
      <w:bodyDiv w:val="1"/>
      <w:marLeft w:val="0"/>
      <w:marRight w:val="0"/>
      <w:marTop w:val="0"/>
      <w:marBottom w:val="0"/>
      <w:divBdr>
        <w:top w:val="none" w:sz="0" w:space="0" w:color="auto"/>
        <w:left w:val="none" w:sz="0" w:space="0" w:color="auto"/>
        <w:bottom w:val="none" w:sz="0" w:space="0" w:color="auto"/>
        <w:right w:val="none" w:sz="0" w:space="0" w:color="auto"/>
      </w:divBdr>
    </w:div>
    <w:div w:id="176962756">
      <w:bodyDiv w:val="1"/>
      <w:marLeft w:val="0"/>
      <w:marRight w:val="0"/>
      <w:marTop w:val="0"/>
      <w:marBottom w:val="0"/>
      <w:divBdr>
        <w:top w:val="none" w:sz="0" w:space="0" w:color="auto"/>
        <w:left w:val="none" w:sz="0" w:space="0" w:color="auto"/>
        <w:bottom w:val="none" w:sz="0" w:space="0" w:color="auto"/>
        <w:right w:val="none" w:sz="0" w:space="0" w:color="auto"/>
      </w:divBdr>
    </w:div>
    <w:div w:id="177888049">
      <w:bodyDiv w:val="1"/>
      <w:marLeft w:val="0"/>
      <w:marRight w:val="0"/>
      <w:marTop w:val="0"/>
      <w:marBottom w:val="0"/>
      <w:divBdr>
        <w:top w:val="none" w:sz="0" w:space="0" w:color="auto"/>
        <w:left w:val="none" w:sz="0" w:space="0" w:color="auto"/>
        <w:bottom w:val="none" w:sz="0" w:space="0" w:color="auto"/>
        <w:right w:val="none" w:sz="0" w:space="0" w:color="auto"/>
      </w:divBdr>
    </w:div>
    <w:div w:id="183859403">
      <w:bodyDiv w:val="1"/>
      <w:marLeft w:val="0"/>
      <w:marRight w:val="0"/>
      <w:marTop w:val="0"/>
      <w:marBottom w:val="0"/>
      <w:divBdr>
        <w:top w:val="none" w:sz="0" w:space="0" w:color="auto"/>
        <w:left w:val="none" w:sz="0" w:space="0" w:color="auto"/>
        <w:bottom w:val="none" w:sz="0" w:space="0" w:color="auto"/>
        <w:right w:val="none" w:sz="0" w:space="0" w:color="auto"/>
      </w:divBdr>
    </w:div>
    <w:div w:id="188419023">
      <w:bodyDiv w:val="1"/>
      <w:marLeft w:val="0"/>
      <w:marRight w:val="0"/>
      <w:marTop w:val="0"/>
      <w:marBottom w:val="0"/>
      <w:divBdr>
        <w:top w:val="none" w:sz="0" w:space="0" w:color="auto"/>
        <w:left w:val="none" w:sz="0" w:space="0" w:color="auto"/>
        <w:bottom w:val="none" w:sz="0" w:space="0" w:color="auto"/>
        <w:right w:val="none" w:sz="0" w:space="0" w:color="auto"/>
      </w:divBdr>
    </w:div>
    <w:div w:id="200022927">
      <w:bodyDiv w:val="1"/>
      <w:marLeft w:val="0"/>
      <w:marRight w:val="0"/>
      <w:marTop w:val="0"/>
      <w:marBottom w:val="0"/>
      <w:divBdr>
        <w:top w:val="none" w:sz="0" w:space="0" w:color="auto"/>
        <w:left w:val="none" w:sz="0" w:space="0" w:color="auto"/>
        <w:bottom w:val="none" w:sz="0" w:space="0" w:color="auto"/>
        <w:right w:val="none" w:sz="0" w:space="0" w:color="auto"/>
      </w:divBdr>
    </w:div>
    <w:div w:id="204098020">
      <w:bodyDiv w:val="1"/>
      <w:marLeft w:val="0"/>
      <w:marRight w:val="0"/>
      <w:marTop w:val="0"/>
      <w:marBottom w:val="0"/>
      <w:divBdr>
        <w:top w:val="none" w:sz="0" w:space="0" w:color="auto"/>
        <w:left w:val="none" w:sz="0" w:space="0" w:color="auto"/>
        <w:bottom w:val="none" w:sz="0" w:space="0" w:color="auto"/>
        <w:right w:val="none" w:sz="0" w:space="0" w:color="auto"/>
      </w:divBdr>
    </w:div>
    <w:div w:id="212035643">
      <w:bodyDiv w:val="1"/>
      <w:marLeft w:val="0"/>
      <w:marRight w:val="0"/>
      <w:marTop w:val="0"/>
      <w:marBottom w:val="0"/>
      <w:divBdr>
        <w:top w:val="none" w:sz="0" w:space="0" w:color="auto"/>
        <w:left w:val="none" w:sz="0" w:space="0" w:color="auto"/>
        <w:bottom w:val="none" w:sz="0" w:space="0" w:color="auto"/>
        <w:right w:val="none" w:sz="0" w:space="0" w:color="auto"/>
      </w:divBdr>
    </w:div>
    <w:div w:id="222303548">
      <w:bodyDiv w:val="1"/>
      <w:marLeft w:val="0"/>
      <w:marRight w:val="0"/>
      <w:marTop w:val="0"/>
      <w:marBottom w:val="0"/>
      <w:divBdr>
        <w:top w:val="none" w:sz="0" w:space="0" w:color="auto"/>
        <w:left w:val="none" w:sz="0" w:space="0" w:color="auto"/>
        <w:bottom w:val="none" w:sz="0" w:space="0" w:color="auto"/>
        <w:right w:val="none" w:sz="0" w:space="0" w:color="auto"/>
      </w:divBdr>
    </w:div>
    <w:div w:id="223489765">
      <w:bodyDiv w:val="1"/>
      <w:marLeft w:val="0"/>
      <w:marRight w:val="0"/>
      <w:marTop w:val="0"/>
      <w:marBottom w:val="0"/>
      <w:divBdr>
        <w:top w:val="none" w:sz="0" w:space="0" w:color="auto"/>
        <w:left w:val="none" w:sz="0" w:space="0" w:color="auto"/>
        <w:bottom w:val="none" w:sz="0" w:space="0" w:color="auto"/>
        <w:right w:val="none" w:sz="0" w:space="0" w:color="auto"/>
      </w:divBdr>
    </w:div>
    <w:div w:id="228807382">
      <w:bodyDiv w:val="1"/>
      <w:marLeft w:val="0"/>
      <w:marRight w:val="0"/>
      <w:marTop w:val="0"/>
      <w:marBottom w:val="0"/>
      <w:divBdr>
        <w:top w:val="none" w:sz="0" w:space="0" w:color="auto"/>
        <w:left w:val="none" w:sz="0" w:space="0" w:color="auto"/>
        <w:bottom w:val="none" w:sz="0" w:space="0" w:color="auto"/>
        <w:right w:val="none" w:sz="0" w:space="0" w:color="auto"/>
      </w:divBdr>
    </w:div>
    <w:div w:id="230042109">
      <w:bodyDiv w:val="1"/>
      <w:marLeft w:val="0"/>
      <w:marRight w:val="0"/>
      <w:marTop w:val="0"/>
      <w:marBottom w:val="0"/>
      <w:divBdr>
        <w:top w:val="none" w:sz="0" w:space="0" w:color="auto"/>
        <w:left w:val="none" w:sz="0" w:space="0" w:color="auto"/>
        <w:bottom w:val="none" w:sz="0" w:space="0" w:color="auto"/>
        <w:right w:val="none" w:sz="0" w:space="0" w:color="auto"/>
      </w:divBdr>
    </w:div>
    <w:div w:id="232157846">
      <w:bodyDiv w:val="1"/>
      <w:marLeft w:val="0"/>
      <w:marRight w:val="0"/>
      <w:marTop w:val="0"/>
      <w:marBottom w:val="0"/>
      <w:divBdr>
        <w:top w:val="none" w:sz="0" w:space="0" w:color="auto"/>
        <w:left w:val="none" w:sz="0" w:space="0" w:color="auto"/>
        <w:bottom w:val="none" w:sz="0" w:space="0" w:color="auto"/>
        <w:right w:val="none" w:sz="0" w:space="0" w:color="auto"/>
      </w:divBdr>
    </w:div>
    <w:div w:id="232470484">
      <w:bodyDiv w:val="1"/>
      <w:marLeft w:val="0"/>
      <w:marRight w:val="0"/>
      <w:marTop w:val="0"/>
      <w:marBottom w:val="0"/>
      <w:divBdr>
        <w:top w:val="none" w:sz="0" w:space="0" w:color="auto"/>
        <w:left w:val="none" w:sz="0" w:space="0" w:color="auto"/>
        <w:bottom w:val="none" w:sz="0" w:space="0" w:color="auto"/>
        <w:right w:val="none" w:sz="0" w:space="0" w:color="auto"/>
      </w:divBdr>
    </w:div>
    <w:div w:id="235214655">
      <w:bodyDiv w:val="1"/>
      <w:marLeft w:val="0"/>
      <w:marRight w:val="0"/>
      <w:marTop w:val="0"/>
      <w:marBottom w:val="0"/>
      <w:divBdr>
        <w:top w:val="none" w:sz="0" w:space="0" w:color="auto"/>
        <w:left w:val="none" w:sz="0" w:space="0" w:color="auto"/>
        <w:bottom w:val="none" w:sz="0" w:space="0" w:color="auto"/>
        <w:right w:val="none" w:sz="0" w:space="0" w:color="auto"/>
      </w:divBdr>
    </w:div>
    <w:div w:id="235869082">
      <w:bodyDiv w:val="1"/>
      <w:marLeft w:val="0"/>
      <w:marRight w:val="0"/>
      <w:marTop w:val="0"/>
      <w:marBottom w:val="0"/>
      <w:divBdr>
        <w:top w:val="none" w:sz="0" w:space="0" w:color="auto"/>
        <w:left w:val="none" w:sz="0" w:space="0" w:color="auto"/>
        <w:bottom w:val="none" w:sz="0" w:space="0" w:color="auto"/>
        <w:right w:val="none" w:sz="0" w:space="0" w:color="auto"/>
      </w:divBdr>
    </w:div>
    <w:div w:id="251858659">
      <w:bodyDiv w:val="1"/>
      <w:marLeft w:val="0"/>
      <w:marRight w:val="0"/>
      <w:marTop w:val="0"/>
      <w:marBottom w:val="0"/>
      <w:divBdr>
        <w:top w:val="none" w:sz="0" w:space="0" w:color="auto"/>
        <w:left w:val="none" w:sz="0" w:space="0" w:color="auto"/>
        <w:bottom w:val="none" w:sz="0" w:space="0" w:color="auto"/>
        <w:right w:val="none" w:sz="0" w:space="0" w:color="auto"/>
      </w:divBdr>
    </w:div>
    <w:div w:id="254436431">
      <w:bodyDiv w:val="1"/>
      <w:marLeft w:val="0"/>
      <w:marRight w:val="0"/>
      <w:marTop w:val="0"/>
      <w:marBottom w:val="0"/>
      <w:divBdr>
        <w:top w:val="none" w:sz="0" w:space="0" w:color="auto"/>
        <w:left w:val="none" w:sz="0" w:space="0" w:color="auto"/>
        <w:bottom w:val="none" w:sz="0" w:space="0" w:color="auto"/>
        <w:right w:val="none" w:sz="0" w:space="0" w:color="auto"/>
      </w:divBdr>
    </w:div>
    <w:div w:id="264114830">
      <w:bodyDiv w:val="1"/>
      <w:marLeft w:val="0"/>
      <w:marRight w:val="0"/>
      <w:marTop w:val="0"/>
      <w:marBottom w:val="0"/>
      <w:divBdr>
        <w:top w:val="none" w:sz="0" w:space="0" w:color="auto"/>
        <w:left w:val="none" w:sz="0" w:space="0" w:color="auto"/>
        <w:bottom w:val="none" w:sz="0" w:space="0" w:color="auto"/>
        <w:right w:val="none" w:sz="0" w:space="0" w:color="auto"/>
      </w:divBdr>
    </w:div>
    <w:div w:id="268860208">
      <w:bodyDiv w:val="1"/>
      <w:marLeft w:val="0"/>
      <w:marRight w:val="0"/>
      <w:marTop w:val="0"/>
      <w:marBottom w:val="0"/>
      <w:divBdr>
        <w:top w:val="none" w:sz="0" w:space="0" w:color="auto"/>
        <w:left w:val="none" w:sz="0" w:space="0" w:color="auto"/>
        <w:bottom w:val="none" w:sz="0" w:space="0" w:color="auto"/>
        <w:right w:val="none" w:sz="0" w:space="0" w:color="auto"/>
      </w:divBdr>
    </w:div>
    <w:div w:id="269974666">
      <w:bodyDiv w:val="1"/>
      <w:marLeft w:val="0"/>
      <w:marRight w:val="0"/>
      <w:marTop w:val="0"/>
      <w:marBottom w:val="0"/>
      <w:divBdr>
        <w:top w:val="none" w:sz="0" w:space="0" w:color="auto"/>
        <w:left w:val="none" w:sz="0" w:space="0" w:color="auto"/>
        <w:bottom w:val="none" w:sz="0" w:space="0" w:color="auto"/>
        <w:right w:val="none" w:sz="0" w:space="0" w:color="auto"/>
      </w:divBdr>
    </w:div>
    <w:div w:id="271205371">
      <w:bodyDiv w:val="1"/>
      <w:marLeft w:val="0"/>
      <w:marRight w:val="0"/>
      <w:marTop w:val="0"/>
      <w:marBottom w:val="0"/>
      <w:divBdr>
        <w:top w:val="none" w:sz="0" w:space="0" w:color="auto"/>
        <w:left w:val="none" w:sz="0" w:space="0" w:color="auto"/>
        <w:bottom w:val="none" w:sz="0" w:space="0" w:color="auto"/>
        <w:right w:val="none" w:sz="0" w:space="0" w:color="auto"/>
      </w:divBdr>
    </w:div>
    <w:div w:id="274875629">
      <w:bodyDiv w:val="1"/>
      <w:marLeft w:val="0"/>
      <w:marRight w:val="0"/>
      <w:marTop w:val="0"/>
      <w:marBottom w:val="0"/>
      <w:divBdr>
        <w:top w:val="none" w:sz="0" w:space="0" w:color="auto"/>
        <w:left w:val="none" w:sz="0" w:space="0" w:color="auto"/>
        <w:bottom w:val="none" w:sz="0" w:space="0" w:color="auto"/>
        <w:right w:val="none" w:sz="0" w:space="0" w:color="auto"/>
      </w:divBdr>
    </w:div>
    <w:div w:id="280579277">
      <w:bodyDiv w:val="1"/>
      <w:marLeft w:val="0"/>
      <w:marRight w:val="0"/>
      <w:marTop w:val="0"/>
      <w:marBottom w:val="0"/>
      <w:divBdr>
        <w:top w:val="none" w:sz="0" w:space="0" w:color="auto"/>
        <w:left w:val="none" w:sz="0" w:space="0" w:color="auto"/>
        <w:bottom w:val="none" w:sz="0" w:space="0" w:color="auto"/>
        <w:right w:val="none" w:sz="0" w:space="0" w:color="auto"/>
      </w:divBdr>
    </w:div>
    <w:div w:id="285737541">
      <w:bodyDiv w:val="1"/>
      <w:marLeft w:val="0"/>
      <w:marRight w:val="0"/>
      <w:marTop w:val="0"/>
      <w:marBottom w:val="0"/>
      <w:divBdr>
        <w:top w:val="none" w:sz="0" w:space="0" w:color="auto"/>
        <w:left w:val="none" w:sz="0" w:space="0" w:color="auto"/>
        <w:bottom w:val="none" w:sz="0" w:space="0" w:color="auto"/>
        <w:right w:val="none" w:sz="0" w:space="0" w:color="auto"/>
      </w:divBdr>
    </w:div>
    <w:div w:id="288171973">
      <w:bodyDiv w:val="1"/>
      <w:marLeft w:val="0"/>
      <w:marRight w:val="0"/>
      <w:marTop w:val="0"/>
      <w:marBottom w:val="0"/>
      <w:divBdr>
        <w:top w:val="none" w:sz="0" w:space="0" w:color="auto"/>
        <w:left w:val="none" w:sz="0" w:space="0" w:color="auto"/>
        <w:bottom w:val="none" w:sz="0" w:space="0" w:color="auto"/>
        <w:right w:val="none" w:sz="0" w:space="0" w:color="auto"/>
      </w:divBdr>
    </w:div>
    <w:div w:id="289241342">
      <w:bodyDiv w:val="1"/>
      <w:marLeft w:val="0"/>
      <w:marRight w:val="0"/>
      <w:marTop w:val="0"/>
      <w:marBottom w:val="0"/>
      <w:divBdr>
        <w:top w:val="none" w:sz="0" w:space="0" w:color="auto"/>
        <w:left w:val="none" w:sz="0" w:space="0" w:color="auto"/>
        <w:bottom w:val="none" w:sz="0" w:space="0" w:color="auto"/>
        <w:right w:val="none" w:sz="0" w:space="0" w:color="auto"/>
      </w:divBdr>
    </w:div>
    <w:div w:id="295137053">
      <w:bodyDiv w:val="1"/>
      <w:marLeft w:val="0"/>
      <w:marRight w:val="0"/>
      <w:marTop w:val="0"/>
      <w:marBottom w:val="0"/>
      <w:divBdr>
        <w:top w:val="none" w:sz="0" w:space="0" w:color="auto"/>
        <w:left w:val="none" w:sz="0" w:space="0" w:color="auto"/>
        <w:bottom w:val="none" w:sz="0" w:space="0" w:color="auto"/>
        <w:right w:val="none" w:sz="0" w:space="0" w:color="auto"/>
      </w:divBdr>
    </w:div>
    <w:div w:id="295916916">
      <w:bodyDiv w:val="1"/>
      <w:marLeft w:val="0"/>
      <w:marRight w:val="0"/>
      <w:marTop w:val="0"/>
      <w:marBottom w:val="0"/>
      <w:divBdr>
        <w:top w:val="none" w:sz="0" w:space="0" w:color="auto"/>
        <w:left w:val="none" w:sz="0" w:space="0" w:color="auto"/>
        <w:bottom w:val="none" w:sz="0" w:space="0" w:color="auto"/>
        <w:right w:val="none" w:sz="0" w:space="0" w:color="auto"/>
      </w:divBdr>
    </w:div>
    <w:div w:id="297610444">
      <w:bodyDiv w:val="1"/>
      <w:marLeft w:val="0"/>
      <w:marRight w:val="0"/>
      <w:marTop w:val="0"/>
      <w:marBottom w:val="0"/>
      <w:divBdr>
        <w:top w:val="none" w:sz="0" w:space="0" w:color="auto"/>
        <w:left w:val="none" w:sz="0" w:space="0" w:color="auto"/>
        <w:bottom w:val="none" w:sz="0" w:space="0" w:color="auto"/>
        <w:right w:val="none" w:sz="0" w:space="0" w:color="auto"/>
      </w:divBdr>
    </w:div>
    <w:div w:id="302808650">
      <w:bodyDiv w:val="1"/>
      <w:marLeft w:val="0"/>
      <w:marRight w:val="0"/>
      <w:marTop w:val="0"/>
      <w:marBottom w:val="0"/>
      <w:divBdr>
        <w:top w:val="none" w:sz="0" w:space="0" w:color="auto"/>
        <w:left w:val="none" w:sz="0" w:space="0" w:color="auto"/>
        <w:bottom w:val="none" w:sz="0" w:space="0" w:color="auto"/>
        <w:right w:val="none" w:sz="0" w:space="0" w:color="auto"/>
      </w:divBdr>
    </w:div>
    <w:div w:id="310253963">
      <w:bodyDiv w:val="1"/>
      <w:marLeft w:val="0"/>
      <w:marRight w:val="0"/>
      <w:marTop w:val="0"/>
      <w:marBottom w:val="0"/>
      <w:divBdr>
        <w:top w:val="none" w:sz="0" w:space="0" w:color="auto"/>
        <w:left w:val="none" w:sz="0" w:space="0" w:color="auto"/>
        <w:bottom w:val="none" w:sz="0" w:space="0" w:color="auto"/>
        <w:right w:val="none" w:sz="0" w:space="0" w:color="auto"/>
      </w:divBdr>
    </w:div>
    <w:div w:id="313221719">
      <w:bodyDiv w:val="1"/>
      <w:marLeft w:val="0"/>
      <w:marRight w:val="0"/>
      <w:marTop w:val="0"/>
      <w:marBottom w:val="0"/>
      <w:divBdr>
        <w:top w:val="none" w:sz="0" w:space="0" w:color="auto"/>
        <w:left w:val="none" w:sz="0" w:space="0" w:color="auto"/>
        <w:bottom w:val="none" w:sz="0" w:space="0" w:color="auto"/>
        <w:right w:val="none" w:sz="0" w:space="0" w:color="auto"/>
      </w:divBdr>
    </w:div>
    <w:div w:id="328409985">
      <w:bodyDiv w:val="1"/>
      <w:marLeft w:val="0"/>
      <w:marRight w:val="0"/>
      <w:marTop w:val="0"/>
      <w:marBottom w:val="0"/>
      <w:divBdr>
        <w:top w:val="none" w:sz="0" w:space="0" w:color="auto"/>
        <w:left w:val="none" w:sz="0" w:space="0" w:color="auto"/>
        <w:bottom w:val="none" w:sz="0" w:space="0" w:color="auto"/>
        <w:right w:val="none" w:sz="0" w:space="0" w:color="auto"/>
      </w:divBdr>
    </w:div>
    <w:div w:id="331223241">
      <w:bodyDiv w:val="1"/>
      <w:marLeft w:val="0"/>
      <w:marRight w:val="0"/>
      <w:marTop w:val="0"/>
      <w:marBottom w:val="0"/>
      <w:divBdr>
        <w:top w:val="none" w:sz="0" w:space="0" w:color="auto"/>
        <w:left w:val="none" w:sz="0" w:space="0" w:color="auto"/>
        <w:bottom w:val="none" w:sz="0" w:space="0" w:color="auto"/>
        <w:right w:val="none" w:sz="0" w:space="0" w:color="auto"/>
      </w:divBdr>
    </w:div>
    <w:div w:id="332420017">
      <w:bodyDiv w:val="1"/>
      <w:marLeft w:val="0"/>
      <w:marRight w:val="0"/>
      <w:marTop w:val="0"/>
      <w:marBottom w:val="0"/>
      <w:divBdr>
        <w:top w:val="none" w:sz="0" w:space="0" w:color="auto"/>
        <w:left w:val="none" w:sz="0" w:space="0" w:color="auto"/>
        <w:bottom w:val="none" w:sz="0" w:space="0" w:color="auto"/>
        <w:right w:val="none" w:sz="0" w:space="0" w:color="auto"/>
      </w:divBdr>
    </w:div>
    <w:div w:id="332731065">
      <w:bodyDiv w:val="1"/>
      <w:marLeft w:val="0"/>
      <w:marRight w:val="0"/>
      <w:marTop w:val="0"/>
      <w:marBottom w:val="0"/>
      <w:divBdr>
        <w:top w:val="none" w:sz="0" w:space="0" w:color="auto"/>
        <w:left w:val="none" w:sz="0" w:space="0" w:color="auto"/>
        <w:bottom w:val="none" w:sz="0" w:space="0" w:color="auto"/>
        <w:right w:val="none" w:sz="0" w:space="0" w:color="auto"/>
      </w:divBdr>
    </w:div>
    <w:div w:id="335226883">
      <w:bodyDiv w:val="1"/>
      <w:marLeft w:val="0"/>
      <w:marRight w:val="0"/>
      <w:marTop w:val="0"/>
      <w:marBottom w:val="0"/>
      <w:divBdr>
        <w:top w:val="none" w:sz="0" w:space="0" w:color="auto"/>
        <w:left w:val="none" w:sz="0" w:space="0" w:color="auto"/>
        <w:bottom w:val="none" w:sz="0" w:space="0" w:color="auto"/>
        <w:right w:val="none" w:sz="0" w:space="0" w:color="auto"/>
      </w:divBdr>
    </w:div>
    <w:div w:id="336227213">
      <w:bodyDiv w:val="1"/>
      <w:marLeft w:val="0"/>
      <w:marRight w:val="0"/>
      <w:marTop w:val="0"/>
      <w:marBottom w:val="0"/>
      <w:divBdr>
        <w:top w:val="none" w:sz="0" w:space="0" w:color="auto"/>
        <w:left w:val="none" w:sz="0" w:space="0" w:color="auto"/>
        <w:bottom w:val="none" w:sz="0" w:space="0" w:color="auto"/>
        <w:right w:val="none" w:sz="0" w:space="0" w:color="auto"/>
      </w:divBdr>
    </w:div>
    <w:div w:id="338850838">
      <w:bodyDiv w:val="1"/>
      <w:marLeft w:val="0"/>
      <w:marRight w:val="0"/>
      <w:marTop w:val="0"/>
      <w:marBottom w:val="0"/>
      <w:divBdr>
        <w:top w:val="none" w:sz="0" w:space="0" w:color="auto"/>
        <w:left w:val="none" w:sz="0" w:space="0" w:color="auto"/>
        <w:bottom w:val="none" w:sz="0" w:space="0" w:color="auto"/>
        <w:right w:val="none" w:sz="0" w:space="0" w:color="auto"/>
      </w:divBdr>
    </w:div>
    <w:div w:id="343361208">
      <w:bodyDiv w:val="1"/>
      <w:marLeft w:val="0"/>
      <w:marRight w:val="0"/>
      <w:marTop w:val="0"/>
      <w:marBottom w:val="0"/>
      <w:divBdr>
        <w:top w:val="none" w:sz="0" w:space="0" w:color="auto"/>
        <w:left w:val="none" w:sz="0" w:space="0" w:color="auto"/>
        <w:bottom w:val="none" w:sz="0" w:space="0" w:color="auto"/>
        <w:right w:val="none" w:sz="0" w:space="0" w:color="auto"/>
      </w:divBdr>
    </w:div>
    <w:div w:id="345599679">
      <w:bodyDiv w:val="1"/>
      <w:marLeft w:val="0"/>
      <w:marRight w:val="0"/>
      <w:marTop w:val="0"/>
      <w:marBottom w:val="0"/>
      <w:divBdr>
        <w:top w:val="none" w:sz="0" w:space="0" w:color="auto"/>
        <w:left w:val="none" w:sz="0" w:space="0" w:color="auto"/>
        <w:bottom w:val="none" w:sz="0" w:space="0" w:color="auto"/>
        <w:right w:val="none" w:sz="0" w:space="0" w:color="auto"/>
      </w:divBdr>
    </w:div>
    <w:div w:id="347634304">
      <w:bodyDiv w:val="1"/>
      <w:marLeft w:val="0"/>
      <w:marRight w:val="0"/>
      <w:marTop w:val="0"/>
      <w:marBottom w:val="0"/>
      <w:divBdr>
        <w:top w:val="none" w:sz="0" w:space="0" w:color="auto"/>
        <w:left w:val="none" w:sz="0" w:space="0" w:color="auto"/>
        <w:bottom w:val="none" w:sz="0" w:space="0" w:color="auto"/>
        <w:right w:val="none" w:sz="0" w:space="0" w:color="auto"/>
      </w:divBdr>
    </w:div>
    <w:div w:id="347870720">
      <w:bodyDiv w:val="1"/>
      <w:marLeft w:val="0"/>
      <w:marRight w:val="0"/>
      <w:marTop w:val="0"/>
      <w:marBottom w:val="0"/>
      <w:divBdr>
        <w:top w:val="none" w:sz="0" w:space="0" w:color="auto"/>
        <w:left w:val="none" w:sz="0" w:space="0" w:color="auto"/>
        <w:bottom w:val="none" w:sz="0" w:space="0" w:color="auto"/>
        <w:right w:val="none" w:sz="0" w:space="0" w:color="auto"/>
      </w:divBdr>
    </w:div>
    <w:div w:id="349576390">
      <w:bodyDiv w:val="1"/>
      <w:marLeft w:val="0"/>
      <w:marRight w:val="0"/>
      <w:marTop w:val="0"/>
      <w:marBottom w:val="0"/>
      <w:divBdr>
        <w:top w:val="none" w:sz="0" w:space="0" w:color="auto"/>
        <w:left w:val="none" w:sz="0" w:space="0" w:color="auto"/>
        <w:bottom w:val="none" w:sz="0" w:space="0" w:color="auto"/>
        <w:right w:val="none" w:sz="0" w:space="0" w:color="auto"/>
      </w:divBdr>
    </w:div>
    <w:div w:id="357196818">
      <w:bodyDiv w:val="1"/>
      <w:marLeft w:val="0"/>
      <w:marRight w:val="0"/>
      <w:marTop w:val="0"/>
      <w:marBottom w:val="0"/>
      <w:divBdr>
        <w:top w:val="none" w:sz="0" w:space="0" w:color="auto"/>
        <w:left w:val="none" w:sz="0" w:space="0" w:color="auto"/>
        <w:bottom w:val="none" w:sz="0" w:space="0" w:color="auto"/>
        <w:right w:val="none" w:sz="0" w:space="0" w:color="auto"/>
      </w:divBdr>
    </w:div>
    <w:div w:id="362633552">
      <w:bodyDiv w:val="1"/>
      <w:marLeft w:val="0"/>
      <w:marRight w:val="0"/>
      <w:marTop w:val="0"/>
      <w:marBottom w:val="0"/>
      <w:divBdr>
        <w:top w:val="none" w:sz="0" w:space="0" w:color="auto"/>
        <w:left w:val="none" w:sz="0" w:space="0" w:color="auto"/>
        <w:bottom w:val="none" w:sz="0" w:space="0" w:color="auto"/>
        <w:right w:val="none" w:sz="0" w:space="0" w:color="auto"/>
      </w:divBdr>
    </w:div>
    <w:div w:id="364067728">
      <w:bodyDiv w:val="1"/>
      <w:marLeft w:val="0"/>
      <w:marRight w:val="0"/>
      <w:marTop w:val="0"/>
      <w:marBottom w:val="0"/>
      <w:divBdr>
        <w:top w:val="none" w:sz="0" w:space="0" w:color="auto"/>
        <w:left w:val="none" w:sz="0" w:space="0" w:color="auto"/>
        <w:bottom w:val="none" w:sz="0" w:space="0" w:color="auto"/>
        <w:right w:val="none" w:sz="0" w:space="0" w:color="auto"/>
      </w:divBdr>
    </w:div>
    <w:div w:id="365059109">
      <w:bodyDiv w:val="1"/>
      <w:marLeft w:val="0"/>
      <w:marRight w:val="0"/>
      <w:marTop w:val="0"/>
      <w:marBottom w:val="0"/>
      <w:divBdr>
        <w:top w:val="none" w:sz="0" w:space="0" w:color="auto"/>
        <w:left w:val="none" w:sz="0" w:space="0" w:color="auto"/>
        <w:bottom w:val="none" w:sz="0" w:space="0" w:color="auto"/>
        <w:right w:val="none" w:sz="0" w:space="0" w:color="auto"/>
      </w:divBdr>
    </w:div>
    <w:div w:id="365642925">
      <w:bodyDiv w:val="1"/>
      <w:marLeft w:val="0"/>
      <w:marRight w:val="0"/>
      <w:marTop w:val="0"/>
      <w:marBottom w:val="0"/>
      <w:divBdr>
        <w:top w:val="none" w:sz="0" w:space="0" w:color="auto"/>
        <w:left w:val="none" w:sz="0" w:space="0" w:color="auto"/>
        <w:bottom w:val="none" w:sz="0" w:space="0" w:color="auto"/>
        <w:right w:val="none" w:sz="0" w:space="0" w:color="auto"/>
      </w:divBdr>
    </w:div>
    <w:div w:id="372003185">
      <w:bodyDiv w:val="1"/>
      <w:marLeft w:val="0"/>
      <w:marRight w:val="0"/>
      <w:marTop w:val="0"/>
      <w:marBottom w:val="0"/>
      <w:divBdr>
        <w:top w:val="none" w:sz="0" w:space="0" w:color="auto"/>
        <w:left w:val="none" w:sz="0" w:space="0" w:color="auto"/>
        <w:bottom w:val="none" w:sz="0" w:space="0" w:color="auto"/>
        <w:right w:val="none" w:sz="0" w:space="0" w:color="auto"/>
      </w:divBdr>
    </w:div>
    <w:div w:id="372509519">
      <w:bodyDiv w:val="1"/>
      <w:marLeft w:val="0"/>
      <w:marRight w:val="0"/>
      <w:marTop w:val="0"/>
      <w:marBottom w:val="0"/>
      <w:divBdr>
        <w:top w:val="none" w:sz="0" w:space="0" w:color="auto"/>
        <w:left w:val="none" w:sz="0" w:space="0" w:color="auto"/>
        <w:bottom w:val="none" w:sz="0" w:space="0" w:color="auto"/>
        <w:right w:val="none" w:sz="0" w:space="0" w:color="auto"/>
      </w:divBdr>
    </w:div>
    <w:div w:id="381485930">
      <w:bodyDiv w:val="1"/>
      <w:marLeft w:val="0"/>
      <w:marRight w:val="0"/>
      <w:marTop w:val="0"/>
      <w:marBottom w:val="0"/>
      <w:divBdr>
        <w:top w:val="none" w:sz="0" w:space="0" w:color="auto"/>
        <w:left w:val="none" w:sz="0" w:space="0" w:color="auto"/>
        <w:bottom w:val="none" w:sz="0" w:space="0" w:color="auto"/>
        <w:right w:val="none" w:sz="0" w:space="0" w:color="auto"/>
      </w:divBdr>
    </w:div>
    <w:div w:id="383916967">
      <w:bodyDiv w:val="1"/>
      <w:marLeft w:val="0"/>
      <w:marRight w:val="0"/>
      <w:marTop w:val="0"/>
      <w:marBottom w:val="0"/>
      <w:divBdr>
        <w:top w:val="none" w:sz="0" w:space="0" w:color="auto"/>
        <w:left w:val="none" w:sz="0" w:space="0" w:color="auto"/>
        <w:bottom w:val="none" w:sz="0" w:space="0" w:color="auto"/>
        <w:right w:val="none" w:sz="0" w:space="0" w:color="auto"/>
      </w:divBdr>
    </w:div>
    <w:div w:id="385104278">
      <w:bodyDiv w:val="1"/>
      <w:marLeft w:val="0"/>
      <w:marRight w:val="0"/>
      <w:marTop w:val="0"/>
      <w:marBottom w:val="0"/>
      <w:divBdr>
        <w:top w:val="none" w:sz="0" w:space="0" w:color="auto"/>
        <w:left w:val="none" w:sz="0" w:space="0" w:color="auto"/>
        <w:bottom w:val="none" w:sz="0" w:space="0" w:color="auto"/>
        <w:right w:val="none" w:sz="0" w:space="0" w:color="auto"/>
      </w:divBdr>
    </w:div>
    <w:div w:id="385186440">
      <w:bodyDiv w:val="1"/>
      <w:marLeft w:val="0"/>
      <w:marRight w:val="0"/>
      <w:marTop w:val="0"/>
      <w:marBottom w:val="0"/>
      <w:divBdr>
        <w:top w:val="none" w:sz="0" w:space="0" w:color="auto"/>
        <w:left w:val="none" w:sz="0" w:space="0" w:color="auto"/>
        <w:bottom w:val="none" w:sz="0" w:space="0" w:color="auto"/>
        <w:right w:val="none" w:sz="0" w:space="0" w:color="auto"/>
      </w:divBdr>
    </w:div>
    <w:div w:id="391580182">
      <w:bodyDiv w:val="1"/>
      <w:marLeft w:val="0"/>
      <w:marRight w:val="0"/>
      <w:marTop w:val="0"/>
      <w:marBottom w:val="0"/>
      <w:divBdr>
        <w:top w:val="none" w:sz="0" w:space="0" w:color="auto"/>
        <w:left w:val="none" w:sz="0" w:space="0" w:color="auto"/>
        <w:bottom w:val="none" w:sz="0" w:space="0" w:color="auto"/>
        <w:right w:val="none" w:sz="0" w:space="0" w:color="auto"/>
      </w:divBdr>
    </w:div>
    <w:div w:id="393548630">
      <w:bodyDiv w:val="1"/>
      <w:marLeft w:val="0"/>
      <w:marRight w:val="0"/>
      <w:marTop w:val="0"/>
      <w:marBottom w:val="0"/>
      <w:divBdr>
        <w:top w:val="none" w:sz="0" w:space="0" w:color="auto"/>
        <w:left w:val="none" w:sz="0" w:space="0" w:color="auto"/>
        <w:bottom w:val="none" w:sz="0" w:space="0" w:color="auto"/>
        <w:right w:val="none" w:sz="0" w:space="0" w:color="auto"/>
      </w:divBdr>
    </w:div>
    <w:div w:id="394935638">
      <w:bodyDiv w:val="1"/>
      <w:marLeft w:val="0"/>
      <w:marRight w:val="0"/>
      <w:marTop w:val="0"/>
      <w:marBottom w:val="0"/>
      <w:divBdr>
        <w:top w:val="none" w:sz="0" w:space="0" w:color="auto"/>
        <w:left w:val="none" w:sz="0" w:space="0" w:color="auto"/>
        <w:bottom w:val="none" w:sz="0" w:space="0" w:color="auto"/>
        <w:right w:val="none" w:sz="0" w:space="0" w:color="auto"/>
      </w:divBdr>
    </w:div>
    <w:div w:id="408845152">
      <w:bodyDiv w:val="1"/>
      <w:marLeft w:val="0"/>
      <w:marRight w:val="0"/>
      <w:marTop w:val="0"/>
      <w:marBottom w:val="0"/>
      <w:divBdr>
        <w:top w:val="none" w:sz="0" w:space="0" w:color="auto"/>
        <w:left w:val="none" w:sz="0" w:space="0" w:color="auto"/>
        <w:bottom w:val="none" w:sz="0" w:space="0" w:color="auto"/>
        <w:right w:val="none" w:sz="0" w:space="0" w:color="auto"/>
      </w:divBdr>
    </w:div>
    <w:div w:id="415901741">
      <w:bodyDiv w:val="1"/>
      <w:marLeft w:val="0"/>
      <w:marRight w:val="0"/>
      <w:marTop w:val="0"/>
      <w:marBottom w:val="0"/>
      <w:divBdr>
        <w:top w:val="none" w:sz="0" w:space="0" w:color="auto"/>
        <w:left w:val="none" w:sz="0" w:space="0" w:color="auto"/>
        <w:bottom w:val="none" w:sz="0" w:space="0" w:color="auto"/>
        <w:right w:val="none" w:sz="0" w:space="0" w:color="auto"/>
      </w:divBdr>
    </w:div>
    <w:div w:id="417023230">
      <w:bodyDiv w:val="1"/>
      <w:marLeft w:val="0"/>
      <w:marRight w:val="0"/>
      <w:marTop w:val="0"/>
      <w:marBottom w:val="0"/>
      <w:divBdr>
        <w:top w:val="none" w:sz="0" w:space="0" w:color="auto"/>
        <w:left w:val="none" w:sz="0" w:space="0" w:color="auto"/>
        <w:bottom w:val="none" w:sz="0" w:space="0" w:color="auto"/>
        <w:right w:val="none" w:sz="0" w:space="0" w:color="auto"/>
      </w:divBdr>
    </w:div>
    <w:div w:id="429204633">
      <w:bodyDiv w:val="1"/>
      <w:marLeft w:val="0"/>
      <w:marRight w:val="0"/>
      <w:marTop w:val="0"/>
      <w:marBottom w:val="0"/>
      <w:divBdr>
        <w:top w:val="none" w:sz="0" w:space="0" w:color="auto"/>
        <w:left w:val="none" w:sz="0" w:space="0" w:color="auto"/>
        <w:bottom w:val="none" w:sz="0" w:space="0" w:color="auto"/>
        <w:right w:val="none" w:sz="0" w:space="0" w:color="auto"/>
      </w:divBdr>
    </w:div>
    <w:div w:id="433477829">
      <w:bodyDiv w:val="1"/>
      <w:marLeft w:val="0"/>
      <w:marRight w:val="0"/>
      <w:marTop w:val="0"/>
      <w:marBottom w:val="0"/>
      <w:divBdr>
        <w:top w:val="none" w:sz="0" w:space="0" w:color="auto"/>
        <w:left w:val="none" w:sz="0" w:space="0" w:color="auto"/>
        <w:bottom w:val="none" w:sz="0" w:space="0" w:color="auto"/>
        <w:right w:val="none" w:sz="0" w:space="0" w:color="auto"/>
      </w:divBdr>
    </w:div>
    <w:div w:id="439838440">
      <w:bodyDiv w:val="1"/>
      <w:marLeft w:val="0"/>
      <w:marRight w:val="0"/>
      <w:marTop w:val="0"/>
      <w:marBottom w:val="0"/>
      <w:divBdr>
        <w:top w:val="none" w:sz="0" w:space="0" w:color="auto"/>
        <w:left w:val="none" w:sz="0" w:space="0" w:color="auto"/>
        <w:bottom w:val="none" w:sz="0" w:space="0" w:color="auto"/>
        <w:right w:val="none" w:sz="0" w:space="0" w:color="auto"/>
      </w:divBdr>
    </w:div>
    <w:div w:id="440690560">
      <w:bodyDiv w:val="1"/>
      <w:marLeft w:val="0"/>
      <w:marRight w:val="0"/>
      <w:marTop w:val="0"/>
      <w:marBottom w:val="0"/>
      <w:divBdr>
        <w:top w:val="none" w:sz="0" w:space="0" w:color="auto"/>
        <w:left w:val="none" w:sz="0" w:space="0" w:color="auto"/>
        <w:bottom w:val="none" w:sz="0" w:space="0" w:color="auto"/>
        <w:right w:val="none" w:sz="0" w:space="0" w:color="auto"/>
      </w:divBdr>
    </w:div>
    <w:div w:id="447352683">
      <w:bodyDiv w:val="1"/>
      <w:marLeft w:val="0"/>
      <w:marRight w:val="0"/>
      <w:marTop w:val="0"/>
      <w:marBottom w:val="0"/>
      <w:divBdr>
        <w:top w:val="none" w:sz="0" w:space="0" w:color="auto"/>
        <w:left w:val="none" w:sz="0" w:space="0" w:color="auto"/>
        <w:bottom w:val="none" w:sz="0" w:space="0" w:color="auto"/>
        <w:right w:val="none" w:sz="0" w:space="0" w:color="auto"/>
      </w:divBdr>
    </w:div>
    <w:div w:id="452285955">
      <w:bodyDiv w:val="1"/>
      <w:marLeft w:val="0"/>
      <w:marRight w:val="0"/>
      <w:marTop w:val="0"/>
      <w:marBottom w:val="0"/>
      <w:divBdr>
        <w:top w:val="none" w:sz="0" w:space="0" w:color="auto"/>
        <w:left w:val="none" w:sz="0" w:space="0" w:color="auto"/>
        <w:bottom w:val="none" w:sz="0" w:space="0" w:color="auto"/>
        <w:right w:val="none" w:sz="0" w:space="0" w:color="auto"/>
      </w:divBdr>
    </w:div>
    <w:div w:id="458649920">
      <w:bodyDiv w:val="1"/>
      <w:marLeft w:val="0"/>
      <w:marRight w:val="0"/>
      <w:marTop w:val="0"/>
      <w:marBottom w:val="0"/>
      <w:divBdr>
        <w:top w:val="none" w:sz="0" w:space="0" w:color="auto"/>
        <w:left w:val="none" w:sz="0" w:space="0" w:color="auto"/>
        <w:bottom w:val="none" w:sz="0" w:space="0" w:color="auto"/>
        <w:right w:val="none" w:sz="0" w:space="0" w:color="auto"/>
      </w:divBdr>
    </w:div>
    <w:div w:id="462701851">
      <w:bodyDiv w:val="1"/>
      <w:marLeft w:val="0"/>
      <w:marRight w:val="0"/>
      <w:marTop w:val="0"/>
      <w:marBottom w:val="0"/>
      <w:divBdr>
        <w:top w:val="none" w:sz="0" w:space="0" w:color="auto"/>
        <w:left w:val="none" w:sz="0" w:space="0" w:color="auto"/>
        <w:bottom w:val="none" w:sz="0" w:space="0" w:color="auto"/>
        <w:right w:val="none" w:sz="0" w:space="0" w:color="auto"/>
      </w:divBdr>
    </w:div>
    <w:div w:id="463471308">
      <w:bodyDiv w:val="1"/>
      <w:marLeft w:val="0"/>
      <w:marRight w:val="0"/>
      <w:marTop w:val="0"/>
      <w:marBottom w:val="0"/>
      <w:divBdr>
        <w:top w:val="none" w:sz="0" w:space="0" w:color="auto"/>
        <w:left w:val="none" w:sz="0" w:space="0" w:color="auto"/>
        <w:bottom w:val="none" w:sz="0" w:space="0" w:color="auto"/>
        <w:right w:val="none" w:sz="0" w:space="0" w:color="auto"/>
      </w:divBdr>
    </w:div>
    <w:div w:id="469173893">
      <w:bodyDiv w:val="1"/>
      <w:marLeft w:val="0"/>
      <w:marRight w:val="0"/>
      <w:marTop w:val="0"/>
      <w:marBottom w:val="0"/>
      <w:divBdr>
        <w:top w:val="none" w:sz="0" w:space="0" w:color="auto"/>
        <w:left w:val="none" w:sz="0" w:space="0" w:color="auto"/>
        <w:bottom w:val="none" w:sz="0" w:space="0" w:color="auto"/>
        <w:right w:val="none" w:sz="0" w:space="0" w:color="auto"/>
      </w:divBdr>
    </w:div>
    <w:div w:id="470833835">
      <w:bodyDiv w:val="1"/>
      <w:marLeft w:val="0"/>
      <w:marRight w:val="0"/>
      <w:marTop w:val="0"/>
      <w:marBottom w:val="0"/>
      <w:divBdr>
        <w:top w:val="none" w:sz="0" w:space="0" w:color="auto"/>
        <w:left w:val="none" w:sz="0" w:space="0" w:color="auto"/>
        <w:bottom w:val="none" w:sz="0" w:space="0" w:color="auto"/>
        <w:right w:val="none" w:sz="0" w:space="0" w:color="auto"/>
      </w:divBdr>
    </w:div>
    <w:div w:id="472063304">
      <w:bodyDiv w:val="1"/>
      <w:marLeft w:val="0"/>
      <w:marRight w:val="0"/>
      <w:marTop w:val="0"/>
      <w:marBottom w:val="0"/>
      <w:divBdr>
        <w:top w:val="none" w:sz="0" w:space="0" w:color="auto"/>
        <w:left w:val="none" w:sz="0" w:space="0" w:color="auto"/>
        <w:bottom w:val="none" w:sz="0" w:space="0" w:color="auto"/>
        <w:right w:val="none" w:sz="0" w:space="0" w:color="auto"/>
      </w:divBdr>
    </w:div>
    <w:div w:id="472673059">
      <w:bodyDiv w:val="1"/>
      <w:marLeft w:val="0"/>
      <w:marRight w:val="0"/>
      <w:marTop w:val="0"/>
      <w:marBottom w:val="0"/>
      <w:divBdr>
        <w:top w:val="none" w:sz="0" w:space="0" w:color="auto"/>
        <w:left w:val="none" w:sz="0" w:space="0" w:color="auto"/>
        <w:bottom w:val="none" w:sz="0" w:space="0" w:color="auto"/>
        <w:right w:val="none" w:sz="0" w:space="0" w:color="auto"/>
      </w:divBdr>
    </w:div>
    <w:div w:id="473061853">
      <w:bodyDiv w:val="1"/>
      <w:marLeft w:val="0"/>
      <w:marRight w:val="0"/>
      <w:marTop w:val="0"/>
      <w:marBottom w:val="0"/>
      <w:divBdr>
        <w:top w:val="none" w:sz="0" w:space="0" w:color="auto"/>
        <w:left w:val="none" w:sz="0" w:space="0" w:color="auto"/>
        <w:bottom w:val="none" w:sz="0" w:space="0" w:color="auto"/>
        <w:right w:val="none" w:sz="0" w:space="0" w:color="auto"/>
      </w:divBdr>
    </w:div>
    <w:div w:id="473958729">
      <w:bodyDiv w:val="1"/>
      <w:marLeft w:val="0"/>
      <w:marRight w:val="0"/>
      <w:marTop w:val="0"/>
      <w:marBottom w:val="0"/>
      <w:divBdr>
        <w:top w:val="none" w:sz="0" w:space="0" w:color="auto"/>
        <w:left w:val="none" w:sz="0" w:space="0" w:color="auto"/>
        <w:bottom w:val="none" w:sz="0" w:space="0" w:color="auto"/>
        <w:right w:val="none" w:sz="0" w:space="0" w:color="auto"/>
      </w:divBdr>
    </w:div>
    <w:div w:id="475071051">
      <w:bodyDiv w:val="1"/>
      <w:marLeft w:val="0"/>
      <w:marRight w:val="0"/>
      <w:marTop w:val="0"/>
      <w:marBottom w:val="0"/>
      <w:divBdr>
        <w:top w:val="none" w:sz="0" w:space="0" w:color="auto"/>
        <w:left w:val="none" w:sz="0" w:space="0" w:color="auto"/>
        <w:bottom w:val="none" w:sz="0" w:space="0" w:color="auto"/>
        <w:right w:val="none" w:sz="0" w:space="0" w:color="auto"/>
      </w:divBdr>
    </w:div>
    <w:div w:id="481849268">
      <w:bodyDiv w:val="1"/>
      <w:marLeft w:val="0"/>
      <w:marRight w:val="0"/>
      <w:marTop w:val="0"/>
      <w:marBottom w:val="0"/>
      <w:divBdr>
        <w:top w:val="none" w:sz="0" w:space="0" w:color="auto"/>
        <w:left w:val="none" w:sz="0" w:space="0" w:color="auto"/>
        <w:bottom w:val="none" w:sz="0" w:space="0" w:color="auto"/>
        <w:right w:val="none" w:sz="0" w:space="0" w:color="auto"/>
      </w:divBdr>
    </w:div>
    <w:div w:id="482699242">
      <w:bodyDiv w:val="1"/>
      <w:marLeft w:val="0"/>
      <w:marRight w:val="0"/>
      <w:marTop w:val="0"/>
      <w:marBottom w:val="0"/>
      <w:divBdr>
        <w:top w:val="none" w:sz="0" w:space="0" w:color="auto"/>
        <w:left w:val="none" w:sz="0" w:space="0" w:color="auto"/>
        <w:bottom w:val="none" w:sz="0" w:space="0" w:color="auto"/>
        <w:right w:val="none" w:sz="0" w:space="0" w:color="auto"/>
      </w:divBdr>
    </w:div>
    <w:div w:id="483131949">
      <w:bodyDiv w:val="1"/>
      <w:marLeft w:val="0"/>
      <w:marRight w:val="0"/>
      <w:marTop w:val="0"/>
      <w:marBottom w:val="0"/>
      <w:divBdr>
        <w:top w:val="none" w:sz="0" w:space="0" w:color="auto"/>
        <w:left w:val="none" w:sz="0" w:space="0" w:color="auto"/>
        <w:bottom w:val="none" w:sz="0" w:space="0" w:color="auto"/>
        <w:right w:val="none" w:sz="0" w:space="0" w:color="auto"/>
      </w:divBdr>
    </w:div>
    <w:div w:id="490296366">
      <w:bodyDiv w:val="1"/>
      <w:marLeft w:val="0"/>
      <w:marRight w:val="0"/>
      <w:marTop w:val="0"/>
      <w:marBottom w:val="0"/>
      <w:divBdr>
        <w:top w:val="none" w:sz="0" w:space="0" w:color="auto"/>
        <w:left w:val="none" w:sz="0" w:space="0" w:color="auto"/>
        <w:bottom w:val="none" w:sz="0" w:space="0" w:color="auto"/>
        <w:right w:val="none" w:sz="0" w:space="0" w:color="auto"/>
      </w:divBdr>
    </w:div>
    <w:div w:id="492644052">
      <w:bodyDiv w:val="1"/>
      <w:marLeft w:val="0"/>
      <w:marRight w:val="0"/>
      <w:marTop w:val="0"/>
      <w:marBottom w:val="0"/>
      <w:divBdr>
        <w:top w:val="none" w:sz="0" w:space="0" w:color="auto"/>
        <w:left w:val="none" w:sz="0" w:space="0" w:color="auto"/>
        <w:bottom w:val="none" w:sz="0" w:space="0" w:color="auto"/>
        <w:right w:val="none" w:sz="0" w:space="0" w:color="auto"/>
      </w:divBdr>
    </w:div>
    <w:div w:id="502823941">
      <w:bodyDiv w:val="1"/>
      <w:marLeft w:val="0"/>
      <w:marRight w:val="0"/>
      <w:marTop w:val="0"/>
      <w:marBottom w:val="0"/>
      <w:divBdr>
        <w:top w:val="none" w:sz="0" w:space="0" w:color="auto"/>
        <w:left w:val="none" w:sz="0" w:space="0" w:color="auto"/>
        <w:bottom w:val="none" w:sz="0" w:space="0" w:color="auto"/>
        <w:right w:val="none" w:sz="0" w:space="0" w:color="auto"/>
      </w:divBdr>
    </w:div>
    <w:div w:id="511266758">
      <w:bodyDiv w:val="1"/>
      <w:marLeft w:val="0"/>
      <w:marRight w:val="0"/>
      <w:marTop w:val="0"/>
      <w:marBottom w:val="0"/>
      <w:divBdr>
        <w:top w:val="none" w:sz="0" w:space="0" w:color="auto"/>
        <w:left w:val="none" w:sz="0" w:space="0" w:color="auto"/>
        <w:bottom w:val="none" w:sz="0" w:space="0" w:color="auto"/>
        <w:right w:val="none" w:sz="0" w:space="0" w:color="auto"/>
      </w:divBdr>
    </w:div>
    <w:div w:id="516699860">
      <w:bodyDiv w:val="1"/>
      <w:marLeft w:val="0"/>
      <w:marRight w:val="0"/>
      <w:marTop w:val="0"/>
      <w:marBottom w:val="0"/>
      <w:divBdr>
        <w:top w:val="none" w:sz="0" w:space="0" w:color="auto"/>
        <w:left w:val="none" w:sz="0" w:space="0" w:color="auto"/>
        <w:bottom w:val="none" w:sz="0" w:space="0" w:color="auto"/>
        <w:right w:val="none" w:sz="0" w:space="0" w:color="auto"/>
      </w:divBdr>
    </w:div>
    <w:div w:id="518009072">
      <w:bodyDiv w:val="1"/>
      <w:marLeft w:val="0"/>
      <w:marRight w:val="0"/>
      <w:marTop w:val="0"/>
      <w:marBottom w:val="0"/>
      <w:divBdr>
        <w:top w:val="none" w:sz="0" w:space="0" w:color="auto"/>
        <w:left w:val="none" w:sz="0" w:space="0" w:color="auto"/>
        <w:bottom w:val="none" w:sz="0" w:space="0" w:color="auto"/>
        <w:right w:val="none" w:sz="0" w:space="0" w:color="auto"/>
      </w:divBdr>
    </w:div>
    <w:div w:id="523517645">
      <w:bodyDiv w:val="1"/>
      <w:marLeft w:val="0"/>
      <w:marRight w:val="0"/>
      <w:marTop w:val="0"/>
      <w:marBottom w:val="0"/>
      <w:divBdr>
        <w:top w:val="none" w:sz="0" w:space="0" w:color="auto"/>
        <w:left w:val="none" w:sz="0" w:space="0" w:color="auto"/>
        <w:bottom w:val="none" w:sz="0" w:space="0" w:color="auto"/>
        <w:right w:val="none" w:sz="0" w:space="0" w:color="auto"/>
      </w:divBdr>
    </w:div>
    <w:div w:id="528882530">
      <w:bodyDiv w:val="1"/>
      <w:marLeft w:val="0"/>
      <w:marRight w:val="0"/>
      <w:marTop w:val="0"/>
      <w:marBottom w:val="0"/>
      <w:divBdr>
        <w:top w:val="none" w:sz="0" w:space="0" w:color="auto"/>
        <w:left w:val="none" w:sz="0" w:space="0" w:color="auto"/>
        <w:bottom w:val="none" w:sz="0" w:space="0" w:color="auto"/>
        <w:right w:val="none" w:sz="0" w:space="0" w:color="auto"/>
      </w:divBdr>
    </w:div>
    <w:div w:id="528955668">
      <w:bodyDiv w:val="1"/>
      <w:marLeft w:val="0"/>
      <w:marRight w:val="0"/>
      <w:marTop w:val="0"/>
      <w:marBottom w:val="0"/>
      <w:divBdr>
        <w:top w:val="none" w:sz="0" w:space="0" w:color="auto"/>
        <w:left w:val="none" w:sz="0" w:space="0" w:color="auto"/>
        <w:bottom w:val="none" w:sz="0" w:space="0" w:color="auto"/>
        <w:right w:val="none" w:sz="0" w:space="0" w:color="auto"/>
      </w:divBdr>
    </w:div>
    <w:div w:id="531068080">
      <w:bodyDiv w:val="1"/>
      <w:marLeft w:val="0"/>
      <w:marRight w:val="0"/>
      <w:marTop w:val="0"/>
      <w:marBottom w:val="0"/>
      <w:divBdr>
        <w:top w:val="none" w:sz="0" w:space="0" w:color="auto"/>
        <w:left w:val="none" w:sz="0" w:space="0" w:color="auto"/>
        <w:bottom w:val="none" w:sz="0" w:space="0" w:color="auto"/>
        <w:right w:val="none" w:sz="0" w:space="0" w:color="auto"/>
      </w:divBdr>
    </w:div>
    <w:div w:id="534540367">
      <w:bodyDiv w:val="1"/>
      <w:marLeft w:val="0"/>
      <w:marRight w:val="0"/>
      <w:marTop w:val="0"/>
      <w:marBottom w:val="0"/>
      <w:divBdr>
        <w:top w:val="none" w:sz="0" w:space="0" w:color="auto"/>
        <w:left w:val="none" w:sz="0" w:space="0" w:color="auto"/>
        <w:bottom w:val="none" w:sz="0" w:space="0" w:color="auto"/>
        <w:right w:val="none" w:sz="0" w:space="0" w:color="auto"/>
      </w:divBdr>
    </w:div>
    <w:div w:id="540098461">
      <w:bodyDiv w:val="1"/>
      <w:marLeft w:val="0"/>
      <w:marRight w:val="0"/>
      <w:marTop w:val="0"/>
      <w:marBottom w:val="0"/>
      <w:divBdr>
        <w:top w:val="none" w:sz="0" w:space="0" w:color="auto"/>
        <w:left w:val="none" w:sz="0" w:space="0" w:color="auto"/>
        <w:bottom w:val="none" w:sz="0" w:space="0" w:color="auto"/>
        <w:right w:val="none" w:sz="0" w:space="0" w:color="auto"/>
      </w:divBdr>
    </w:div>
    <w:div w:id="540437717">
      <w:bodyDiv w:val="1"/>
      <w:marLeft w:val="0"/>
      <w:marRight w:val="0"/>
      <w:marTop w:val="0"/>
      <w:marBottom w:val="0"/>
      <w:divBdr>
        <w:top w:val="none" w:sz="0" w:space="0" w:color="auto"/>
        <w:left w:val="none" w:sz="0" w:space="0" w:color="auto"/>
        <w:bottom w:val="none" w:sz="0" w:space="0" w:color="auto"/>
        <w:right w:val="none" w:sz="0" w:space="0" w:color="auto"/>
      </w:divBdr>
    </w:div>
    <w:div w:id="541599770">
      <w:bodyDiv w:val="1"/>
      <w:marLeft w:val="0"/>
      <w:marRight w:val="0"/>
      <w:marTop w:val="0"/>
      <w:marBottom w:val="0"/>
      <w:divBdr>
        <w:top w:val="none" w:sz="0" w:space="0" w:color="auto"/>
        <w:left w:val="none" w:sz="0" w:space="0" w:color="auto"/>
        <w:bottom w:val="none" w:sz="0" w:space="0" w:color="auto"/>
        <w:right w:val="none" w:sz="0" w:space="0" w:color="auto"/>
      </w:divBdr>
    </w:div>
    <w:div w:id="542444621">
      <w:bodyDiv w:val="1"/>
      <w:marLeft w:val="0"/>
      <w:marRight w:val="0"/>
      <w:marTop w:val="0"/>
      <w:marBottom w:val="0"/>
      <w:divBdr>
        <w:top w:val="none" w:sz="0" w:space="0" w:color="auto"/>
        <w:left w:val="none" w:sz="0" w:space="0" w:color="auto"/>
        <w:bottom w:val="none" w:sz="0" w:space="0" w:color="auto"/>
        <w:right w:val="none" w:sz="0" w:space="0" w:color="auto"/>
      </w:divBdr>
    </w:div>
    <w:div w:id="543520503">
      <w:bodyDiv w:val="1"/>
      <w:marLeft w:val="0"/>
      <w:marRight w:val="0"/>
      <w:marTop w:val="0"/>
      <w:marBottom w:val="0"/>
      <w:divBdr>
        <w:top w:val="none" w:sz="0" w:space="0" w:color="auto"/>
        <w:left w:val="none" w:sz="0" w:space="0" w:color="auto"/>
        <w:bottom w:val="none" w:sz="0" w:space="0" w:color="auto"/>
        <w:right w:val="none" w:sz="0" w:space="0" w:color="auto"/>
      </w:divBdr>
    </w:div>
    <w:div w:id="550918617">
      <w:bodyDiv w:val="1"/>
      <w:marLeft w:val="0"/>
      <w:marRight w:val="0"/>
      <w:marTop w:val="0"/>
      <w:marBottom w:val="0"/>
      <w:divBdr>
        <w:top w:val="none" w:sz="0" w:space="0" w:color="auto"/>
        <w:left w:val="none" w:sz="0" w:space="0" w:color="auto"/>
        <w:bottom w:val="none" w:sz="0" w:space="0" w:color="auto"/>
        <w:right w:val="none" w:sz="0" w:space="0" w:color="auto"/>
      </w:divBdr>
    </w:div>
    <w:div w:id="553196224">
      <w:bodyDiv w:val="1"/>
      <w:marLeft w:val="0"/>
      <w:marRight w:val="0"/>
      <w:marTop w:val="0"/>
      <w:marBottom w:val="0"/>
      <w:divBdr>
        <w:top w:val="none" w:sz="0" w:space="0" w:color="auto"/>
        <w:left w:val="none" w:sz="0" w:space="0" w:color="auto"/>
        <w:bottom w:val="none" w:sz="0" w:space="0" w:color="auto"/>
        <w:right w:val="none" w:sz="0" w:space="0" w:color="auto"/>
      </w:divBdr>
    </w:div>
    <w:div w:id="557520679">
      <w:bodyDiv w:val="1"/>
      <w:marLeft w:val="0"/>
      <w:marRight w:val="0"/>
      <w:marTop w:val="0"/>
      <w:marBottom w:val="0"/>
      <w:divBdr>
        <w:top w:val="none" w:sz="0" w:space="0" w:color="auto"/>
        <w:left w:val="none" w:sz="0" w:space="0" w:color="auto"/>
        <w:bottom w:val="none" w:sz="0" w:space="0" w:color="auto"/>
        <w:right w:val="none" w:sz="0" w:space="0" w:color="auto"/>
      </w:divBdr>
    </w:div>
    <w:div w:id="559488454">
      <w:bodyDiv w:val="1"/>
      <w:marLeft w:val="0"/>
      <w:marRight w:val="0"/>
      <w:marTop w:val="0"/>
      <w:marBottom w:val="0"/>
      <w:divBdr>
        <w:top w:val="none" w:sz="0" w:space="0" w:color="auto"/>
        <w:left w:val="none" w:sz="0" w:space="0" w:color="auto"/>
        <w:bottom w:val="none" w:sz="0" w:space="0" w:color="auto"/>
        <w:right w:val="none" w:sz="0" w:space="0" w:color="auto"/>
      </w:divBdr>
    </w:div>
    <w:div w:id="561061485">
      <w:bodyDiv w:val="1"/>
      <w:marLeft w:val="0"/>
      <w:marRight w:val="0"/>
      <w:marTop w:val="0"/>
      <w:marBottom w:val="0"/>
      <w:divBdr>
        <w:top w:val="none" w:sz="0" w:space="0" w:color="auto"/>
        <w:left w:val="none" w:sz="0" w:space="0" w:color="auto"/>
        <w:bottom w:val="none" w:sz="0" w:space="0" w:color="auto"/>
        <w:right w:val="none" w:sz="0" w:space="0" w:color="auto"/>
      </w:divBdr>
    </w:div>
    <w:div w:id="563374247">
      <w:bodyDiv w:val="1"/>
      <w:marLeft w:val="0"/>
      <w:marRight w:val="0"/>
      <w:marTop w:val="0"/>
      <w:marBottom w:val="0"/>
      <w:divBdr>
        <w:top w:val="none" w:sz="0" w:space="0" w:color="auto"/>
        <w:left w:val="none" w:sz="0" w:space="0" w:color="auto"/>
        <w:bottom w:val="none" w:sz="0" w:space="0" w:color="auto"/>
        <w:right w:val="none" w:sz="0" w:space="0" w:color="auto"/>
      </w:divBdr>
    </w:div>
    <w:div w:id="567224207">
      <w:bodyDiv w:val="1"/>
      <w:marLeft w:val="0"/>
      <w:marRight w:val="0"/>
      <w:marTop w:val="0"/>
      <w:marBottom w:val="0"/>
      <w:divBdr>
        <w:top w:val="none" w:sz="0" w:space="0" w:color="auto"/>
        <w:left w:val="none" w:sz="0" w:space="0" w:color="auto"/>
        <w:bottom w:val="none" w:sz="0" w:space="0" w:color="auto"/>
        <w:right w:val="none" w:sz="0" w:space="0" w:color="auto"/>
      </w:divBdr>
    </w:div>
    <w:div w:id="567572600">
      <w:bodyDiv w:val="1"/>
      <w:marLeft w:val="0"/>
      <w:marRight w:val="0"/>
      <w:marTop w:val="0"/>
      <w:marBottom w:val="0"/>
      <w:divBdr>
        <w:top w:val="none" w:sz="0" w:space="0" w:color="auto"/>
        <w:left w:val="none" w:sz="0" w:space="0" w:color="auto"/>
        <w:bottom w:val="none" w:sz="0" w:space="0" w:color="auto"/>
        <w:right w:val="none" w:sz="0" w:space="0" w:color="auto"/>
      </w:divBdr>
    </w:div>
    <w:div w:id="567762995">
      <w:bodyDiv w:val="1"/>
      <w:marLeft w:val="0"/>
      <w:marRight w:val="0"/>
      <w:marTop w:val="0"/>
      <w:marBottom w:val="0"/>
      <w:divBdr>
        <w:top w:val="none" w:sz="0" w:space="0" w:color="auto"/>
        <w:left w:val="none" w:sz="0" w:space="0" w:color="auto"/>
        <w:bottom w:val="none" w:sz="0" w:space="0" w:color="auto"/>
        <w:right w:val="none" w:sz="0" w:space="0" w:color="auto"/>
      </w:divBdr>
    </w:div>
    <w:div w:id="572738861">
      <w:bodyDiv w:val="1"/>
      <w:marLeft w:val="0"/>
      <w:marRight w:val="0"/>
      <w:marTop w:val="0"/>
      <w:marBottom w:val="0"/>
      <w:divBdr>
        <w:top w:val="none" w:sz="0" w:space="0" w:color="auto"/>
        <w:left w:val="none" w:sz="0" w:space="0" w:color="auto"/>
        <w:bottom w:val="none" w:sz="0" w:space="0" w:color="auto"/>
        <w:right w:val="none" w:sz="0" w:space="0" w:color="auto"/>
      </w:divBdr>
    </w:div>
    <w:div w:id="573978157">
      <w:bodyDiv w:val="1"/>
      <w:marLeft w:val="0"/>
      <w:marRight w:val="0"/>
      <w:marTop w:val="0"/>
      <w:marBottom w:val="0"/>
      <w:divBdr>
        <w:top w:val="none" w:sz="0" w:space="0" w:color="auto"/>
        <w:left w:val="none" w:sz="0" w:space="0" w:color="auto"/>
        <w:bottom w:val="none" w:sz="0" w:space="0" w:color="auto"/>
        <w:right w:val="none" w:sz="0" w:space="0" w:color="auto"/>
      </w:divBdr>
    </w:div>
    <w:div w:id="574437319">
      <w:bodyDiv w:val="1"/>
      <w:marLeft w:val="0"/>
      <w:marRight w:val="0"/>
      <w:marTop w:val="0"/>
      <w:marBottom w:val="0"/>
      <w:divBdr>
        <w:top w:val="none" w:sz="0" w:space="0" w:color="auto"/>
        <w:left w:val="none" w:sz="0" w:space="0" w:color="auto"/>
        <w:bottom w:val="none" w:sz="0" w:space="0" w:color="auto"/>
        <w:right w:val="none" w:sz="0" w:space="0" w:color="auto"/>
      </w:divBdr>
    </w:div>
    <w:div w:id="577446673">
      <w:bodyDiv w:val="1"/>
      <w:marLeft w:val="0"/>
      <w:marRight w:val="0"/>
      <w:marTop w:val="0"/>
      <w:marBottom w:val="0"/>
      <w:divBdr>
        <w:top w:val="none" w:sz="0" w:space="0" w:color="auto"/>
        <w:left w:val="none" w:sz="0" w:space="0" w:color="auto"/>
        <w:bottom w:val="none" w:sz="0" w:space="0" w:color="auto"/>
        <w:right w:val="none" w:sz="0" w:space="0" w:color="auto"/>
      </w:divBdr>
    </w:div>
    <w:div w:id="580870215">
      <w:bodyDiv w:val="1"/>
      <w:marLeft w:val="0"/>
      <w:marRight w:val="0"/>
      <w:marTop w:val="0"/>
      <w:marBottom w:val="0"/>
      <w:divBdr>
        <w:top w:val="none" w:sz="0" w:space="0" w:color="auto"/>
        <w:left w:val="none" w:sz="0" w:space="0" w:color="auto"/>
        <w:bottom w:val="none" w:sz="0" w:space="0" w:color="auto"/>
        <w:right w:val="none" w:sz="0" w:space="0" w:color="auto"/>
      </w:divBdr>
    </w:div>
    <w:div w:id="581598191">
      <w:bodyDiv w:val="1"/>
      <w:marLeft w:val="0"/>
      <w:marRight w:val="0"/>
      <w:marTop w:val="0"/>
      <w:marBottom w:val="0"/>
      <w:divBdr>
        <w:top w:val="none" w:sz="0" w:space="0" w:color="auto"/>
        <w:left w:val="none" w:sz="0" w:space="0" w:color="auto"/>
        <w:bottom w:val="none" w:sz="0" w:space="0" w:color="auto"/>
        <w:right w:val="none" w:sz="0" w:space="0" w:color="auto"/>
      </w:divBdr>
    </w:div>
    <w:div w:id="586696672">
      <w:bodyDiv w:val="1"/>
      <w:marLeft w:val="0"/>
      <w:marRight w:val="0"/>
      <w:marTop w:val="0"/>
      <w:marBottom w:val="0"/>
      <w:divBdr>
        <w:top w:val="none" w:sz="0" w:space="0" w:color="auto"/>
        <w:left w:val="none" w:sz="0" w:space="0" w:color="auto"/>
        <w:bottom w:val="none" w:sz="0" w:space="0" w:color="auto"/>
        <w:right w:val="none" w:sz="0" w:space="0" w:color="auto"/>
      </w:divBdr>
    </w:div>
    <w:div w:id="599408350">
      <w:bodyDiv w:val="1"/>
      <w:marLeft w:val="0"/>
      <w:marRight w:val="0"/>
      <w:marTop w:val="0"/>
      <w:marBottom w:val="0"/>
      <w:divBdr>
        <w:top w:val="none" w:sz="0" w:space="0" w:color="auto"/>
        <w:left w:val="none" w:sz="0" w:space="0" w:color="auto"/>
        <w:bottom w:val="none" w:sz="0" w:space="0" w:color="auto"/>
        <w:right w:val="none" w:sz="0" w:space="0" w:color="auto"/>
      </w:divBdr>
    </w:div>
    <w:div w:id="599752606">
      <w:bodyDiv w:val="1"/>
      <w:marLeft w:val="0"/>
      <w:marRight w:val="0"/>
      <w:marTop w:val="0"/>
      <w:marBottom w:val="0"/>
      <w:divBdr>
        <w:top w:val="none" w:sz="0" w:space="0" w:color="auto"/>
        <w:left w:val="none" w:sz="0" w:space="0" w:color="auto"/>
        <w:bottom w:val="none" w:sz="0" w:space="0" w:color="auto"/>
        <w:right w:val="none" w:sz="0" w:space="0" w:color="auto"/>
      </w:divBdr>
    </w:div>
    <w:div w:id="599803087">
      <w:bodyDiv w:val="1"/>
      <w:marLeft w:val="0"/>
      <w:marRight w:val="0"/>
      <w:marTop w:val="0"/>
      <w:marBottom w:val="0"/>
      <w:divBdr>
        <w:top w:val="none" w:sz="0" w:space="0" w:color="auto"/>
        <w:left w:val="none" w:sz="0" w:space="0" w:color="auto"/>
        <w:bottom w:val="none" w:sz="0" w:space="0" w:color="auto"/>
        <w:right w:val="none" w:sz="0" w:space="0" w:color="auto"/>
      </w:divBdr>
    </w:div>
    <w:div w:id="604384031">
      <w:bodyDiv w:val="1"/>
      <w:marLeft w:val="0"/>
      <w:marRight w:val="0"/>
      <w:marTop w:val="0"/>
      <w:marBottom w:val="0"/>
      <w:divBdr>
        <w:top w:val="none" w:sz="0" w:space="0" w:color="auto"/>
        <w:left w:val="none" w:sz="0" w:space="0" w:color="auto"/>
        <w:bottom w:val="none" w:sz="0" w:space="0" w:color="auto"/>
        <w:right w:val="none" w:sz="0" w:space="0" w:color="auto"/>
      </w:divBdr>
    </w:div>
    <w:div w:id="607197868">
      <w:bodyDiv w:val="1"/>
      <w:marLeft w:val="0"/>
      <w:marRight w:val="0"/>
      <w:marTop w:val="0"/>
      <w:marBottom w:val="0"/>
      <w:divBdr>
        <w:top w:val="none" w:sz="0" w:space="0" w:color="auto"/>
        <w:left w:val="none" w:sz="0" w:space="0" w:color="auto"/>
        <w:bottom w:val="none" w:sz="0" w:space="0" w:color="auto"/>
        <w:right w:val="none" w:sz="0" w:space="0" w:color="auto"/>
      </w:divBdr>
    </w:div>
    <w:div w:id="608315529">
      <w:bodyDiv w:val="1"/>
      <w:marLeft w:val="0"/>
      <w:marRight w:val="0"/>
      <w:marTop w:val="0"/>
      <w:marBottom w:val="0"/>
      <w:divBdr>
        <w:top w:val="none" w:sz="0" w:space="0" w:color="auto"/>
        <w:left w:val="none" w:sz="0" w:space="0" w:color="auto"/>
        <w:bottom w:val="none" w:sz="0" w:space="0" w:color="auto"/>
        <w:right w:val="none" w:sz="0" w:space="0" w:color="auto"/>
      </w:divBdr>
    </w:div>
    <w:div w:id="613560297">
      <w:bodyDiv w:val="1"/>
      <w:marLeft w:val="0"/>
      <w:marRight w:val="0"/>
      <w:marTop w:val="0"/>
      <w:marBottom w:val="0"/>
      <w:divBdr>
        <w:top w:val="none" w:sz="0" w:space="0" w:color="auto"/>
        <w:left w:val="none" w:sz="0" w:space="0" w:color="auto"/>
        <w:bottom w:val="none" w:sz="0" w:space="0" w:color="auto"/>
        <w:right w:val="none" w:sz="0" w:space="0" w:color="auto"/>
      </w:divBdr>
    </w:div>
    <w:div w:id="613749019">
      <w:bodyDiv w:val="1"/>
      <w:marLeft w:val="0"/>
      <w:marRight w:val="0"/>
      <w:marTop w:val="0"/>
      <w:marBottom w:val="0"/>
      <w:divBdr>
        <w:top w:val="none" w:sz="0" w:space="0" w:color="auto"/>
        <w:left w:val="none" w:sz="0" w:space="0" w:color="auto"/>
        <w:bottom w:val="none" w:sz="0" w:space="0" w:color="auto"/>
        <w:right w:val="none" w:sz="0" w:space="0" w:color="auto"/>
      </w:divBdr>
    </w:div>
    <w:div w:id="620503263">
      <w:bodyDiv w:val="1"/>
      <w:marLeft w:val="0"/>
      <w:marRight w:val="0"/>
      <w:marTop w:val="0"/>
      <w:marBottom w:val="0"/>
      <w:divBdr>
        <w:top w:val="none" w:sz="0" w:space="0" w:color="auto"/>
        <w:left w:val="none" w:sz="0" w:space="0" w:color="auto"/>
        <w:bottom w:val="none" w:sz="0" w:space="0" w:color="auto"/>
        <w:right w:val="none" w:sz="0" w:space="0" w:color="auto"/>
      </w:divBdr>
    </w:div>
    <w:div w:id="623274670">
      <w:bodyDiv w:val="1"/>
      <w:marLeft w:val="0"/>
      <w:marRight w:val="0"/>
      <w:marTop w:val="0"/>
      <w:marBottom w:val="0"/>
      <w:divBdr>
        <w:top w:val="none" w:sz="0" w:space="0" w:color="auto"/>
        <w:left w:val="none" w:sz="0" w:space="0" w:color="auto"/>
        <w:bottom w:val="none" w:sz="0" w:space="0" w:color="auto"/>
        <w:right w:val="none" w:sz="0" w:space="0" w:color="auto"/>
      </w:divBdr>
    </w:div>
    <w:div w:id="624502957">
      <w:bodyDiv w:val="1"/>
      <w:marLeft w:val="0"/>
      <w:marRight w:val="0"/>
      <w:marTop w:val="0"/>
      <w:marBottom w:val="0"/>
      <w:divBdr>
        <w:top w:val="none" w:sz="0" w:space="0" w:color="auto"/>
        <w:left w:val="none" w:sz="0" w:space="0" w:color="auto"/>
        <w:bottom w:val="none" w:sz="0" w:space="0" w:color="auto"/>
        <w:right w:val="none" w:sz="0" w:space="0" w:color="auto"/>
      </w:divBdr>
    </w:div>
    <w:div w:id="632685415">
      <w:bodyDiv w:val="1"/>
      <w:marLeft w:val="0"/>
      <w:marRight w:val="0"/>
      <w:marTop w:val="0"/>
      <w:marBottom w:val="0"/>
      <w:divBdr>
        <w:top w:val="none" w:sz="0" w:space="0" w:color="auto"/>
        <w:left w:val="none" w:sz="0" w:space="0" w:color="auto"/>
        <w:bottom w:val="none" w:sz="0" w:space="0" w:color="auto"/>
        <w:right w:val="none" w:sz="0" w:space="0" w:color="auto"/>
      </w:divBdr>
    </w:div>
    <w:div w:id="634677744">
      <w:bodyDiv w:val="1"/>
      <w:marLeft w:val="0"/>
      <w:marRight w:val="0"/>
      <w:marTop w:val="0"/>
      <w:marBottom w:val="0"/>
      <w:divBdr>
        <w:top w:val="none" w:sz="0" w:space="0" w:color="auto"/>
        <w:left w:val="none" w:sz="0" w:space="0" w:color="auto"/>
        <w:bottom w:val="none" w:sz="0" w:space="0" w:color="auto"/>
        <w:right w:val="none" w:sz="0" w:space="0" w:color="auto"/>
      </w:divBdr>
    </w:div>
    <w:div w:id="639845898">
      <w:bodyDiv w:val="1"/>
      <w:marLeft w:val="0"/>
      <w:marRight w:val="0"/>
      <w:marTop w:val="0"/>
      <w:marBottom w:val="0"/>
      <w:divBdr>
        <w:top w:val="none" w:sz="0" w:space="0" w:color="auto"/>
        <w:left w:val="none" w:sz="0" w:space="0" w:color="auto"/>
        <w:bottom w:val="none" w:sz="0" w:space="0" w:color="auto"/>
        <w:right w:val="none" w:sz="0" w:space="0" w:color="auto"/>
      </w:divBdr>
    </w:div>
    <w:div w:id="648098662">
      <w:bodyDiv w:val="1"/>
      <w:marLeft w:val="0"/>
      <w:marRight w:val="0"/>
      <w:marTop w:val="0"/>
      <w:marBottom w:val="0"/>
      <w:divBdr>
        <w:top w:val="none" w:sz="0" w:space="0" w:color="auto"/>
        <w:left w:val="none" w:sz="0" w:space="0" w:color="auto"/>
        <w:bottom w:val="none" w:sz="0" w:space="0" w:color="auto"/>
        <w:right w:val="none" w:sz="0" w:space="0" w:color="auto"/>
      </w:divBdr>
    </w:div>
    <w:div w:id="655426564">
      <w:bodyDiv w:val="1"/>
      <w:marLeft w:val="0"/>
      <w:marRight w:val="0"/>
      <w:marTop w:val="0"/>
      <w:marBottom w:val="0"/>
      <w:divBdr>
        <w:top w:val="none" w:sz="0" w:space="0" w:color="auto"/>
        <w:left w:val="none" w:sz="0" w:space="0" w:color="auto"/>
        <w:bottom w:val="none" w:sz="0" w:space="0" w:color="auto"/>
        <w:right w:val="none" w:sz="0" w:space="0" w:color="auto"/>
      </w:divBdr>
    </w:div>
    <w:div w:id="664940900">
      <w:bodyDiv w:val="1"/>
      <w:marLeft w:val="0"/>
      <w:marRight w:val="0"/>
      <w:marTop w:val="0"/>
      <w:marBottom w:val="0"/>
      <w:divBdr>
        <w:top w:val="none" w:sz="0" w:space="0" w:color="auto"/>
        <w:left w:val="none" w:sz="0" w:space="0" w:color="auto"/>
        <w:bottom w:val="none" w:sz="0" w:space="0" w:color="auto"/>
        <w:right w:val="none" w:sz="0" w:space="0" w:color="auto"/>
      </w:divBdr>
    </w:div>
    <w:div w:id="665742954">
      <w:bodyDiv w:val="1"/>
      <w:marLeft w:val="0"/>
      <w:marRight w:val="0"/>
      <w:marTop w:val="0"/>
      <w:marBottom w:val="0"/>
      <w:divBdr>
        <w:top w:val="none" w:sz="0" w:space="0" w:color="auto"/>
        <w:left w:val="none" w:sz="0" w:space="0" w:color="auto"/>
        <w:bottom w:val="none" w:sz="0" w:space="0" w:color="auto"/>
        <w:right w:val="none" w:sz="0" w:space="0" w:color="auto"/>
      </w:divBdr>
    </w:div>
    <w:div w:id="673410823">
      <w:bodyDiv w:val="1"/>
      <w:marLeft w:val="0"/>
      <w:marRight w:val="0"/>
      <w:marTop w:val="0"/>
      <w:marBottom w:val="0"/>
      <w:divBdr>
        <w:top w:val="none" w:sz="0" w:space="0" w:color="auto"/>
        <w:left w:val="none" w:sz="0" w:space="0" w:color="auto"/>
        <w:bottom w:val="none" w:sz="0" w:space="0" w:color="auto"/>
        <w:right w:val="none" w:sz="0" w:space="0" w:color="auto"/>
      </w:divBdr>
    </w:div>
    <w:div w:id="679284197">
      <w:bodyDiv w:val="1"/>
      <w:marLeft w:val="0"/>
      <w:marRight w:val="0"/>
      <w:marTop w:val="0"/>
      <w:marBottom w:val="0"/>
      <w:divBdr>
        <w:top w:val="none" w:sz="0" w:space="0" w:color="auto"/>
        <w:left w:val="none" w:sz="0" w:space="0" w:color="auto"/>
        <w:bottom w:val="none" w:sz="0" w:space="0" w:color="auto"/>
        <w:right w:val="none" w:sz="0" w:space="0" w:color="auto"/>
      </w:divBdr>
    </w:div>
    <w:div w:id="695733442">
      <w:bodyDiv w:val="1"/>
      <w:marLeft w:val="0"/>
      <w:marRight w:val="0"/>
      <w:marTop w:val="0"/>
      <w:marBottom w:val="0"/>
      <w:divBdr>
        <w:top w:val="none" w:sz="0" w:space="0" w:color="auto"/>
        <w:left w:val="none" w:sz="0" w:space="0" w:color="auto"/>
        <w:bottom w:val="none" w:sz="0" w:space="0" w:color="auto"/>
        <w:right w:val="none" w:sz="0" w:space="0" w:color="auto"/>
      </w:divBdr>
    </w:div>
    <w:div w:id="708604175">
      <w:bodyDiv w:val="1"/>
      <w:marLeft w:val="0"/>
      <w:marRight w:val="0"/>
      <w:marTop w:val="0"/>
      <w:marBottom w:val="0"/>
      <w:divBdr>
        <w:top w:val="none" w:sz="0" w:space="0" w:color="auto"/>
        <w:left w:val="none" w:sz="0" w:space="0" w:color="auto"/>
        <w:bottom w:val="none" w:sz="0" w:space="0" w:color="auto"/>
        <w:right w:val="none" w:sz="0" w:space="0" w:color="auto"/>
      </w:divBdr>
    </w:div>
    <w:div w:id="711619153">
      <w:bodyDiv w:val="1"/>
      <w:marLeft w:val="0"/>
      <w:marRight w:val="0"/>
      <w:marTop w:val="0"/>
      <w:marBottom w:val="0"/>
      <w:divBdr>
        <w:top w:val="none" w:sz="0" w:space="0" w:color="auto"/>
        <w:left w:val="none" w:sz="0" w:space="0" w:color="auto"/>
        <w:bottom w:val="none" w:sz="0" w:space="0" w:color="auto"/>
        <w:right w:val="none" w:sz="0" w:space="0" w:color="auto"/>
      </w:divBdr>
    </w:div>
    <w:div w:id="713890289">
      <w:bodyDiv w:val="1"/>
      <w:marLeft w:val="0"/>
      <w:marRight w:val="0"/>
      <w:marTop w:val="0"/>
      <w:marBottom w:val="0"/>
      <w:divBdr>
        <w:top w:val="none" w:sz="0" w:space="0" w:color="auto"/>
        <w:left w:val="none" w:sz="0" w:space="0" w:color="auto"/>
        <w:bottom w:val="none" w:sz="0" w:space="0" w:color="auto"/>
        <w:right w:val="none" w:sz="0" w:space="0" w:color="auto"/>
      </w:divBdr>
    </w:div>
    <w:div w:id="715012119">
      <w:bodyDiv w:val="1"/>
      <w:marLeft w:val="0"/>
      <w:marRight w:val="0"/>
      <w:marTop w:val="0"/>
      <w:marBottom w:val="0"/>
      <w:divBdr>
        <w:top w:val="none" w:sz="0" w:space="0" w:color="auto"/>
        <w:left w:val="none" w:sz="0" w:space="0" w:color="auto"/>
        <w:bottom w:val="none" w:sz="0" w:space="0" w:color="auto"/>
        <w:right w:val="none" w:sz="0" w:space="0" w:color="auto"/>
      </w:divBdr>
    </w:div>
    <w:div w:id="718673868">
      <w:bodyDiv w:val="1"/>
      <w:marLeft w:val="0"/>
      <w:marRight w:val="0"/>
      <w:marTop w:val="0"/>
      <w:marBottom w:val="0"/>
      <w:divBdr>
        <w:top w:val="none" w:sz="0" w:space="0" w:color="auto"/>
        <w:left w:val="none" w:sz="0" w:space="0" w:color="auto"/>
        <w:bottom w:val="none" w:sz="0" w:space="0" w:color="auto"/>
        <w:right w:val="none" w:sz="0" w:space="0" w:color="auto"/>
      </w:divBdr>
    </w:div>
    <w:div w:id="723913863">
      <w:bodyDiv w:val="1"/>
      <w:marLeft w:val="0"/>
      <w:marRight w:val="0"/>
      <w:marTop w:val="0"/>
      <w:marBottom w:val="0"/>
      <w:divBdr>
        <w:top w:val="none" w:sz="0" w:space="0" w:color="auto"/>
        <w:left w:val="none" w:sz="0" w:space="0" w:color="auto"/>
        <w:bottom w:val="none" w:sz="0" w:space="0" w:color="auto"/>
        <w:right w:val="none" w:sz="0" w:space="0" w:color="auto"/>
      </w:divBdr>
    </w:div>
    <w:div w:id="726761115">
      <w:bodyDiv w:val="1"/>
      <w:marLeft w:val="0"/>
      <w:marRight w:val="0"/>
      <w:marTop w:val="0"/>
      <w:marBottom w:val="0"/>
      <w:divBdr>
        <w:top w:val="none" w:sz="0" w:space="0" w:color="auto"/>
        <w:left w:val="none" w:sz="0" w:space="0" w:color="auto"/>
        <w:bottom w:val="none" w:sz="0" w:space="0" w:color="auto"/>
        <w:right w:val="none" w:sz="0" w:space="0" w:color="auto"/>
      </w:divBdr>
    </w:div>
    <w:div w:id="727413642">
      <w:bodyDiv w:val="1"/>
      <w:marLeft w:val="0"/>
      <w:marRight w:val="0"/>
      <w:marTop w:val="0"/>
      <w:marBottom w:val="0"/>
      <w:divBdr>
        <w:top w:val="none" w:sz="0" w:space="0" w:color="auto"/>
        <w:left w:val="none" w:sz="0" w:space="0" w:color="auto"/>
        <w:bottom w:val="none" w:sz="0" w:space="0" w:color="auto"/>
        <w:right w:val="none" w:sz="0" w:space="0" w:color="auto"/>
      </w:divBdr>
    </w:div>
    <w:div w:id="727915901">
      <w:bodyDiv w:val="1"/>
      <w:marLeft w:val="0"/>
      <w:marRight w:val="0"/>
      <w:marTop w:val="0"/>
      <w:marBottom w:val="0"/>
      <w:divBdr>
        <w:top w:val="none" w:sz="0" w:space="0" w:color="auto"/>
        <w:left w:val="none" w:sz="0" w:space="0" w:color="auto"/>
        <w:bottom w:val="none" w:sz="0" w:space="0" w:color="auto"/>
        <w:right w:val="none" w:sz="0" w:space="0" w:color="auto"/>
      </w:divBdr>
    </w:div>
    <w:div w:id="740643257">
      <w:bodyDiv w:val="1"/>
      <w:marLeft w:val="0"/>
      <w:marRight w:val="0"/>
      <w:marTop w:val="0"/>
      <w:marBottom w:val="0"/>
      <w:divBdr>
        <w:top w:val="none" w:sz="0" w:space="0" w:color="auto"/>
        <w:left w:val="none" w:sz="0" w:space="0" w:color="auto"/>
        <w:bottom w:val="none" w:sz="0" w:space="0" w:color="auto"/>
        <w:right w:val="none" w:sz="0" w:space="0" w:color="auto"/>
      </w:divBdr>
    </w:div>
    <w:div w:id="759789586">
      <w:bodyDiv w:val="1"/>
      <w:marLeft w:val="0"/>
      <w:marRight w:val="0"/>
      <w:marTop w:val="0"/>
      <w:marBottom w:val="0"/>
      <w:divBdr>
        <w:top w:val="none" w:sz="0" w:space="0" w:color="auto"/>
        <w:left w:val="none" w:sz="0" w:space="0" w:color="auto"/>
        <w:bottom w:val="none" w:sz="0" w:space="0" w:color="auto"/>
        <w:right w:val="none" w:sz="0" w:space="0" w:color="auto"/>
      </w:divBdr>
    </w:div>
    <w:div w:id="760176161">
      <w:bodyDiv w:val="1"/>
      <w:marLeft w:val="0"/>
      <w:marRight w:val="0"/>
      <w:marTop w:val="0"/>
      <w:marBottom w:val="0"/>
      <w:divBdr>
        <w:top w:val="none" w:sz="0" w:space="0" w:color="auto"/>
        <w:left w:val="none" w:sz="0" w:space="0" w:color="auto"/>
        <w:bottom w:val="none" w:sz="0" w:space="0" w:color="auto"/>
        <w:right w:val="none" w:sz="0" w:space="0" w:color="auto"/>
      </w:divBdr>
    </w:div>
    <w:div w:id="762847041">
      <w:bodyDiv w:val="1"/>
      <w:marLeft w:val="0"/>
      <w:marRight w:val="0"/>
      <w:marTop w:val="0"/>
      <w:marBottom w:val="0"/>
      <w:divBdr>
        <w:top w:val="none" w:sz="0" w:space="0" w:color="auto"/>
        <w:left w:val="none" w:sz="0" w:space="0" w:color="auto"/>
        <w:bottom w:val="none" w:sz="0" w:space="0" w:color="auto"/>
        <w:right w:val="none" w:sz="0" w:space="0" w:color="auto"/>
      </w:divBdr>
    </w:div>
    <w:div w:id="763186443">
      <w:bodyDiv w:val="1"/>
      <w:marLeft w:val="0"/>
      <w:marRight w:val="0"/>
      <w:marTop w:val="0"/>
      <w:marBottom w:val="0"/>
      <w:divBdr>
        <w:top w:val="none" w:sz="0" w:space="0" w:color="auto"/>
        <w:left w:val="none" w:sz="0" w:space="0" w:color="auto"/>
        <w:bottom w:val="none" w:sz="0" w:space="0" w:color="auto"/>
        <w:right w:val="none" w:sz="0" w:space="0" w:color="auto"/>
      </w:divBdr>
    </w:div>
    <w:div w:id="769396485">
      <w:bodyDiv w:val="1"/>
      <w:marLeft w:val="0"/>
      <w:marRight w:val="0"/>
      <w:marTop w:val="0"/>
      <w:marBottom w:val="0"/>
      <w:divBdr>
        <w:top w:val="none" w:sz="0" w:space="0" w:color="auto"/>
        <w:left w:val="none" w:sz="0" w:space="0" w:color="auto"/>
        <w:bottom w:val="none" w:sz="0" w:space="0" w:color="auto"/>
        <w:right w:val="none" w:sz="0" w:space="0" w:color="auto"/>
      </w:divBdr>
    </w:div>
    <w:div w:id="771323095">
      <w:bodyDiv w:val="1"/>
      <w:marLeft w:val="0"/>
      <w:marRight w:val="0"/>
      <w:marTop w:val="0"/>
      <w:marBottom w:val="0"/>
      <w:divBdr>
        <w:top w:val="none" w:sz="0" w:space="0" w:color="auto"/>
        <w:left w:val="none" w:sz="0" w:space="0" w:color="auto"/>
        <w:bottom w:val="none" w:sz="0" w:space="0" w:color="auto"/>
        <w:right w:val="none" w:sz="0" w:space="0" w:color="auto"/>
      </w:divBdr>
    </w:div>
    <w:div w:id="776217542">
      <w:bodyDiv w:val="1"/>
      <w:marLeft w:val="0"/>
      <w:marRight w:val="0"/>
      <w:marTop w:val="0"/>
      <w:marBottom w:val="0"/>
      <w:divBdr>
        <w:top w:val="none" w:sz="0" w:space="0" w:color="auto"/>
        <w:left w:val="none" w:sz="0" w:space="0" w:color="auto"/>
        <w:bottom w:val="none" w:sz="0" w:space="0" w:color="auto"/>
        <w:right w:val="none" w:sz="0" w:space="0" w:color="auto"/>
      </w:divBdr>
    </w:div>
    <w:div w:id="776488070">
      <w:bodyDiv w:val="1"/>
      <w:marLeft w:val="0"/>
      <w:marRight w:val="0"/>
      <w:marTop w:val="0"/>
      <w:marBottom w:val="0"/>
      <w:divBdr>
        <w:top w:val="none" w:sz="0" w:space="0" w:color="auto"/>
        <w:left w:val="none" w:sz="0" w:space="0" w:color="auto"/>
        <w:bottom w:val="none" w:sz="0" w:space="0" w:color="auto"/>
        <w:right w:val="none" w:sz="0" w:space="0" w:color="auto"/>
      </w:divBdr>
    </w:div>
    <w:div w:id="777868072">
      <w:bodyDiv w:val="1"/>
      <w:marLeft w:val="0"/>
      <w:marRight w:val="0"/>
      <w:marTop w:val="0"/>
      <w:marBottom w:val="0"/>
      <w:divBdr>
        <w:top w:val="none" w:sz="0" w:space="0" w:color="auto"/>
        <w:left w:val="none" w:sz="0" w:space="0" w:color="auto"/>
        <w:bottom w:val="none" w:sz="0" w:space="0" w:color="auto"/>
        <w:right w:val="none" w:sz="0" w:space="0" w:color="auto"/>
      </w:divBdr>
    </w:div>
    <w:div w:id="778716237">
      <w:bodyDiv w:val="1"/>
      <w:marLeft w:val="0"/>
      <w:marRight w:val="0"/>
      <w:marTop w:val="0"/>
      <w:marBottom w:val="0"/>
      <w:divBdr>
        <w:top w:val="none" w:sz="0" w:space="0" w:color="auto"/>
        <w:left w:val="none" w:sz="0" w:space="0" w:color="auto"/>
        <w:bottom w:val="none" w:sz="0" w:space="0" w:color="auto"/>
        <w:right w:val="none" w:sz="0" w:space="0" w:color="auto"/>
      </w:divBdr>
    </w:div>
    <w:div w:id="780299464">
      <w:bodyDiv w:val="1"/>
      <w:marLeft w:val="0"/>
      <w:marRight w:val="0"/>
      <w:marTop w:val="0"/>
      <w:marBottom w:val="0"/>
      <w:divBdr>
        <w:top w:val="none" w:sz="0" w:space="0" w:color="auto"/>
        <w:left w:val="none" w:sz="0" w:space="0" w:color="auto"/>
        <w:bottom w:val="none" w:sz="0" w:space="0" w:color="auto"/>
        <w:right w:val="none" w:sz="0" w:space="0" w:color="auto"/>
      </w:divBdr>
    </w:div>
    <w:div w:id="784233888">
      <w:bodyDiv w:val="1"/>
      <w:marLeft w:val="0"/>
      <w:marRight w:val="0"/>
      <w:marTop w:val="0"/>
      <w:marBottom w:val="0"/>
      <w:divBdr>
        <w:top w:val="none" w:sz="0" w:space="0" w:color="auto"/>
        <w:left w:val="none" w:sz="0" w:space="0" w:color="auto"/>
        <w:bottom w:val="none" w:sz="0" w:space="0" w:color="auto"/>
        <w:right w:val="none" w:sz="0" w:space="0" w:color="auto"/>
      </w:divBdr>
    </w:div>
    <w:div w:id="785731264">
      <w:bodyDiv w:val="1"/>
      <w:marLeft w:val="0"/>
      <w:marRight w:val="0"/>
      <w:marTop w:val="0"/>
      <w:marBottom w:val="0"/>
      <w:divBdr>
        <w:top w:val="none" w:sz="0" w:space="0" w:color="auto"/>
        <w:left w:val="none" w:sz="0" w:space="0" w:color="auto"/>
        <w:bottom w:val="none" w:sz="0" w:space="0" w:color="auto"/>
        <w:right w:val="none" w:sz="0" w:space="0" w:color="auto"/>
      </w:divBdr>
    </w:div>
    <w:div w:id="785849501">
      <w:bodyDiv w:val="1"/>
      <w:marLeft w:val="0"/>
      <w:marRight w:val="0"/>
      <w:marTop w:val="0"/>
      <w:marBottom w:val="0"/>
      <w:divBdr>
        <w:top w:val="none" w:sz="0" w:space="0" w:color="auto"/>
        <w:left w:val="none" w:sz="0" w:space="0" w:color="auto"/>
        <w:bottom w:val="none" w:sz="0" w:space="0" w:color="auto"/>
        <w:right w:val="none" w:sz="0" w:space="0" w:color="auto"/>
      </w:divBdr>
    </w:div>
    <w:div w:id="792334212">
      <w:bodyDiv w:val="1"/>
      <w:marLeft w:val="0"/>
      <w:marRight w:val="0"/>
      <w:marTop w:val="0"/>
      <w:marBottom w:val="0"/>
      <w:divBdr>
        <w:top w:val="none" w:sz="0" w:space="0" w:color="auto"/>
        <w:left w:val="none" w:sz="0" w:space="0" w:color="auto"/>
        <w:bottom w:val="none" w:sz="0" w:space="0" w:color="auto"/>
        <w:right w:val="none" w:sz="0" w:space="0" w:color="auto"/>
      </w:divBdr>
    </w:div>
    <w:div w:id="792485296">
      <w:bodyDiv w:val="1"/>
      <w:marLeft w:val="0"/>
      <w:marRight w:val="0"/>
      <w:marTop w:val="0"/>
      <w:marBottom w:val="0"/>
      <w:divBdr>
        <w:top w:val="none" w:sz="0" w:space="0" w:color="auto"/>
        <w:left w:val="none" w:sz="0" w:space="0" w:color="auto"/>
        <w:bottom w:val="none" w:sz="0" w:space="0" w:color="auto"/>
        <w:right w:val="none" w:sz="0" w:space="0" w:color="auto"/>
      </w:divBdr>
    </w:div>
    <w:div w:id="794909833">
      <w:bodyDiv w:val="1"/>
      <w:marLeft w:val="0"/>
      <w:marRight w:val="0"/>
      <w:marTop w:val="0"/>
      <w:marBottom w:val="0"/>
      <w:divBdr>
        <w:top w:val="none" w:sz="0" w:space="0" w:color="auto"/>
        <w:left w:val="none" w:sz="0" w:space="0" w:color="auto"/>
        <w:bottom w:val="none" w:sz="0" w:space="0" w:color="auto"/>
        <w:right w:val="none" w:sz="0" w:space="0" w:color="auto"/>
      </w:divBdr>
    </w:div>
    <w:div w:id="800853738">
      <w:bodyDiv w:val="1"/>
      <w:marLeft w:val="0"/>
      <w:marRight w:val="0"/>
      <w:marTop w:val="0"/>
      <w:marBottom w:val="0"/>
      <w:divBdr>
        <w:top w:val="none" w:sz="0" w:space="0" w:color="auto"/>
        <w:left w:val="none" w:sz="0" w:space="0" w:color="auto"/>
        <w:bottom w:val="none" w:sz="0" w:space="0" w:color="auto"/>
        <w:right w:val="none" w:sz="0" w:space="0" w:color="auto"/>
      </w:divBdr>
    </w:div>
    <w:div w:id="805048272">
      <w:bodyDiv w:val="1"/>
      <w:marLeft w:val="0"/>
      <w:marRight w:val="0"/>
      <w:marTop w:val="0"/>
      <w:marBottom w:val="0"/>
      <w:divBdr>
        <w:top w:val="none" w:sz="0" w:space="0" w:color="auto"/>
        <w:left w:val="none" w:sz="0" w:space="0" w:color="auto"/>
        <w:bottom w:val="none" w:sz="0" w:space="0" w:color="auto"/>
        <w:right w:val="none" w:sz="0" w:space="0" w:color="auto"/>
      </w:divBdr>
    </w:div>
    <w:div w:id="808862478">
      <w:bodyDiv w:val="1"/>
      <w:marLeft w:val="0"/>
      <w:marRight w:val="0"/>
      <w:marTop w:val="0"/>
      <w:marBottom w:val="0"/>
      <w:divBdr>
        <w:top w:val="none" w:sz="0" w:space="0" w:color="auto"/>
        <w:left w:val="none" w:sz="0" w:space="0" w:color="auto"/>
        <w:bottom w:val="none" w:sz="0" w:space="0" w:color="auto"/>
        <w:right w:val="none" w:sz="0" w:space="0" w:color="auto"/>
      </w:divBdr>
    </w:div>
    <w:div w:id="809174078">
      <w:bodyDiv w:val="1"/>
      <w:marLeft w:val="0"/>
      <w:marRight w:val="0"/>
      <w:marTop w:val="0"/>
      <w:marBottom w:val="0"/>
      <w:divBdr>
        <w:top w:val="none" w:sz="0" w:space="0" w:color="auto"/>
        <w:left w:val="none" w:sz="0" w:space="0" w:color="auto"/>
        <w:bottom w:val="none" w:sz="0" w:space="0" w:color="auto"/>
        <w:right w:val="none" w:sz="0" w:space="0" w:color="auto"/>
      </w:divBdr>
    </w:div>
    <w:div w:id="814569803">
      <w:bodyDiv w:val="1"/>
      <w:marLeft w:val="0"/>
      <w:marRight w:val="0"/>
      <w:marTop w:val="0"/>
      <w:marBottom w:val="0"/>
      <w:divBdr>
        <w:top w:val="none" w:sz="0" w:space="0" w:color="auto"/>
        <w:left w:val="none" w:sz="0" w:space="0" w:color="auto"/>
        <w:bottom w:val="none" w:sz="0" w:space="0" w:color="auto"/>
        <w:right w:val="none" w:sz="0" w:space="0" w:color="auto"/>
      </w:divBdr>
    </w:div>
    <w:div w:id="818687275">
      <w:bodyDiv w:val="1"/>
      <w:marLeft w:val="0"/>
      <w:marRight w:val="0"/>
      <w:marTop w:val="0"/>
      <w:marBottom w:val="0"/>
      <w:divBdr>
        <w:top w:val="none" w:sz="0" w:space="0" w:color="auto"/>
        <w:left w:val="none" w:sz="0" w:space="0" w:color="auto"/>
        <w:bottom w:val="none" w:sz="0" w:space="0" w:color="auto"/>
        <w:right w:val="none" w:sz="0" w:space="0" w:color="auto"/>
      </w:divBdr>
    </w:div>
    <w:div w:id="820540436">
      <w:bodyDiv w:val="1"/>
      <w:marLeft w:val="0"/>
      <w:marRight w:val="0"/>
      <w:marTop w:val="0"/>
      <w:marBottom w:val="0"/>
      <w:divBdr>
        <w:top w:val="none" w:sz="0" w:space="0" w:color="auto"/>
        <w:left w:val="none" w:sz="0" w:space="0" w:color="auto"/>
        <w:bottom w:val="none" w:sz="0" w:space="0" w:color="auto"/>
        <w:right w:val="none" w:sz="0" w:space="0" w:color="auto"/>
      </w:divBdr>
    </w:div>
    <w:div w:id="828209171">
      <w:bodyDiv w:val="1"/>
      <w:marLeft w:val="0"/>
      <w:marRight w:val="0"/>
      <w:marTop w:val="0"/>
      <w:marBottom w:val="0"/>
      <w:divBdr>
        <w:top w:val="none" w:sz="0" w:space="0" w:color="auto"/>
        <w:left w:val="none" w:sz="0" w:space="0" w:color="auto"/>
        <w:bottom w:val="none" w:sz="0" w:space="0" w:color="auto"/>
        <w:right w:val="none" w:sz="0" w:space="0" w:color="auto"/>
      </w:divBdr>
    </w:div>
    <w:div w:id="841629480">
      <w:bodyDiv w:val="1"/>
      <w:marLeft w:val="0"/>
      <w:marRight w:val="0"/>
      <w:marTop w:val="0"/>
      <w:marBottom w:val="0"/>
      <w:divBdr>
        <w:top w:val="none" w:sz="0" w:space="0" w:color="auto"/>
        <w:left w:val="none" w:sz="0" w:space="0" w:color="auto"/>
        <w:bottom w:val="none" w:sz="0" w:space="0" w:color="auto"/>
        <w:right w:val="none" w:sz="0" w:space="0" w:color="auto"/>
      </w:divBdr>
    </w:div>
    <w:div w:id="857355110">
      <w:bodyDiv w:val="1"/>
      <w:marLeft w:val="0"/>
      <w:marRight w:val="0"/>
      <w:marTop w:val="0"/>
      <w:marBottom w:val="0"/>
      <w:divBdr>
        <w:top w:val="none" w:sz="0" w:space="0" w:color="auto"/>
        <w:left w:val="none" w:sz="0" w:space="0" w:color="auto"/>
        <w:bottom w:val="none" w:sz="0" w:space="0" w:color="auto"/>
        <w:right w:val="none" w:sz="0" w:space="0" w:color="auto"/>
      </w:divBdr>
    </w:div>
    <w:div w:id="858011482">
      <w:bodyDiv w:val="1"/>
      <w:marLeft w:val="0"/>
      <w:marRight w:val="0"/>
      <w:marTop w:val="0"/>
      <w:marBottom w:val="0"/>
      <w:divBdr>
        <w:top w:val="none" w:sz="0" w:space="0" w:color="auto"/>
        <w:left w:val="none" w:sz="0" w:space="0" w:color="auto"/>
        <w:bottom w:val="none" w:sz="0" w:space="0" w:color="auto"/>
        <w:right w:val="none" w:sz="0" w:space="0" w:color="auto"/>
      </w:divBdr>
    </w:div>
    <w:div w:id="868296305">
      <w:bodyDiv w:val="1"/>
      <w:marLeft w:val="0"/>
      <w:marRight w:val="0"/>
      <w:marTop w:val="0"/>
      <w:marBottom w:val="0"/>
      <w:divBdr>
        <w:top w:val="none" w:sz="0" w:space="0" w:color="auto"/>
        <w:left w:val="none" w:sz="0" w:space="0" w:color="auto"/>
        <w:bottom w:val="none" w:sz="0" w:space="0" w:color="auto"/>
        <w:right w:val="none" w:sz="0" w:space="0" w:color="auto"/>
      </w:divBdr>
    </w:div>
    <w:div w:id="882323394">
      <w:bodyDiv w:val="1"/>
      <w:marLeft w:val="0"/>
      <w:marRight w:val="0"/>
      <w:marTop w:val="0"/>
      <w:marBottom w:val="0"/>
      <w:divBdr>
        <w:top w:val="none" w:sz="0" w:space="0" w:color="auto"/>
        <w:left w:val="none" w:sz="0" w:space="0" w:color="auto"/>
        <w:bottom w:val="none" w:sz="0" w:space="0" w:color="auto"/>
        <w:right w:val="none" w:sz="0" w:space="0" w:color="auto"/>
      </w:divBdr>
    </w:div>
    <w:div w:id="882984630">
      <w:bodyDiv w:val="1"/>
      <w:marLeft w:val="0"/>
      <w:marRight w:val="0"/>
      <w:marTop w:val="0"/>
      <w:marBottom w:val="0"/>
      <w:divBdr>
        <w:top w:val="none" w:sz="0" w:space="0" w:color="auto"/>
        <w:left w:val="none" w:sz="0" w:space="0" w:color="auto"/>
        <w:bottom w:val="none" w:sz="0" w:space="0" w:color="auto"/>
        <w:right w:val="none" w:sz="0" w:space="0" w:color="auto"/>
      </w:divBdr>
    </w:div>
    <w:div w:id="890531878">
      <w:bodyDiv w:val="1"/>
      <w:marLeft w:val="0"/>
      <w:marRight w:val="0"/>
      <w:marTop w:val="0"/>
      <w:marBottom w:val="0"/>
      <w:divBdr>
        <w:top w:val="none" w:sz="0" w:space="0" w:color="auto"/>
        <w:left w:val="none" w:sz="0" w:space="0" w:color="auto"/>
        <w:bottom w:val="none" w:sz="0" w:space="0" w:color="auto"/>
        <w:right w:val="none" w:sz="0" w:space="0" w:color="auto"/>
      </w:divBdr>
    </w:div>
    <w:div w:id="894580759">
      <w:bodyDiv w:val="1"/>
      <w:marLeft w:val="0"/>
      <w:marRight w:val="0"/>
      <w:marTop w:val="0"/>
      <w:marBottom w:val="0"/>
      <w:divBdr>
        <w:top w:val="none" w:sz="0" w:space="0" w:color="auto"/>
        <w:left w:val="none" w:sz="0" w:space="0" w:color="auto"/>
        <w:bottom w:val="none" w:sz="0" w:space="0" w:color="auto"/>
        <w:right w:val="none" w:sz="0" w:space="0" w:color="auto"/>
      </w:divBdr>
    </w:div>
    <w:div w:id="902330438">
      <w:bodyDiv w:val="1"/>
      <w:marLeft w:val="0"/>
      <w:marRight w:val="0"/>
      <w:marTop w:val="0"/>
      <w:marBottom w:val="0"/>
      <w:divBdr>
        <w:top w:val="none" w:sz="0" w:space="0" w:color="auto"/>
        <w:left w:val="none" w:sz="0" w:space="0" w:color="auto"/>
        <w:bottom w:val="none" w:sz="0" w:space="0" w:color="auto"/>
        <w:right w:val="none" w:sz="0" w:space="0" w:color="auto"/>
      </w:divBdr>
    </w:div>
    <w:div w:id="907418487">
      <w:bodyDiv w:val="1"/>
      <w:marLeft w:val="0"/>
      <w:marRight w:val="0"/>
      <w:marTop w:val="0"/>
      <w:marBottom w:val="0"/>
      <w:divBdr>
        <w:top w:val="none" w:sz="0" w:space="0" w:color="auto"/>
        <w:left w:val="none" w:sz="0" w:space="0" w:color="auto"/>
        <w:bottom w:val="none" w:sz="0" w:space="0" w:color="auto"/>
        <w:right w:val="none" w:sz="0" w:space="0" w:color="auto"/>
      </w:divBdr>
    </w:div>
    <w:div w:id="908880982">
      <w:bodyDiv w:val="1"/>
      <w:marLeft w:val="0"/>
      <w:marRight w:val="0"/>
      <w:marTop w:val="0"/>
      <w:marBottom w:val="0"/>
      <w:divBdr>
        <w:top w:val="none" w:sz="0" w:space="0" w:color="auto"/>
        <w:left w:val="none" w:sz="0" w:space="0" w:color="auto"/>
        <w:bottom w:val="none" w:sz="0" w:space="0" w:color="auto"/>
        <w:right w:val="none" w:sz="0" w:space="0" w:color="auto"/>
      </w:divBdr>
    </w:div>
    <w:div w:id="910239496">
      <w:bodyDiv w:val="1"/>
      <w:marLeft w:val="0"/>
      <w:marRight w:val="0"/>
      <w:marTop w:val="0"/>
      <w:marBottom w:val="0"/>
      <w:divBdr>
        <w:top w:val="none" w:sz="0" w:space="0" w:color="auto"/>
        <w:left w:val="none" w:sz="0" w:space="0" w:color="auto"/>
        <w:bottom w:val="none" w:sz="0" w:space="0" w:color="auto"/>
        <w:right w:val="none" w:sz="0" w:space="0" w:color="auto"/>
      </w:divBdr>
    </w:div>
    <w:div w:id="915362084">
      <w:bodyDiv w:val="1"/>
      <w:marLeft w:val="0"/>
      <w:marRight w:val="0"/>
      <w:marTop w:val="0"/>
      <w:marBottom w:val="0"/>
      <w:divBdr>
        <w:top w:val="none" w:sz="0" w:space="0" w:color="auto"/>
        <w:left w:val="none" w:sz="0" w:space="0" w:color="auto"/>
        <w:bottom w:val="none" w:sz="0" w:space="0" w:color="auto"/>
        <w:right w:val="none" w:sz="0" w:space="0" w:color="auto"/>
      </w:divBdr>
    </w:div>
    <w:div w:id="917986115">
      <w:bodyDiv w:val="1"/>
      <w:marLeft w:val="0"/>
      <w:marRight w:val="0"/>
      <w:marTop w:val="0"/>
      <w:marBottom w:val="0"/>
      <w:divBdr>
        <w:top w:val="none" w:sz="0" w:space="0" w:color="auto"/>
        <w:left w:val="none" w:sz="0" w:space="0" w:color="auto"/>
        <w:bottom w:val="none" w:sz="0" w:space="0" w:color="auto"/>
        <w:right w:val="none" w:sz="0" w:space="0" w:color="auto"/>
      </w:divBdr>
    </w:div>
    <w:div w:id="919142679">
      <w:bodyDiv w:val="1"/>
      <w:marLeft w:val="0"/>
      <w:marRight w:val="0"/>
      <w:marTop w:val="0"/>
      <w:marBottom w:val="0"/>
      <w:divBdr>
        <w:top w:val="none" w:sz="0" w:space="0" w:color="auto"/>
        <w:left w:val="none" w:sz="0" w:space="0" w:color="auto"/>
        <w:bottom w:val="none" w:sz="0" w:space="0" w:color="auto"/>
        <w:right w:val="none" w:sz="0" w:space="0" w:color="auto"/>
      </w:divBdr>
    </w:div>
    <w:div w:id="927160040">
      <w:bodyDiv w:val="1"/>
      <w:marLeft w:val="0"/>
      <w:marRight w:val="0"/>
      <w:marTop w:val="0"/>
      <w:marBottom w:val="0"/>
      <w:divBdr>
        <w:top w:val="none" w:sz="0" w:space="0" w:color="auto"/>
        <w:left w:val="none" w:sz="0" w:space="0" w:color="auto"/>
        <w:bottom w:val="none" w:sz="0" w:space="0" w:color="auto"/>
        <w:right w:val="none" w:sz="0" w:space="0" w:color="auto"/>
      </w:divBdr>
    </w:div>
    <w:div w:id="929385908">
      <w:bodyDiv w:val="1"/>
      <w:marLeft w:val="0"/>
      <w:marRight w:val="0"/>
      <w:marTop w:val="0"/>
      <w:marBottom w:val="0"/>
      <w:divBdr>
        <w:top w:val="none" w:sz="0" w:space="0" w:color="auto"/>
        <w:left w:val="none" w:sz="0" w:space="0" w:color="auto"/>
        <w:bottom w:val="none" w:sz="0" w:space="0" w:color="auto"/>
        <w:right w:val="none" w:sz="0" w:space="0" w:color="auto"/>
      </w:divBdr>
    </w:div>
    <w:div w:id="929435585">
      <w:bodyDiv w:val="1"/>
      <w:marLeft w:val="0"/>
      <w:marRight w:val="0"/>
      <w:marTop w:val="0"/>
      <w:marBottom w:val="0"/>
      <w:divBdr>
        <w:top w:val="none" w:sz="0" w:space="0" w:color="auto"/>
        <w:left w:val="none" w:sz="0" w:space="0" w:color="auto"/>
        <w:bottom w:val="none" w:sz="0" w:space="0" w:color="auto"/>
        <w:right w:val="none" w:sz="0" w:space="0" w:color="auto"/>
      </w:divBdr>
    </w:div>
    <w:div w:id="933510207">
      <w:bodyDiv w:val="1"/>
      <w:marLeft w:val="0"/>
      <w:marRight w:val="0"/>
      <w:marTop w:val="0"/>
      <w:marBottom w:val="0"/>
      <w:divBdr>
        <w:top w:val="none" w:sz="0" w:space="0" w:color="auto"/>
        <w:left w:val="none" w:sz="0" w:space="0" w:color="auto"/>
        <w:bottom w:val="none" w:sz="0" w:space="0" w:color="auto"/>
        <w:right w:val="none" w:sz="0" w:space="0" w:color="auto"/>
      </w:divBdr>
    </w:div>
    <w:div w:id="950549040">
      <w:bodyDiv w:val="1"/>
      <w:marLeft w:val="0"/>
      <w:marRight w:val="0"/>
      <w:marTop w:val="0"/>
      <w:marBottom w:val="0"/>
      <w:divBdr>
        <w:top w:val="none" w:sz="0" w:space="0" w:color="auto"/>
        <w:left w:val="none" w:sz="0" w:space="0" w:color="auto"/>
        <w:bottom w:val="none" w:sz="0" w:space="0" w:color="auto"/>
        <w:right w:val="none" w:sz="0" w:space="0" w:color="auto"/>
      </w:divBdr>
    </w:div>
    <w:div w:id="959804377">
      <w:bodyDiv w:val="1"/>
      <w:marLeft w:val="0"/>
      <w:marRight w:val="0"/>
      <w:marTop w:val="0"/>
      <w:marBottom w:val="0"/>
      <w:divBdr>
        <w:top w:val="none" w:sz="0" w:space="0" w:color="auto"/>
        <w:left w:val="none" w:sz="0" w:space="0" w:color="auto"/>
        <w:bottom w:val="none" w:sz="0" w:space="0" w:color="auto"/>
        <w:right w:val="none" w:sz="0" w:space="0" w:color="auto"/>
      </w:divBdr>
    </w:div>
    <w:div w:id="964459684">
      <w:bodyDiv w:val="1"/>
      <w:marLeft w:val="0"/>
      <w:marRight w:val="0"/>
      <w:marTop w:val="0"/>
      <w:marBottom w:val="0"/>
      <w:divBdr>
        <w:top w:val="none" w:sz="0" w:space="0" w:color="auto"/>
        <w:left w:val="none" w:sz="0" w:space="0" w:color="auto"/>
        <w:bottom w:val="none" w:sz="0" w:space="0" w:color="auto"/>
        <w:right w:val="none" w:sz="0" w:space="0" w:color="auto"/>
      </w:divBdr>
    </w:div>
    <w:div w:id="976422164">
      <w:bodyDiv w:val="1"/>
      <w:marLeft w:val="0"/>
      <w:marRight w:val="0"/>
      <w:marTop w:val="0"/>
      <w:marBottom w:val="0"/>
      <w:divBdr>
        <w:top w:val="none" w:sz="0" w:space="0" w:color="auto"/>
        <w:left w:val="none" w:sz="0" w:space="0" w:color="auto"/>
        <w:bottom w:val="none" w:sz="0" w:space="0" w:color="auto"/>
        <w:right w:val="none" w:sz="0" w:space="0" w:color="auto"/>
      </w:divBdr>
    </w:div>
    <w:div w:id="978144059">
      <w:bodyDiv w:val="1"/>
      <w:marLeft w:val="0"/>
      <w:marRight w:val="0"/>
      <w:marTop w:val="0"/>
      <w:marBottom w:val="0"/>
      <w:divBdr>
        <w:top w:val="none" w:sz="0" w:space="0" w:color="auto"/>
        <w:left w:val="none" w:sz="0" w:space="0" w:color="auto"/>
        <w:bottom w:val="none" w:sz="0" w:space="0" w:color="auto"/>
        <w:right w:val="none" w:sz="0" w:space="0" w:color="auto"/>
      </w:divBdr>
    </w:div>
    <w:div w:id="981009806">
      <w:bodyDiv w:val="1"/>
      <w:marLeft w:val="0"/>
      <w:marRight w:val="0"/>
      <w:marTop w:val="0"/>
      <w:marBottom w:val="0"/>
      <w:divBdr>
        <w:top w:val="none" w:sz="0" w:space="0" w:color="auto"/>
        <w:left w:val="none" w:sz="0" w:space="0" w:color="auto"/>
        <w:bottom w:val="none" w:sz="0" w:space="0" w:color="auto"/>
        <w:right w:val="none" w:sz="0" w:space="0" w:color="auto"/>
      </w:divBdr>
    </w:div>
    <w:div w:id="986320310">
      <w:bodyDiv w:val="1"/>
      <w:marLeft w:val="0"/>
      <w:marRight w:val="0"/>
      <w:marTop w:val="0"/>
      <w:marBottom w:val="0"/>
      <w:divBdr>
        <w:top w:val="none" w:sz="0" w:space="0" w:color="auto"/>
        <w:left w:val="none" w:sz="0" w:space="0" w:color="auto"/>
        <w:bottom w:val="none" w:sz="0" w:space="0" w:color="auto"/>
        <w:right w:val="none" w:sz="0" w:space="0" w:color="auto"/>
      </w:divBdr>
    </w:div>
    <w:div w:id="993147503">
      <w:bodyDiv w:val="1"/>
      <w:marLeft w:val="0"/>
      <w:marRight w:val="0"/>
      <w:marTop w:val="0"/>
      <w:marBottom w:val="0"/>
      <w:divBdr>
        <w:top w:val="none" w:sz="0" w:space="0" w:color="auto"/>
        <w:left w:val="none" w:sz="0" w:space="0" w:color="auto"/>
        <w:bottom w:val="none" w:sz="0" w:space="0" w:color="auto"/>
        <w:right w:val="none" w:sz="0" w:space="0" w:color="auto"/>
      </w:divBdr>
    </w:div>
    <w:div w:id="999040233">
      <w:bodyDiv w:val="1"/>
      <w:marLeft w:val="0"/>
      <w:marRight w:val="0"/>
      <w:marTop w:val="0"/>
      <w:marBottom w:val="0"/>
      <w:divBdr>
        <w:top w:val="none" w:sz="0" w:space="0" w:color="auto"/>
        <w:left w:val="none" w:sz="0" w:space="0" w:color="auto"/>
        <w:bottom w:val="none" w:sz="0" w:space="0" w:color="auto"/>
        <w:right w:val="none" w:sz="0" w:space="0" w:color="auto"/>
      </w:divBdr>
    </w:div>
    <w:div w:id="1005128169">
      <w:bodyDiv w:val="1"/>
      <w:marLeft w:val="0"/>
      <w:marRight w:val="0"/>
      <w:marTop w:val="0"/>
      <w:marBottom w:val="0"/>
      <w:divBdr>
        <w:top w:val="none" w:sz="0" w:space="0" w:color="auto"/>
        <w:left w:val="none" w:sz="0" w:space="0" w:color="auto"/>
        <w:bottom w:val="none" w:sz="0" w:space="0" w:color="auto"/>
        <w:right w:val="none" w:sz="0" w:space="0" w:color="auto"/>
      </w:divBdr>
    </w:div>
    <w:div w:id="1007635414">
      <w:bodyDiv w:val="1"/>
      <w:marLeft w:val="0"/>
      <w:marRight w:val="0"/>
      <w:marTop w:val="0"/>
      <w:marBottom w:val="0"/>
      <w:divBdr>
        <w:top w:val="none" w:sz="0" w:space="0" w:color="auto"/>
        <w:left w:val="none" w:sz="0" w:space="0" w:color="auto"/>
        <w:bottom w:val="none" w:sz="0" w:space="0" w:color="auto"/>
        <w:right w:val="none" w:sz="0" w:space="0" w:color="auto"/>
      </w:divBdr>
    </w:div>
    <w:div w:id="1007750398">
      <w:bodyDiv w:val="1"/>
      <w:marLeft w:val="0"/>
      <w:marRight w:val="0"/>
      <w:marTop w:val="0"/>
      <w:marBottom w:val="0"/>
      <w:divBdr>
        <w:top w:val="none" w:sz="0" w:space="0" w:color="auto"/>
        <w:left w:val="none" w:sz="0" w:space="0" w:color="auto"/>
        <w:bottom w:val="none" w:sz="0" w:space="0" w:color="auto"/>
        <w:right w:val="none" w:sz="0" w:space="0" w:color="auto"/>
      </w:divBdr>
    </w:div>
    <w:div w:id="1009332604">
      <w:bodyDiv w:val="1"/>
      <w:marLeft w:val="0"/>
      <w:marRight w:val="0"/>
      <w:marTop w:val="0"/>
      <w:marBottom w:val="0"/>
      <w:divBdr>
        <w:top w:val="none" w:sz="0" w:space="0" w:color="auto"/>
        <w:left w:val="none" w:sz="0" w:space="0" w:color="auto"/>
        <w:bottom w:val="none" w:sz="0" w:space="0" w:color="auto"/>
        <w:right w:val="none" w:sz="0" w:space="0" w:color="auto"/>
      </w:divBdr>
    </w:div>
    <w:div w:id="1013072485">
      <w:bodyDiv w:val="1"/>
      <w:marLeft w:val="0"/>
      <w:marRight w:val="0"/>
      <w:marTop w:val="0"/>
      <w:marBottom w:val="0"/>
      <w:divBdr>
        <w:top w:val="none" w:sz="0" w:space="0" w:color="auto"/>
        <w:left w:val="none" w:sz="0" w:space="0" w:color="auto"/>
        <w:bottom w:val="none" w:sz="0" w:space="0" w:color="auto"/>
        <w:right w:val="none" w:sz="0" w:space="0" w:color="auto"/>
      </w:divBdr>
    </w:div>
    <w:div w:id="1019157605">
      <w:bodyDiv w:val="1"/>
      <w:marLeft w:val="0"/>
      <w:marRight w:val="0"/>
      <w:marTop w:val="0"/>
      <w:marBottom w:val="0"/>
      <w:divBdr>
        <w:top w:val="none" w:sz="0" w:space="0" w:color="auto"/>
        <w:left w:val="none" w:sz="0" w:space="0" w:color="auto"/>
        <w:bottom w:val="none" w:sz="0" w:space="0" w:color="auto"/>
        <w:right w:val="none" w:sz="0" w:space="0" w:color="auto"/>
      </w:divBdr>
    </w:div>
    <w:div w:id="1019969532">
      <w:bodyDiv w:val="1"/>
      <w:marLeft w:val="0"/>
      <w:marRight w:val="0"/>
      <w:marTop w:val="0"/>
      <w:marBottom w:val="0"/>
      <w:divBdr>
        <w:top w:val="none" w:sz="0" w:space="0" w:color="auto"/>
        <w:left w:val="none" w:sz="0" w:space="0" w:color="auto"/>
        <w:bottom w:val="none" w:sz="0" w:space="0" w:color="auto"/>
        <w:right w:val="none" w:sz="0" w:space="0" w:color="auto"/>
      </w:divBdr>
    </w:div>
    <w:div w:id="1026443974">
      <w:bodyDiv w:val="1"/>
      <w:marLeft w:val="0"/>
      <w:marRight w:val="0"/>
      <w:marTop w:val="0"/>
      <w:marBottom w:val="0"/>
      <w:divBdr>
        <w:top w:val="none" w:sz="0" w:space="0" w:color="auto"/>
        <w:left w:val="none" w:sz="0" w:space="0" w:color="auto"/>
        <w:bottom w:val="none" w:sz="0" w:space="0" w:color="auto"/>
        <w:right w:val="none" w:sz="0" w:space="0" w:color="auto"/>
      </w:divBdr>
    </w:div>
    <w:div w:id="1027830467">
      <w:bodyDiv w:val="1"/>
      <w:marLeft w:val="0"/>
      <w:marRight w:val="0"/>
      <w:marTop w:val="0"/>
      <w:marBottom w:val="0"/>
      <w:divBdr>
        <w:top w:val="none" w:sz="0" w:space="0" w:color="auto"/>
        <w:left w:val="none" w:sz="0" w:space="0" w:color="auto"/>
        <w:bottom w:val="none" w:sz="0" w:space="0" w:color="auto"/>
        <w:right w:val="none" w:sz="0" w:space="0" w:color="auto"/>
      </w:divBdr>
    </w:div>
    <w:div w:id="1030954600">
      <w:bodyDiv w:val="1"/>
      <w:marLeft w:val="0"/>
      <w:marRight w:val="0"/>
      <w:marTop w:val="0"/>
      <w:marBottom w:val="0"/>
      <w:divBdr>
        <w:top w:val="none" w:sz="0" w:space="0" w:color="auto"/>
        <w:left w:val="none" w:sz="0" w:space="0" w:color="auto"/>
        <w:bottom w:val="none" w:sz="0" w:space="0" w:color="auto"/>
        <w:right w:val="none" w:sz="0" w:space="0" w:color="auto"/>
      </w:divBdr>
    </w:div>
    <w:div w:id="1034623777">
      <w:bodyDiv w:val="1"/>
      <w:marLeft w:val="0"/>
      <w:marRight w:val="0"/>
      <w:marTop w:val="0"/>
      <w:marBottom w:val="0"/>
      <w:divBdr>
        <w:top w:val="none" w:sz="0" w:space="0" w:color="auto"/>
        <w:left w:val="none" w:sz="0" w:space="0" w:color="auto"/>
        <w:bottom w:val="none" w:sz="0" w:space="0" w:color="auto"/>
        <w:right w:val="none" w:sz="0" w:space="0" w:color="auto"/>
      </w:divBdr>
    </w:div>
    <w:div w:id="1037587317">
      <w:bodyDiv w:val="1"/>
      <w:marLeft w:val="0"/>
      <w:marRight w:val="0"/>
      <w:marTop w:val="0"/>
      <w:marBottom w:val="0"/>
      <w:divBdr>
        <w:top w:val="none" w:sz="0" w:space="0" w:color="auto"/>
        <w:left w:val="none" w:sz="0" w:space="0" w:color="auto"/>
        <w:bottom w:val="none" w:sz="0" w:space="0" w:color="auto"/>
        <w:right w:val="none" w:sz="0" w:space="0" w:color="auto"/>
      </w:divBdr>
    </w:div>
    <w:div w:id="1040324588">
      <w:bodyDiv w:val="1"/>
      <w:marLeft w:val="0"/>
      <w:marRight w:val="0"/>
      <w:marTop w:val="0"/>
      <w:marBottom w:val="0"/>
      <w:divBdr>
        <w:top w:val="none" w:sz="0" w:space="0" w:color="auto"/>
        <w:left w:val="none" w:sz="0" w:space="0" w:color="auto"/>
        <w:bottom w:val="none" w:sz="0" w:space="0" w:color="auto"/>
        <w:right w:val="none" w:sz="0" w:space="0" w:color="auto"/>
      </w:divBdr>
    </w:div>
    <w:div w:id="1040931821">
      <w:bodyDiv w:val="1"/>
      <w:marLeft w:val="0"/>
      <w:marRight w:val="0"/>
      <w:marTop w:val="0"/>
      <w:marBottom w:val="0"/>
      <w:divBdr>
        <w:top w:val="none" w:sz="0" w:space="0" w:color="auto"/>
        <w:left w:val="none" w:sz="0" w:space="0" w:color="auto"/>
        <w:bottom w:val="none" w:sz="0" w:space="0" w:color="auto"/>
        <w:right w:val="none" w:sz="0" w:space="0" w:color="auto"/>
      </w:divBdr>
    </w:div>
    <w:div w:id="1041980088">
      <w:bodyDiv w:val="1"/>
      <w:marLeft w:val="0"/>
      <w:marRight w:val="0"/>
      <w:marTop w:val="0"/>
      <w:marBottom w:val="0"/>
      <w:divBdr>
        <w:top w:val="none" w:sz="0" w:space="0" w:color="auto"/>
        <w:left w:val="none" w:sz="0" w:space="0" w:color="auto"/>
        <w:bottom w:val="none" w:sz="0" w:space="0" w:color="auto"/>
        <w:right w:val="none" w:sz="0" w:space="0" w:color="auto"/>
      </w:divBdr>
    </w:div>
    <w:div w:id="1045526149">
      <w:bodyDiv w:val="1"/>
      <w:marLeft w:val="0"/>
      <w:marRight w:val="0"/>
      <w:marTop w:val="0"/>
      <w:marBottom w:val="0"/>
      <w:divBdr>
        <w:top w:val="none" w:sz="0" w:space="0" w:color="auto"/>
        <w:left w:val="none" w:sz="0" w:space="0" w:color="auto"/>
        <w:bottom w:val="none" w:sz="0" w:space="0" w:color="auto"/>
        <w:right w:val="none" w:sz="0" w:space="0" w:color="auto"/>
      </w:divBdr>
    </w:div>
    <w:div w:id="1045721146">
      <w:bodyDiv w:val="1"/>
      <w:marLeft w:val="0"/>
      <w:marRight w:val="0"/>
      <w:marTop w:val="0"/>
      <w:marBottom w:val="0"/>
      <w:divBdr>
        <w:top w:val="none" w:sz="0" w:space="0" w:color="auto"/>
        <w:left w:val="none" w:sz="0" w:space="0" w:color="auto"/>
        <w:bottom w:val="none" w:sz="0" w:space="0" w:color="auto"/>
        <w:right w:val="none" w:sz="0" w:space="0" w:color="auto"/>
      </w:divBdr>
    </w:div>
    <w:div w:id="1058555199">
      <w:bodyDiv w:val="1"/>
      <w:marLeft w:val="0"/>
      <w:marRight w:val="0"/>
      <w:marTop w:val="0"/>
      <w:marBottom w:val="0"/>
      <w:divBdr>
        <w:top w:val="none" w:sz="0" w:space="0" w:color="auto"/>
        <w:left w:val="none" w:sz="0" w:space="0" w:color="auto"/>
        <w:bottom w:val="none" w:sz="0" w:space="0" w:color="auto"/>
        <w:right w:val="none" w:sz="0" w:space="0" w:color="auto"/>
      </w:divBdr>
    </w:div>
    <w:div w:id="1060977483">
      <w:bodyDiv w:val="1"/>
      <w:marLeft w:val="0"/>
      <w:marRight w:val="0"/>
      <w:marTop w:val="0"/>
      <w:marBottom w:val="0"/>
      <w:divBdr>
        <w:top w:val="none" w:sz="0" w:space="0" w:color="auto"/>
        <w:left w:val="none" w:sz="0" w:space="0" w:color="auto"/>
        <w:bottom w:val="none" w:sz="0" w:space="0" w:color="auto"/>
        <w:right w:val="none" w:sz="0" w:space="0" w:color="auto"/>
      </w:divBdr>
    </w:div>
    <w:div w:id="1062797770">
      <w:bodyDiv w:val="1"/>
      <w:marLeft w:val="0"/>
      <w:marRight w:val="0"/>
      <w:marTop w:val="0"/>
      <w:marBottom w:val="0"/>
      <w:divBdr>
        <w:top w:val="none" w:sz="0" w:space="0" w:color="auto"/>
        <w:left w:val="none" w:sz="0" w:space="0" w:color="auto"/>
        <w:bottom w:val="none" w:sz="0" w:space="0" w:color="auto"/>
        <w:right w:val="none" w:sz="0" w:space="0" w:color="auto"/>
      </w:divBdr>
    </w:div>
    <w:div w:id="1066074990">
      <w:bodyDiv w:val="1"/>
      <w:marLeft w:val="0"/>
      <w:marRight w:val="0"/>
      <w:marTop w:val="0"/>
      <w:marBottom w:val="0"/>
      <w:divBdr>
        <w:top w:val="none" w:sz="0" w:space="0" w:color="auto"/>
        <w:left w:val="none" w:sz="0" w:space="0" w:color="auto"/>
        <w:bottom w:val="none" w:sz="0" w:space="0" w:color="auto"/>
        <w:right w:val="none" w:sz="0" w:space="0" w:color="auto"/>
      </w:divBdr>
    </w:div>
    <w:div w:id="1071931686">
      <w:bodyDiv w:val="1"/>
      <w:marLeft w:val="0"/>
      <w:marRight w:val="0"/>
      <w:marTop w:val="0"/>
      <w:marBottom w:val="0"/>
      <w:divBdr>
        <w:top w:val="none" w:sz="0" w:space="0" w:color="auto"/>
        <w:left w:val="none" w:sz="0" w:space="0" w:color="auto"/>
        <w:bottom w:val="none" w:sz="0" w:space="0" w:color="auto"/>
        <w:right w:val="none" w:sz="0" w:space="0" w:color="auto"/>
      </w:divBdr>
    </w:div>
    <w:div w:id="1078096794">
      <w:bodyDiv w:val="1"/>
      <w:marLeft w:val="0"/>
      <w:marRight w:val="0"/>
      <w:marTop w:val="0"/>
      <w:marBottom w:val="0"/>
      <w:divBdr>
        <w:top w:val="none" w:sz="0" w:space="0" w:color="auto"/>
        <w:left w:val="none" w:sz="0" w:space="0" w:color="auto"/>
        <w:bottom w:val="none" w:sz="0" w:space="0" w:color="auto"/>
        <w:right w:val="none" w:sz="0" w:space="0" w:color="auto"/>
      </w:divBdr>
    </w:div>
    <w:div w:id="1078476846">
      <w:bodyDiv w:val="1"/>
      <w:marLeft w:val="0"/>
      <w:marRight w:val="0"/>
      <w:marTop w:val="0"/>
      <w:marBottom w:val="0"/>
      <w:divBdr>
        <w:top w:val="none" w:sz="0" w:space="0" w:color="auto"/>
        <w:left w:val="none" w:sz="0" w:space="0" w:color="auto"/>
        <w:bottom w:val="none" w:sz="0" w:space="0" w:color="auto"/>
        <w:right w:val="none" w:sz="0" w:space="0" w:color="auto"/>
      </w:divBdr>
    </w:div>
    <w:div w:id="1081174274">
      <w:bodyDiv w:val="1"/>
      <w:marLeft w:val="0"/>
      <w:marRight w:val="0"/>
      <w:marTop w:val="0"/>
      <w:marBottom w:val="0"/>
      <w:divBdr>
        <w:top w:val="none" w:sz="0" w:space="0" w:color="auto"/>
        <w:left w:val="none" w:sz="0" w:space="0" w:color="auto"/>
        <w:bottom w:val="none" w:sz="0" w:space="0" w:color="auto"/>
        <w:right w:val="none" w:sz="0" w:space="0" w:color="auto"/>
      </w:divBdr>
    </w:div>
    <w:div w:id="1082799248">
      <w:bodyDiv w:val="1"/>
      <w:marLeft w:val="0"/>
      <w:marRight w:val="0"/>
      <w:marTop w:val="0"/>
      <w:marBottom w:val="0"/>
      <w:divBdr>
        <w:top w:val="none" w:sz="0" w:space="0" w:color="auto"/>
        <w:left w:val="none" w:sz="0" w:space="0" w:color="auto"/>
        <w:bottom w:val="none" w:sz="0" w:space="0" w:color="auto"/>
        <w:right w:val="none" w:sz="0" w:space="0" w:color="auto"/>
      </w:divBdr>
    </w:div>
    <w:div w:id="1089738818">
      <w:bodyDiv w:val="1"/>
      <w:marLeft w:val="0"/>
      <w:marRight w:val="0"/>
      <w:marTop w:val="0"/>
      <w:marBottom w:val="0"/>
      <w:divBdr>
        <w:top w:val="none" w:sz="0" w:space="0" w:color="auto"/>
        <w:left w:val="none" w:sz="0" w:space="0" w:color="auto"/>
        <w:bottom w:val="none" w:sz="0" w:space="0" w:color="auto"/>
        <w:right w:val="none" w:sz="0" w:space="0" w:color="auto"/>
      </w:divBdr>
    </w:div>
    <w:div w:id="1097213332">
      <w:bodyDiv w:val="1"/>
      <w:marLeft w:val="0"/>
      <w:marRight w:val="0"/>
      <w:marTop w:val="0"/>
      <w:marBottom w:val="0"/>
      <w:divBdr>
        <w:top w:val="none" w:sz="0" w:space="0" w:color="auto"/>
        <w:left w:val="none" w:sz="0" w:space="0" w:color="auto"/>
        <w:bottom w:val="none" w:sz="0" w:space="0" w:color="auto"/>
        <w:right w:val="none" w:sz="0" w:space="0" w:color="auto"/>
      </w:divBdr>
    </w:div>
    <w:div w:id="1103889039">
      <w:bodyDiv w:val="1"/>
      <w:marLeft w:val="0"/>
      <w:marRight w:val="0"/>
      <w:marTop w:val="0"/>
      <w:marBottom w:val="0"/>
      <w:divBdr>
        <w:top w:val="none" w:sz="0" w:space="0" w:color="auto"/>
        <w:left w:val="none" w:sz="0" w:space="0" w:color="auto"/>
        <w:bottom w:val="none" w:sz="0" w:space="0" w:color="auto"/>
        <w:right w:val="none" w:sz="0" w:space="0" w:color="auto"/>
      </w:divBdr>
    </w:div>
    <w:div w:id="1104233460">
      <w:bodyDiv w:val="1"/>
      <w:marLeft w:val="0"/>
      <w:marRight w:val="0"/>
      <w:marTop w:val="0"/>
      <w:marBottom w:val="0"/>
      <w:divBdr>
        <w:top w:val="none" w:sz="0" w:space="0" w:color="auto"/>
        <w:left w:val="none" w:sz="0" w:space="0" w:color="auto"/>
        <w:bottom w:val="none" w:sz="0" w:space="0" w:color="auto"/>
        <w:right w:val="none" w:sz="0" w:space="0" w:color="auto"/>
      </w:divBdr>
    </w:div>
    <w:div w:id="1105492154">
      <w:bodyDiv w:val="1"/>
      <w:marLeft w:val="0"/>
      <w:marRight w:val="0"/>
      <w:marTop w:val="0"/>
      <w:marBottom w:val="0"/>
      <w:divBdr>
        <w:top w:val="none" w:sz="0" w:space="0" w:color="auto"/>
        <w:left w:val="none" w:sz="0" w:space="0" w:color="auto"/>
        <w:bottom w:val="none" w:sz="0" w:space="0" w:color="auto"/>
        <w:right w:val="none" w:sz="0" w:space="0" w:color="auto"/>
      </w:divBdr>
    </w:div>
    <w:div w:id="1122336000">
      <w:bodyDiv w:val="1"/>
      <w:marLeft w:val="0"/>
      <w:marRight w:val="0"/>
      <w:marTop w:val="0"/>
      <w:marBottom w:val="0"/>
      <w:divBdr>
        <w:top w:val="none" w:sz="0" w:space="0" w:color="auto"/>
        <w:left w:val="none" w:sz="0" w:space="0" w:color="auto"/>
        <w:bottom w:val="none" w:sz="0" w:space="0" w:color="auto"/>
        <w:right w:val="none" w:sz="0" w:space="0" w:color="auto"/>
      </w:divBdr>
    </w:div>
    <w:div w:id="1132285689">
      <w:bodyDiv w:val="1"/>
      <w:marLeft w:val="0"/>
      <w:marRight w:val="0"/>
      <w:marTop w:val="0"/>
      <w:marBottom w:val="0"/>
      <w:divBdr>
        <w:top w:val="none" w:sz="0" w:space="0" w:color="auto"/>
        <w:left w:val="none" w:sz="0" w:space="0" w:color="auto"/>
        <w:bottom w:val="none" w:sz="0" w:space="0" w:color="auto"/>
        <w:right w:val="none" w:sz="0" w:space="0" w:color="auto"/>
      </w:divBdr>
    </w:div>
    <w:div w:id="1139031106">
      <w:bodyDiv w:val="1"/>
      <w:marLeft w:val="0"/>
      <w:marRight w:val="0"/>
      <w:marTop w:val="0"/>
      <w:marBottom w:val="0"/>
      <w:divBdr>
        <w:top w:val="none" w:sz="0" w:space="0" w:color="auto"/>
        <w:left w:val="none" w:sz="0" w:space="0" w:color="auto"/>
        <w:bottom w:val="none" w:sz="0" w:space="0" w:color="auto"/>
        <w:right w:val="none" w:sz="0" w:space="0" w:color="auto"/>
      </w:divBdr>
    </w:div>
    <w:div w:id="1139497420">
      <w:bodyDiv w:val="1"/>
      <w:marLeft w:val="0"/>
      <w:marRight w:val="0"/>
      <w:marTop w:val="0"/>
      <w:marBottom w:val="0"/>
      <w:divBdr>
        <w:top w:val="none" w:sz="0" w:space="0" w:color="auto"/>
        <w:left w:val="none" w:sz="0" w:space="0" w:color="auto"/>
        <w:bottom w:val="none" w:sz="0" w:space="0" w:color="auto"/>
        <w:right w:val="none" w:sz="0" w:space="0" w:color="auto"/>
      </w:divBdr>
    </w:div>
    <w:div w:id="1140609332">
      <w:bodyDiv w:val="1"/>
      <w:marLeft w:val="0"/>
      <w:marRight w:val="0"/>
      <w:marTop w:val="0"/>
      <w:marBottom w:val="0"/>
      <w:divBdr>
        <w:top w:val="none" w:sz="0" w:space="0" w:color="auto"/>
        <w:left w:val="none" w:sz="0" w:space="0" w:color="auto"/>
        <w:bottom w:val="none" w:sz="0" w:space="0" w:color="auto"/>
        <w:right w:val="none" w:sz="0" w:space="0" w:color="auto"/>
      </w:divBdr>
    </w:div>
    <w:div w:id="1144079677">
      <w:bodyDiv w:val="1"/>
      <w:marLeft w:val="0"/>
      <w:marRight w:val="0"/>
      <w:marTop w:val="0"/>
      <w:marBottom w:val="0"/>
      <w:divBdr>
        <w:top w:val="none" w:sz="0" w:space="0" w:color="auto"/>
        <w:left w:val="none" w:sz="0" w:space="0" w:color="auto"/>
        <w:bottom w:val="none" w:sz="0" w:space="0" w:color="auto"/>
        <w:right w:val="none" w:sz="0" w:space="0" w:color="auto"/>
      </w:divBdr>
    </w:div>
    <w:div w:id="1147286554">
      <w:bodyDiv w:val="1"/>
      <w:marLeft w:val="0"/>
      <w:marRight w:val="0"/>
      <w:marTop w:val="0"/>
      <w:marBottom w:val="0"/>
      <w:divBdr>
        <w:top w:val="none" w:sz="0" w:space="0" w:color="auto"/>
        <w:left w:val="none" w:sz="0" w:space="0" w:color="auto"/>
        <w:bottom w:val="none" w:sz="0" w:space="0" w:color="auto"/>
        <w:right w:val="none" w:sz="0" w:space="0" w:color="auto"/>
      </w:divBdr>
    </w:div>
    <w:div w:id="1148786015">
      <w:bodyDiv w:val="1"/>
      <w:marLeft w:val="0"/>
      <w:marRight w:val="0"/>
      <w:marTop w:val="0"/>
      <w:marBottom w:val="0"/>
      <w:divBdr>
        <w:top w:val="none" w:sz="0" w:space="0" w:color="auto"/>
        <w:left w:val="none" w:sz="0" w:space="0" w:color="auto"/>
        <w:bottom w:val="none" w:sz="0" w:space="0" w:color="auto"/>
        <w:right w:val="none" w:sz="0" w:space="0" w:color="auto"/>
      </w:divBdr>
    </w:div>
    <w:div w:id="1152478807">
      <w:bodyDiv w:val="1"/>
      <w:marLeft w:val="0"/>
      <w:marRight w:val="0"/>
      <w:marTop w:val="0"/>
      <w:marBottom w:val="0"/>
      <w:divBdr>
        <w:top w:val="none" w:sz="0" w:space="0" w:color="auto"/>
        <w:left w:val="none" w:sz="0" w:space="0" w:color="auto"/>
        <w:bottom w:val="none" w:sz="0" w:space="0" w:color="auto"/>
        <w:right w:val="none" w:sz="0" w:space="0" w:color="auto"/>
      </w:divBdr>
    </w:div>
    <w:div w:id="1156528283">
      <w:bodyDiv w:val="1"/>
      <w:marLeft w:val="0"/>
      <w:marRight w:val="0"/>
      <w:marTop w:val="0"/>
      <w:marBottom w:val="0"/>
      <w:divBdr>
        <w:top w:val="none" w:sz="0" w:space="0" w:color="auto"/>
        <w:left w:val="none" w:sz="0" w:space="0" w:color="auto"/>
        <w:bottom w:val="none" w:sz="0" w:space="0" w:color="auto"/>
        <w:right w:val="none" w:sz="0" w:space="0" w:color="auto"/>
      </w:divBdr>
    </w:div>
    <w:div w:id="1157694264">
      <w:bodyDiv w:val="1"/>
      <w:marLeft w:val="0"/>
      <w:marRight w:val="0"/>
      <w:marTop w:val="0"/>
      <w:marBottom w:val="0"/>
      <w:divBdr>
        <w:top w:val="none" w:sz="0" w:space="0" w:color="auto"/>
        <w:left w:val="none" w:sz="0" w:space="0" w:color="auto"/>
        <w:bottom w:val="none" w:sz="0" w:space="0" w:color="auto"/>
        <w:right w:val="none" w:sz="0" w:space="0" w:color="auto"/>
      </w:divBdr>
    </w:div>
    <w:div w:id="1168057085">
      <w:bodyDiv w:val="1"/>
      <w:marLeft w:val="0"/>
      <w:marRight w:val="0"/>
      <w:marTop w:val="0"/>
      <w:marBottom w:val="0"/>
      <w:divBdr>
        <w:top w:val="none" w:sz="0" w:space="0" w:color="auto"/>
        <w:left w:val="none" w:sz="0" w:space="0" w:color="auto"/>
        <w:bottom w:val="none" w:sz="0" w:space="0" w:color="auto"/>
        <w:right w:val="none" w:sz="0" w:space="0" w:color="auto"/>
      </w:divBdr>
    </w:div>
    <w:div w:id="1169514975">
      <w:bodyDiv w:val="1"/>
      <w:marLeft w:val="0"/>
      <w:marRight w:val="0"/>
      <w:marTop w:val="0"/>
      <w:marBottom w:val="0"/>
      <w:divBdr>
        <w:top w:val="none" w:sz="0" w:space="0" w:color="auto"/>
        <w:left w:val="none" w:sz="0" w:space="0" w:color="auto"/>
        <w:bottom w:val="none" w:sz="0" w:space="0" w:color="auto"/>
        <w:right w:val="none" w:sz="0" w:space="0" w:color="auto"/>
      </w:divBdr>
    </w:div>
    <w:div w:id="1185285947">
      <w:bodyDiv w:val="1"/>
      <w:marLeft w:val="0"/>
      <w:marRight w:val="0"/>
      <w:marTop w:val="0"/>
      <w:marBottom w:val="0"/>
      <w:divBdr>
        <w:top w:val="none" w:sz="0" w:space="0" w:color="auto"/>
        <w:left w:val="none" w:sz="0" w:space="0" w:color="auto"/>
        <w:bottom w:val="none" w:sz="0" w:space="0" w:color="auto"/>
        <w:right w:val="none" w:sz="0" w:space="0" w:color="auto"/>
      </w:divBdr>
    </w:div>
    <w:div w:id="1195192702">
      <w:bodyDiv w:val="1"/>
      <w:marLeft w:val="0"/>
      <w:marRight w:val="0"/>
      <w:marTop w:val="0"/>
      <w:marBottom w:val="0"/>
      <w:divBdr>
        <w:top w:val="none" w:sz="0" w:space="0" w:color="auto"/>
        <w:left w:val="none" w:sz="0" w:space="0" w:color="auto"/>
        <w:bottom w:val="none" w:sz="0" w:space="0" w:color="auto"/>
        <w:right w:val="none" w:sz="0" w:space="0" w:color="auto"/>
      </w:divBdr>
    </w:div>
    <w:div w:id="1200895265">
      <w:bodyDiv w:val="1"/>
      <w:marLeft w:val="0"/>
      <w:marRight w:val="0"/>
      <w:marTop w:val="0"/>
      <w:marBottom w:val="0"/>
      <w:divBdr>
        <w:top w:val="none" w:sz="0" w:space="0" w:color="auto"/>
        <w:left w:val="none" w:sz="0" w:space="0" w:color="auto"/>
        <w:bottom w:val="none" w:sz="0" w:space="0" w:color="auto"/>
        <w:right w:val="none" w:sz="0" w:space="0" w:color="auto"/>
      </w:divBdr>
    </w:div>
    <w:div w:id="1202018784">
      <w:bodyDiv w:val="1"/>
      <w:marLeft w:val="0"/>
      <w:marRight w:val="0"/>
      <w:marTop w:val="0"/>
      <w:marBottom w:val="0"/>
      <w:divBdr>
        <w:top w:val="none" w:sz="0" w:space="0" w:color="auto"/>
        <w:left w:val="none" w:sz="0" w:space="0" w:color="auto"/>
        <w:bottom w:val="none" w:sz="0" w:space="0" w:color="auto"/>
        <w:right w:val="none" w:sz="0" w:space="0" w:color="auto"/>
      </w:divBdr>
    </w:div>
    <w:div w:id="1204560124">
      <w:bodyDiv w:val="1"/>
      <w:marLeft w:val="0"/>
      <w:marRight w:val="0"/>
      <w:marTop w:val="0"/>
      <w:marBottom w:val="0"/>
      <w:divBdr>
        <w:top w:val="none" w:sz="0" w:space="0" w:color="auto"/>
        <w:left w:val="none" w:sz="0" w:space="0" w:color="auto"/>
        <w:bottom w:val="none" w:sz="0" w:space="0" w:color="auto"/>
        <w:right w:val="none" w:sz="0" w:space="0" w:color="auto"/>
      </w:divBdr>
    </w:div>
    <w:div w:id="1204560348">
      <w:bodyDiv w:val="1"/>
      <w:marLeft w:val="0"/>
      <w:marRight w:val="0"/>
      <w:marTop w:val="0"/>
      <w:marBottom w:val="0"/>
      <w:divBdr>
        <w:top w:val="none" w:sz="0" w:space="0" w:color="auto"/>
        <w:left w:val="none" w:sz="0" w:space="0" w:color="auto"/>
        <w:bottom w:val="none" w:sz="0" w:space="0" w:color="auto"/>
        <w:right w:val="none" w:sz="0" w:space="0" w:color="auto"/>
      </w:divBdr>
    </w:div>
    <w:div w:id="1206597635">
      <w:bodyDiv w:val="1"/>
      <w:marLeft w:val="0"/>
      <w:marRight w:val="0"/>
      <w:marTop w:val="0"/>
      <w:marBottom w:val="0"/>
      <w:divBdr>
        <w:top w:val="none" w:sz="0" w:space="0" w:color="auto"/>
        <w:left w:val="none" w:sz="0" w:space="0" w:color="auto"/>
        <w:bottom w:val="none" w:sz="0" w:space="0" w:color="auto"/>
        <w:right w:val="none" w:sz="0" w:space="0" w:color="auto"/>
      </w:divBdr>
    </w:div>
    <w:div w:id="1213079353">
      <w:bodyDiv w:val="1"/>
      <w:marLeft w:val="0"/>
      <w:marRight w:val="0"/>
      <w:marTop w:val="0"/>
      <w:marBottom w:val="0"/>
      <w:divBdr>
        <w:top w:val="none" w:sz="0" w:space="0" w:color="auto"/>
        <w:left w:val="none" w:sz="0" w:space="0" w:color="auto"/>
        <w:bottom w:val="none" w:sz="0" w:space="0" w:color="auto"/>
        <w:right w:val="none" w:sz="0" w:space="0" w:color="auto"/>
      </w:divBdr>
    </w:div>
    <w:div w:id="1214200031">
      <w:bodyDiv w:val="1"/>
      <w:marLeft w:val="0"/>
      <w:marRight w:val="0"/>
      <w:marTop w:val="0"/>
      <w:marBottom w:val="0"/>
      <w:divBdr>
        <w:top w:val="none" w:sz="0" w:space="0" w:color="auto"/>
        <w:left w:val="none" w:sz="0" w:space="0" w:color="auto"/>
        <w:bottom w:val="none" w:sz="0" w:space="0" w:color="auto"/>
        <w:right w:val="none" w:sz="0" w:space="0" w:color="auto"/>
      </w:divBdr>
    </w:div>
    <w:div w:id="1232041425">
      <w:bodyDiv w:val="1"/>
      <w:marLeft w:val="0"/>
      <w:marRight w:val="0"/>
      <w:marTop w:val="0"/>
      <w:marBottom w:val="0"/>
      <w:divBdr>
        <w:top w:val="none" w:sz="0" w:space="0" w:color="auto"/>
        <w:left w:val="none" w:sz="0" w:space="0" w:color="auto"/>
        <w:bottom w:val="none" w:sz="0" w:space="0" w:color="auto"/>
        <w:right w:val="none" w:sz="0" w:space="0" w:color="auto"/>
      </w:divBdr>
    </w:div>
    <w:div w:id="1234006775">
      <w:bodyDiv w:val="1"/>
      <w:marLeft w:val="0"/>
      <w:marRight w:val="0"/>
      <w:marTop w:val="0"/>
      <w:marBottom w:val="0"/>
      <w:divBdr>
        <w:top w:val="none" w:sz="0" w:space="0" w:color="auto"/>
        <w:left w:val="none" w:sz="0" w:space="0" w:color="auto"/>
        <w:bottom w:val="none" w:sz="0" w:space="0" w:color="auto"/>
        <w:right w:val="none" w:sz="0" w:space="0" w:color="auto"/>
      </w:divBdr>
    </w:div>
    <w:div w:id="1234437437">
      <w:bodyDiv w:val="1"/>
      <w:marLeft w:val="0"/>
      <w:marRight w:val="0"/>
      <w:marTop w:val="0"/>
      <w:marBottom w:val="0"/>
      <w:divBdr>
        <w:top w:val="none" w:sz="0" w:space="0" w:color="auto"/>
        <w:left w:val="none" w:sz="0" w:space="0" w:color="auto"/>
        <w:bottom w:val="none" w:sz="0" w:space="0" w:color="auto"/>
        <w:right w:val="none" w:sz="0" w:space="0" w:color="auto"/>
      </w:divBdr>
    </w:div>
    <w:div w:id="1245069651">
      <w:bodyDiv w:val="1"/>
      <w:marLeft w:val="0"/>
      <w:marRight w:val="0"/>
      <w:marTop w:val="0"/>
      <w:marBottom w:val="0"/>
      <w:divBdr>
        <w:top w:val="none" w:sz="0" w:space="0" w:color="auto"/>
        <w:left w:val="none" w:sz="0" w:space="0" w:color="auto"/>
        <w:bottom w:val="none" w:sz="0" w:space="0" w:color="auto"/>
        <w:right w:val="none" w:sz="0" w:space="0" w:color="auto"/>
      </w:divBdr>
    </w:div>
    <w:div w:id="1249343037">
      <w:bodyDiv w:val="1"/>
      <w:marLeft w:val="0"/>
      <w:marRight w:val="0"/>
      <w:marTop w:val="0"/>
      <w:marBottom w:val="0"/>
      <w:divBdr>
        <w:top w:val="none" w:sz="0" w:space="0" w:color="auto"/>
        <w:left w:val="none" w:sz="0" w:space="0" w:color="auto"/>
        <w:bottom w:val="none" w:sz="0" w:space="0" w:color="auto"/>
        <w:right w:val="none" w:sz="0" w:space="0" w:color="auto"/>
      </w:divBdr>
    </w:div>
    <w:div w:id="1251239498">
      <w:bodyDiv w:val="1"/>
      <w:marLeft w:val="0"/>
      <w:marRight w:val="0"/>
      <w:marTop w:val="0"/>
      <w:marBottom w:val="0"/>
      <w:divBdr>
        <w:top w:val="none" w:sz="0" w:space="0" w:color="auto"/>
        <w:left w:val="none" w:sz="0" w:space="0" w:color="auto"/>
        <w:bottom w:val="none" w:sz="0" w:space="0" w:color="auto"/>
        <w:right w:val="none" w:sz="0" w:space="0" w:color="auto"/>
      </w:divBdr>
    </w:div>
    <w:div w:id="1254633478">
      <w:bodyDiv w:val="1"/>
      <w:marLeft w:val="0"/>
      <w:marRight w:val="0"/>
      <w:marTop w:val="0"/>
      <w:marBottom w:val="0"/>
      <w:divBdr>
        <w:top w:val="none" w:sz="0" w:space="0" w:color="auto"/>
        <w:left w:val="none" w:sz="0" w:space="0" w:color="auto"/>
        <w:bottom w:val="none" w:sz="0" w:space="0" w:color="auto"/>
        <w:right w:val="none" w:sz="0" w:space="0" w:color="auto"/>
      </w:divBdr>
    </w:div>
    <w:div w:id="1257983307">
      <w:bodyDiv w:val="1"/>
      <w:marLeft w:val="0"/>
      <w:marRight w:val="0"/>
      <w:marTop w:val="0"/>
      <w:marBottom w:val="0"/>
      <w:divBdr>
        <w:top w:val="none" w:sz="0" w:space="0" w:color="auto"/>
        <w:left w:val="none" w:sz="0" w:space="0" w:color="auto"/>
        <w:bottom w:val="none" w:sz="0" w:space="0" w:color="auto"/>
        <w:right w:val="none" w:sz="0" w:space="0" w:color="auto"/>
      </w:divBdr>
    </w:div>
    <w:div w:id="1266114227">
      <w:bodyDiv w:val="1"/>
      <w:marLeft w:val="0"/>
      <w:marRight w:val="0"/>
      <w:marTop w:val="0"/>
      <w:marBottom w:val="0"/>
      <w:divBdr>
        <w:top w:val="none" w:sz="0" w:space="0" w:color="auto"/>
        <w:left w:val="none" w:sz="0" w:space="0" w:color="auto"/>
        <w:bottom w:val="none" w:sz="0" w:space="0" w:color="auto"/>
        <w:right w:val="none" w:sz="0" w:space="0" w:color="auto"/>
      </w:divBdr>
    </w:div>
    <w:div w:id="1266690224">
      <w:bodyDiv w:val="1"/>
      <w:marLeft w:val="0"/>
      <w:marRight w:val="0"/>
      <w:marTop w:val="0"/>
      <w:marBottom w:val="0"/>
      <w:divBdr>
        <w:top w:val="none" w:sz="0" w:space="0" w:color="auto"/>
        <w:left w:val="none" w:sz="0" w:space="0" w:color="auto"/>
        <w:bottom w:val="none" w:sz="0" w:space="0" w:color="auto"/>
        <w:right w:val="none" w:sz="0" w:space="0" w:color="auto"/>
      </w:divBdr>
    </w:div>
    <w:div w:id="1270746437">
      <w:bodyDiv w:val="1"/>
      <w:marLeft w:val="0"/>
      <w:marRight w:val="0"/>
      <w:marTop w:val="0"/>
      <w:marBottom w:val="0"/>
      <w:divBdr>
        <w:top w:val="none" w:sz="0" w:space="0" w:color="auto"/>
        <w:left w:val="none" w:sz="0" w:space="0" w:color="auto"/>
        <w:bottom w:val="none" w:sz="0" w:space="0" w:color="auto"/>
        <w:right w:val="none" w:sz="0" w:space="0" w:color="auto"/>
      </w:divBdr>
    </w:div>
    <w:div w:id="1271400079">
      <w:bodyDiv w:val="1"/>
      <w:marLeft w:val="0"/>
      <w:marRight w:val="0"/>
      <w:marTop w:val="0"/>
      <w:marBottom w:val="0"/>
      <w:divBdr>
        <w:top w:val="none" w:sz="0" w:space="0" w:color="auto"/>
        <w:left w:val="none" w:sz="0" w:space="0" w:color="auto"/>
        <w:bottom w:val="none" w:sz="0" w:space="0" w:color="auto"/>
        <w:right w:val="none" w:sz="0" w:space="0" w:color="auto"/>
      </w:divBdr>
    </w:div>
    <w:div w:id="1275094524">
      <w:bodyDiv w:val="1"/>
      <w:marLeft w:val="0"/>
      <w:marRight w:val="0"/>
      <w:marTop w:val="0"/>
      <w:marBottom w:val="0"/>
      <w:divBdr>
        <w:top w:val="none" w:sz="0" w:space="0" w:color="auto"/>
        <w:left w:val="none" w:sz="0" w:space="0" w:color="auto"/>
        <w:bottom w:val="none" w:sz="0" w:space="0" w:color="auto"/>
        <w:right w:val="none" w:sz="0" w:space="0" w:color="auto"/>
      </w:divBdr>
    </w:div>
    <w:div w:id="1276060801">
      <w:bodyDiv w:val="1"/>
      <w:marLeft w:val="0"/>
      <w:marRight w:val="0"/>
      <w:marTop w:val="0"/>
      <w:marBottom w:val="0"/>
      <w:divBdr>
        <w:top w:val="none" w:sz="0" w:space="0" w:color="auto"/>
        <w:left w:val="none" w:sz="0" w:space="0" w:color="auto"/>
        <w:bottom w:val="none" w:sz="0" w:space="0" w:color="auto"/>
        <w:right w:val="none" w:sz="0" w:space="0" w:color="auto"/>
      </w:divBdr>
    </w:div>
    <w:div w:id="1284769370">
      <w:bodyDiv w:val="1"/>
      <w:marLeft w:val="0"/>
      <w:marRight w:val="0"/>
      <w:marTop w:val="0"/>
      <w:marBottom w:val="0"/>
      <w:divBdr>
        <w:top w:val="none" w:sz="0" w:space="0" w:color="auto"/>
        <w:left w:val="none" w:sz="0" w:space="0" w:color="auto"/>
        <w:bottom w:val="none" w:sz="0" w:space="0" w:color="auto"/>
        <w:right w:val="none" w:sz="0" w:space="0" w:color="auto"/>
      </w:divBdr>
    </w:div>
    <w:div w:id="1285966344">
      <w:bodyDiv w:val="1"/>
      <w:marLeft w:val="0"/>
      <w:marRight w:val="0"/>
      <w:marTop w:val="0"/>
      <w:marBottom w:val="0"/>
      <w:divBdr>
        <w:top w:val="none" w:sz="0" w:space="0" w:color="auto"/>
        <w:left w:val="none" w:sz="0" w:space="0" w:color="auto"/>
        <w:bottom w:val="none" w:sz="0" w:space="0" w:color="auto"/>
        <w:right w:val="none" w:sz="0" w:space="0" w:color="auto"/>
      </w:divBdr>
    </w:div>
    <w:div w:id="1287201277">
      <w:bodyDiv w:val="1"/>
      <w:marLeft w:val="0"/>
      <w:marRight w:val="0"/>
      <w:marTop w:val="0"/>
      <w:marBottom w:val="0"/>
      <w:divBdr>
        <w:top w:val="none" w:sz="0" w:space="0" w:color="auto"/>
        <w:left w:val="none" w:sz="0" w:space="0" w:color="auto"/>
        <w:bottom w:val="none" w:sz="0" w:space="0" w:color="auto"/>
        <w:right w:val="none" w:sz="0" w:space="0" w:color="auto"/>
      </w:divBdr>
    </w:div>
    <w:div w:id="1299458254">
      <w:bodyDiv w:val="1"/>
      <w:marLeft w:val="0"/>
      <w:marRight w:val="0"/>
      <w:marTop w:val="0"/>
      <w:marBottom w:val="0"/>
      <w:divBdr>
        <w:top w:val="none" w:sz="0" w:space="0" w:color="auto"/>
        <w:left w:val="none" w:sz="0" w:space="0" w:color="auto"/>
        <w:bottom w:val="none" w:sz="0" w:space="0" w:color="auto"/>
        <w:right w:val="none" w:sz="0" w:space="0" w:color="auto"/>
      </w:divBdr>
    </w:div>
    <w:div w:id="1300264289">
      <w:bodyDiv w:val="1"/>
      <w:marLeft w:val="0"/>
      <w:marRight w:val="0"/>
      <w:marTop w:val="0"/>
      <w:marBottom w:val="0"/>
      <w:divBdr>
        <w:top w:val="none" w:sz="0" w:space="0" w:color="auto"/>
        <w:left w:val="none" w:sz="0" w:space="0" w:color="auto"/>
        <w:bottom w:val="none" w:sz="0" w:space="0" w:color="auto"/>
        <w:right w:val="none" w:sz="0" w:space="0" w:color="auto"/>
      </w:divBdr>
    </w:div>
    <w:div w:id="1300526825">
      <w:bodyDiv w:val="1"/>
      <w:marLeft w:val="0"/>
      <w:marRight w:val="0"/>
      <w:marTop w:val="0"/>
      <w:marBottom w:val="0"/>
      <w:divBdr>
        <w:top w:val="none" w:sz="0" w:space="0" w:color="auto"/>
        <w:left w:val="none" w:sz="0" w:space="0" w:color="auto"/>
        <w:bottom w:val="none" w:sz="0" w:space="0" w:color="auto"/>
        <w:right w:val="none" w:sz="0" w:space="0" w:color="auto"/>
      </w:divBdr>
    </w:div>
    <w:div w:id="1300569252">
      <w:bodyDiv w:val="1"/>
      <w:marLeft w:val="0"/>
      <w:marRight w:val="0"/>
      <w:marTop w:val="0"/>
      <w:marBottom w:val="0"/>
      <w:divBdr>
        <w:top w:val="none" w:sz="0" w:space="0" w:color="auto"/>
        <w:left w:val="none" w:sz="0" w:space="0" w:color="auto"/>
        <w:bottom w:val="none" w:sz="0" w:space="0" w:color="auto"/>
        <w:right w:val="none" w:sz="0" w:space="0" w:color="auto"/>
      </w:divBdr>
    </w:div>
    <w:div w:id="1302005284">
      <w:bodyDiv w:val="1"/>
      <w:marLeft w:val="0"/>
      <w:marRight w:val="0"/>
      <w:marTop w:val="0"/>
      <w:marBottom w:val="0"/>
      <w:divBdr>
        <w:top w:val="none" w:sz="0" w:space="0" w:color="auto"/>
        <w:left w:val="none" w:sz="0" w:space="0" w:color="auto"/>
        <w:bottom w:val="none" w:sz="0" w:space="0" w:color="auto"/>
        <w:right w:val="none" w:sz="0" w:space="0" w:color="auto"/>
      </w:divBdr>
    </w:div>
    <w:div w:id="1305307963">
      <w:bodyDiv w:val="1"/>
      <w:marLeft w:val="0"/>
      <w:marRight w:val="0"/>
      <w:marTop w:val="0"/>
      <w:marBottom w:val="0"/>
      <w:divBdr>
        <w:top w:val="none" w:sz="0" w:space="0" w:color="auto"/>
        <w:left w:val="none" w:sz="0" w:space="0" w:color="auto"/>
        <w:bottom w:val="none" w:sz="0" w:space="0" w:color="auto"/>
        <w:right w:val="none" w:sz="0" w:space="0" w:color="auto"/>
      </w:divBdr>
    </w:div>
    <w:div w:id="1311053619">
      <w:bodyDiv w:val="1"/>
      <w:marLeft w:val="0"/>
      <w:marRight w:val="0"/>
      <w:marTop w:val="0"/>
      <w:marBottom w:val="0"/>
      <w:divBdr>
        <w:top w:val="none" w:sz="0" w:space="0" w:color="auto"/>
        <w:left w:val="none" w:sz="0" w:space="0" w:color="auto"/>
        <w:bottom w:val="none" w:sz="0" w:space="0" w:color="auto"/>
        <w:right w:val="none" w:sz="0" w:space="0" w:color="auto"/>
      </w:divBdr>
    </w:div>
    <w:div w:id="1313408517">
      <w:bodyDiv w:val="1"/>
      <w:marLeft w:val="0"/>
      <w:marRight w:val="0"/>
      <w:marTop w:val="0"/>
      <w:marBottom w:val="0"/>
      <w:divBdr>
        <w:top w:val="none" w:sz="0" w:space="0" w:color="auto"/>
        <w:left w:val="none" w:sz="0" w:space="0" w:color="auto"/>
        <w:bottom w:val="none" w:sz="0" w:space="0" w:color="auto"/>
        <w:right w:val="none" w:sz="0" w:space="0" w:color="auto"/>
      </w:divBdr>
    </w:div>
    <w:div w:id="1313681680">
      <w:bodyDiv w:val="1"/>
      <w:marLeft w:val="0"/>
      <w:marRight w:val="0"/>
      <w:marTop w:val="0"/>
      <w:marBottom w:val="0"/>
      <w:divBdr>
        <w:top w:val="none" w:sz="0" w:space="0" w:color="auto"/>
        <w:left w:val="none" w:sz="0" w:space="0" w:color="auto"/>
        <w:bottom w:val="none" w:sz="0" w:space="0" w:color="auto"/>
        <w:right w:val="none" w:sz="0" w:space="0" w:color="auto"/>
      </w:divBdr>
    </w:div>
    <w:div w:id="1321348129">
      <w:bodyDiv w:val="1"/>
      <w:marLeft w:val="0"/>
      <w:marRight w:val="0"/>
      <w:marTop w:val="0"/>
      <w:marBottom w:val="0"/>
      <w:divBdr>
        <w:top w:val="none" w:sz="0" w:space="0" w:color="auto"/>
        <w:left w:val="none" w:sz="0" w:space="0" w:color="auto"/>
        <w:bottom w:val="none" w:sz="0" w:space="0" w:color="auto"/>
        <w:right w:val="none" w:sz="0" w:space="0" w:color="auto"/>
      </w:divBdr>
    </w:div>
    <w:div w:id="1322583785">
      <w:bodyDiv w:val="1"/>
      <w:marLeft w:val="0"/>
      <w:marRight w:val="0"/>
      <w:marTop w:val="0"/>
      <w:marBottom w:val="0"/>
      <w:divBdr>
        <w:top w:val="none" w:sz="0" w:space="0" w:color="auto"/>
        <w:left w:val="none" w:sz="0" w:space="0" w:color="auto"/>
        <w:bottom w:val="none" w:sz="0" w:space="0" w:color="auto"/>
        <w:right w:val="none" w:sz="0" w:space="0" w:color="auto"/>
      </w:divBdr>
    </w:div>
    <w:div w:id="1323924534">
      <w:bodyDiv w:val="1"/>
      <w:marLeft w:val="0"/>
      <w:marRight w:val="0"/>
      <w:marTop w:val="0"/>
      <w:marBottom w:val="0"/>
      <w:divBdr>
        <w:top w:val="none" w:sz="0" w:space="0" w:color="auto"/>
        <w:left w:val="none" w:sz="0" w:space="0" w:color="auto"/>
        <w:bottom w:val="none" w:sz="0" w:space="0" w:color="auto"/>
        <w:right w:val="none" w:sz="0" w:space="0" w:color="auto"/>
      </w:divBdr>
    </w:div>
    <w:div w:id="1331250874">
      <w:bodyDiv w:val="1"/>
      <w:marLeft w:val="0"/>
      <w:marRight w:val="0"/>
      <w:marTop w:val="0"/>
      <w:marBottom w:val="0"/>
      <w:divBdr>
        <w:top w:val="none" w:sz="0" w:space="0" w:color="auto"/>
        <w:left w:val="none" w:sz="0" w:space="0" w:color="auto"/>
        <w:bottom w:val="none" w:sz="0" w:space="0" w:color="auto"/>
        <w:right w:val="none" w:sz="0" w:space="0" w:color="auto"/>
      </w:divBdr>
    </w:div>
    <w:div w:id="1331714251">
      <w:bodyDiv w:val="1"/>
      <w:marLeft w:val="0"/>
      <w:marRight w:val="0"/>
      <w:marTop w:val="0"/>
      <w:marBottom w:val="0"/>
      <w:divBdr>
        <w:top w:val="none" w:sz="0" w:space="0" w:color="auto"/>
        <w:left w:val="none" w:sz="0" w:space="0" w:color="auto"/>
        <w:bottom w:val="none" w:sz="0" w:space="0" w:color="auto"/>
        <w:right w:val="none" w:sz="0" w:space="0" w:color="auto"/>
      </w:divBdr>
    </w:div>
    <w:div w:id="1331981704">
      <w:bodyDiv w:val="1"/>
      <w:marLeft w:val="0"/>
      <w:marRight w:val="0"/>
      <w:marTop w:val="0"/>
      <w:marBottom w:val="0"/>
      <w:divBdr>
        <w:top w:val="none" w:sz="0" w:space="0" w:color="auto"/>
        <w:left w:val="none" w:sz="0" w:space="0" w:color="auto"/>
        <w:bottom w:val="none" w:sz="0" w:space="0" w:color="auto"/>
        <w:right w:val="none" w:sz="0" w:space="0" w:color="auto"/>
      </w:divBdr>
    </w:div>
    <w:div w:id="1337877432">
      <w:bodyDiv w:val="1"/>
      <w:marLeft w:val="0"/>
      <w:marRight w:val="0"/>
      <w:marTop w:val="0"/>
      <w:marBottom w:val="0"/>
      <w:divBdr>
        <w:top w:val="none" w:sz="0" w:space="0" w:color="auto"/>
        <w:left w:val="none" w:sz="0" w:space="0" w:color="auto"/>
        <w:bottom w:val="none" w:sz="0" w:space="0" w:color="auto"/>
        <w:right w:val="none" w:sz="0" w:space="0" w:color="auto"/>
      </w:divBdr>
    </w:div>
    <w:div w:id="1338116756">
      <w:bodyDiv w:val="1"/>
      <w:marLeft w:val="0"/>
      <w:marRight w:val="0"/>
      <w:marTop w:val="0"/>
      <w:marBottom w:val="0"/>
      <w:divBdr>
        <w:top w:val="none" w:sz="0" w:space="0" w:color="auto"/>
        <w:left w:val="none" w:sz="0" w:space="0" w:color="auto"/>
        <w:bottom w:val="none" w:sz="0" w:space="0" w:color="auto"/>
        <w:right w:val="none" w:sz="0" w:space="0" w:color="auto"/>
      </w:divBdr>
    </w:div>
    <w:div w:id="1338266130">
      <w:bodyDiv w:val="1"/>
      <w:marLeft w:val="0"/>
      <w:marRight w:val="0"/>
      <w:marTop w:val="0"/>
      <w:marBottom w:val="0"/>
      <w:divBdr>
        <w:top w:val="none" w:sz="0" w:space="0" w:color="auto"/>
        <w:left w:val="none" w:sz="0" w:space="0" w:color="auto"/>
        <w:bottom w:val="none" w:sz="0" w:space="0" w:color="auto"/>
        <w:right w:val="none" w:sz="0" w:space="0" w:color="auto"/>
      </w:divBdr>
    </w:div>
    <w:div w:id="1345983269">
      <w:bodyDiv w:val="1"/>
      <w:marLeft w:val="0"/>
      <w:marRight w:val="0"/>
      <w:marTop w:val="0"/>
      <w:marBottom w:val="0"/>
      <w:divBdr>
        <w:top w:val="none" w:sz="0" w:space="0" w:color="auto"/>
        <w:left w:val="none" w:sz="0" w:space="0" w:color="auto"/>
        <w:bottom w:val="none" w:sz="0" w:space="0" w:color="auto"/>
        <w:right w:val="none" w:sz="0" w:space="0" w:color="auto"/>
      </w:divBdr>
    </w:div>
    <w:div w:id="1351684736">
      <w:bodyDiv w:val="1"/>
      <w:marLeft w:val="0"/>
      <w:marRight w:val="0"/>
      <w:marTop w:val="0"/>
      <w:marBottom w:val="0"/>
      <w:divBdr>
        <w:top w:val="none" w:sz="0" w:space="0" w:color="auto"/>
        <w:left w:val="none" w:sz="0" w:space="0" w:color="auto"/>
        <w:bottom w:val="none" w:sz="0" w:space="0" w:color="auto"/>
        <w:right w:val="none" w:sz="0" w:space="0" w:color="auto"/>
      </w:divBdr>
    </w:div>
    <w:div w:id="1354116992">
      <w:bodyDiv w:val="1"/>
      <w:marLeft w:val="0"/>
      <w:marRight w:val="0"/>
      <w:marTop w:val="0"/>
      <w:marBottom w:val="0"/>
      <w:divBdr>
        <w:top w:val="none" w:sz="0" w:space="0" w:color="auto"/>
        <w:left w:val="none" w:sz="0" w:space="0" w:color="auto"/>
        <w:bottom w:val="none" w:sz="0" w:space="0" w:color="auto"/>
        <w:right w:val="none" w:sz="0" w:space="0" w:color="auto"/>
      </w:divBdr>
    </w:div>
    <w:div w:id="1359625374">
      <w:bodyDiv w:val="1"/>
      <w:marLeft w:val="0"/>
      <w:marRight w:val="0"/>
      <w:marTop w:val="0"/>
      <w:marBottom w:val="0"/>
      <w:divBdr>
        <w:top w:val="none" w:sz="0" w:space="0" w:color="auto"/>
        <w:left w:val="none" w:sz="0" w:space="0" w:color="auto"/>
        <w:bottom w:val="none" w:sz="0" w:space="0" w:color="auto"/>
        <w:right w:val="none" w:sz="0" w:space="0" w:color="auto"/>
      </w:divBdr>
    </w:div>
    <w:div w:id="1361541675">
      <w:bodyDiv w:val="1"/>
      <w:marLeft w:val="0"/>
      <w:marRight w:val="0"/>
      <w:marTop w:val="0"/>
      <w:marBottom w:val="0"/>
      <w:divBdr>
        <w:top w:val="none" w:sz="0" w:space="0" w:color="auto"/>
        <w:left w:val="none" w:sz="0" w:space="0" w:color="auto"/>
        <w:bottom w:val="none" w:sz="0" w:space="0" w:color="auto"/>
        <w:right w:val="none" w:sz="0" w:space="0" w:color="auto"/>
      </w:divBdr>
    </w:div>
    <w:div w:id="1362828723">
      <w:bodyDiv w:val="1"/>
      <w:marLeft w:val="0"/>
      <w:marRight w:val="0"/>
      <w:marTop w:val="0"/>
      <w:marBottom w:val="0"/>
      <w:divBdr>
        <w:top w:val="none" w:sz="0" w:space="0" w:color="auto"/>
        <w:left w:val="none" w:sz="0" w:space="0" w:color="auto"/>
        <w:bottom w:val="none" w:sz="0" w:space="0" w:color="auto"/>
        <w:right w:val="none" w:sz="0" w:space="0" w:color="auto"/>
      </w:divBdr>
    </w:div>
    <w:div w:id="1384718063">
      <w:bodyDiv w:val="1"/>
      <w:marLeft w:val="0"/>
      <w:marRight w:val="0"/>
      <w:marTop w:val="0"/>
      <w:marBottom w:val="0"/>
      <w:divBdr>
        <w:top w:val="none" w:sz="0" w:space="0" w:color="auto"/>
        <w:left w:val="none" w:sz="0" w:space="0" w:color="auto"/>
        <w:bottom w:val="none" w:sz="0" w:space="0" w:color="auto"/>
        <w:right w:val="none" w:sz="0" w:space="0" w:color="auto"/>
      </w:divBdr>
    </w:div>
    <w:div w:id="1390297738">
      <w:bodyDiv w:val="1"/>
      <w:marLeft w:val="0"/>
      <w:marRight w:val="0"/>
      <w:marTop w:val="0"/>
      <w:marBottom w:val="0"/>
      <w:divBdr>
        <w:top w:val="none" w:sz="0" w:space="0" w:color="auto"/>
        <w:left w:val="none" w:sz="0" w:space="0" w:color="auto"/>
        <w:bottom w:val="none" w:sz="0" w:space="0" w:color="auto"/>
        <w:right w:val="none" w:sz="0" w:space="0" w:color="auto"/>
      </w:divBdr>
    </w:div>
    <w:div w:id="1391809395">
      <w:bodyDiv w:val="1"/>
      <w:marLeft w:val="0"/>
      <w:marRight w:val="0"/>
      <w:marTop w:val="0"/>
      <w:marBottom w:val="0"/>
      <w:divBdr>
        <w:top w:val="none" w:sz="0" w:space="0" w:color="auto"/>
        <w:left w:val="none" w:sz="0" w:space="0" w:color="auto"/>
        <w:bottom w:val="none" w:sz="0" w:space="0" w:color="auto"/>
        <w:right w:val="none" w:sz="0" w:space="0" w:color="auto"/>
      </w:divBdr>
    </w:div>
    <w:div w:id="1392264563">
      <w:bodyDiv w:val="1"/>
      <w:marLeft w:val="0"/>
      <w:marRight w:val="0"/>
      <w:marTop w:val="0"/>
      <w:marBottom w:val="0"/>
      <w:divBdr>
        <w:top w:val="none" w:sz="0" w:space="0" w:color="auto"/>
        <w:left w:val="none" w:sz="0" w:space="0" w:color="auto"/>
        <w:bottom w:val="none" w:sz="0" w:space="0" w:color="auto"/>
        <w:right w:val="none" w:sz="0" w:space="0" w:color="auto"/>
      </w:divBdr>
    </w:div>
    <w:div w:id="1398015116">
      <w:bodyDiv w:val="1"/>
      <w:marLeft w:val="0"/>
      <w:marRight w:val="0"/>
      <w:marTop w:val="0"/>
      <w:marBottom w:val="0"/>
      <w:divBdr>
        <w:top w:val="none" w:sz="0" w:space="0" w:color="auto"/>
        <w:left w:val="none" w:sz="0" w:space="0" w:color="auto"/>
        <w:bottom w:val="none" w:sz="0" w:space="0" w:color="auto"/>
        <w:right w:val="none" w:sz="0" w:space="0" w:color="auto"/>
      </w:divBdr>
    </w:div>
    <w:div w:id="1399285439">
      <w:bodyDiv w:val="1"/>
      <w:marLeft w:val="0"/>
      <w:marRight w:val="0"/>
      <w:marTop w:val="0"/>
      <w:marBottom w:val="0"/>
      <w:divBdr>
        <w:top w:val="none" w:sz="0" w:space="0" w:color="auto"/>
        <w:left w:val="none" w:sz="0" w:space="0" w:color="auto"/>
        <w:bottom w:val="none" w:sz="0" w:space="0" w:color="auto"/>
        <w:right w:val="none" w:sz="0" w:space="0" w:color="auto"/>
      </w:divBdr>
    </w:div>
    <w:div w:id="1403676376">
      <w:bodyDiv w:val="1"/>
      <w:marLeft w:val="0"/>
      <w:marRight w:val="0"/>
      <w:marTop w:val="0"/>
      <w:marBottom w:val="0"/>
      <w:divBdr>
        <w:top w:val="none" w:sz="0" w:space="0" w:color="auto"/>
        <w:left w:val="none" w:sz="0" w:space="0" w:color="auto"/>
        <w:bottom w:val="none" w:sz="0" w:space="0" w:color="auto"/>
        <w:right w:val="none" w:sz="0" w:space="0" w:color="auto"/>
      </w:divBdr>
    </w:div>
    <w:div w:id="1409381386">
      <w:bodyDiv w:val="1"/>
      <w:marLeft w:val="0"/>
      <w:marRight w:val="0"/>
      <w:marTop w:val="0"/>
      <w:marBottom w:val="0"/>
      <w:divBdr>
        <w:top w:val="none" w:sz="0" w:space="0" w:color="auto"/>
        <w:left w:val="none" w:sz="0" w:space="0" w:color="auto"/>
        <w:bottom w:val="none" w:sz="0" w:space="0" w:color="auto"/>
        <w:right w:val="none" w:sz="0" w:space="0" w:color="auto"/>
      </w:divBdr>
    </w:div>
    <w:div w:id="1409616614">
      <w:bodyDiv w:val="1"/>
      <w:marLeft w:val="0"/>
      <w:marRight w:val="0"/>
      <w:marTop w:val="0"/>
      <w:marBottom w:val="0"/>
      <w:divBdr>
        <w:top w:val="none" w:sz="0" w:space="0" w:color="auto"/>
        <w:left w:val="none" w:sz="0" w:space="0" w:color="auto"/>
        <w:bottom w:val="none" w:sz="0" w:space="0" w:color="auto"/>
        <w:right w:val="none" w:sz="0" w:space="0" w:color="auto"/>
      </w:divBdr>
    </w:div>
    <w:div w:id="1412314453">
      <w:bodyDiv w:val="1"/>
      <w:marLeft w:val="0"/>
      <w:marRight w:val="0"/>
      <w:marTop w:val="0"/>
      <w:marBottom w:val="0"/>
      <w:divBdr>
        <w:top w:val="none" w:sz="0" w:space="0" w:color="auto"/>
        <w:left w:val="none" w:sz="0" w:space="0" w:color="auto"/>
        <w:bottom w:val="none" w:sz="0" w:space="0" w:color="auto"/>
        <w:right w:val="none" w:sz="0" w:space="0" w:color="auto"/>
      </w:divBdr>
    </w:div>
    <w:div w:id="1412695613">
      <w:bodyDiv w:val="1"/>
      <w:marLeft w:val="0"/>
      <w:marRight w:val="0"/>
      <w:marTop w:val="0"/>
      <w:marBottom w:val="0"/>
      <w:divBdr>
        <w:top w:val="none" w:sz="0" w:space="0" w:color="auto"/>
        <w:left w:val="none" w:sz="0" w:space="0" w:color="auto"/>
        <w:bottom w:val="none" w:sz="0" w:space="0" w:color="auto"/>
        <w:right w:val="none" w:sz="0" w:space="0" w:color="auto"/>
      </w:divBdr>
    </w:div>
    <w:div w:id="1414930733">
      <w:bodyDiv w:val="1"/>
      <w:marLeft w:val="0"/>
      <w:marRight w:val="0"/>
      <w:marTop w:val="0"/>
      <w:marBottom w:val="0"/>
      <w:divBdr>
        <w:top w:val="none" w:sz="0" w:space="0" w:color="auto"/>
        <w:left w:val="none" w:sz="0" w:space="0" w:color="auto"/>
        <w:bottom w:val="none" w:sz="0" w:space="0" w:color="auto"/>
        <w:right w:val="none" w:sz="0" w:space="0" w:color="auto"/>
      </w:divBdr>
    </w:div>
    <w:div w:id="1420715742">
      <w:bodyDiv w:val="1"/>
      <w:marLeft w:val="0"/>
      <w:marRight w:val="0"/>
      <w:marTop w:val="0"/>
      <w:marBottom w:val="0"/>
      <w:divBdr>
        <w:top w:val="none" w:sz="0" w:space="0" w:color="auto"/>
        <w:left w:val="none" w:sz="0" w:space="0" w:color="auto"/>
        <w:bottom w:val="none" w:sz="0" w:space="0" w:color="auto"/>
        <w:right w:val="none" w:sz="0" w:space="0" w:color="auto"/>
      </w:divBdr>
    </w:div>
    <w:div w:id="1424491708">
      <w:bodyDiv w:val="1"/>
      <w:marLeft w:val="0"/>
      <w:marRight w:val="0"/>
      <w:marTop w:val="0"/>
      <w:marBottom w:val="0"/>
      <w:divBdr>
        <w:top w:val="none" w:sz="0" w:space="0" w:color="auto"/>
        <w:left w:val="none" w:sz="0" w:space="0" w:color="auto"/>
        <w:bottom w:val="none" w:sz="0" w:space="0" w:color="auto"/>
        <w:right w:val="none" w:sz="0" w:space="0" w:color="auto"/>
      </w:divBdr>
    </w:div>
    <w:div w:id="1427188998">
      <w:bodyDiv w:val="1"/>
      <w:marLeft w:val="0"/>
      <w:marRight w:val="0"/>
      <w:marTop w:val="0"/>
      <w:marBottom w:val="0"/>
      <w:divBdr>
        <w:top w:val="none" w:sz="0" w:space="0" w:color="auto"/>
        <w:left w:val="none" w:sz="0" w:space="0" w:color="auto"/>
        <w:bottom w:val="none" w:sz="0" w:space="0" w:color="auto"/>
        <w:right w:val="none" w:sz="0" w:space="0" w:color="auto"/>
      </w:divBdr>
    </w:div>
    <w:div w:id="1431467683">
      <w:bodyDiv w:val="1"/>
      <w:marLeft w:val="0"/>
      <w:marRight w:val="0"/>
      <w:marTop w:val="0"/>
      <w:marBottom w:val="0"/>
      <w:divBdr>
        <w:top w:val="none" w:sz="0" w:space="0" w:color="auto"/>
        <w:left w:val="none" w:sz="0" w:space="0" w:color="auto"/>
        <w:bottom w:val="none" w:sz="0" w:space="0" w:color="auto"/>
        <w:right w:val="none" w:sz="0" w:space="0" w:color="auto"/>
      </w:divBdr>
    </w:div>
    <w:div w:id="1433352485">
      <w:bodyDiv w:val="1"/>
      <w:marLeft w:val="0"/>
      <w:marRight w:val="0"/>
      <w:marTop w:val="0"/>
      <w:marBottom w:val="0"/>
      <w:divBdr>
        <w:top w:val="none" w:sz="0" w:space="0" w:color="auto"/>
        <w:left w:val="none" w:sz="0" w:space="0" w:color="auto"/>
        <w:bottom w:val="none" w:sz="0" w:space="0" w:color="auto"/>
        <w:right w:val="none" w:sz="0" w:space="0" w:color="auto"/>
      </w:divBdr>
    </w:div>
    <w:div w:id="1435173133">
      <w:bodyDiv w:val="1"/>
      <w:marLeft w:val="0"/>
      <w:marRight w:val="0"/>
      <w:marTop w:val="0"/>
      <w:marBottom w:val="0"/>
      <w:divBdr>
        <w:top w:val="none" w:sz="0" w:space="0" w:color="auto"/>
        <w:left w:val="none" w:sz="0" w:space="0" w:color="auto"/>
        <w:bottom w:val="none" w:sz="0" w:space="0" w:color="auto"/>
        <w:right w:val="none" w:sz="0" w:space="0" w:color="auto"/>
      </w:divBdr>
    </w:div>
    <w:div w:id="1435441733">
      <w:bodyDiv w:val="1"/>
      <w:marLeft w:val="0"/>
      <w:marRight w:val="0"/>
      <w:marTop w:val="0"/>
      <w:marBottom w:val="0"/>
      <w:divBdr>
        <w:top w:val="none" w:sz="0" w:space="0" w:color="auto"/>
        <w:left w:val="none" w:sz="0" w:space="0" w:color="auto"/>
        <w:bottom w:val="none" w:sz="0" w:space="0" w:color="auto"/>
        <w:right w:val="none" w:sz="0" w:space="0" w:color="auto"/>
      </w:divBdr>
    </w:div>
    <w:div w:id="1445267202">
      <w:bodyDiv w:val="1"/>
      <w:marLeft w:val="0"/>
      <w:marRight w:val="0"/>
      <w:marTop w:val="0"/>
      <w:marBottom w:val="0"/>
      <w:divBdr>
        <w:top w:val="none" w:sz="0" w:space="0" w:color="auto"/>
        <w:left w:val="none" w:sz="0" w:space="0" w:color="auto"/>
        <w:bottom w:val="none" w:sz="0" w:space="0" w:color="auto"/>
        <w:right w:val="none" w:sz="0" w:space="0" w:color="auto"/>
      </w:divBdr>
    </w:div>
    <w:div w:id="1449469994">
      <w:bodyDiv w:val="1"/>
      <w:marLeft w:val="0"/>
      <w:marRight w:val="0"/>
      <w:marTop w:val="0"/>
      <w:marBottom w:val="0"/>
      <w:divBdr>
        <w:top w:val="none" w:sz="0" w:space="0" w:color="auto"/>
        <w:left w:val="none" w:sz="0" w:space="0" w:color="auto"/>
        <w:bottom w:val="none" w:sz="0" w:space="0" w:color="auto"/>
        <w:right w:val="none" w:sz="0" w:space="0" w:color="auto"/>
      </w:divBdr>
    </w:div>
    <w:div w:id="1450277500">
      <w:bodyDiv w:val="1"/>
      <w:marLeft w:val="0"/>
      <w:marRight w:val="0"/>
      <w:marTop w:val="0"/>
      <w:marBottom w:val="0"/>
      <w:divBdr>
        <w:top w:val="none" w:sz="0" w:space="0" w:color="auto"/>
        <w:left w:val="none" w:sz="0" w:space="0" w:color="auto"/>
        <w:bottom w:val="none" w:sz="0" w:space="0" w:color="auto"/>
        <w:right w:val="none" w:sz="0" w:space="0" w:color="auto"/>
      </w:divBdr>
    </w:div>
    <w:div w:id="1450851527">
      <w:bodyDiv w:val="1"/>
      <w:marLeft w:val="0"/>
      <w:marRight w:val="0"/>
      <w:marTop w:val="0"/>
      <w:marBottom w:val="0"/>
      <w:divBdr>
        <w:top w:val="none" w:sz="0" w:space="0" w:color="auto"/>
        <w:left w:val="none" w:sz="0" w:space="0" w:color="auto"/>
        <w:bottom w:val="none" w:sz="0" w:space="0" w:color="auto"/>
        <w:right w:val="none" w:sz="0" w:space="0" w:color="auto"/>
      </w:divBdr>
    </w:div>
    <w:div w:id="1452043743">
      <w:bodyDiv w:val="1"/>
      <w:marLeft w:val="0"/>
      <w:marRight w:val="0"/>
      <w:marTop w:val="0"/>
      <w:marBottom w:val="0"/>
      <w:divBdr>
        <w:top w:val="none" w:sz="0" w:space="0" w:color="auto"/>
        <w:left w:val="none" w:sz="0" w:space="0" w:color="auto"/>
        <w:bottom w:val="none" w:sz="0" w:space="0" w:color="auto"/>
        <w:right w:val="none" w:sz="0" w:space="0" w:color="auto"/>
      </w:divBdr>
    </w:div>
    <w:div w:id="1454716452">
      <w:bodyDiv w:val="1"/>
      <w:marLeft w:val="0"/>
      <w:marRight w:val="0"/>
      <w:marTop w:val="0"/>
      <w:marBottom w:val="0"/>
      <w:divBdr>
        <w:top w:val="none" w:sz="0" w:space="0" w:color="auto"/>
        <w:left w:val="none" w:sz="0" w:space="0" w:color="auto"/>
        <w:bottom w:val="none" w:sz="0" w:space="0" w:color="auto"/>
        <w:right w:val="none" w:sz="0" w:space="0" w:color="auto"/>
      </w:divBdr>
    </w:div>
    <w:div w:id="1457799833">
      <w:bodyDiv w:val="1"/>
      <w:marLeft w:val="0"/>
      <w:marRight w:val="0"/>
      <w:marTop w:val="0"/>
      <w:marBottom w:val="0"/>
      <w:divBdr>
        <w:top w:val="none" w:sz="0" w:space="0" w:color="auto"/>
        <w:left w:val="none" w:sz="0" w:space="0" w:color="auto"/>
        <w:bottom w:val="none" w:sz="0" w:space="0" w:color="auto"/>
        <w:right w:val="none" w:sz="0" w:space="0" w:color="auto"/>
      </w:divBdr>
    </w:div>
    <w:div w:id="1459714973">
      <w:bodyDiv w:val="1"/>
      <w:marLeft w:val="0"/>
      <w:marRight w:val="0"/>
      <w:marTop w:val="0"/>
      <w:marBottom w:val="0"/>
      <w:divBdr>
        <w:top w:val="none" w:sz="0" w:space="0" w:color="auto"/>
        <w:left w:val="none" w:sz="0" w:space="0" w:color="auto"/>
        <w:bottom w:val="none" w:sz="0" w:space="0" w:color="auto"/>
        <w:right w:val="none" w:sz="0" w:space="0" w:color="auto"/>
      </w:divBdr>
    </w:div>
    <w:div w:id="1460030094">
      <w:bodyDiv w:val="1"/>
      <w:marLeft w:val="0"/>
      <w:marRight w:val="0"/>
      <w:marTop w:val="0"/>
      <w:marBottom w:val="0"/>
      <w:divBdr>
        <w:top w:val="none" w:sz="0" w:space="0" w:color="auto"/>
        <w:left w:val="none" w:sz="0" w:space="0" w:color="auto"/>
        <w:bottom w:val="none" w:sz="0" w:space="0" w:color="auto"/>
        <w:right w:val="none" w:sz="0" w:space="0" w:color="auto"/>
      </w:divBdr>
    </w:div>
    <w:div w:id="1462112583">
      <w:bodyDiv w:val="1"/>
      <w:marLeft w:val="0"/>
      <w:marRight w:val="0"/>
      <w:marTop w:val="0"/>
      <w:marBottom w:val="0"/>
      <w:divBdr>
        <w:top w:val="none" w:sz="0" w:space="0" w:color="auto"/>
        <w:left w:val="none" w:sz="0" w:space="0" w:color="auto"/>
        <w:bottom w:val="none" w:sz="0" w:space="0" w:color="auto"/>
        <w:right w:val="none" w:sz="0" w:space="0" w:color="auto"/>
      </w:divBdr>
    </w:div>
    <w:div w:id="1466851436">
      <w:bodyDiv w:val="1"/>
      <w:marLeft w:val="0"/>
      <w:marRight w:val="0"/>
      <w:marTop w:val="0"/>
      <w:marBottom w:val="0"/>
      <w:divBdr>
        <w:top w:val="none" w:sz="0" w:space="0" w:color="auto"/>
        <w:left w:val="none" w:sz="0" w:space="0" w:color="auto"/>
        <w:bottom w:val="none" w:sz="0" w:space="0" w:color="auto"/>
        <w:right w:val="none" w:sz="0" w:space="0" w:color="auto"/>
      </w:divBdr>
    </w:div>
    <w:div w:id="1468667853">
      <w:bodyDiv w:val="1"/>
      <w:marLeft w:val="0"/>
      <w:marRight w:val="0"/>
      <w:marTop w:val="0"/>
      <w:marBottom w:val="0"/>
      <w:divBdr>
        <w:top w:val="none" w:sz="0" w:space="0" w:color="auto"/>
        <w:left w:val="none" w:sz="0" w:space="0" w:color="auto"/>
        <w:bottom w:val="none" w:sz="0" w:space="0" w:color="auto"/>
        <w:right w:val="none" w:sz="0" w:space="0" w:color="auto"/>
      </w:divBdr>
    </w:div>
    <w:div w:id="1469514170">
      <w:bodyDiv w:val="1"/>
      <w:marLeft w:val="0"/>
      <w:marRight w:val="0"/>
      <w:marTop w:val="0"/>
      <w:marBottom w:val="0"/>
      <w:divBdr>
        <w:top w:val="none" w:sz="0" w:space="0" w:color="auto"/>
        <w:left w:val="none" w:sz="0" w:space="0" w:color="auto"/>
        <w:bottom w:val="none" w:sz="0" w:space="0" w:color="auto"/>
        <w:right w:val="none" w:sz="0" w:space="0" w:color="auto"/>
      </w:divBdr>
    </w:div>
    <w:div w:id="1470124345">
      <w:bodyDiv w:val="1"/>
      <w:marLeft w:val="0"/>
      <w:marRight w:val="0"/>
      <w:marTop w:val="0"/>
      <w:marBottom w:val="0"/>
      <w:divBdr>
        <w:top w:val="none" w:sz="0" w:space="0" w:color="auto"/>
        <w:left w:val="none" w:sz="0" w:space="0" w:color="auto"/>
        <w:bottom w:val="none" w:sz="0" w:space="0" w:color="auto"/>
        <w:right w:val="none" w:sz="0" w:space="0" w:color="auto"/>
      </w:divBdr>
    </w:div>
    <w:div w:id="1470901625">
      <w:bodyDiv w:val="1"/>
      <w:marLeft w:val="0"/>
      <w:marRight w:val="0"/>
      <w:marTop w:val="0"/>
      <w:marBottom w:val="0"/>
      <w:divBdr>
        <w:top w:val="none" w:sz="0" w:space="0" w:color="auto"/>
        <w:left w:val="none" w:sz="0" w:space="0" w:color="auto"/>
        <w:bottom w:val="none" w:sz="0" w:space="0" w:color="auto"/>
        <w:right w:val="none" w:sz="0" w:space="0" w:color="auto"/>
      </w:divBdr>
    </w:div>
    <w:div w:id="1473212538">
      <w:bodyDiv w:val="1"/>
      <w:marLeft w:val="0"/>
      <w:marRight w:val="0"/>
      <w:marTop w:val="0"/>
      <w:marBottom w:val="0"/>
      <w:divBdr>
        <w:top w:val="none" w:sz="0" w:space="0" w:color="auto"/>
        <w:left w:val="none" w:sz="0" w:space="0" w:color="auto"/>
        <w:bottom w:val="none" w:sz="0" w:space="0" w:color="auto"/>
        <w:right w:val="none" w:sz="0" w:space="0" w:color="auto"/>
      </w:divBdr>
    </w:div>
    <w:div w:id="1474132781">
      <w:bodyDiv w:val="1"/>
      <w:marLeft w:val="0"/>
      <w:marRight w:val="0"/>
      <w:marTop w:val="0"/>
      <w:marBottom w:val="0"/>
      <w:divBdr>
        <w:top w:val="none" w:sz="0" w:space="0" w:color="auto"/>
        <w:left w:val="none" w:sz="0" w:space="0" w:color="auto"/>
        <w:bottom w:val="none" w:sz="0" w:space="0" w:color="auto"/>
        <w:right w:val="none" w:sz="0" w:space="0" w:color="auto"/>
      </w:divBdr>
    </w:div>
    <w:div w:id="1479148662">
      <w:bodyDiv w:val="1"/>
      <w:marLeft w:val="0"/>
      <w:marRight w:val="0"/>
      <w:marTop w:val="0"/>
      <w:marBottom w:val="0"/>
      <w:divBdr>
        <w:top w:val="none" w:sz="0" w:space="0" w:color="auto"/>
        <w:left w:val="none" w:sz="0" w:space="0" w:color="auto"/>
        <w:bottom w:val="none" w:sz="0" w:space="0" w:color="auto"/>
        <w:right w:val="none" w:sz="0" w:space="0" w:color="auto"/>
      </w:divBdr>
    </w:div>
    <w:div w:id="1484663854">
      <w:bodyDiv w:val="1"/>
      <w:marLeft w:val="0"/>
      <w:marRight w:val="0"/>
      <w:marTop w:val="0"/>
      <w:marBottom w:val="0"/>
      <w:divBdr>
        <w:top w:val="none" w:sz="0" w:space="0" w:color="auto"/>
        <w:left w:val="none" w:sz="0" w:space="0" w:color="auto"/>
        <w:bottom w:val="none" w:sz="0" w:space="0" w:color="auto"/>
        <w:right w:val="none" w:sz="0" w:space="0" w:color="auto"/>
      </w:divBdr>
    </w:div>
    <w:div w:id="1488864151">
      <w:bodyDiv w:val="1"/>
      <w:marLeft w:val="0"/>
      <w:marRight w:val="0"/>
      <w:marTop w:val="0"/>
      <w:marBottom w:val="0"/>
      <w:divBdr>
        <w:top w:val="none" w:sz="0" w:space="0" w:color="auto"/>
        <w:left w:val="none" w:sz="0" w:space="0" w:color="auto"/>
        <w:bottom w:val="none" w:sz="0" w:space="0" w:color="auto"/>
        <w:right w:val="none" w:sz="0" w:space="0" w:color="auto"/>
      </w:divBdr>
    </w:div>
    <w:div w:id="1493567584">
      <w:bodyDiv w:val="1"/>
      <w:marLeft w:val="0"/>
      <w:marRight w:val="0"/>
      <w:marTop w:val="0"/>
      <w:marBottom w:val="0"/>
      <w:divBdr>
        <w:top w:val="none" w:sz="0" w:space="0" w:color="auto"/>
        <w:left w:val="none" w:sz="0" w:space="0" w:color="auto"/>
        <w:bottom w:val="none" w:sz="0" w:space="0" w:color="auto"/>
        <w:right w:val="none" w:sz="0" w:space="0" w:color="auto"/>
      </w:divBdr>
    </w:div>
    <w:div w:id="1499423177">
      <w:bodyDiv w:val="1"/>
      <w:marLeft w:val="0"/>
      <w:marRight w:val="0"/>
      <w:marTop w:val="0"/>
      <w:marBottom w:val="0"/>
      <w:divBdr>
        <w:top w:val="none" w:sz="0" w:space="0" w:color="auto"/>
        <w:left w:val="none" w:sz="0" w:space="0" w:color="auto"/>
        <w:bottom w:val="none" w:sz="0" w:space="0" w:color="auto"/>
        <w:right w:val="none" w:sz="0" w:space="0" w:color="auto"/>
      </w:divBdr>
    </w:div>
    <w:div w:id="1514765499">
      <w:bodyDiv w:val="1"/>
      <w:marLeft w:val="0"/>
      <w:marRight w:val="0"/>
      <w:marTop w:val="0"/>
      <w:marBottom w:val="0"/>
      <w:divBdr>
        <w:top w:val="none" w:sz="0" w:space="0" w:color="auto"/>
        <w:left w:val="none" w:sz="0" w:space="0" w:color="auto"/>
        <w:bottom w:val="none" w:sz="0" w:space="0" w:color="auto"/>
        <w:right w:val="none" w:sz="0" w:space="0" w:color="auto"/>
      </w:divBdr>
    </w:div>
    <w:div w:id="1519730872">
      <w:bodyDiv w:val="1"/>
      <w:marLeft w:val="0"/>
      <w:marRight w:val="0"/>
      <w:marTop w:val="0"/>
      <w:marBottom w:val="0"/>
      <w:divBdr>
        <w:top w:val="none" w:sz="0" w:space="0" w:color="auto"/>
        <w:left w:val="none" w:sz="0" w:space="0" w:color="auto"/>
        <w:bottom w:val="none" w:sz="0" w:space="0" w:color="auto"/>
        <w:right w:val="none" w:sz="0" w:space="0" w:color="auto"/>
      </w:divBdr>
    </w:div>
    <w:div w:id="1520971087">
      <w:bodyDiv w:val="1"/>
      <w:marLeft w:val="0"/>
      <w:marRight w:val="0"/>
      <w:marTop w:val="0"/>
      <w:marBottom w:val="0"/>
      <w:divBdr>
        <w:top w:val="none" w:sz="0" w:space="0" w:color="auto"/>
        <w:left w:val="none" w:sz="0" w:space="0" w:color="auto"/>
        <w:bottom w:val="none" w:sz="0" w:space="0" w:color="auto"/>
        <w:right w:val="none" w:sz="0" w:space="0" w:color="auto"/>
      </w:divBdr>
    </w:div>
    <w:div w:id="1524052563">
      <w:bodyDiv w:val="1"/>
      <w:marLeft w:val="0"/>
      <w:marRight w:val="0"/>
      <w:marTop w:val="0"/>
      <w:marBottom w:val="0"/>
      <w:divBdr>
        <w:top w:val="none" w:sz="0" w:space="0" w:color="auto"/>
        <w:left w:val="none" w:sz="0" w:space="0" w:color="auto"/>
        <w:bottom w:val="none" w:sz="0" w:space="0" w:color="auto"/>
        <w:right w:val="none" w:sz="0" w:space="0" w:color="auto"/>
      </w:divBdr>
    </w:div>
    <w:div w:id="1524056638">
      <w:bodyDiv w:val="1"/>
      <w:marLeft w:val="0"/>
      <w:marRight w:val="0"/>
      <w:marTop w:val="0"/>
      <w:marBottom w:val="0"/>
      <w:divBdr>
        <w:top w:val="none" w:sz="0" w:space="0" w:color="auto"/>
        <w:left w:val="none" w:sz="0" w:space="0" w:color="auto"/>
        <w:bottom w:val="none" w:sz="0" w:space="0" w:color="auto"/>
        <w:right w:val="none" w:sz="0" w:space="0" w:color="auto"/>
      </w:divBdr>
    </w:div>
    <w:div w:id="1526598929">
      <w:bodyDiv w:val="1"/>
      <w:marLeft w:val="0"/>
      <w:marRight w:val="0"/>
      <w:marTop w:val="0"/>
      <w:marBottom w:val="0"/>
      <w:divBdr>
        <w:top w:val="none" w:sz="0" w:space="0" w:color="auto"/>
        <w:left w:val="none" w:sz="0" w:space="0" w:color="auto"/>
        <w:bottom w:val="none" w:sz="0" w:space="0" w:color="auto"/>
        <w:right w:val="none" w:sz="0" w:space="0" w:color="auto"/>
      </w:divBdr>
    </w:div>
    <w:div w:id="1530023734">
      <w:bodyDiv w:val="1"/>
      <w:marLeft w:val="0"/>
      <w:marRight w:val="0"/>
      <w:marTop w:val="0"/>
      <w:marBottom w:val="0"/>
      <w:divBdr>
        <w:top w:val="none" w:sz="0" w:space="0" w:color="auto"/>
        <w:left w:val="none" w:sz="0" w:space="0" w:color="auto"/>
        <w:bottom w:val="none" w:sz="0" w:space="0" w:color="auto"/>
        <w:right w:val="none" w:sz="0" w:space="0" w:color="auto"/>
      </w:divBdr>
    </w:div>
    <w:div w:id="1531842853">
      <w:bodyDiv w:val="1"/>
      <w:marLeft w:val="0"/>
      <w:marRight w:val="0"/>
      <w:marTop w:val="0"/>
      <w:marBottom w:val="0"/>
      <w:divBdr>
        <w:top w:val="none" w:sz="0" w:space="0" w:color="auto"/>
        <w:left w:val="none" w:sz="0" w:space="0" w:color="auto"/>
        <w:bottom w:val="none" w:sz="0" w:space="0" w:color="auto"/>
        <w:right w:val="none" w:sz="0" w:space="0" w:color="auto"/>
      </w:divBdr>
    </w:div>
    <w:div w:id="1542329827">
      <w:bodyDiv w:val="1"/>
      <w:marLeft w:val="0"/>
      <w:marRight w:val="0"/>
      <w:marTop w:val="0"/>
      <w:marBottom w:val="0"/>
      <w:divBdr>
        <w:top w:val="none" w:sz="0" w:space="0" w:color="auto"/>
        <w:left w:val="none" w:sz="0" w:space="0" w:color="auto"/>
        <w:bottom w:val="none" w:sz="0" w:space="0" w:color="auto"/>
        <w:right w:val="none" w:sz="0" w:space="0" w:color="auto"/>
      </w:divBdr>
    </w:div>
    <w:div w:id="1545289936">
      <w:bodyDiv w:val="1"/>
      <w:marLeft w:val="0"/>
      <w:marRight w:val="0"/>
      <w:marTop w:val="0"/>
      <w:marBottom w:val="0"/>
      <w:divBdr>
        <w:top w:val="none" w:sz="0" w:space="0" w:color="auto"/>
        <w:left w:val="none" w:sz="0" w:space="0" w:color="auto"/>
        <w:bottom w:val="none" w:sz="0" w:space="0" w:color="auto"/>
        <w:right w:val="none" w:sz="0" w:space="0" w:color="auto"/>
      </w:divBdr>
    </w:div>
    <w:div w:id="1545604287">
      <w:bodyDiv w:val="1"/>
      <w:marLeft w:val="0"/>
      <w:marRight w:val="0"/>
      <w:marTop w:val="0"/>
      <w:marBottom w:val="0"/>
      <w:divBdr>
        <w:top w:val="none" w:sz="0" w:space="0" w:color="auto"/>
        <w:left w:val="none" w:sz="0" w:space="0" w:color="auto"/>
        <w:bottom w:val="none" w:sz="0" w:space="0" w:color="auto"/>
        <w:right w:val="none" w:sz="0" w:space="0" w:color="auto"/>
      </w:divBdr>
    </w:div>
    <w:div w:id="1549025270">
      <w:bodyDiv w:val="1"/>
      <w:marLeft w:val="0"/>
      <w:marRight w:val="0"/>
      <w:marTop w:val="0"/>
      <w:marBottom w:val="0"/>
      <w:divBdr>
        <w:top w:val="none" w:sz="0" w:space="0" w:color="auto"/>
        <w:left w:val="none" w:sz="0" w:space="0" w:color="auto"/>
        <w:bottom w:val="none" w:sz="0" w:space="0" w:color="auto"/>
        <w:right w:val="none" w:sz="0" w:space="0" w:color="auto"/>
      </w:divBdr>
    </w:div>
    <w:div w:id="1553887125">
      <w:bodyDiv w:val="1"/>
      <w:marLeft w:val="0"/>
      <w:marRight w:val="0"/>
      <w:marTop w:val="0"/>
      <w:marBottom w:val="0"/>
      <w:divBdr>
        <w:top w:val="none" w:sz="0" w:space="0" w:color="auto"/>
        <w:left w:val="none" w:sz="0" w:space="0" w:color="auto"/>
        <w:bottom w:val="none" w:sz="0" w:space="0" w:color="auto"/>
        <w:right w:val="none" w:sz="0" w:space="0" w:color="auto"/>
      </w:divBdr>
    </w:div>
    <w:div w:id="1555654439">
      <w:bodyDiv w:val="1"/>
      <w:marLeft w:val="0"/>
      <w:marRight w:val="0"/>
      <w:marTop w:val="0"/>
      <w:marBottom w:val="0"/>
      <w:divBdr>
        <w:top w:val="none" w:sz="0" w:space="0" w:color="auto"/>
        <w:left w:val="none" w:sz="0" w:space="0" w:color="auto"/>
        <w:bottom w:val="none" w:sz="0" w:space="0" w:color="auto"/>
        <w:right w:val="none" w:sz="0" w:space="0" w:color="auto"/>
      </w:divBdr>
    </w:div>
    <w:div w:id="1555776337">
      <w:bodyDiv w:val="1"/>
      <w:marLeft w:val="0"/>
      <w:marRight w:val="0"/>
      <w:marTop w:val="0"/>
      <w:marBottom w:val="0"/>
      <w:divBdr>
        <w:top w:val="none" w:sz="0" w:space="0" w:color="auto"/>
        <w:left w:val="none" w:sz="0" w:space="0" w:color="auto"/>
        <w:bottom w:val="none" w:sz="0" w:space="0" w:color="auto"/>
        <w:right w:val="none" w:sz="0" w:space="0" w:color="auto"/>
      </w:divBdr>
    </w:div>
    <w:div w:id="1556549309">
      <w:bodyDiv w:val="1"/>
      <w:marLeft w:val="0"/>
      <w:marRight w:val="0"/>
      <w:marTop w:val="0"/>
      <w:marBottom w:val="0"/>
      <w:divBdr>
        <w:top w:val="none" w:sz="0" w:space="0" w:color="auto"/>
        <w:left w:val="none" w:sz="0" w:space="0" w:color="auto"/>
        <w:bottom w:val="none" w:sz="0" w:space="0" w:color="auto"/>
        <w:right w:val="none" w:sz="0" w:space="0" w:color="auto"/>
      </w:divBdr>
    </w:div>
    <w:div w:id="1558079823">
      <w:bodyDiv w:val="1"/>
      <w:marLeft w:val="0"/>
      <w:marRight w:val="0"/>
      <w:marTop w:val="0"/>
      <w:marBottom w:val="0"/>
      <w:divBdr>
        <w:top w:val="none" w:sz="0" w:space="0" w:color="auto"/>
        <w:left w:val="none" w:sz="0" w:space="0" w:color="auto"/>
        <w:bottom w:val="none" w:sz="0" w:space="0" w:color="auto"/>
        <w:right w:val="none" w:sz="0" w:space="0" w:color="auto"/>
      </w:divBdr>
    </w:div>
    <w:div w:id="1558932400">
      <w:bodyDiv w:val="1"/>
      <w:marLeft w:val="0"/>
      <w:marRight w:val="0"/>
      <w:marTop w:val="0"/>
      <w:marBottom w:val="0"/>
      <w:divBdr>
        <w:top w:val="none" w:sz="0" w:space="0" w:color="auto"/>
        <w:left w:val="none" w:sz="0" w:space="0" w:color="auto"/>
        <w:bottom w:val="none" w:sz="0" w:space="0" w:color="auto"/>
        <w:right w:val="none" w:sz="0" w:space="0" w:color="auto"/>
      </w:divBdr>
    </w:div>
    <w:div w:id="1563368362">
      <w:bodyDiv w:val="1"/>
      <w:marLeft w:val="0"/>
      <w:marRight w:val="0"/>
      <w:marTop w:val="0"/>
      <w:marBottom w:val="0"/>
      <w:divBdr>
        <w:top w:val="none" w:sz="0" w:space="0" w:color="auto"/>
        <w:left w:val="none" w:sz="0" w:space="0" w:color="auto"/>
        <w:bottom w:val="none" w:sz="0" w:space="0" w:color="auto"/>
        <w:right w:val="none" w:sz="0" w:space="0" w:color="auto"/>
      </w:divBdr>
    </w:div>
    <w:div w:id="1568228308">
      <w:bodyDiv w:val="1"/>
      <w:marLeft w:val="0"/>
      <w:marRight w:val="0"/>
      <w:marTop w:val="0"/>
      <w:marBottom w:val="0"/>
      <w:divBdr>
        <w:top w:val="none" w:sz="0" w:space="0" w:color="auto"/>
        <w:left w:val="none" w:sz="0" w:space="0" w:color="auto"/>
        <w:bottom w:val="none" w:sz="0" w:space="0" w:color="auto"/>
        <w:right w:val="none" w:sz="0" w:space="0" w:color="auto"/>
      </w:divBdr>
    </w:div>
    <w:div w:id="1582637306">
      <w:bodyDiv w:val="1"/>
      <w:marLeft w:val="0"/>
      <w:marRight w:val="0"/>
      <w:marTop w:val="0"/>
      <w:marBottom w:val="0"/>
      <w:divBdr>
        <w:top w:val="none" w:sz="0" w:space="0" w:color="auto"/>
        <w:left w:val="none" w:sz="0" w:space="0" w:color="auto"/>
        <w:bottom w:val="none" w:sz="0" w:space="0" w:color="auto"/>
        <w:right w:val="none" w:sz="0" w:space="0" w:color="auto"/>
      </w:divBdr>
    </w:div>
    <w:div w:id="1584995932">
      <w:bodyDiv w:val="1"/>
      <w:marLeft w:val="0"/>
      <w:marRight w:val="0"/>
      <w:marTop w:val="0"/>
      <w:marBottom w:val="0"/>
      <w:divBdr>
        <w:top w:val="none" w:sz="0" w:space="0" w:color="auto"/>
        <w:left w:val="none" w:sz="0" w:space="0" w:color="auto"/>
        <w:bottom w:val="none" w:sz="0" w:space="0" w:color="auto"/>
        <w:right w:val="none" w:sz="0" w:space="0" w:color="auto"/>
      </w:divBdr>
    </w:div>
    <w:div w:id="1591741184">
      <w:bodyDiv w:val="1"/>
      <w:marLeft w:val="0"/>
      <w:marRight w:val="0"/>
      <w:marTop w:val="0"/>
      <w:marBottom w:val="0"/>
      <w:divBdr>
        <w:top w:val="none" w:sz="0" w:space="0" w:color="auto"/>
        <w:left w:val="none" w:sz="0" w:space="0" w:color="auto"/>
        <w:bottom w:val="none" w:sz="0" w:space="0" w:color="auto"/>
        <w:right w:val="none" w:sz="0" w:space="0" w:color="auto"/>
      </w:divBdr>
    </w:div>
    <w:div w:id="1601376869">
      <w:bodyDiv w:val="1"/>
      <w:marLeft w:val="0"/>
      <w:marRight w:val="0"/>
      <w:marTop w:val="0"/>
      <w:marBottom w:val="0"/>
      <w:divBdr>
        <w:top w:val="none" w:sz="0" w:space="0" w:color="auto"/>
        <w:left w:val="none" w:sz="0" w:space="0" w:color="auto"/>
        <w:bottom w:val="none" w:sz="0" w:space="0" w:color="auto"/>
        <w:right w:val="none" w:sz="0" w:space="0" w:color="auto"/>
      </w:divBdr>
    </w:div>
    <w:div w:id="1602685477">
      <w:bodyDiv w:val="1"/>
      <w:marLeft w:val="0"/>
      <w:marRight w:val="0"/>
      <w:marTop w:val="0"/>
      <w:marBottom w:val="0"/>
      <w:divBdr>
        <w:top w:val="none" w:sz="0" w:space="0" w:color="auto"/>
        <w:left w:val="none" w:sz="0" w:space="0" w:color="auto"/>
        <w:bottom w:val="none" w:sz="0" w:space="0" w:color="auto"/>
        <w:right w:val="none" w:sz="0" w:space="0" w:color="auto"/>
      </w:divBdr>
    </w:div>
    <w:div w:id="1603024727">
      <w:bodyDiv w:val="1"/>
      <w:marLeft w:val="0"/>
      <w:marRight w:val="0"/>
      <w:marTop w:val="0"/>
      <w:marBottom w:val="0"/>
      <w:divBdr>
        <w:top w:val="none" w:sz="0" w:space="0" w:color="auto"/>
        <w:left w:val="none" w:sz="0" w:space="0" w:color="auto"/>
        <w:bottom w:val="none" w:sz="0" w:space="0" w:color="auto"/>
        <w:right w:val="none" w:sz="0" w:space="0" w:color="auto"/>
      </w:divBdr>
    </w:div>
    <w:div w:id="1609699553">
      <w:bodyDiv w:val="1"/>
      <w:marLeft w:val="0"/>
      <w:marRight w:val="0"/>
      <w:marTop w:val="0"/>
      <w:marBottom w:val="0"/>
      <w:divBdr>
        <w:top w:val="none" w:sz="0" w:space="0" w:color="auto"/>
        <w:left w:val="none" w:sz="0" w:space="0" w:color="auto"/>
        <w:bottom w:val="none" w:sz="0" w:space="0" w:color="auto"/>
        <w:right w:val="none" w:sz="0" w:space="0" w:color="auto"/>
      </w:divBdr>
    </w:div>
    <w:div w:id="1614511686">
      <w:bodyDiv w:val="1"/>
      <w:marLeft w:val="0"/>
      <w:marRight w:val="0"/>
      <w:marTop w:val="0"/>
      <w:marBottom w:val="0"/>
      <w:divBdr>
        <w:top w:val="none" w:sz="0" w:space="0" w:color="auto"/>
        <w:left w:val="none" w:sz="0" w:space="0" w:color="auto"/>
        <w:bottom w:val="none" w:sz="0" w:space="0" w:color="auto"/>
        <w:right w:val="none" w:sz="0" w:space="0" w:color="auto"/>
      </w:divBdr>
    </w:div>
    <w:div w:id="1621254806">
      <w:bodyDiv w:val="1"/>
      <w:marLeft w:val="0"/>
      <w:marRight w:val="0"/>
      <w:marTop w:val="0"/>
      <w:marBottom w:val="0"/>
      <w:divBdr>
        <w:top w:val="none" w:sz="0" w:space="0" w:color="auto"/>
        <w:left w:val="none" w:sz="0" w:space="0" w:color="auto"/>
        <w:bottom w:val="none" w:sz="0" w:space="0" w:color="auto"/>
        <w:right w:val="none" w:sz="0" w:space="0" w:color="auto"/>
      </w:divBdr>
    </w:div>
    <w:div w:id="1621261714">
      <w:bodyDiv w:val="1"/>
      <w:marLeft w:val="0"/>
      <w:marRight w:val="0"/>
      <w:marTop w:val="0"/>
      <w:marBottom w:val="0"/>
      <w:divBdr>
        <w:top w:val="none" w:sz="0" w:space="0" w:color="auto"/>
        <w:left w:val="none" w:sz="0" w:space="0" w:color="auto"/>
        <w:bottom w:val="none" w:sz="0" w:space="0" w:color="auto"/>
        <w:right w:val="none" w:sz="0" w:space="0" w:color="auto"/>
      </w:divBdr>
    </w:div>
    <w:div w:id="1626082054">
      <w:bodyDiv w:val="1"/>
      <w:marLeft w:val="0"/>
      <w:marRight w:val="0"/>
      <w:marTop w:val="0"/>
      <w:marBottom w:val="0"/>
      <w:divBdr>
        <w:top w:val="none" w:sz="0" w:space="0" w:color="auto"/>
        <w:left w:val="none" w:sz="0" w:space="0" w:color="auto"/>
        <w:bottom w:val="none" w:sz="0" w:space="0" w:color="auto"/>
        <w:right w:val="none" w:sz="0" w:space="0" w:color="auto"/>
      </w:divBdr>
    </w:div>
    <w:div w:id="1630360588">
      <w:bodyDiv w:val="1"/>
      <w:marLeft w:val="0"/>
      <w:marRight w:val="0"/>
      <w:marTop w:val="0"/>
      <w:marBottom w:val="0"/>
      <w:divBdr>
        <w:top w:val="none" w:sz="0" w:space="0" w:color="auto"/>
        <w:left w:val="none" w:sz="0" w:space="0" w:color="auto"/>
        <w:bottom w:val="none" w:sz="0" w:space="0" w:color="auto"/>
        <w:right w:val="none" w:sz="0" w:space="0" w:color="auto"/>
      </w:divBdr>
    </w:div>
    <w:div w:id="1632320378">
      <w:bodyDiv w:val="1"/>
      <w:marLeft w:val="0"/>
      <w:marRight w:val="0"/>
      <w:marTop w:val="0"/>
      <w:marBottom w:val="0"/>
      <w:divBdr>
        <w:top w:val="none" w:sz="0" w:space="0" w:color="auto"/>
        <w:left w:val="none" w:sz="0" w:space="0" w:color="auto"/>
        <w:bottom w:val="none" w:sz="0" w:space="0" w:color="auto"/>
        <w:right w:val="none" w:sz="0" w:space="0" w:color="auto"/>
      </w:divBdr>
    </w:div>
    <w:div w:id="1639530400">
      <w:bodyDiv w:val="1"/>
      <w:marLeft w:val="0"/>
      <w:marRight w:val="0"/>
      <w:marTop w:val="0"/>
      <w:marBottom w:val="0"/>
      <w:divBdr>
        <w:top w:val="none" w:sz="0" w:space="0" w:color="auto"/>
        <w:left w:val="none" w:sz="0" w:space="0" w:color="auto"/>
        <w:bottom w:val="none" w:sz="0" w:space="0" w:color="auto"/>
        <w:right w:val="none" w:sz="0" w:space="0" w:color="auto"/>
      </w:divBdr>
    </w:div>
    <w:div w:id="1639993347">
      <w:bodyDiv w:val="1"/>
      <w:marLeft w:val="0"/>
      <w:marRight w:val="0"/>
      <w:marTop w:val="0"/>
      <w:marBottom w:val="0"/>
      <w:divBdr>
        <w:top w:val="none" w:sz="0" w:space="0" w:color="auto"/>
        <w:left w:val="none" w:sz="0" w:space="0" w:color="auto"/>
        <w:bottom w:val="none" w:sz="0" w:space="0" w:color="auto"/>
        <w:right w:val="none" w:sz="0" w:space="0" w:color="auto"/>
      </w:divBdr>
    </w:div>
    <w:div w:id="1642610727">
      <w:bodyDiv w:val="1"/>
      <w:marLeft w:val="0"/>
      <w:marRight w:val="0"/>
      <w:marTop w:val="0"/>
      <w:marBottom w:val="0"/>
      <w:divBdr>
        <w:top w:val="none" w:sz="0" w:space="0" w:color="auto"/>
        <w:left w:val="none" w:sz="0" w:space="0" w:color="auto"/>
        <w:bottom w:val="none" w:sz="0" w:space="0" w:color="auto"/>
        <w:right w:val="none" w:sz="0" w:space="0" w:color="auto"/>
      </w:divBdr>
    </w:div>
    <w:div w:id="1646004596">
      <w:bodyDiv w:val="1"/>
      <w:marLeft w:val="0"/>
      <w:marRight w:val="0"/>
      <w:marTop w:val="0"/>
      <w:marBottom w:val="0"/>
      <w:divBdr>
        <w:top w:val="none" w:sz="0" w:space="0" w:color="auto"/>
        <w:left w:val="none" w:sz="0" w:space="0" w:color="auto"/>
        <w:bottom w:val="none" w:sz="0" w:space="0" w:color="auto"/>
        <w:right w:val="none" w:sz="0" w:space="0" w:color="auto"/>
      </w:divBdr>
    </w:div>
    <w:div w:id="1646541305">
      <w:bodyDiv w:val="1"/>
      <w:marLeft w:val="0"/>
      <w:marRight w:val="0"/>
      <w:marTop w:val="0"/>
      <w:marBottom w:val="0"/>
      <w:divBdr>
        <w:top w:val="none" w:sz="0" w:space="0" w:color="auto"/>
        <w:left w:val="none" w:sz="0" w:space="0" w:color="auto"/>
        <w:bottom w:val="none" w:sz="0" w:space="0" w:color="auto"/>
        <w:right w:val="none" w:sz="0" w:space="0" w:color="auto"/>
      </w:divBdr>
    </w:div>
    <w:div w:id="1647733338">
      <w:bodyDiv w:val="1"/>
      <w:marLeft w:val="0"/>
      <w:marRight w:val="0"/>
      <w:marTop w:val="0"/>
      <w:marBottom w:val="0"/>
      <w:divBdr>
        <w:top w:val="none" w:sz="0" w:space="0" w:color="auto"/>
        <w:left w:val="none" w:sz="0" w:space="0" w:color="auto"/>
        <w:bottom w:val="none" w:sz="0" w:space="0" w:color="auto"/>
        <w:right w:val="none" w:sz="0" w:space="0" w:color="auto"/>
      </w:divBdr>
    </w:div>
    <w:div w:id="1651980882">
      <w:bodyDiv w:val="1"/>
      <w:marLeft w:val="0"/>
      <w:marRight w:val="0"/>
      <w:marTop w:val="0"/>
      <w:marBottom w:val="0"/>
      <w:divBdr>
        <w:top w:val="none" w:sz="0" w:space="0" w:color="auto"/>
        <w:left w:val="none" w:sz="0" w:space="0" w:color="auto"/>
        <w:bottom w:val="none" w:sz="0" w:space="0" w:color="auto"/>
        <w:right w:val="none" w:sz="0" w:space="0" w:color="auto"/>
      </w:divBdr>
    </w:div>
    <w:div w:id="1657565492">
      <w:bodyDiv w:val="1"/>
      <w:marLeft w:val="0"/>
      <w:marRight w:val="0"/>
      <w:marTop w:val="0"/>
      <w:marBottom w:val="0"/>
      <w:divBdr>
        <w:top w:val="none" w:sz="0" w:space="0" w:color="auto"/>
        <w:left w:val="none" w:sz="0" w:space="0" w:color="auto"/>
        <w:bottom w:val="none" w:sz="0" w:space="0" w:color="auto"/>
        <w:right w:val="none" w:sz="0" w:space="0" w:color="auto"/>
      </w:divBdr>
    </w:div>
    <w:div w:id="1658922214">
      <w:bodyDiv w:val="1"/>
      <w:marLeft w:val="0"/>
      <w:marRight w:val="0"/>
      <w:marTop w:val="0"/>
      <w:marBottom w:val="0"/>
      <w:divBdr>
        <w:top w:val="none" w:sz="0" w:space="0" w:color="auto"/>
        <w:left w:val="none" w:sz="0" w:space="0" w:color="auto"/>
        <w:bottom w:val="none" w:sz="0" w:space="0" w:color="auto"/>
        <w:right w:val="none" w:sz="0" w:space="0" w:color="auto"/>
      </w:divBdr>
    </w:div>
    <w:div w:id="1661809976">
      <w:bodyDiv w:val="1"/>
      <w:marLeft w:val="0"/>
      <w:marRight w:val="0"/>
      <w:marTop w:val="0"/>
      <w:marBottom w:val="0"/>
      <w:divBdr>
        <w:top w:val="none" w:sz="0" w:space="0" w:color="auto"/>
        <w:left w:val="none" w:sz="0" w:space="0" w:color="auto"/>
        <w:bottom w:val="none" w:sz="0" w:space="0" w:color="auto"/>
        <w:right w:val="none" w:sz="0" w:space="0" w:color="auto"/>
      </w:divBdr>
    </w:div>
    <w:div w:id="1669945455">
      <w:bodyDiv w:val="1"/>
      <w:marLeft w:val="0"/>
      <w:marRight w:val="0"/>
      <w:marTop w:val="0"/>
      <w:marBottom w:val="0"/>
      <w:divBdr>
        <w:top w:val="none" w:sz="0" w:space="0" w:color="auto"/>
        <w:left w:val="none" w:sz="0" w:space="0" w:color="auto"/>
        <w:bottom w:val="none" w:sz="0" w:space="0" w:color="auto"/>
        <w:right w:val="none" w:sz="0" w:space="0" w:color="auto"/>
      </w:divBdr>
    </w:div>
    <w:div w:id="1672567580">
      <w:bodyDiv w:val="1"/>
      <w:marLeft w:val="0"/>
      <w:marRight w:val="0"/>
      <w:marTop w:val="0"/>
      <w:marBottom w:val="0"/>
      <w:divBdr>
        <w:top w:val="none" w:sz="0" w:space="0" w:color="auto"/>
        <w:left w:val="none" w:sz="0" w:space="0" w:color="auto"/>
        <w:bottom w:val="none" w:sz="0" w:space="0" w:color="auto"/>
        <w:right w:val="none" w:sz="0" w:space="0" w:color="auto"/>
      </w:divBdr>
    </w:div>
    <w:div w:id="1674526865">
      <w:bodyDiv w:val="1"/>
      <w:marLeft w:val="0"/>
      <w:marRight w:val="0"/>
      <w:marTop w:val="0"/>
      <w:marBottom w:val="0"/>
      <w:divBdr>
        <w:top w:val="none" w:sz="0" w:space="0" w:color="auto"/>
        <w:left w:val="none" w:sz="0" w:space="0" w:color="auto"/>
        <w:bottom w:val="none" w:sz="0" w:space="0" w:color="auto"/>
        <w:right w:val="none" w:sz="0" w:space="0" w:color="auto"/>
      </w:divBdr>
    </w:div>
    <w:div w:id="1675111680">
      <w:bodyDiv w:val="1"/>
      <w:marLeft w:val="0"/>
      <w:marRight w:val="0"/>
      <w:marTop w:val="0"/>
      <w:marBottom w:val="0"/>
      <w:divBdr>
        <w:top w:val="none" w:sz="0" w:space="0" w:color="auto"/>
        <w:left w:val="none" w:sz="0" w:space="0" w:color="auto"/>
        <w:bottom w:val="none" w:sz="0" w:space="0" w:color="auto"/>
        <w:right w:val="none" w:sz="0" w:space="0" w:color="auto"/>
      </w:divBdr>
    </w:div>
    <w:div w:id="1678724850">
      <w:bodyDiv w:val="1"/>
      <w:marLeft w:val="0"/>
      <w:marRight w:val="0"/>
      <w:marTop w:val="0"/>
      <w:marBottom w:val="0"/>
      <w:divBdr>
        <w:top w:val="none" w:sz="0" w:space="0" w:color="auto"/>
        <w:left w:val="none" w:sz="0" w:space="0" w:color="auto"/>
        <w:bottom w:val="none" w:sz="0" w:space="0" w:color="auto"/>
        <w:right w:val="none" w:sz="0" w:space="0" w:color="auto"/>
      </w:divBdr>
    </w:div>
    <w:div w:id="1682003553">
      <w:bodyDiv w:val="1"/>
      <w:marLeft w:val="0"/>
      <w:marRight w:val="0"/>
      <w:marTop w:val="0"/>
      <w:marBottom w:val="0"/>
      <w:divBdr>
        <w:top w:val="none" w:sz="0" w:space="0" w:color="auto"/>
        <w:left w:val="none" w:sz="0" w:space="0" w:color="auto"/>
        <w:bottom w:val="none" w:sz="0" w:space="0" w:color="auto"/>
        <w:right w:val="none" w:sz="0" w:space="0" w:color="auto"/>
      </w:divBdr>
    </w:div>
    <w:div w:id="1682005632">
      <w:bodyDiv w:val="1"/>
      <w:marLeft w:val="0"/>
      <w:marRight w:val="0"/>
      <w:marTop w:val="0"/>
      <w:marBottom w:val="0"/>
      <w:divBdr>
        <w:top w:val="none" w:sz="0" w:space="0" w:color="auto"/>
        <w:left w:val="none" w:sz="0" w:space="0" w:color="auto"/>
        <w:bottom w:val="none" w:sz="0" w:space="0" w:color="auto"/>
        <w:right w:val="none" w:sz="0" w:space="0" w:color="auto"/>
      </w:divBdr>
    </w:div>
    <w:div w:id="1687174096">
      <w:bodyDiv w:val="1"/>
      <w:marLeft w:val="0"/>
      <w:marRight w:val="0"/>
      <w:marTop w:val="0"/>
      <w:marBottom w:val="0"/>
      <w:divBdr>
        <w:top w:val="none" w:sz="0" w:space="0" w:color="auto"/>
        <w:left w:val="none" w:sz="0" w:space="0" w:color="auto"/>
        <w:bottom w:val="none" w:sz="0" w:space="0" w:color="auto"/>
        <w:right w:val="none" w:sz="0" w:space="0" w:color="auto"/>
      </w:divBdr>
    </w:div>
    <w:div w:id="1687630711">
      <w:bodyDiv w:val="1"/>
      <w:marLeft w:val="0"/>
      <w:marRight w:val="0"/>
      <w:marTop w:val="0"/>
      <w:marBottom w:val="0"/>
      <w:divBdr>
        <w:top w:val="none" w:sz="0" w:space="0" w:color="auto"/>
        <w:left w:val="none" w:sz="0" w:space="0" w:color="auto"/>
        <w:bottom w:val="none" w:sz="0" w:space="0" w:color="auto"/>
        <w:right w:val="none" w:sz="0" w:space="0" w:color="auto"/>
      </w:divBdr>
    </w:div>
    <w:div w:id="1695308725">
      <w:bodyDiv w:val="1"/>
      <w:marLeft w:val="0"/>
      <w:marRight w:val="0"/>
      <w:marTop w:val="0"/>
      <w:marBottom w:val="0"/>
      <w:divBdr>
        <w:top w:val="none" w:sz="0" w:space="0" w:color="auto"/>
        <w:left w:val="none" w:sz="0" w:space="0" w:color="auto"/>
        <w:bottom w:val="none" w:sz="0" w:space="0" w:color="auto"/>
        <w:right w:val="none" w:sz="0" w:space="0" w:color="auto"/>
      </w:divBdr>
    </w:div>
    <w:div w:id="1703362638">
      <w:bodyDiv w:val="1"/>
      <w:marLeft w:val="0"/>
      <w:marRight w:val="0"/>
      <w:marTop w:val="0"/>
      <w:marBottom w:val="0"/>
      <w:divBdr>
        <w:top w:val="none" w:sz="0" w:space="0" w:color="auto"/>
        <w:left w:val="none" w:sz="0" w:space="0" w:color="auto"/>
        <w:bottom w:val="none" w:sz="0" w:space="0" w:color="auto"/>
        <w:right w:val="none" w:sz="0" w:space="0" w:color="auto"/>
      </w:divBdr>
    </w:div>
    <w:div w:id="1714650221">
      <w:bodyDiv w:val="1"/>
      <w:marLeft w:val="0"/>
      <w:marRight w:val="0"/>
      <w:marTop w:val="0"/>
      <w:marBottom w:val="0"/>
      <w:divBdr>
        <w:top w:val="none" w:sz="0" w:space="0" w:color="auto"/>
        <w:left w:val="none" w:sz="0" w:space="0" w:color="auto"/>
        <w:bottom w:val="none" w:sz="0" w:space="0" w:color="auto"/>
        <w:right w:val="none" w:sz="0" w:space="0" w:color="auto"/>
      </w:divBdr>
    </w:div>
    <w:div w:id="1718778138">
      <w:bodyDiv w:val="1"/>
      <w:marLeft w:val="0"/>
      <w:marRight w:val="0"/>
      <w:marTop w:val="0"/>
      <w:marBottom w:val="0"/>
      <w:divBdr>
        <w:top w:val="none" w:sz="0" w:space="0" w:color="auto"/>
        <w:left w:val="none" w:sz="0" w:space="0" w:color="auto"/>
        <w:bottom w:val="none" w:sz="0" w:space="0" w:color="auto"/>
        <w:right w:val="none" w:sz="0" w:space="0" w:color="auto"/>
      </w:divBdr>
    </w:div>
    <w:div w:id="1720930991">
      <w:bodyDiv w:val="1"/>
      <w:marLeft w:val="0"/>
      <w:marRight w:val="0"/>
      <w:marTop w:val="0"/>
      <w:marBottom w:val="0"/>
      <w:divBdr>
        <w:top w:val="none" w:sz="0" w:space="0" w:color="auto"/>
        <w:left w:val="none" w:sz="0" w:space="0" w:color="auto"/>
        <w:bottom w:val="none" w:sz="0" w:space="0" w:color="auto"/>
        <w:right w:val="none" w:sz="0" w:space="0" w:color="auto"/>
      </w:divBdr>
    </w:div>
    <w:div w:id="1729768804">
      <w:bodyDiv w:val="1"/>
      <w:marLeft w:val="0"/>
      <w:marRight w:val="0"/>
      <w:marTop w:val="0"/>
      <w:marBottom w:val="0"/>
      <w:divBdr>
        <w:top w:val="none" w:sz="0" w:space="0" w:color="auto"/>
        <w:left w:val="none" w:sz="0" w:space="0" w:color="auto"/>
        <w:bottom w:val="none" w:sz="0" w:space="0" w:color="auto"/>
        <w:right w:val="none" w:sz="0" w:space="0" w:color="auto"/>
      </w:divBdr>
    </w:div>
    <w:div w:id="1732532521">
      <w:bodyDiv w:val="1"/>
      <w:marLeft w:val="0"/>
      <w:marRight w:val="0"/>
      <w:marTop w:val="0"/>
      <w:marBottom w:val="0"/>
      <w:divBdr>
        <w:top w:val="none" w:sz="0" w:space="0" w:color="auto"/>
        <w:left w:val="none" w:sz="0" w:space="0" w:color="auto"/>
        <w:bottom w:val="none" w:sz="0" w:space="0" w:color="auto"/>
        <w:right w:val="none" w:sz="0" w:space="0" w:color="auto"/>
      </w:divBdr>
    </w:div>
    <w:div w:id="1733190319">
      <w:bodyDiv w:val="1"/>
      <w:marLeft w:val="0"/>
      <w:marRight w:val="0"/>
      <w:marTop w:val="0"/>
      <w:marBottom w:val="0"/>
      <w:divBdr>
        <w:top w:val="none" w:sz="0" w:space="0" w:color="auto"/>
        <w:left w:val="none" w:sz="0" w:space="0" w:color="auto"/>
        <w:bottom w:val="none" w:sz="0" w:space="0" w:color="auto"/>
        <w:right w:val="none" w:sz="0" w:space="0" w:color="auto"/>
      </w:divBdr>
    </w:div>
    <w:div w:id="1734431335">
      <w:bodyDiv w:val="1"/>
      <w:marLeft w:val="0"/>
      <w:marRight w:val="0"/>
      <w:marTop w:val="0"/>
      <w:marBottom w:val="0"/>
      <w:divBdr>
        <w:top w:val="none" w:sz="0" w:space="0" w:color="auto"/>
        <w:left w:val="none" w:sz="0" w:space="0" w:color="auto"/>
        <w:bottom w:val="none" w:sz="0" w:space="0" w:color="auto"/>
        <w:right w:val="none" w:sz="0" w:space="0" w:color="auto"/>
      </w:divBdr>
    </w:div>
    <w:div w:id="1735272174">
      <w:bodyDiv w:val="1"/>
      <w:marLeft w:val="0"/>
      <w:marRight w:val="0"/>
      <w:marTop w:val="0"/>
      <w:marBottom w:val="0"/>
      <w:divBdr>
        <w:top w:val="none" w:sz="0" w:space="0" w:color="auto"/>
        <w:left w:val="none" w:sz="0" w:space="0" w:color="auto"/>
        <w:bottom w:val="none" w:sz="0" w:space="0" w:color="auto"/>
        <w:right w:val="none" w:sz="0" w:space="0" w:color="auto"/>
      </w:divBdr>
    </w:div>
    <w:div w:id="1742098242">
      <w:bodyDiv w:val="1"/>
      <w:marLeft w:val="0"/>
      <w:marRight w:val="0"/>
      <w:marTop w:val="0"/>
      <w:marBottom w:val="0"/>
      <w:divBdr>
        <w:top w:val="none" w:sz="0" w:space="0" w:color="auto"/>
        <w:left w:val="none" w:sz="0" w:space="0" w:color="auto"/>
        <w:bottom w:val="none" w:sz="0" w:space="0" w:color="auto"/>
        <w:right w:val="none" w:sz="0" w:space="0" w:color="auto"/>
      </w:divBdr>
    </w:div>
    <w:div w:id="1753238063">
      <w:bodyDiv w:val="1"/>
      <w:marLeft w:val="0"/>
      <w:marRight w:val="0"/>
      <w:marTop w:val="0"/>
      <w:marBottom w:val="0"/>
      <w:divBdr>
        <w:top w:val="none" w:sz="0" w:space="0" w:color="auto"/>
        <w:left w:val="none" w:sz="0" w:space="0" w:color="auto"/>
        <w:bottom w:val="none" w:sz="0" w:space="0" w:color="auto"/>
        <w:right w:val="none" w:sz="0" w:space="0" w:color="auto"/>
      </w:divBdr>
    </w:div>
    <w:div w:id="1759907177">
      <w:bodyDiv w:val="1"/>
      <w:marLeft w:val="0"/>
      <w:marRight w:val="0"/>
      <w:marTop w:val="0"/>
      <w:marBottom w:val="0"/>
      <w:divBdr>
        <w:top w:val="none" w:sz="0" w:space="0" w:color="auto"/>
        <w:left w:val="none" w:sz="0" w:space="0" w:color="auto"/>
        <w:bottom w:val="none" w:sz="0" w:space="0" w:color="auto"/>
        <w:right w:val="none" w:sz="0" w:space="0" w:color="auto"/>
      </w:divBdr>
    </w:div>
    <w:div w:id="1762094413">
      <w:bodyDiv w:val="1"/>
      <w:marLeft w:val="0"/>
      <w:marRight w:val="0"/>
      <w:marTop w:val="0"/>
      <w:marBottom w:val="0"/>
      <w:divBdr>
        <w:top w:val="none" w:sz="0" w:space="0" w:color="auto"/>
        <w:left w:val="none" w:sz="0" w:space="0" w:color="auto"/>
        <w:bottom w:val="none" w:sz="0" w:space="0" w:color="auto"/>
        <w:right w:val="none" w:sz="0" w:space="0" w:color="auto"/>
      </w:divBdr>
    </w:div>
    <w:div w:id="1763913208">
      <w:bodyDiv w:val="1"/>
      <w:marLeft w:val="0"/>
      <w:marRight w:val="0"/>
      <w:marTop w:val="0"/>
      <w:marBottom w:val="0"/>
      <w:divBdr>
        <w:top w:val="none" w:sz="0" w:space="0" w:color="auto"/>
        <w:left w:val="none" w:sz="0" w:space="0" w:color="auto"/>
        <w:bottom w:val="none" w:sz="0" w:space="0" w:color="auto"/>
        <w:right w:val="none" w:sz="0" w:space="0" w:color="auto"/>
      </w:divBdr>
    </w:div>
    <w:div w:id="1765103940">
      <w:bodyDiv w:val="1"/>
      <w:marLeft w:val="0"/>
      <w:marRight w:val="0"/>
      <w:marTop w:val="0"/>
      <w:marBottom w:val="0"/>
      <w:divBdr>
        <w:top w:val="none" w:sz="0" w:space="0" w:color="auto"/>
        <w:left w:val="none" w:sz="0" w:space="0" w:color="auto"/>
        <w:bottom w:val="none" w:sz="0" w:space="0" w:color="auto"/>
        <w:right w:val="none" w:sz="0" w:space="0" w:color="auto"/>
      </w:divBdr>
    </w:div>
    <w:div w:id="1768623151">
      <w:bodyDiv w:val="1"/>
      <w:marLeft w:val="0"/>
      <w:marRight w:val="0"/>
      <w:marTop w:val="0"/>
      <w:marBottom w:val="0"/>
      <w:divBdr>
        <w:top w:val="none" w:sz="0" w:space="0" w:color="auto"/>
        <w:left w:val="none" w:sz="0" w:space="0" w:color="auto"/>
        <w:bottom w:val="none" w:sz="0" w:space="0" w:color="auto"/>
        <w:right w:val="none" w:sz="0" w:space="0" w:color="auto"/>
      </w:divBdr>
    </w:div>
    <w:div w:id="1781989453">
      <w:bodyDiv w:val="1"/>
      <w:marLeft w:val="0"/>
      <w:marRight w:val="0"/>
      <w:marTop w:val="0"/>
      <w:marBottom w:val="0"/>
      <w:divBdr>
        <w:top w:val="none" w:sz="0" w:space="0" w:color="auto"/>
        <w:left w:val="none" w:sz="0" w:space="0" w:color="auto"/>
        <w:bottom w:val="none" w:sz="0" w:space="0" w:color="auto"/>
        <w:right w:val="none" w:sz="0" w:space="0" w:color="auto"/>
      </w:divBdr>
    </w:div>
    <w:div w:id="1790081859">
      <w:bodyDiv w:val="1"/>
      <w:marLeft w:val="0"/>
      <w:marRight w:val="0"/>
      <w:marTop w:val="0"/>
      <w:marBottom w:val="0"/>
      <w:divBdr>
        <w:top w:val="none" w:sz="0" w:space="0" w:color="auto"/>
        <w:left w:val="none" w:sz="0" w:space="0" w:color="auto"/>
        <w:bottom w:val="none" w:sz="0" w:space="0" w:color="auto"/>
        <w:right w:val="none" w:sz="0" w:space="0" w:color="auto"/>
      </w:divBdr>
    </w:div>
    <w:div w:id="1796870486">
      <w:bodyDiv w:val="1"/>
      <w:marLeft w:val="0"/>
      <w:marRight w:val="0"/>
      <w:marTop w:val="0"/>
      <w:marBottom w:val="0"/>
      <w:divBdr>
        <w:top w:val="none" w:sz="0" w:space="0" w:color="auto"/>
        <w:left w:val="none" w:sz="0" w:space="0" w:color="auto"/>
        <w:bottom w:val="none" w:sz="0" w:space="0" w:color="auto"/>
        <w:right w:val="none" w:sz="0" w:space="0" w:color="auto"/>
      </w:divBdr>
    </w:div>
    <w:div w:id="1799227937">
      <w:bodyDiv w:val="1"/>
      <w:marLeft w:val="0"/>
      <w:marRight w:val="0"/>
      <w:marTop w:val="0"/>
      <w:marBottom w:val="0"/>
      <w:divBdr>
        <w:top w:val="none" w:sz="0" w:space="0" w:color="auto"/>
        <w:left w:val="none" w:sz="0" w:space="0" w:color="auto"/>
        <w:bottom w:val="none" w:sz="0" w:space="0" w:color="auto"/>
        <w:right w:val="none" w:sz="0" w:space="0" w:color="auto"/>
      </w:divBdr>
    </w:div>
    <w:div w:id="1799837238">
      <w:bodyDiv w:val="1"/>
      <w:marLeft w:val="0"/>
      <w:marRight w:val="0"/>
      <w:marTop w:val="0"/>
      <w:marBottom w:val="0"/>
      <w:divBdr>
        <w:top w:val="none" w:sz="0" w:space="0" w:color="auto"/>
        <w:left w:val="none" w:sz="0" w:space="0" w:color="auto"/>
        <w:bottom w:val="none" w:sz="0" w:space="0" w:color="auto"/>
        <w:right w:val="none" w:sz="0" w:space="0" w:color="auto"/>
      </w:divBdr>
    </w:div>
    <w:div w:id="1800565580">
      <w:bodyDiv w:val="1"/>
      <w:marLeft w:val="0"/>
      <w:marRight w:val="0"/>
      <w:marTop w:val="0"/>
      <w:marBottom w:val="0"/>
      <w:divBdr>
        <w:top w:val="none" w:sz="0" w:space="0" w:color="auto"/>
        <w:left w:val="none" w:sz="0" w:space="0" w:color="auto"/>
        <w:bottom w:val="none" w:sz="0" w:space="0" w:color="auto"/>
        <w:right w:val="none" w:sz="0" w:space="0" w:color="auto"/>
      </w:divBdr>
    </w:div>
    <w:div w:id="1800951982">
      <w:bodyDiv w:val="1"/>
      <w:marLeft w:val="0"/>
      <w:marRight w:val="0"/>
      <w:marTop w:val="0"/>
      <w:marBottom w:val="0"/>
      <w:divBdr>
        <w:top w:val="none" w:sz="0" w:space="0" w:color="auto"/>
        <w:left w:val="none" w:sz="0" w:space="0" w:color="auto"/>
        <w:bottom w:val="none" w:sz="0" w:space="0" w:color="auto"/>
        <w:right w:val="none" w:sz="0" w:space="0" w:color="auto"/>
      </w:divBdr>
    </w:div>
    <w:div w:id="1801000135">
      <w:bodyDiv w:val="1"/>
      <w:marLeft w:val="0"/>
      <w:marRight w:val="0"/>
      <w:marTop w:val="0"/>
      <w:marBottom w:val="0"/>
      <w:divBdr>
        <w:top w:val="none" w:sz="0" w:space="0" w:color="auto"/>
        <w:left w:val="none" w:sz="0" w:space="0" w:color="auto"/>
        <w:bottom w:val="none" w:sz="0" w:space="0" w:color="auto"/>
        <w:right w:val="none" w:sz="0" w:space="0" w:color="auto"/>
      </w:divBdr>
    </w:div>
    <w:div w:id="1805075142">
      <w:bodyDiv w:val="1"/>
      <w:marLeft w:val="0"/>
      <w:marRight w:val="0"/>
      <w:marTop w:val="0"/>
      <w:marBottom w:val="0"/>
      <w:divBdr>
        <w:top w:val="none" w:sz="0" w:space="0" w:color="auto"/>
        <w:left w:val="none" w:sz="0" w:space="0" w:color="auto"/>
        <w:bottom w:val="none" w:sz="0" w:space="0" w:color="auto"/>
        <w:right w:val="none" w:sz="0" w:space="0" w:color="auto"/>
      </w:divBdr>
    </w:div>
    <w:div w:id="1806583452">
      <w:bodyDiv w:val="1"/>
      <w:marLeft w:val="0"/>
      <w:marRight w:val="0"/>
      <w:marTop w:val="0"/>
      <w:marBottom w:val="0"/>
      <w:divBdr>
        <w:top w:val="none" w:sz="0" w:space="0" w:color="auto"/>
        <w:left w:val="none" w:sz="0" w:space="0" w:color="auto"/>
        <w:bottom w:val="none" w:sz="0" w:space="0" w:color="auto"/>
        <w:right w:val="none" w:sz="0" w:space="0" w:color="auto"/>
      </w:divBdr>
    </w:div>
    <w:div w:id="1807041493">
      <w:bodyDiv w:val="1"/>
      <w:marLeft w:val="0"/>
      <w:marRight w:val="0"/>
      <w:marTop w:val="0"/>
      <w:marBottom w:val="0"/>
      <w:divBdr>
        <w:top w:val="none" w:sz="0" w:space="0" w:color="auto"/>
        <w:left w:val="none" w:sz="0" w:space="0" w:color="auto"/>
        <w:bottom w:val="none" w:sz="0" w:space="0" w:color="auto"/>
        <w:right w:val="none" w:sz="0" w:space="0" w:color="auto"/>
      </w:divBdr>
    </w:div>
    <w:div w:id="1809011267">
      <w:bodyDiv w:val="1"/>
      <w:marLeft w:val="0"/>
      <w:marRight w:val="0"/>
      <w:marTop w:val="0"/>
      <w:marBottom w:val="0"/>
      <w:divBdr>
        <w:top w:val="none" w:sz="0" w:space="0" w:color="auto"/>
        <w:left w:val="none" w:sz="0" w:space="0" w:color="auto"/>
        <w:bottom w:val="none" w:sz="0" w:space="0" w:color="auto"/>
        <w:right w:val="none" w:sz="0" w:space="0" w:color="auto"/>
      </w:divBdr>
    </w:div>
    <w:div w:id="1817066906">
      <w:bodyDiv w:val="1"/>
      <w:marLeft w:val="0"/>
      <w:marRight w:val="0"/>
      <w:marTop w:val="0"/>
      <w:marBottom w:val="0"/>
      <w:divBdr>
        <w:top w:val="none" w:sz="0" w:space="0" w:color="auto"/>
        <w:left w:val="none" w:sz="0" w:space="0" w:color="auto"/>
        <w:bottom w:val="none" w:sz="0" w:space="0" w:color="auto"/>
        <w:right w:val="none" w:sz="0" w:space="0" w:color="auto"/>
      </w:divBdr>
    </w:div>
    <w:div w:id="1822035069">
      <w:bodyDiv w:val="1"/>
      <w:marLeft w:val="0"/>
      <w:marRight w:val="0"/>
      <w:marTop w:val="0"/>
      <w:marBottom w:val="0"/>
      <w:divBdr>
        <w:top w:val="none" w:sz="0" w:space="0" w:color="auto"/>
        <w:left w:val="none" w:sz="0" w:space="0" w:color="auto"/>
        <w:bottom w:val="none" w:sz="0" w:space="0" w:color="auto"/>
        <w:right w:val="none" w:sz="0" w:space="0" w:color="auto"/>
      </w:divBdr>
    </w:div>
    <w:div w:id="1822650103">
      <w:bodyDiv w:val="1"/>
      <w:marLeft w:val="0"/>
      <w:marRight w:val="0"/>
      <w:marTop w:val="0"/>
      <w:marBottom w:val="0"/>
      <w:divBdr>
        <w:top w:val="none" w:sz="0" w:space="0" w:color="auto"/>
        <w:left w:val="none" w:sz="0" w:space="0" w:color="auto"/>
        <w:bottom w:val="none" w:sz="0" w:space="0" w:color="auto"/>
        <w:right w:val="none" w:sz="0" w:space="0" w:color="auto"/>
      </w:divBdr>
    </w:div>
    <w:div w:id="1825270002">
      <w:bodyDiv w:val="1"/>
      <w:marLeft w:val="0"/>
      <w:marRight w:val="0"/>
      <w:marTop w:val="0"/>
      <w:marBottom w:val="0"/>
      <w:divBdr>
        <w:top w:val="none" w:sz="0" w:space="0" w:color="auto"/>
        <w:left w:val="none" w:sz="0" w:space="0" w:color="auto"/>
        <w:bottom w:val="none" w:sz="0" w:space="0" w:color="auto"/>
        <w:right w:val="none" w:sz="0" w:space="0" w:color="auto"/>
      </w:divBdr>
    </w:div>
    <w:div w:id="1829247878">
      <w:bodyDiv w:val="1"/>
      <w:marLeft w:val="0"/>
      <w:marRight w:val="0"/>
      <w:marTop w:val="0"/>
      <w:marBottom w:val="0"/>
      <w:divBdr>
        <w:top w:val="none" w:sz="0" w:space="0" w:color="auto"/>
        <w:left w:val="none" w:sz="0" w:space="0" w:color="auto"/>
        <w:bottom w:val="none" w:sz="0" w:space="0" w:color="auto"/>
        <w:right w:val="none" w:sz="0" w:space="0" w:color="auto"/>
      </w:divBdr>
    </w:div>
    <w:div w:id="1829663675">
      <w:bodyDiv w:val="1"/>
      <w:marLeft w:val="0"/>
      <w:marRight w:val="0"/>
      <w:marTop w:val="0"/>
      <w:marBottom w:val="0"/>
      <w:divBdr>
        <w:top w:val="none" w:sz="0" w:space="0" w:color="auto"/>
        <w:left w:val="none" w:sz="0" w:space="0" w:color="auto"/>
        <w:bottom w:val="none" w:sz="0" w:space="0" w:color="auto"/>
        <w:right w:val="none" w:sz="0" w:space="0" w:color="auto"/>
      </w:divBdr>
    </w:div>
    <w:div w:id="1831798136">
      <w:bodyDiv w:val="1"/>
      <w:marLeft w:val="0"/>
      <w:marRight w:val="0"/>
      <w:marTop w:val="0"/>
      <w:marBottom w:val="0"/>
      <w:divBdr>
        <w:top w:val="none" w:sz="0" w:space="0" w:color="auto"/>
        <w:left w:val="none" w:sz="0" w:space="0" w:color="auto"/>
        <w:bottom w:val="none" w:sz="0" w:space="0" w:color="auto"/>
        <w:right w:val="none" w:sz="0" w:space="0" w:color="auto"/>
      </w:divBdr>
    </w:div>
    <w:div w:id="1832214975">
      <w:bodyDiv w:val="1"/>
      <w:marLeft w:val="0"/>
      <w:marRight w:val="0"/>
      <w:marTop w:val="0"/>
      <w:marBottom w:val="0"/>
      <w:divBdr>
        <w:top w:val="none" w:sz="0" w:space="0" w:color="auto"/>
        <w:left w:val="none" w:sz="0" w:space="0" w:color="auto"/>
        <w:bottom w:val="none" w:sz="0" w:space="0" w:color="auto"/>
        <w:right w:val="none" w:sz="0" w:space="0" w:color="auto"/>
      </w:divBdr>
    </w:div>
    <w:div w:id="1840536108">
      <w:bodyDiv w:val="1"/>
      <w:marLeft w:val="0"/>
      <w:marRight w:val="0"/>
      <w:marTop w:val="0"/>
      <w:marBottom w:val="0"/>
      <w:divBdr>
        <w:top w:val="none" w:sz="0" w:space="0" w:color="auto"/>
        <w:left w:val="none" w:sz="0" w:space="0" w:color="auto"/>
        <w:bottom w:val="none" w:sz="0" w:space="0" w:color="auto"/>
        <w:right w:val="none" w:sz="0" w:space="0" w:color="auto"/>
      </w:divBdr>
    </w:div>
    <w:div w:id="1842234132">
      <w:bodyDiv w:val="1"/>
      <w:marLeft w:val="0"/>
      <w:marRight w:val="0"/>
      <w:marTop w:val="0"/>
      <w:marBottom w:val="0"/>
      <w:divBdr>
        <w:top w:val="none" w:sz="0" w:space="0" w:color="auto"/>
        <w:left w:val="none" w:sz="0" w:space="0" w:color="auto"/>
        <w:bottom w:val="none" w:sz="0" w:space="0" w:color="auto"/>
        <w:right w:val="none" w:sz="0" w:space="0" w:color="auto"/>
      </w:divBdr>
    </w:div>
    <w:div w:id="1844972423">
      <w:bodyDiv w:val="1"/>
      <w:marLeft w:val="0"/>
      <w:marRight w:val="0"/>
      <w:marTop w:val="0"/>
      <w:marBottom w:val="0"/>
      <w:divBdr>
        <w:top w:val="none" w:sz="0" w:space="0" w:color="auto"/>
        <w:left w:val="none" w:sz="0" w:space="0" w:color="auto"/>
        <w:bottom w:val="none" w:sz="0" w:space="0" w:color="auto"/>
        <w:right w:val="none" w:sz="0" w:space="0" w:color="auto"/>
      </w:divBdr>
    </w:div>
    <w:div w:id="1847557495">
      <w:bodyDiv w:val="1"/>
      <w:marLeft w:val="0"/>
      <w:marRight w:val="0"/>
      <w:marTop w:val="0"/>
      <w:marBottom w:val="0"/>
      <w:divBdr>
        <w:top w:val="none" w:sz="0" w:space="0" w:color="auto"/>
        <w:left w:val="none" w:sz="0" w:space="0" w:color="auto"/>
        <w:bottom w:val="none" w:sz="0" w:space="0" w:color="auto"/>
        <w:right w:val="none" w:sz="0" w:space="0" w:color="auto"/>
      </w:divBdr>
    </w:div>
    <w:div w:id="1849252180">
      <w:bodyDiv w:val="1"/>
      <w:marLeft w:val="0"/>
      <w:marRight w:val="0"/>
      <w:marTop w:val="0"/>
      <w:marBottom w:val="0"/>
      <w:divBdr>
        <w:top w:val="none" w:sz="0" w:space="0" w:color="auto"/>
        <w:left w:val="none" w:sz="0" w:space="0" w:color="auto"/>
        <w:bottom w:val="none" w:sz="0" w:space="0" w:color="auto"/>
        <w:right w:val="none" w:sz="0" w:space="0" w:color="auto"/>
      </w:divBdr>
    </w:div>
    <w:div w:id="1849783326">
      <w:bodyDiv w:val="1"/>
      <w:marLeft w:val="0"/>
      <w:marRight w:val="0"/>
      <w:marTop w:val="0"/>
      <w:marBottom w:val="0"/>
      <w:divBdr>
        <w:top w:val="none" w:sz="0" w:space="0" w:color="auto"/>
        <w:left w:val="none" w:sz="0" w:space="0" w:color="auto"/>
        <w:bottom w:val="none" w:sz="0" w:space="0" w:color="auto"/>
        <w:right w:val="none" w:sz="0" w:space="0" w:color="auto"/>
      </w:divBdr>
    </w:div>
    <w:div w:id="1852210818">
      <w:bodyDiv w:val="1"/>
      <w:marLeft w:val="0"/>
      <w:marRight w:val="0"/>
      <w:marTop w:val="0"/>
      <w:marBottom w:val="0"/>
      <w:divBdr>
        <w:top w:val="none" w:sz="0" w:space="0" w:color="auto"/>
        <w:left w:val="none" w:sz="0" w:space="0" w:color="auto"/>
        <w:bottom w:val="none" w:sz="0" w:space="0" w:color="auto"/>
        <w:right w:val="none" w:sz="0" w:space="0" w:color="auto"/>
      </w:divBdr>
    </w:div>
    <w:div w:id="1852403525">
      <w:bodyDiv w:val="1"/>
      <w:marLeft w:val="0"/>
      <w:marRight w:val="0"/>
      <w:marTop w:val="0"/>
      <w:marBottom w:val="0"/>
      <w:divBdr>
        <w:top w:val="none" w:sz="0" w:space="0" w:color="auto"/>
        <w:left w:val="none" w:sz="0" w:space="0" w:color="auto"/>
        <w:bottom w:val="none" w:sz="0" w:space="0" w:color="auto"/>
        <w:right w:val="none" w:sz="0" w:space="0" w:color="auto"/>
      </w:divBdr>
    </w:div>
    <w:div w:id="1852600599">
      <w:bodyDiv w:val="1"/>
      <w:marLeft w:val="0"/>
      <w:marRight w:val="0"/>
      <w:marTop w:val="0"/>
      <w:marBottom w:val="0"/>
      <w:divBdr>
        <w:top w:val="none" w:sz="0" w:space="0" w:color="auto"/>
        <w:left w:val="none" w:sz="0" w:space="0" w:color="auto"/>
        <w:bottom w:val="none" w:sz="0" w:space="0" w:color="auto"/>
        <w:right w:val="none" w:sz="0" w:space="0" w:color="auto"/>
      </w:divBdr>
    </w:div>
    <w:div w:id="1860385558">
      <w:bodyDiv w:val="1"/>
      <w:marLeft w:val="0"/>
      <w:marRight w:val="0"/>
      <w:marTop w:val="0"/>
      <w:marBottom w:val="0"/>
      <w:divBdr>
        <w:top w:val="none" w:sz="0" w:space="0" w:color="auto"/>
        <w:left w:val="none" w:sz="0" w:space="0" w:color="auto"/>
        <w:bottom w:val="none" w:sz="0" w:space="0" w:color="auto"/>
        <w:right w:val="none" w:sz="0" w:space="0" w:color="auto"/>
      </w:divBdr>
    </w:div>
    <w:div w:id="1866946483">
      <w:bodyDiv w:val="1"/>
      <w:marLeft w:val="0"/>
      <w:marRight w:val="0"/>
      <w:marTop w:val="0"/>
      <w:marBottom w:val="0"/>
      <w:divBdr>
        <w:top w:val="none" w:sz="0" w:space="0" w:color="auto"/>
        <w:left w:val="none" w:sz="0" w:space="0" w:color="auto"/>
        <w:bottom w:val="none" w:sz="0" w:space="0" w:color="auto"/>
        <w:right w:val="none" w:sz="0" w:space="0" w:color="auto"/>
      </w:divBdr>
    </w:div>
    <w:div w:id="1880244075">
      <w:bodyDiv w:val="1"/>
      <w:marLeft w:val="0"/>
      <w:marRight w:val="0"/>
      <w:marTop w:val="0"/>
      <w:marBottom w:val="0"/>
      <w:divBdr>
        <w:top w:val="none" w:sz="0" w:space="0" w:color="auto"/>
        <w:left w:val="none" w:sz="0" w:space="0" w:color="auto"/>
        <w:bottom w:val="none" w:sz="0" w:space="0" w:color="auto"/>
        <w:right w:val="none" w:sz="0" w:space="0" w:color="auto"/>
      </w:divBdr>
    </w:div>
    <w:div w:id="1884053960">
      <w:bodyDiv w:val="1"/>
      <w:marLeft w:val="0"/>
      <w:marRight w:val="0"/>
      <w:marTop w:val="0"/>
      <w:marBottom w:val="0"/>
      <w:divBdr>
        <w:top w:val="none" w:sz="0" w:space="0" w:color="auto"/>
        <w:left w:val="none" w:sz="0" w:space="0" w:color="auto"/>
        <w:bottom w:val="none" w:sz="0" w:space="0" w:color="auto"/>
        <w:right w:val="none" w:sz="0" w:space="0" w:color="auto"/>
      </w:divBdr>
    </w:div>
    <w:div w:id="1890144804">
      <w:bodyDiv w:val="1"/>
      <w:marLeft w:val="0"/>
      <w:marRight w:val="0"/>
      <w:marTop w:val="0"/>
      <w:marBottom w:val="0"/>
      <w:divBdr>
        <w:top w:val="none" w:sz="0" w:space="0" w:color="auto"/>
        <w:left w:val="none" w:sz="0" w:space="0" w:color="auto"/>
        <w:bottom w:val="none" w:sz="0" w:space="0" w:color="auto"/>
        <w:right w:val="none" w:sz="0" w:space="0" w:color="auto"/>
      </w:divBdr>
    </w:div>
    <w:div w:id="1898786164">
      <w:bodyDiv w:val="1"/>
      <w:marLeft w:val="0"/>
      <w:marRight w:val="0"/>
      <w:marTop w:val="0"/>
      <w:marBottom w:val="0"/>
      <w:divBdr>
        <w:top w:val="none" w:sz="0" w:space="0" w:color="auto"/>
        <w:left w:val="none" w:sz="0" w:space="0" w:color="auto"/>
        <w:bottom w:val="none" w:sz="0" w:space="0" w:color="auto"/>
        <w:right w:val="none" w:sz="0" w:space="0" w:color="auto"/>
      </w:divBdr>
    </w:div>
    <w:div w:id="1901790042">
      <w:bodyDiv w:val="1"/>
      <w:marLeft w:val="0"/>
      <w:marRight w:val="0"/>
      <w:marTop w:val="0"/>
      <w:marBottom w:val="0"/>
      <w:divBdr>
        <w:top w:val="none" w:sz="0" w:space="0" w:color="auto"/>
        <w:left w:val="none" w:sz="0" w:space="0" w:color="auto"/>
        <w:bottom w:val="none" w:sz="0" w:space="0" w:color="auto"/>
        <w:right w:val="none" w:sz="0" w:space="0" w:color="auto"/>
      </w:divBdr>
    </w:div>
    <w:div w:id="1902865088">
      <w:bodyDiv w:val="1"/>
      <w:marLeft w:val="0"/>
      <w:marRight w:val="0"/>
      <w:marTop w:val="0"/>
      <w:marBottom w:val="0"/>
      <w:divBdr>
        <w:top w:val="none" w:sz="0" w:space="0" w:color="auto"/>
        <w:left w:val="none" w:sz="0" w:space="0" w:color="auto"/>
        <w:bottom w:val="none" w:sz="0" w:space="0" w:color="auto"/>
        <w:right w:val="none" w:sz="0" w:space="0" w:color="auto"/>
      </w:divBdr>
    </w:div>
    <w:div w:id="1904412504">
      <w:bodyDiv w:val="1"/>
      <w:marLeft w:val="0"/>
      <w:marRight w:val="0"/>
      <w:marTop w:val="0"/>
      <w:marBottom w:val="0"/>
      <w:divBdr>
        <w:top w:val="none" w:sz="0" w:space="0" w:color="auto"/>
        <w:left w:val="none" w:sz="0" w:space="0" w:color="auto"/>
        <w:bottom w:val="none" w:sz="0" w:space="0" w:color="auto"/>
        <w:right w:val="none" w:sz="0" w:space="0" w:color="auto"/>
      </w:divBdr>
    </w:div>
    <w:div w:id="1910577189">
      <w:bodyDiv w:val="1"/>
      <w:marLeft w:val="0"/>
      <w:marRight w:val="0"/>
      <w:marTop w:val="0"/>
      <w:marBottom w:val="0"/>
      <w:divBdr>
        <w:top w:val="none" w:sz="0" w:space="0" w:color="auto"/>
        <w:left w:val="none" w:sz="0" w:space="0" w:color="auto"/>
        <w:bottom w:val="none" w:sz="0" w:space="0" w:color="auto"/>
        <w:right w:val="none" w:sz="0" w:space="0" w:color="auto"/>
      </w:divBdr>
    </w:div>
    <w:div w:id="1911034042">
      <w:bodyDiv w:val="1"/>
      <w:marLeft w:val="0"/>
      <w:marRight w:val="0"/>
      <w:marTop w:val="0"/>
      <w:marBottom w:val="0"/>
      <w:divBdr>
        <w:top w:val="none" w:sz="0" w:space="0" w:color="auto"/>
        <w:left w:val="none" w:sz="0" w:space="0" w:color="auto"/>
        <w:bottom w:val="none" w:sz="0" w:space="0" w:color="auto"/>
        <w:right w:val="none" w:sz="0" w:space="0" w:color="auto"/>
      </w:divBdr>
    </w:div>
    <w:div w:id="1911769632">
      <w:bodyDiv w:val="1"/>
      <w:marLeft w:val="0"/>
      <w:marRight w:val="0"/>
      <w:marTop w:val="0"/>
      <w:marBottom w:val="0"/>
      <w:divBdr>
        <w:top w:val="none" w:sz="0" w:space="0" w:color="auto"/>
        <w:left w:val="none" w:sz="0" w:space="0" w:color="auto"/>
        <w:bottom w:val="none" w:sz="0" w:space="0" w:color="auto"/>
        <w:right w:val="none" w:sz="0" w:space="0" w:color="auto"/>
      </w:divBdr>
    </w:div>
    <w:div w:id="1920627227">
      <w:bodyDiv w:val="1"/>
      <w:marLeft w:val="0"/>
      <w:marRight w:val="0"/>
      <w:marTop w:val="0"/>
      <w:marBottom w:val="0"/>
      <w:divBdr>
        <w:top w:val="none" w:sz="0" w:space="0" w:color="auto"/>
        <w:left w:val="none" w:sz="0" w:space="0" w:color="auto"/>
        <w:bottom w:val="none" w:sz="0" w:space="0" w:color="auto"/>
        <w:right w:val="none" w:sz="0" w:space="0" w:color="auto"/>
      </w:divBdr>
    </w:div>
    <w:div w:id="1921910206">
      <w:bodyDiv w:val="1"/>
      <w:marLeft w:val="0"/>
      <w:marRight w:val="0"/>
      <w:marTop w:val="0"/>
      <w:marBottom w:val="0"/>
      <w:divBdr>
        <w:top w:val="none" w:sz="0" w:space="0" w:color="auto"/>
        <w:left w:val="none" w:sz="0" w:space="0" w:color="auto"/>
        <w:bottom w:val="none" w:sz="0" w:space="0" w:color="auto"/>
        <w:right w:val="none" w:sz="0" w:space="0" w:color="auto"/>
      </w:divBdr>
    </w:div>
    <w:div w:id="1929002554">
      <w:bodyDiv w:val="1"/>
      <w:marLeft w:val="0"/>
      <w:marRight w:val="0"/>
      <w:marTop w:val="0"/>
      <w:marBottom w:val="0"/>
      <w:divBdr>
        <w:top w:val="none" w:sz="0" w:space="0" w:color="auto"/>
        <w:left w:val="none" w:sz="0" w:space="0" w:color="auto"/>
        <w:bottom w:val="none" w:sz="0" w:space="0" w:color="auto"/>
        <w:right w:val="none" w:sz="0" w:space="0" w:color="auto"/>
      </w:divBdr>
    </w:div>
    <w:div w:id="1936858304">
      <w:bodyDiv w:val="1"/>
      <w:marLeft w:val="0"/>
      <w:marRight w:val="0"/>
      <w:marTop w:val="0"/>
      <w:marBottom w:val="0"/>
      <w:divBdr>
        <w:top w:val="none" w:sz="0" w:space="0" w:color="auto"/>
        <w:left w:val="none" w:sz="0" w:space="0" w:color="auto"/>
        <w:bottom w:val="none" w:sz="0" w:space="0" w:color="auto"/>
        <w:right w:val="none" w:sz="0" w:space="0" w:color="auto"/>
      </w:divBdr>
    </w:div>
    <w:div w:id="1941913311">
      <w:bodyDiv w:val="1"/>
      <w:marLeft w:val="0"/>
      <w:marRight w:val="0"/>
      <w:marTop w:val="0"/>
      <w:marBottom w:val="0"/>
      <w:divBdr>
        <w:top w:val="none" w:sz="0" w:space="0" w:color="auto"/>
        <w:left w:val="none" w:sz="0" w:space="0" w:color="auto"/>
        <w:bottom w:val="none" w:sz="0" w:space="0" w:color="auto"/>
        <w:right w:val="none" w:sz="0" w:space="0" w:color="auto"/>
      </w:divBdr>
    </w:div>
    <w:div w:id="1943881148">
      <w:bodyDiv w:val="1"/>
      <w:marLeft w:val="0"/>
      <w:marRight w:val="0"/>
      <w:marTop w:val="0"/>
      <w:marBottom w:val="0"/>
      <w:divBdr>
        <w:top w:val="none" w:sz="0" w:space="0" w:color="auto"/>
        <w:left w:val="none" w:sz="0" w:space="0" w:color="auto"/>
        <w:bottom w:val="none" w:sz="0" w:space="0" w:color="auto"/>
        <w:right w:val="none" w:sz="0" w:space="0" w:color="auto"/>
      </w:divBdr>
    </w:div>
    <w:div w:id="1944914996">
      <w:bodyDiv w:val="1"/>
      <w:marLeft w:val="0"/>
      <w:marRight w:val="0"/>
      <w:marTop w:val="0"/>
      <w:marBottom w:val="0"/>
      <w:divBdr>
        <w:top w:val="none" w:sz="0" w:space="0" w:color="auto"/>
        <w:left w:val="none" w:sz="0" w:space="0" w:color="auto"/>
        <w:bottom w:val="none" w:sz="0" w:space="0" w:color="auto"/>
        <w:right w:val="none" w:sz="0" w:space="0" w:color="auto"/>
      </w:divBdr>
    </w:div>
    <w:div w:id="1945577394">
      <w:bodyDiv w:val="1"/>
      <w:marLeft w:val="0"/>
      <w:marRight w:val="0"/>
      <w:marTop w:val="0"/>
      <w:marBottom w:val="0"/>
      <w:divBdr>
        <w:top w:val="none" w:sz="0" w:space="0" w:color="auto"/>
        <w:left w:val="none" w:sz="0" w:space="0" w:color="auto"/>
        <w:bottom w:val="none" w:sz="0" w:space="0" w:color="auto"/>
        <w:right w:val="none" w:sz="0" w:space="0" w:color="auto"/>
      </w:divBdr>
    </w:div>
    <w:div w:id="1956398232">
      <w:bodyDiv w:val="1"/>
      <w:marLeft w:val="0"/>
      <w:marRight w:val="0"/>
      <w:marTop w:val="0"/>
      <w:marBottom w:val="0"/>
      <w:divBdr>
        <w:top w:val="none" w:sz="0" w:space="0" w:color="auto"/>
        <w:left w:val="none" w:sz="0" w:space="0" w:color="auto"/>
        <w:bottom w:val="none" w:sz="0" w:space="0" w:color="auto"/>
        <w:right w:val="none" w:sz="0" w:space="0" w:color="auto"/>
      </w:divBdr>
    </w:div>
    <w:div w:id="1958945958">
      <w:bodyDiv w:val="1"/>
      <w:marLeft w:val="0"/>
      <w:marRight w:val="0"/>
      <w:marTop w:val="0"/>
      <w:marBottom w:val="0"/>
      <w:divBdr>
        <w:top w:val="none" w:sz="0" w:space="0" w:color="auto"/>
        <w:left w:val="none" w:sz="0" w:space="0" w:color="auto"/>
        <w:bottom w:val="none" w:sz="0" w:space="0" w:color="auto"/>
        <w:right w:val="none" w:sz="0" w:space="0" w:color="auto"/>
      </w:divBdr>
    </w:div>
    <w:div w:id="1962415287">
      <w:bodyDiv w:val="1"/>
      <w:marLeft w:val="0"/>
      <w:marRight w:val="0"/>
      <w:marTop w:val="0"/>
      <w:marBottom w:val="0"/>
      <w:divBdr>
        <w:top w:val="none" w:sz="0" w:space="0" w:color="auto"/>
        <w:left w:val="none" w:sz="0" w:space="0" w:color="auto"/>
        <w:bottom w:val="none" w:sz="0" w:space="0" w:color="auto"/>
        <w:right w:val="none" w:sz="0" w:space="0" w:color="auto"/>
      </w:divBdr>
    </w:div>
    <w:div w:id="1962490598">
      <w:bodyDiv w:val="1"/>
      <w:marLeft w:val="0"/>
      <w:marRight w:val="0"/>
      <w:marTop w:val="0"/>
      <w:marBottom w:val="0"/>
      <w:divBdr>
        <w:top w:val="none" w:sz="0" w:space="0" w:color="auto"/>
        <w:left w:val="none" w:sz="0" w:space="0" w:color="auto"/>
        <w:bottom w:val="none" w:sz="0" w:space="0" w:color="auto"/>
        <w:right w:val="none" w:sz="0" w:space="0" w:color="auto"/>
      </w:divBdr>
    </w:div>
    <w:div w:id="1971743912">
      <w:bodyDiv w:val="1"/>
      <w:marLeft w:val="0"/>
      <w:marRight w:val="0"/>
      <w:marTop w:val="0"/>
      <w:marBottom w:val="0"/>
      <w:divBdr>
        <w:top w:val="none" w:sz="0" w:space="0" w:color="auto"/>
        <w:left w:val="none" w:sz="0" w:space="0" w:color="auto"/>
        <w:bottom w:val="none" w:sz="0" w:space="0" w:color="auto"/>
        <w:right w:val="none" w:sz="0" w:space="0" w:color="auto"/>
      </w:divBdr>
    </w:div>
    <w:div w:id="1972593337">
      <w:bodyDiv w:val="1"/>
      <w:marLeft w:val="0"/>
      <w:marRight w:val="0"/>
      <w:marTop w:val="0"/>
      <w:marBottom w:val="0"/>
      <w:divBdr>
        <w:top w:val="none" w:sz="0" w:space="0" w:color="auto"/>
        <w:left w:val="none" w:sz="0" w:space="0" w:color="auto"/>
        <w:bottom w:val="none" w:sz="0" w:space="0" w:color="auto"/>
        <w:right w:val="none" w:sz="0" w:space="0" w:color="auto"/>
      </w:divBdr>
    </w:div>
    <w:div w:id="1977368370">
      <w:bodyDiv w:val="1"/>
      <w:marLeft w:val="0"/>
      <w:marRight w:val="0"/>
      <w:marTop w:val="0"/>
      <w:marBottom w:val="0"/>
      <w:divBdr>
        <w:top w:val="none" w:sz="0" w:space="0" w:color="auto"/>
        <w:left w:val="none" w:sz="0" w:space="0" w:color="auto"/>
        <w:bottom w:val="none" w:sz="0" w:space="0" w:color="auto"/>
        <w:right w:val="none" w:sz="0" w:space="0" w:color="auto"/>
      </w:divBdr>
    </w:div>
    <w:div w:id="1977493379">
      <w:bodyDiv w:val="1"/>
      <w:marLeft w:val="0"/>
      <w:marRight w:val="0"/>
      <w:marTop w:val="0"/>
      <w:marBottom w:val="0"/>
      <w:divBdr>
        <w:top w:val="none" w:sz="0" w:space="0" w:color="auto"/>
        <w:left w:val="none" w:sz="0" w:space="0" w:color="auto"/>
        <w:bottom w:val="none" w:sz="0" w:space="0" w:color="auto"/>
        <w:right w:val="none" w:sz="0" w:space="0" w:color="auto"/>
      </w:divBdr>
    </w:div>
    <w:div w:id="1979800281">
      <w:bodyDiv w:val="1"/>
      <w:marLeft w:val="0"/>
      <w:marRight w:val="0"/>
      <w:marTop w:val="0"/>
      <w:marBottom w:val="0"/>
      <w:divBdr>
        <w:top w:val="none" w:sz="0" w:space="0" w:color="auto"/>
        <w:left w:val="none" w:sz="0" w:space="0" w:color="auto"/>
        <w:bottom w:val="none" w:sz="0" w:space="0" w:color="auto"/>
        <w:right w:val="none" w:sz="0" w:space="0" w:color="auto"/>
      </w:divBdr>
    </w:div>
    <w:div w:id="1983651280">
      <w:bodyDiv w:val="1"/>
      <w:marLeft w:val="0"/>
      <w:marRight w:val="0"/>
      <w:marTop w:val="0"/>
      <w:marBottom w:val="0"/>
      <w:divBdr>
        <w:top w:val="none" w:sz="0" w:space="0" w:color="auto"/>
        <w:left w:val="none" w:sz="0" w:space="0" w:color="auto"/>
        <w:bottom w:val="none" w:sz="0" w:space="0" w:color="auto"/>
        <w:right w:val="none" w:sz="0" w:space="0" w:color="auto"/>
      </w:divBdr>
    </w:div>
    <w:div w:id="1992174178">
      <w:bodyDiv w:val="1"/>
      <w:marLeft w:val="0"/>
      <w:marRight w:val="0"/>
      <w:marTop w:val="0"/>
      <w:marBottom w:val="0"/>
      <w:divBdr>
        <w:top w:val="none" w:sz="0" w:space="0" w:color="auto"/>
        <w:left w:val="none" w:sz="0" w:space="0" w:color="auto"/>
        <w:bottom w:val="none" w:sz="0" w:space="0" w:color="auto"/>
        <w:right w:val="none" w:sz="0" w:space="0" w:color="auto"/>
      </w:divBdr>
    </w:div>
    <w:div w:id="2000578757">
      <w:bodyDiv w:val="1"/>
      <w:marLeft w:val="0"/>
      <w:marRight w:val="0"/>
      <w:marTop w:val="0"/>
      <w:marBottom w:val="0"/>
      <w:divBdr>
        <w:top w:val="none" w:sz="0" w:space="0" w:color="auto"/>
        <w:left w:val="none" w:sz="0" w:space="0" w:color="auto"/>
        <w:bottom w:val="none" w:sz="0" w:space="0" w:color="auto"/>
        <w:right w:val="none" w:sz="0" w:space="0" w:color="auto"/>
      </w:divBdr>
    </w:div>
    <w:div w:id="2002924495">
      <w:bodyDiv w:val="1"/>
      <w:marLeft w:val="0"/>
      <w:marRight w:val="0"/>
      <w:marTop w:val="0"/>
      <w:marBottom w:val="0"/>
      <w:divBdr>
        <w:top w:val="none" w:sz="0" w:space="0" w:color="auto"/>
        <w:left w:val="none" w:sz="0" w:space="0" w:color="auto"/>
        <w:bottom w:val="none" w:sz="0" w:space="0" w:color="auto"/>
        <w:right w:val="none" w:sz="0" w:space="0" w:color="auto"/>
      </w:divBdr>
    </w:div>
    <w:div w:id="2008290803">
      <w:bodyDiv w:val="1"/>
      <w:marLeft w:val="0"/>
      <w:marRight w:val="0"/>
      <w:marTop w:val="0"/>
      <w:marBottom w:val="0"/>
      <w:divBdr>
        <w:top w:val="none" w:sz="0" w:space="0" w:color="auto"/>
        <w:left w:val="none" w:sz="0" w:space="0" w:color="auto"/>
        <w:bottom w:val="none" w:sz="0" w:space="0" w:color="auto"/>
        <w:right w:val="none" w:sz="0" w:space="0" w:color="auto"/>
      </w:divBdr>
    </w:div>
    <w:div w:id="2008555038">
      <w:bodyDiv w:val="1"/>
      <w:marLeft w:val="0"/>
      <w:marRight w:val="0"/>
      <w:marTop w:val="0"/>
      <w:marBottom w:val="0"/>
      <w:divBdr>
        <w:top w:val="none" w:sz="0" w:space="0" w:color="auto"/>
        <w:left w:val="none" w:sz="0" w:space="0" w:color="auto"/>
        <w:bottom w:val="none" w:sz="0" w:space="0" w:color="auto"/>
        <w:right w:val="none" w:sz="0" w:space="0" w:color="auto"/>
      </w:divBdr>
    </w:div>
    <w:div w:id="2011907136">
      <w:bodyDiv w:val="1"/>
      <w:marLeft w:val="0"/>
      <w:marRight w:val="0"/>
      <w:marTop w:val="0"/>
      <w:marBottom w:val="0"/>
      <w:divBdr>
        <w:top w:val="none" w:sz="0" w:space="0" w:color="auto"/>
        <w:left w:val="none" w:sz="0" w:space="0" w:color="auto"/>
        <w:bottom w:val="none" w:sz="0" w:space="0" w:color="auto"/>
        <w:right w:val="none" w:sz="0" w:space="0" w:color="auto"/>
      </w:divBdr>
    </w:div>
    <w:div w:id="2016423151">
      <w:bodyDiv w:val="1"/>
      <w:marLeft w:val="0"/>
      <w:marRight w:val="0"/>
      <w:marTop w:val="0"/>
      <w:marBottom w:val="0"/>
      <w:divBdr>
        <w:top w:val="none" w:sz="0" w:space="0" w:color="auto"/>
        <w:left w:val="none" w:sz="0" w:space="0" w:color="auto"/>
        <w:bottom w:val="none" w:sz="0" w:space="0" w:color="auto"/>
        <w:right w:val="none" w:sz="0" w:space="0" w:color="auto"/>
      </w:divBdr>
    </w:div>
    <w:div w:id="2019505293">
      <w:bodyDiv w:val="1"/>
      <w:marLeft w:val="0"/>
      <w:marRight w:val="0"/>
      <w:marTop w:val="0"/>
      <w:marBottom w:val="0"/>
      <w:divBdr>
        <w:top w:val="none" w:sz="0" w:space="0" w:color="auto"/>
        <w:left w:val="none" w:sz="0" w:space="0" w:color="auto"/>
        <w:bottom w:val="none" w:sz="0" w:space="0" w:color="auto"/>
        <w:right w:val="none" w:sz="0" w:space="0" w:color="auto"/>
      </w:divBdr>
    </w:div>
    <w:div w:id="2024700176">
      <w:bodyDiv w:val="1"/>
      <w:marLeft w:val="0"/>
      <w:marRight w:val="0"/>
      <w:marTop w:val="0"/>
      <w:marBottom w:val="0"/>
      <w:divBdr>
        <w:top w:val="none" w:sz="0" w:space="0" w:color="auto"/>
        <w:left w:val="none" w:sz="0" w:space="0" w:color="auto"/>
        <w:bottom w:val="none" w:sz="0" w:space="0" w:color="auto"/>
        <w:right w:val="none" w:sz="0" w:space="0" w:color="auto"/>
      </w:divBdr>
    </w:div>
    <w:div w:id="2026395164">
      <w:bodyDiv w:val="1"/>
      <w:marLeft w:val="0"/>
      <w:marRight w:val="0"/>
      <w:marTop w:val="0"/>
      <w:marBottom w:val="0"/>
      <w:divBdr>
        <w:top w:val="none" w:sz="0" w:space="0" w:color="auto"/>
        <w:left w:val="none" w:sz="0" w:space="0" w:color="auto"/>
        <w:bottom w:val="none" w:sz="0" w:space="0" w:color="auto"/>
        <w:right w:val="none" w:sz="0" w:space="0" w:color="auto"/>
      </w:divBdr>
    </w:div>
    <w:div w:id="2026589310">
      <w:bodyDiv w:val="1"/>
      <w:marLeft w:val="0"/>
      <w:marRight w:val="0"/>
      <w:marTop w:val="0"/>
      <w:marBottom w:val="0"/>
      <w:divBdr>
        <w:top w:val="none" w:sz="0" w:space="0" w:color="auto"/>
        <w:left w:val="none" w:sz="0" w:space="0" w:color="auto"/>
        <w:bottom w:val="none" w:sz="0" w:space="0" w:color="auto"/>
        <w:right w:val="none" w:sz="0" w:space="0" w:color="auto"/>
      </w:divBdr>
    </w:div>
    <w:div w:id="2026789331">
      <w:bodyDiv w:val="1"/>
      <w:marLeft w:val="0"/>
      <w:marRight w:val="0"/>
      <w:marTop w:val="0"/>
      <w:marBottom w:val="0"/>
      <w:divBdr>
        <w:top w:val="none" w:sz="0" w:space="0" w:color="auto"/>
        <w:left w:val="none" w:sz="0" w:space="0" w:color="auto"/>
        <w:bottom w:val="none" w:sz="0" w:space="0" w:color="auto"/>
        <w:right w:val="none" w:sz="0" w:space="0" w:color="auto"/>
      </w:divBdr>
    </w:div>
    <w:div w:id="2026979563">
      <w:bodyDiv w:val="1"/>
      <w:marLeft w:val="0"/>
      <w:marRight w:val="0"/>
      <w:marTop w:val="0"/>
      <w:marBottom w:val="0"/>
      <w:divBdr>
        <w:top w:val="none" w:sz="0" w:space="0" w:color="auto"/>
        <w:left w:val="none" w:sz="0" w:space="0" w:color="auto"/>
        <w:bottom w:val="none" w:sz="0" w:space="0" w:color="auto"/>
        <w:right w:val="none" w:sz="0" w:space="0" w:color="auto"/>
      </w:divBdr>
    </w:div>
    <w:div w:id="2028017955">
      <w:bodyDiv w:val="1"/>
      <w:marLeft w:val="0"/>
      <w:marRight w:val="0"/>
      <w:marTop w:val="0"/>
      <w:marBottom w:val="0"/>
      <w:divBdr>
        <w:top w:val="none" w:sz="0" w:space="0" w:color="auto"/>
        <w:left w:val="none" w:sz="0" w:space="0" w:color="auto"/>
        <w:bottom w:val="none" w:sz="0" w:space="0" w:color="auto"/>
        <w:right w:val="none" w:sz="0" w:space="0" w:color="auto"/>
      </w:divBdr>
    </w:div>
    <w:div w:id="2028871841">
      <w:bodyDiv w:val="1"/>
      <w:marLeft w:val="0"/>
      <w:marRight w:val="0"/>
      <w:marTop w:val="0"/>
      <w:marBottom w:val="0"/>
      <w:divBdr>
        <w:top w:val="none" w:sz="0" w:space="0" w:color="auto"/>
        <w:left w:val="none" w:sz="0" w:space="0" w:color="auto"/>
        <w:bottom w:val="none" w:sz="0" w:space="0" w:color="auto"/>
        <w:right w:val="none" w:sz="0" w:space="0" w:color="auto"/>
      </w:divBdr>
    </w:div>
    <w:div w:id="2032031030">
      <w:bodyDiv w:val="1"/>
      <w:marLeft w:val="0"/>
      <w:marRight w:val="0"/>
      <w:marTop w:val="0"/>
      <w:marBottom w:val="0"/>
      <w:divBdr>
        <w:top w:val="none" w:sz="0" w:space="0" w:color="auto"/>
        <w:left w:val="none" w:sz="0" w:space="0" w:color="auto"/>
        <w:bottom w:val="none" w:sz="0" w:space="0" w:color="auto"/>
        <w:right w:val="none" w:sz="0" w:space="0" w:color="auto"/>
      </w:divBdr>
    </w:div>
    <w:div w:id="2032536189">
      <w:bodyDiv w:val="1"/>
      <w:marLeft w:val="0"/>
      <w:marRight w:val="0"/>
      <w:marTop w:val="0"/>
      <w:marBottom w:val="0"/>
      <w:divBdr>
        <w:top w:val="none" w:sz="0" w:space="0" w:color="auto"/>
        <w:left w:val="none" w:sz="0" w:space="0" w:color="auto"/>
        <w:bottom w:val="none" w:sz="0" w:space="0" w:color="auto"/>
        <w:right w:val="none" w:sz="0" w:space="0" w:color="auto"/>
      </w:divBdr>
    </w:div>
    <w:div w:id="2035841634">
      <w:bodyDiv w:val="1"/>
      <w:marLeft w:val="0"/>
      <w:marRight w:val="0"/>
      <w:marTop w:val="0"/>
      <w:marBottom w:val="0"/>
      <w:divBdr>
        <w:top w:val="none" w:sz="0" w:space="0" w:color="auto"/>
        <w:left w:val="none" w:sz="0" w:space="0" w:color="auto"/>
        <w:bottom w:val="none" w:sz="0" w:space="0" w:color="auto"/>
        <w:right w:val="none" w:sz="0" w:space="0" w:color="auto"/>
      </w:divBdr>
    </w:div>
    <w:div w:id="2037343514">
      <w:bodyDiv w:val="1"/>
      <w:marLeft w:val="0"/>
      <w:marRight w:val="0"/>
      <w:marTop w:val="0"/>
      <w:marBottom w:val="0"/>
      <w:divBdr>
        <w:top w:val="none" w:sz="0" w:space="0" w:color="auto"/>
        <w:left w:val="none" w:sz="0" w:space="0" w:color="auto"/>
        <w:bottom w:val="none" w:sz="0" w:space="0" w:color="auto"/>
        <w:right w:val="none" w:sz="0" w:space="0" w:color="auto"/>
      </w:divBdr>
    </w:div>
    <w:div w:id="2041710408">
      <w:bodyDiv w:val="1"/>
      <w:marLeft w:val="0"/>
      <w:marRight w:val="0"/>
      <w:marTop w:val="0"/>
      <w:marBottom w:val="0"/>
      <w:divBdr>
        <w:top w:val="none" w:sz="0" w:space="0" w:color="auto"/>
        <w:left w:val="none" w:sz="0" w:space="0" w:color="auto"/>
        <w:bottom w:val="none" w:sz="0" w:space="0" w:color="auto"/>
        <w:right w:val="none" w:sz="0" w:space="0" w:color="auto"/>
      </w:divBdr>
    </w:div>
    <w:div w:id="2044943324">
      <w:bodyDiv w:val="1"/>
      <w:marLeft w:val="0"/>
      <w:marRight w:val="0"/>
      <w:marTop w:val="0"/>
      <w:marBottom w:val="0"/>
      <w:divBdr>
        <w:top w:val="none" w:sz="0" w:space="0" w:color="auto"/>
        <w:left w:val="none" w:sz="0" w:space="0" w:color="auto"/>
        <w:bottom w:val="none" w:sz="0" w:space="0" w:color="auto"/>
        <w:right w:val="none" w:sz="0" w:space="0" w:color="auto"/>
      </w:divBdr>
    </w:div>
    <w:div w:id="2046523424">
      <w:bodyDiv w:val="1"/>
      <w:marLeft w:val="0"/>
      <w:marRight w:val="0"/>
      <w:marTop w:val="0"/>
      <w:marBottom w:val="0"/>
      <w:divBdr>
        <w:top w:val="none" w:sz="0" w:space="0" w:color="auto"/>
        <w:left w:val="none" w:sz="0" w:space="0" w:color="auto"/>
        <w:bottom w:val="none" w:sz="0" w:space="0" w:color="auto"/>
        <w:right w:val="none" w:sz="0" w:space="0" w:color="auto"/>
      </w:divBdr>
    </w:div>
    <w:div w:id="2050645211">
      <w:bodyDiv w:val="1"/>
      <w:marLeft w:val="0"/>
      <w:marRight w:val="0"/>
      <w:marTop w:val="0"/>
      <w:marBottom w:val="0"/>
      <w:divBdr>
        <w:top w:val="none" w:sz="0" w:space="0" w:color="auto"/>
        <w:left w:val="none" w:sz="0" w:space="0" w:color="auto"/>
        <w:bottom w:val="none" w:sz="0" w:space="0" w:color="auto"/>
        <w:right w:val="none" w:sz="0" w:space="0" w:color="auto"/>
      </w:divBdr>
    </w:div>
    <w:div w:id="2052609817">
      <w:bodyDiv w:val="1"/>
      <w:marLeft w:val="0"/>
      <w:marRight w:val="0"/>
      <w:marTop w:val="0"/>
      <w:marBottom w:val="0"/>
      <w:divBdr>
        <w:top w:val="none" w:sz="0" w:space="0" w:color="auto"/>
        <w:left w:val="none" w:sz="0" w:space="0" w:color="auto"/>
        <w:bottom w:val="none" w:sz="0" w:space="0" w:color="auto"/>
        <w:right w:val="none" w:sz="0" w:space="0" w:color="auto"/>
      </w:divBdr>
    </w:div>
    <w:div w:id="2060670122">
      <w:bodyDiv w:val="1"/>
      <w:marLeft w:val="0"/>
      <w:marRight w:val="0"/>
      <w:marTop w:val="0"/>
      <w:marBottom w:val="0"/>
      <w:divBdr>
        <w:top w:val="none" w:sz="0" w:space="0" w:color="auto"/>
        <w:left w:val="none" w:sz="0" w:space="0" w:color="auto"/>
        <w:bottom w:val="none" w:sz="0" w:space="0" w:color="auto"/>
        <w:right w:val="none" w:sz="0" w:space="0" w:color="auto"/>
      </w:divBdr>
    </w:div>
    <w:div w:id="2067295632">
      <w:bodyDiv w:val="1"/>
      <w:marLeft w:val="0"/>
      <w:marRight w:val="0"/>
      <w:marTop w:val="0"/>
      <w:marBottom w:val="0"/>
      <w:divBdr>
        <w:top w:val="none" w:sz="0" w:space="0" w:color="auto"/>
        <w:left w:val="none" w:sz="0" w:space="0" w:color="auto"/>
        <w:bottom w:val="none" w:sz="0" w:space="0" w:color="auto"/>
        <w:right w:val="none" w:sz="0" w:space="0" w:color="auto"/>
      </w:divBdr>
    </w:div>
    <w:div w:id="2068676497">
      <w:bodyDiv w:val="1"/>
      <w:marLeft w:val="0"/>
      <w:marRight w:val="0"/>
      <w:marTop w:val="0"/>
      <w:marBottom w:val="0"/>
      <w:divBdr>
        <w:top w:val="none" w:sz="0" w:space="0" w:color="auto"/>
        <w:left w:val="none" w:sz="0" w:space="0" w:color="auto"/>
        <w:bottom w:val="none" w:sz="0" w:space="0" w:color="auto"/>
        <w:right w:val="none" w:sz="0" w:space="0" w:color="auto"/>
      </w:divBdr>
    </w:div>
    <w:div w:id="2076278025">
      <w:bodyDiv w:val="1"/>
      <w:marLeft w:val="0"/>
      <w:marRight w:val="0"/>
      <w:marTop w:val="0"/>
      <w:marBottom w:val="0"/>
      <w:divBdr>
        <w:top w:val="none" w:sz="0" w:space="0" w:color="auto"/>
        <w:left w:val="none" w:sz="0" w:space="0" w:color="auto"/>
        <w:bottom w:val="none" w:sz="0" w:space="0" w:color="auto"/>
        <w:right w:val="none" w:sz="0" w:space="0" w:color="auto"/>
      </w:divBdr>
    </w:div>
    <w:div w:id="2078357695">
      <w:bodyDiv w:val="1"/>
      <w:marLeft w:val="0"/>
      <w:marRight w:val="0"/>
      <w:marTop w:val="0"/>
      <w:marBottom w:val="0"/>
      <w:divBdr>
        <w:top w:val="none" w:sz="0" w:space="0" w:color="auto"/>
        <w:left w:val="none" w:sz="0" w:space="0" w:color="auto"/>
        <w:bottom w:val="none" w:sz="0" w:space="0" w:color="auto"/>
        <w:right w:val="none" w:sz="0" w:space="0" w:color="auto"/>
      </w:divBdr>
    </w:div>
    <w:div w:id="2078895586">
      <w:bodyDiv w:val="1"/>
      <w:marLeft w:val="0"/>
      <w:marRight w:val="0"/>
      <w:marTop w:val="0"/>
      <w:marBottom w:val="0"/>
      <w:divBdr>
        <w:top w:val="none" w:sz="0" w:space="0" w:color="auto"/>
        <w:left w:val="none" w:sz="0" w:space="0" w:color="auto"/>
        <w:bottom w:val="none" w:sz="0" w:space="0" w:color="auto"/>
        <w:right w:val="none" w:sz="0" w:space="0" w:color="auto"/>
      </w:divBdr>
    </w:div>
    <w:div w:id="2086612113">
      <w:bodyDiv w:val="1"/>
      <w:marLeft w:val="0"/>
      <w:marRight w:val="0"/>
      <w:marTop w:val="0"/>
      <w:marBottom w:val="0"/>
      <w:divBdr>
        <w:top w:val="none" w:sz="0" w:space="0" w:color="auto"/>
        <w:left w:val="none" w:sz="0" w:space="0" w:color="auto"/>
        <w:bottom w:val="none" w:sz="0" w:space="0" w:color="auto"/>
        <w:right w:val="none" w:sz="0" w:space="0" w:color="auto"/>
      </w:divBdr>
    </w:div>
    <w:div w:id="2088648375">
      <w:bodyDiv w:val="1"/>
      <w:marLeft w:val="0"/>
      <w:marRight w:val="0"/>
      <w:marTop w:val="0"/>
      <w:marBottom w:val="0"/>
      <w:divBdr>
        <w:top w:val="none" w:sz="0" w:space="0" w:color="auto"/>
        <w:left w:val="none" w:sz="0" w:space="0" w:color="auto"/>
        <w:bottom w:val="none" w:sz="0" w:space="0" w:color="auto"/>
        <w:right w:val="none" w:sz="0" w:space="0" w:color="auto"/>
      </w:divBdr>
    </w:div>
    <w:div w:id="2089963329">
      <w:bodyDiv w:val="1"/>
      <w:marLeft w:val="0"/>
      <w:marRight w:val="0"/>
      <w:marTop w:val="0"/>
      <w:marBottom w:val="0"/>
      <w:divBdr>
        <w:top w:val="none" w:sz="0" w:space="0" w:color="auto"/>
        <w:left w:val="none" w:sz="0" w:space="0" w:color="auto"/>
        <w:bottom w:val="none" w:sz="0" w:space="0" w:color="auto"/>
        <w:right w:val="none" w:sz="0" w:space="0" w:color="auto"/>
      </w:divBdr>
    </w:div>
    <w:div w:id="2094737229">
      <w:bodyDiv w:val="1"/>
      <w:marLeft w:val="0"/>
      <w:marRight w:val="0"/>
      <w:marTop w:val="0"/>
      <w:marBottom w:val="0"/>
      <w:divBdr>
        <w:top w:val="none" w:sz="0" w:space="0" w:color="auto"/>
        <w:left w:val="none" w:sz="0" w:space="0" w:color="auto"/>
        <w:bottom w:val="none" w:sz="0" w:space="0" w:color="auto"/>
        <w:right w:val="none" w:sz="0" w:space="0" w:color="auto"/>
      </w:divBdr>
    </w:div>
    <w:div w:id="2096389537">
      <w:bodyDiv w:val="1"/>
      <w:marLeft w:val="0"/>
      <w:marRight w:val="0"/>
      <w:marTop w:val="0"/>
      <w:marBottom w:val="0"/>
      <w:divBdr>
        <w:top w:val="none" w:sz="0" w:space="0" w:color="auto"/>
        <w:left w:val="none" w:sz="0" w:space="0" w:color="auto"/>
        <w:bottom w:val="none" w:sz="0" w:space="0" w:color="auto"/>
        <w:right w:val="none" w:sz="0" w:space="0" w:color="auto"/>
      </w:divBdr>
    </w:div>
    <w:div w:id="2096397370">
      <w:bodyDiv w:val="1"/>
      <w:marLeft w:val="0"/>
      <w:marRight w:val="0"/>
      <w:marTop w:val="0"/>
      <w:marBottom w:val="0"/>
      <w:divBdr>
        <w:top w:val="none" w:sz="0" w:space="0" w:color="auto"/>
        <w:left w:val="none" w:sz="0" w:space="0" w:color="auto"/>
        <w:bottom w:val="none" w:sz="0" w:space="0" w:color="auto"/>
        <w:right w:val="none" w:sz="0" w:space="0" w:color="auto"/>
      </w:divBdr>
    </w:div>
    <w:div w:id="2101438598">
      <w:bodyDiv w:val="1"/>
      <w:marLeft w:val="0"/>
      <w:marRight w:val="0"/>
      <w:marTop w:val="0"/>
      <w:marBottom w:val="0"/>
      <w:divBdr>
        <w:top w:val="none" w:sz="0" w:space="0" w:color="auto"/>
        <w:left w:val="none" w:sz="0" w:space="0" w:color="auto"/>
        <w:bottom w:val="none" w:sz="0" w:space="0" w:color="auto"/>
        <w:right w:val="none" w:sz="0" w:space="0" w:color="auto"/>
      </w:divBdr>
    </w:div>
    <w:div w:id="2104295925">
      <w:bodyDiv w:val="1"/>
      <w:marLeft w:val="0"/>
      <w:marRight w:val="0"/>
      <w:marTop w:val="0"/>
      <w:marBottom w:val="0"/>
      <w:divBdr>
        <w:top w:val="none" w:sz="0" w:space="0" w:color="auto"/>
        <w:left w:val="none" w:sz="0" w:space="0" w:color="auto"/>
        <w:bottom w:val="none" w:sz="0" w:space="0" w:color="auto"/>
        <w:right w:val="none" w:sz="0" w:space="0" w:color="auto"/>
      </w:divBdr>
    </w:div>
    <w:div w:id="2108186588">
      <w:bodyDiv w:val="1"/>
      <w:marLeft w:val="0"/>
      <w:marRight w:val="0"/>
      <w:marTop w:val="0"/>
      <w:marBottom w:val="0"/>
      <w:divBdr>
        <w:top w:val="none" w:sz="0" w:space="0" w:color="auto"/>
        <w:left w:val="none" w:sz="0" w:space="0" w:color="auto"/>
        <w:bottom w:val="none" w:sz="0" w:space="0" w:color="auto"/>
        <w:right w:val="none" w:sz="0" w:space="0" w:color="auto"/>
      </w:divBdr>
    </w:div>
    <w:div w:id="2109226828">
      <w:bodyDiv w:val="1"/>
      <w:marLeft w:val="0"/>
      <w:marRight w:val="0"/>
      <w:marTop w:val="0"/>
      <w:marBottom w:val="0"/>
      <w:divBdr>
        <w:top w:val="none" w:sz="0" w:space="0" w:color="auto"/>
        <w:left w:val="none" w:sz="0" w:space="0" w:color="auto"/>
        <w:bottom w:val="none" w:sz="0" w:space="0" w:color="auto"/>
        <w:right w:val="none" w:sz="0" w:space="0" w:color="auto"/>
      </w:divBdr>
    </w:div>
    <w:div w:id="2109621777">
      <w:bodyDiv w:val="1"/>
      <w:marLeft w:val="0"/>
      <w:marRight w:val="0"/>
      <w:marTop w:val="0"/>
      <w:marBottom w:val="0"/>
      <w:divBdr>
        <w:top w:val="none" w:sz="0" w:space="0" w:color="auto"/>
        <w:left w:val="none" w:sz="0" w:space="0" w:color="auto"/>
        <w:bottom w:val="none" w:sz="0" w:space="0" w:color="auto"/>
        <w:right w:val="none" w:sz="0" w:space="0" w:color="auto"/>
      </w:divBdr>
    </w:div>
    <w:div w:id="2116094036">
      <w:bodyDiv w:val="1"/>
      <w:marLeft w:val="0"/>
      <w:marRight w:val="0"/>
      <w:marTop w:val="0"/>
      <w:marBottom w:val="0"/>
      <w:divBdr>
        <w:top w:val="none" w:sz="0" w:space="0" w:color="auto"/>
        <w:left w:val="none" w:sz="0" w:space="0" w:color="auto"/>
        <w:bottom w:val="none" w:sz="0" w:space="0" w:color="auto"/>
        <w:right w:val="none" w:sz="0" w:space="0" w:color="auto"/>
      </w:divBdr>
    </w:div>
    <w:div w:id="2119448208">
      <w:bodyDiv w:val="1"/>
      <w:marLeft w:val="0"/>
      <w:marRight w:val="0"/>
      <w:marTop w:val="0"/>
      <w:marBottom w:val="0"/>
      <w:divBdr>
        <w:top w:val="none" w:sz="0" w:space="0" w:color="auto"/>
        <w:left w:val="none" w:sz="0" w:space="0" w:color="auto"/>
        <w:bottom w:val="none" w:sz="0" w:space="0" w:color="auto"/>
        <w:right w:val="none" w:sz="0" w:space="0" w:color="auto"/>
      </w:divBdr>
    </w:div>
    <w:div w:id="2120562600">
      <w:bodyDiv w:val="1"/>
      <w:marLeft w:val="0"/>
      <w:marRight w:val="0"/>
      <w:marTop w:val="0"/>
      <w:marBottom w:val="0"/>
      <w:divBdr>
        <w:top w:val="none" w:sz="0" w:space="0" w:color="auto"/>
        <w:left w:val="none" w:sz="0" w:space="0" w:color="auto"/>
        <w:bottom w:val="none" w:sz="0" w:space="0" w:color="auto"/>
        <w:right w:val="none" w:sz="0" w:space="0" w:color="auto"/>
      </w:divBdr>
    </w:div>
    <w:div w:id="2121341864">
      <w:bodyDiv w:val="1"/>
      <w:marLeft w:val="0"/>
      <w:marRight w:val="0"/>
      <w:marTop w:val="0"/>
      <w:marBottom w:val="0"/>
      <w:divBdr>
        <w:top w:val="none" w:sz="0" w:space="0" w:color="auto"/>
        <w:left w:val="none" w:sz="0" w:space="0" w:color="auto"/>
        <w:bottom w:val="none" w:sz="0" w:space="0" w:color="auto"/>
        <w:right w:val="none" w:sz="0" w:space="0" w:color="auto"/>
      </w:divBdr>
    </w:div>
    <w:div w:id="2131782193">
      <w:bodyDiv w:val="1"/>
      <w:marLeft w:val="0"/>
      <w:marRight w:val="0"/>
      <w:marTop w:val="0"/>
      <w:marBottom w:val="0"/>
      <w:divBdr>
        <w:top w:val="none" w:sz="0" w:space="0" w:color="auto"/>
        <w:left w:val="none" w:sz="0" w:space="0" w:color="auto"/>
        <w:bottom w:val="none" w:sz="0" w:space="0" w:color="auto"/>
        <w:right w:val="none" w:sz="0" w:space="0" w:color="auto"/>
      </w:divBdr>
    </w:div>
    <w:div w:id="2133133303">
      <w:bodyDiv w:val="1"/>
      <w:marLeft w:val="0"/>
      <w:marRight w:val="0"/>
      <w:marTop w:val="0"/>
      <w:marBottom w:val="0"/>
      <w:divBdr>
        <w:top w:val="none" w:sz="0" w:space="0" w:color="auto"/>
        <w:left w:val="none" w:sz="0" w:space="0" w:color="auto"/>
        <w:bottom w:val="none" w:sz="0" w:space="0" w:color="auto"/>
        <w:right w:val="none" w:sz="0" w:space="0" w:color="auto"/>
      </w:divBdr>
    </w:div>
    <w:div w:id="2139369607">
      <w:bodyDiv w:val="1"/>
      <w:marLeft w:val="0"/>
      <w:marRight w:val="0"/>
      <w:marTop w:val="0"/>
      <w:marBottom w:val="0"/>
      <w:divBdr>
        <w:top w:val="none" w:sz="0" w:space="0" w:color="auto"/>
        <w:left w:val="none" w:sz="0" w:space="0" w:color="auto"/>
        <w:bottom w:val="none" w:sz="0" w:space="0" w:color="auto"/>
        <w:right w:val="none" w:sz="0" w:space="0" w:color="auto"/>
      </w:divBdr>
    </w:div>
    <w:div w:id="2139764852">
      <w:bodyDiv w:val="1"/>
      <w:marLeft w:val="0"/>
      <w:marRight w:val="0"/>
      <w:marTop w:val="0"/>
      <w:marBottom w:val="0"/>
      <w:divBdr>
        <w:top w:val="none" w:sz="0" w:space="0" w:color="auto"/>
        <w:left w:val="none" w:sz="0" w:space="0" w:color="auto"/>
        <w:bottom w:val="none" w:sz="0" w:space="0" w:color="auto"/>
        <w:right w:val="none" w:sz="0" w:space="0" w:color="auto"/>
      </w:divBdr>
    </w:div>
    <w:div w:id="2143378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1.xml"/><Relationship Id="rId21" Type="http://schemas.openxmlformats.org/officeDocument/2006/relationships/header" Target="header7.xml"/><Relationship Id="rId42" Type="http://schemas.openxmlformats.org/officeDocument/2006/relationships/header" Target="header14.xml"/><Relationship Id="rId63" Type="http://schemas.openxmlformats.org/officeDocument/2006/relationships/image" Target="media/image16.png"/><Relationship Id="rId84" Type="http://schemas.openxmlformats.org/officeDocument/2006/relationships/chart" Target="charts/chart10.xml"/><Relationship Id="rId138" Type="http://schemas.openxmlformats.org/officeDocument/2006/relationships/fontTable" Target="fontTable.xml"/><Relationship Id="rId16" Type="http://schemas.openxmlformats.org/officeDocument/2006/relationships/header" Target="header4.xml"/><Relationship Id="rId107" Type="http://schemas.openxmlformats.org/officeDocument/2006/relationships/chart" Target="charts/chart31.xml"/><Relationship Id="rId11" Type="http://schemas.openxmlformats.org/officeDocument/2006/relationships/header" Target="header2.xml"/><Relationship Id="rId32" Type="http://schemas.openxmlformats.org/officeDocument/2006/relationships/header" Target="header10.xml"/><Relationship Id="rId37" Type="http://schemas.openxmlformats.org/officeDocument/2006/relationships/footer" Target="footer10.xml"/><Relationship Id="rId53" Type="http://schemas.openxmlformats.org/officeDocument/2006/relationships/image" Target="media/image9.png"/><Relationship Id="rId58" Type="http://schemas.openxmlformats.org/officeDocument/2006/relationships/image" Target="media/image14.png"/><Relationship Id="rId74" Type="http://schemas.openxmlformats.org/officeDocument/2006/relationships/header" Target="header25.xml"/><Relationship Id="rId79" Type="http://schemas.openxmlformats.org/officeDocument/2006/relationships/chart" Target="charts/chart5.xml"/><Relationship Id="rId102" Type="http://schemas.openxmlformats.org/officeDocument/2006/relationships/chart" Target="charts/chart26.xml"/><Relationship Id="rId123" Type="http://schemas.openxmlformats.org/officeDocument/2006/relationships/header" Target="header27.xml"/><Relationship Id="rId128" Type="http://schemas.openxmlformats.org/officeDocument/2006/relationships/footer" Target="footer25.xml"/><Relationship Id="rId5" Type="http://schemas.openxmlformats.org/officeDocument/2006/relationships/settings" Target="settings.xml"/><Relationship Id="rId90" Type="http://schemas.openxmlformats.org/officeDocument/2006/relationships/chart" Target="charts/chart16.xml"/><Relationship Id="rId95" Type="http://schemas.openxmlformats.org/officeDocument/2006/relationships/chart" Target="charts/chart20.xml"/><Relationship Id="rId22" Type="http://schemas.openxmlformats.org/officeDocument/2006/relationships/footer" Target="footer6.xml"/><Relationship Id="rId27" Type="http://schemas.openxmlformats.org/officeDocument/2006/relationships/image" Target="media/image2.png"/><Relationship Id="rId43" Type="http://schemas.openxmlformats.org/officeDocument/2006/relationships/header" Target="header15.xml"/><Relationship Id="rId48" Type="http://schemas.openxmlformats.org/officeDocument/2006/relationships/image" Target="media/image4.png"/><Relationship Id="rId64" Type="http://schemas.openxmlformats.org/officeDocument/2006/relationships/header" Target="header20.xml"/><Relationship Id="rId69" Type="http://schemas.openxmlformats.org/officeDocument/2006/relationships/footer" Target="footer18.xml"/><Relationship Id="rId113" Type="http://schemas.openxmlformats.org/officeDocument/2006/relationships/chart" Target="charts/chart37.xml"/><Relationship Id="rId118" Type="http://schemas.openxmlformats.org/officeDocument/2006/relationships/chart" Target="charts/chart42.xml"/><Relationship Id="rId134" Type="http://schemas.openxmlformats.org/officeDocument/2006/relationships/footer" Target="footer28.xml"/><Relationship Id="rId139" Type="http://schemas.microsoft.com/office/2011/relationships/people" Target="people.xml"/><Relationship Id="rId80" Type="http://schemas.openxmlformats.org/officeDocument/2006/relationships/chart" Target="charts/chart6.xml"/><Relationship Id="rId85" Type="http://schemas.openxmlformats.org/officeDocument/2006/relationships/chart" Target="charts/chart11.xml"/><Relationship Id="rId12" Type="http://schemas.openxmlformats.org/officeDocument/2006/relationships/footer" Target="footer1.xml"/><Relationship Id="rId17" Type="http://schemas.openxmlformats.org/officeDocument/2006/relationships/header" Target="header5.xml"/><Relationship Id="rId33" Type="http://schemas.openxmlformats.org/officeDocument/2006/relationships/footer" Target="footer9.xml"/><Relationship Id="rId38" Type="http://schemas.openxmlformats.org/officeDocument/2006/relationships/footer" Target="footer11.xml"/><Relationship Id="rId59" Type="http://schemas.openxmlformats.org/officeDocument/2006/relationships/header" Target="header17.xml"/><Relationship Id="rId103" Type="http://schemas.openxmlformats.org/officeDocument/2006/relationships/chart" Target="charts/chart27.xml"/><Relationship Id="rId108" Type="http://schemas.openxmlformats.org/officeDocument/2006/relationships/chart" Target="charts/chart32.xml"/><Relationship Id="rId124" Type="http://schemas.openxmlformats.org/officeDocument/2006/relationships/footer" Target="footer23.xml"/><Relationship Id="rId129" Type="http://schemas.openxmlformats.org/officeDocument/2006/relationships/footer" Target="footer26.xml"/><Relationship Id="rId54" Type="http://schemas.openxmlformats.org/officeDocument/2006/relationships/image" Target="media/image10.png"/><Relationship Id="rId70" Type="http://schemas.openxmlformats.org/officeDocument/2006/relationships/header" Target="header23.xml"/><Relationship Id="rId75" Type="http://schemas.openxmlformats.org/officeDocument/2006/relationships/footer" Target="footer21.xml"/><Relationship Id="rId91" Type="http://schemas.openxmlformats.org/officeDocument/2006/relationships/image" Target="media/image17.emf"/><Relationship Id="rId96" Type="http://schemas.openxmlformats.org/officeDocument/2006/relationships/chart" Target="charts/chart21.xm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chart" Target="charts/chart1.xml"/><Relationship Id="rId28" Type="http://schemas.openxmlformats.org/officeDocument/2006/relationships/header" Target="header8.xml"/><Relationship Id="rId49" Type="http://schemas.openxmlformats.org/officeDocument/2006/relationships/image" Target="media/image5.png"/><Relationship Id="rId114" Type="http://schemas.openxmlformats.org/officeDocument/2006/relationships/chart" Target="charts/chart38.xml"/><Relationship Id="rId119" Type="http://schemas.openxmlformats.org/officeDocument/2006/relationships/chart" Target="charts/chart43.xml"/><Relationship Id="rId44" Type="http://schemas.openxmlformats.org/officeDocument/2006/relationships/footer" Target="footer13.xml"/><Relationship Id="rId60" Type="http://schemas.openxmlformats.org/officeDocument/2006/relationships/header" Target="header18.xml"/><Relationship Id="rId65" Type="http://schemas.openxmlformats.org/officeDocument/2006/relationships/header" Target="header21.xml"/><Relationship Id="rId81" Type="http://schemas.openxmlformats.org/officeDocument/2006/relationships/chart" Target="charts/chart7.xml"/><Relationship Id="rId86" Type="http://schemas.openxmlformats.org/officeDocument/2006/relationships/chart" Target="charts/chart12.xml"/><Relationship Id="rId130" Type="http://schemas.openxmlformats.org/officeDocument/2006/relationships/header" Target="header30.xml"/><Relationship Id="rId135" Type="http://schemas.openxmlformats.org/officeDocument/2006/relationships/footer" Target="footer29.xml"/><Relationship Id="rId13" Type="http://schemas.openxmlformats.org/officeDocument/2006/relationships/footer" Target="footer2.xml"/><Relationship Id="rId18" Type="http://schemas.openxmlformats.org/officeDocument/2006/relationships/header" Target="header6.xml"/><Relationship Id="rId39" Type="http://schemas.openxmlformats.org/officeDocument/2006/relationships/header" Target="header13.xml"/><Relationship Id="rId109" Type="http://schemas.openxmlformats.org/officeDocument/2006/relationships/chart" Target="charts/chart33.xml"/><Relationship Id="rId34" Type="http://schemas.openxmlformats.org/officeDocument/2006/relationships/image" Target="media/image3.png"/><Relationship Id="rId50" Type="http://schemas.openxmlformats.org/officeDocument/2006/relationships/image" Target="media/image6.png"/><Relationship Id="rId55" Type="http://schemas.openxmlformats.org/officeDocument/2006/relationships/image" Target="media/image11.png"/><Relationship Id="rId76" Type="http://schemas.openxmlformats.org/officeDocument/2006/relationships/header" Target="header26.xml"/><Relationship Id="rId97" Type="http://schemas.openxmlformats.org/officeDocument/2006/relationships/image" Target="media/image18.emf"/><Relationship Id="rId104" Type="http://schemas.openxmlformats.org/officeDocument/2006/relationships/chart" Target="charts/chart28.xml"/><Relationship Id="rId120" Type="http://schemas.openxmlformats.org/officeDocument/2006/relationships/chart" Target="charts/chart44.xml"/><Relationship Id="rId125" Type="http://schemas.openxmlformats.org/officeDocument/2006/relationships/header" Target="header28.xml"/><Relationship Id="rId7" Type="http://schemas.openxmlformats.org/officeDocument/2006/relationships/footnotes" Target="footnotes.xml"/><Relationship Id="rId71" Type="http://schemas.openxmlformats.org/officeDocument/2006/relationships/footer" Target="footer19.xml"/><Relationship Id="rId92" Type="http://schemas.openxmlformats.org/officeDocument/2006/relationships/chart" Target="charts/chart17.xml"/><Relationship Id="rId2" Type="http://schemas.openxmlformats.org/officeDocument/2006/relationships/customXml" Target="../customXml/item1.xml"/><Relationship Id="rId29" Type="http://schemas.openxmlformats.org/officeDocument/2006/relationships/header" Target="header9.xml"/><Relationship Id="rId24" Type="http://schemas.openxmlformats.org/officeDocument/2006/relationships/chart" Target="charts/chart2.xml"/><Relationship Id="rId40" Type="http://schemas.openxmlformats.org/officeDocument/2006/relationships/footer" Target="footer12.xml"/><Relationship Id="rId45" Type="http://schemas.openxmlformats.org/officeDocument/2006/relationships/footer" Target="footer14.xml"/><Relationship Id="rId66" Type="http://schemas.openxmlformats.org/officeDocument/2006/relationships/footer" Target="footer16.xml"/><Relationship Id="rId87" Type="http://schemas.openxmlformats.org/officeDocument/2006/relationships/chart" Target="charts/chart13.xml"/><Relationship Id="rId110" Type="http://schemas.openxmlformats.org/officeDocument/2006/relationships/chart" Target="charts/chart34.xml"/><Relationship Id="rId115" Type="http://schemas.openxmlformats.org/officeDocument/2006/relationships/chart" Target="charts/chart39.xml"/><Relationship Id="rId131" Type="http://schemas.openxmlformats.org/officeDocument/2006/relationships/footer" Target="footer27.xml"/><Relationship Id="rId136" Type="http://schemas.openxmlformats.org/officeDocument/2006/relationships/header" Target="header33.xml"/><Relationship Id="rId61" Type="http://schemas.openxmlformats.org/officeDocument/2006/relationships/header" Target="header19.xml"/><Relationship Id="rId82" Type="http://schemas.openxmlformats.org/officeDocument/2006/relationships/chart" Target="charts/chart8.xml"/><Relationship Id="rId19" Type="http://schemas.openxmlformats.org/officeDocument/2006/relationships/footer" Target="footer4.xml"/><Relationship Id="rId14" Type="http://schemas.openxmlformats.org/officeDocument/2006/relationships/header" Target="header3.xml"/><Relationship Id="rId30" Type="http://schemas.openxmlformats.org/officeDocument/2006/relationships/footer" Target="footer7.xml"/><Relationship Id="rId35" Type="http://schemas.openxmlformats.org/officeDocument/2006/relationships/header" Target="header11.xml"/><Relationship Id="rId56" Type="http://schemas.openxmlformats.org/officeDocument/2006/relationships/image" Target="media/image12.png"/><Relationship Id="rId77" Type="http://schemas.openxmlformats.org/officeDocument/2006/relationships/footer" Target="footer22.xml"/><Relationship Id="rId100" Type="http://schemas.openxmlformats.org/officeDocument/2006/relationships/chart" Target="charts/chart24.xml"/><Relationship Id="rId105" Type="http://schemas.openxmlformats.org/officeDocument/2006/relationships/chart" Target="charts/chart29.xml"/><Relationship Id="rId126" Type="http://schemas.openxmlformats.org/officeDocument/2006/relationships/footer" Target="footer24.xml"/><Relationship Id="rId8" Type="http://schemas.openxmlformats.org/officeDocument/2006/relationships/endnotes" Target="endnotes.xml"/><Relationship Id="rId51" Type="http://schemas.openxmlformats.org/officeDocument/2006/relationships/image" Target="media/image7.png"/><Relationship Id="rId72" Type="http://schemas.openxmlformats.org/officeDocument/2006/relationships/header" Target="header24.xml"/><Relationship Id="rId93" Type="http://schemas.openxmlformats.org/officeDocument/2006/relationships/chart" Target="charts/chart18.xml"/><Relationship Id="rId98" Type="http://schemas.openxmlformats.org/officeDocument/2006/relationships/chart" Target="charts/chart22.xml"/><Relationship Id="rId121" Type="http://schemas.openxmlformats.org/officeDocument/2006/relationships/chart" Target="charts/chart45.xml"/><Relationship Id="rId3" Type="http://schemas.openxmlformats.org/officeDocument/2006/relationships/numbering" Target="numbering.xml"/><Relationship Id="rId46" Type="http://schemas.openxmlformats.org/officeDocument/2006/relationships/header" Target="header16.xml"/><Relationship Id="rId67" Type="http://schemas.openxmlformats.org/officeDocument/2006/relationships/footer" Target="footer17.xml"/><Relationship Id="rId116" Type="http://schemas.openxmlformats.org/officeDocument/2006/relationships/chart" Target="charts/chart40.xml"/><Relationship Id="rId137" Type="http://schemas.openxmlformats.org/officeDocument/2006/relationships/footer" Target="footer30.xml"/><Relationship Id="rId20" Type="http://schemas.openxmlformats.org/officeDocument/2006/relationships/footer" Target="footer5.xml"/><Relationship Id="rId41" Type="http://schemas.openxmlformats.org/officeDocument/2006/relationships/chart" Target="charts/chart3.xml"/><Relationship Id="rId62" Type="http://schemas.openxmlformats.org/officeDocument/2006/relationships/image" Target="media/image15.png"/><Relationship Id="rId83" Type="http://schemas.openxmlformats.org/officeDocument/2006/relationships/chart" Target="charts/chart9.xml"/><Relationship Id="rId88" Type="http://schemas.openxmlformats.org/officeDocument/2006/relationships/chart" Target="charts/chart14.xml"/><Relationship Id="rId111" Type="http://schemas.openxmlformats.org/officeDocument/2006/relationships/chart" Target="charts/chart35.xml"/><Relationship Id="rId132" Type="http://schemas.openxmlformats.org/officeDocument/2006/relationships/header" Target="header31.xml"/><Relationship Id="rId15" Type="http://schemas.openxmlformats.org/officeDocument/2006/relationships/footer" Target="footer3.xml"/><Relationship Id="rId36" Type="http://schemas.openxmlformats.org/officeDocument/2006/relationships/header" Target="header12.xml"/><Relationship Id="rId57" Type="http://schemas.openxmlformats.org/officeDocument/2006/relationships/image" Target="media/image13.png"/><Relationship Id="rId106" Type="http://schemas.openxmlformats.org/officeDocument/2006/relationships/chart" Target="charts/chart30.xml"/><Relationship Id="rId127" Type="http://schemas.openxmlformats.org/officeDocument/2006/relationships/header" Target="header29.xml"/><Relationship Id="rId10" Type="http://schemas.openxmlformats.org/officeDocument/2006/relationships/header" Target="header1.xml"/><Relationship Id="rId31" Type="http://schemas.openxmlformats.org/officeDocument/2006/relationships/footer" Target="footer8.xml"/><Relationship Id="rId52" Type="http://schemas.openxmlformats.org/officeDocument/2006/relationships/image" Target="media/image8.png"/><Relationship Id="rId73" Type="http://schemas.openxmlformats.org/officeDocument/2006/relationships/footer" Target="footer20.xml"/><Relationship Id="rId78" Type="http://schemas.openxmlformats.org/officeDocument/2006/relationships/chart" Target="charts/chart4.xml"/><Relationship Id="rId94" Type="http://schemas.openxmlformats.org/officeDocument/2006/relationships/chart" Target="charts/chart19.xml"/><Relationship Id="rId99" Type="http://schemas.openxmlformats.org/officeDocument/2006/relationships/chart" Target="charts/chart23.xml"/><Relationship Id="rId101" Type="http://schemas.openxmlformats.org/officeDocument/2006/relationships/chart" Target="charts/chart25.xml"/><Relationship Id="rId122"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47" Type="http://schemas.openxmlformats.org/officeDocument/2006/relationships/footer" Target="footer15.xml"/><Relationship Id="rId68" Type="http://schemas.openxmlformats.org/officeDocument/2006/relationships/header" Target="header22.xml"/><Relationship Id="rId89" Type="http://schemas.openxmlformats.org/officeDocument/2006/relationships/chart" Target="charts/chart15.xml"/><Relationship Id="rId112" Type="http://schemas.openxmlformats.org/officeDocument/2006/relationships/chart" Target="charts/chart36.xml"/><Relationship Id="rId133" Type="http://schemas.openxmlformats.org/officeDocument/2006/relationships/header" Target="header32.xml"/></Relationships>
</file>

<file path=word/_rels/footnotes.xml.rels><?xml version="1.0" encoding="UTF-8" standalone="yes"?>
<Relationships xmlns="http://schemas.openxmlformats.org/package/2006/relationships"><Relationship Id="rId3" Type="http://schemas.openxmlformats.org/officeDocument/2006/relationships/hyperlink" Target="mailto:madrid.qp@wipo.int" TargetMode="External"/><Relationship Id="rId2" Type="http://schemas.openxmlformats.org/officeDocument/2006/relationships/hyperlink" Target="https://www.wipo.int/ip-development/en/agenda/recommendations.html" TargetMode="External"/><Relationship Id="rId1" Type="http://schemas.openxmlformats.org/officeDocument/2006/relationships/hyperlink" Target="https://www.wipo.int/edocs/mdocs/govbody/en/wo_pbc_34/wo_pbc_34_13.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14.xml.rels><?xml version="1.0" encoding="UTF-8" standalone="yes"?>
<Relationships xmlns="http://schemas.openxmlformats.org/package/2006/relationships"><Relationship Id="rId3" Type="http://schemas.openxmlformats.org/officeDocument/2006/relationships/oleObject" Target="file:///\\Wipogvafs01\DAT1\ORGOIOP\SHARED\PPBD%20Shared%20Filing\58-Program%20and%20Budget%202024-25\28_PBC\PBC_36\Updated%20tables%20and%20annexes\Annex%20V%20and%20VI\PCT_Indicators_010623.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Wipogvafs01\DAT1\ORGOIOP\SHARED\PPBD%20Shared%20Filing\58-Program%20and%20Budget%202024-25\28_PBC\PBC_36\Updated%20tables%20and%20annexes\1.%202024-25%20Financial%20and%20Results%20Overview%20tables.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9.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7.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09_Master%20Tables\PCT,%20Madrid%20and%20Hague%20Indicators\2022_Madrid_indicators_back-up.xlsx" TargetMode="Externa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9.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09_Master%20Tables\PCT,%20Madrid%20and%20Hague%20Indicators\2022_Madrid_indicators_back-up.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09_Master%20Tables\1.%202024-25%20Financial%20and%20Results%20Overview%20tables.xlsx"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33.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09_Master%20Tables\PCT,%20Madrid%20and%20Hague%20Indicators\2022_Madrid_indicators_back-up.xlsx" TargetMode="External"/></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20.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8.xml"/><Relationship Id="rId1" Type="http://schemas.microsoft.com/office/2011/relationships/chartStyle" Target="style8.xml"/></Relationships>
</file>

<file path=word/charts/_rels/chart4.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9.xml"/><Relationship Id="rId1" Type="http://schemas.microsoft.com/office/2011/relationships/chartStyle" Target="style9.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10.xml"/><Relationship Id="rId1" Type="http://schemas.microsoft.com/office/2011/relationships/chartStyle" Target="style10.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11.xml"/><Relationship Id="rId1" Type="http://schemas.microsoft.com/office/2011/relationships/chartStyle" Target="style11.xml"/></Relationships>
</file>

<file path=word/charts/_rels/chart43.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09_Master%20Tables\PCT,%20Madrid%20and%20Hague%20Indicators\2022_Hague_Indicators_back-up.xlsx" TargetMode="External"/></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5.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Wipogvafs01\DAT1\ORGOIOP\SHARED\PPBD%20Shared%20Filing\58-Program%20and%20Budget%202024-25\28_PBC\PBC_36\Updated%20tables%20and%20annexes\Annex%20V%20and%20VI\2024-25%20Evolution%20and%20demand%20for%20services%20-%20v3%20(April%20fcs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32901826359334"/>
          <c:y val="0.16623170683210053"/>
          <c:w val="0.44307650795986953"/>
          <c:h val="0.75930628791521182"/>
        </c:manualLayout>
      </c:layout>
      <c:pieChart>
        <c:varyColors val="1"/>
        <c:ser>
          <c:idx val="0"/>
          <c:order val="0"/>
          <c:tx>
            <c:strRef>
              <c:f>'Table 2 and chart 1'!$I$32</c:f>
              <c:strCache>
                <c:ptCount val="1"/>
                <c:pt idx="0">
                  <c:v>2024/25</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E74-4167-9DC1-730AF5587AFE}"/>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E74-4167-9DC1-730AF5587AFE}"/>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AE74-4167-9DC1-730AF5587AFE}"/>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AE74-4167-9DC1-730AF5587AFE}"/>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AE74-4167-9DC1-730AF5587AFE}"/>
              </c:ext>
            </c:extLst>
          </c:dPt>
          <c:dLbls>
            <c:dLbl>
              <c:idx val="0"/>
              <c:layout>
                <c:manualLayout>
                  <c:x val="-0.10313040444248653"/>
                  <c:y val="-0.2429113252368241"/>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E74-4167-9DC1-730AF5587AFE}"/>
                </c:ext>
              </c:extLst>
            </c:dLbl>
            <c:dLbl>
              <c:idx val="1"/>
              <c:layout>
                <c:manualLayout>
                  <c:x val="9.4145537478900018E-2"/>
                  <c:y val="0.1049537322778466"/>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E74-4167-9DC1-730AF5587AFE}"/>
                </c:ext>
              </c:extLst>
            </c:dLbl>
            <c:dLbl>
              <c:idx val="2"/>
              <c:layout>
                <c:manualLayout>
                  <c:x val="2.6761592300962381E-2"/>
                  <c:y val="1.658100029163019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AE74-4167-9DC1-730AF5587AFE}"/>
                </c:ext>
              </c:extLst>
            </c:dLbl>
            <c:dLbl>
              <c:idx val="3"/>
              <c:layout>
                <c:manualLayout>
                  <c:x val="1.9418751837161886E-2"/>
                  <c:y val="0.10111469424644323"/>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AE74-4167-9DC1-730AF5587AFE}"/>
                </c:ext>
              </c:extLst>
            </c:dLbl>
            <c:dLbl>
              <c:idx val="4"/>
              <c:layout>
                <c:manualLayout>
                  <c:x val="3.3241469816272964E-3"/>
                  <c:y val="1.836905803441235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AE74-4167-9DC1-730AF5587AF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'Table 2 and chart 1'!$H$33:$H$37</c:f>
              <c:strCache>
                <c:ptCount val="5"/>
                <c:pt idx="0">
                  <c:v>PCT System</c:v>
                </c:pt>
                <c:pt idx="1">
                  <c:v>Madrid System</c:v>
                </c:pt>
                <c:pt idx="2">
                  <c:v>Hague System</c:v>
                </c:pt>
                <c:pt idx="3">
                  <c:v>Contributions</c:v>
                </c:pt>
                <c:pt idx="4">
                  <c:v>Other</c:v>
                </c:pt>
              </c:strCache>
            </c:strRef>
          </c:cat>
          <c:val>
            <c:numRef>
              <c:f>'Table 2 and chart 1'!$I$33:$I$37</c:f>
              <c:numCache>
                <c:formatCode>_ * #,##0.00_ ;_ * \-#,##0.00_ ;_ * "-"??_ ;_ @_ </c:formatCode>
                <c:ptCount val="5"/>
                <c:pt idx="0">
                  <c:v>743.70920000000001</c:v>
                </c:pt>
                <c:pt idx="1">
                  <c:v>170.65700000000001</c:v>
                </c:pt>
                <c:pt idx="2">
                  <c:v>16.4312</c:v>
                </c:pt>
                <c:pt idx="3">
                  <c:v>35.233983000000002</c:v>
                </c:pt>
                <c:pt idx="4">
                  <c:v>6.55485000000008</c:v>
                </c:pt>
              </c:numCache>
            </c:numRef>
          </c:val>
          <c:extLst>
            <c:ext xmlns:c16="http://schemas.microsoft.com/office/drawing/2014/chart" uri="{C3380CC4-5D6E-409C-BE32-E72D297353CC}">
              <c16:uniqueId val="{0000000A-AE74-4167-9DC1-730AF5587AFE}"/>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67725436407464368"/>
          <c:y val="0.25516533444683048"/>
          <c:w val="0.28777156829146611"/>
          <c:h val="0.394454386383520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882992073532649E-2"/>
          <c:y val="3.1601049868766405E-2"/>
          <c:w val="0.88385441115788721"/>
          <c:h val="0.78593464807724733"/>
        </c:manualLayout>
      </c:layout>
      <c:barChart>
        <c:barDir val="col"/>
        <c:grouping val="clustered"/>
        <c:varyColors val="0"/>
        <c:ser>
          <c:idx val="1"/>
          <c:order val="1"/>
          <c:tx>
            <c:strRef>
              <c:f>'Tables &amp; charts'!$A$185</c:f>
              <c:strCache>
                <c:ptCount val="1"/>
                <c:pt idx="0">
                  <c:v>Growth</c:v>
                </c:pt>
              </c:strCache>
            </c:strRef>
          </c:tx>
          <c:spPr>
            <a:solidFill>
              <a:schemeClr val="tx2">
                <a:lumMod val="75000"/>
              </a:schemeClr>
            </a:solidFill>
            <a:ln w="25400">
              <a:noFill/>
            </a:ln>
          </c:spPr>
          <c:invertIfNegative val="0"/>
          <c:dLbls>
            <c:spPr>
              <a:noFill/>
              <a:ln w="25400">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charts'!$B$185:$G$185</c:f>
              <c:numCache>
                <c:formatCode>0.0%</c:formatCode>
                <c:ptCount val="6"/>
                <c:pt idx="0">
                  <c:v>1E-3</c:v>
                </c:pt>
                <c:pt idx="1">
                  <c:v>9.1999999999999998E-2</c:v>
                </c:pt>
                <c:pt idx="2">
                  <c:v>0</c:v>
                </c:pt>
                <c:pt idx="3">
                  <c:v>-2.9000000000000001E-2</c:v>
                </c:pt>
                <c:pt idx="4">
                  <c:v>5.8000000000000003E-2</c:v>
                </c:pt>
                <c:pt idx="5">
                  <c:v>3.5000000000000003E-2</c:v>
                </c:pt>
              </c:numCache>
            </c:numRef>
          </c:val>
          <c:extLst>
            <c:ext xmlns:c16="http://schemas.microsoft.com/office/drawing/2014/chart" uri="{C3380CC4-5D6E-409C-BE32-E72D297353CC}">
              <c16:uniqueId val="{00000000-6003-4649-BB06-440630BBA5CF}"/>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charts'!$A$184</c:f>
              <c:strCache>
                <c:ptCount val="1"/>
                <c:pt idx="0">
                  <c:v>Total Income (million CHF)</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charts'!$B$187:$G$187</c:f>
                <c:numCache>
                  <c:formatCode>General</c:formatCode>
                  <c:ptCount val="6"/>
                  <c:pt idx="2">
                    <c:v>0.19</c:v>
                  </c:pt>
                  <c:pt idx="3">
                    <c:v>3.73</c:v>
                  </c:pt>
                  <c:pt idx="4">
                    <c:v>5.33</c:v>
                  </c:pt>
                  <c:pt idx="5">
                    <c:v>6.57</c:v>
                  </c:pt>
                </c:numCache>
              </c:numRef>
            </c:plus>
            <c:minus>
              <c:numRef>
                <c:f>'Tables &amp; charts'!$B$189:$G$189</c:f>
                <c:numCache>
                  <c:formatCode>General</c:formatCode>
                  <c:ptCount val="6"/>
                  <c:pt idx="2">
                    <c:v>0.19</c:v>
                  </c:pt>
                  <c:pt idx="3">
                    <c:v>3.73</c:v>
                  </c:pt>
                  <c:pt idx="4">
                    <c:v>5.33</c:v>
                  </c:pt>
                  <c:pt idx="5">
                    <c:v>6.57</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charts'!$B$184:$G$184</c:f>
              <c:numCache>
                <c:formatCode>0.0</c:formatCode>
                <c:ptCount val="6"/>
                <c:pt idx="0">
                  <c:v>76.98</c:v>
                </c:pt>
                <c:pt idx="1">
                  <c:v>84.04</c:v>
                </c:pt>
                <c:pt idx="2">
                  <c:v>86.81</c:v>
                </c:pt>
                <c:pt idx="3">
                  <c:v>84.33</c:v>
                </c:pt>
                <c:pt idx="4">
                  <c:v>89.23</c:v>
                </c:pt>
                <c:pt idx="5">
                  <c:v>92.32</c:v>
                </c:pt>
              </c:numCache>
            </c:numRef>
          </c:val>
          <c:smooth val="0"/>
          <c:extLst>
            <c:ext xmlns:c16="http://schemas.microsoft.com/office/drawing/2014/chart" uri="{C3380CC4-5D6E-409C-BE32-E72D297353CC}">
              <c16:uniqueId val="{00000001-6003-4649-BB06-440630BBA5CF}"/>
            </c:ext>
          </c:extLst>
        </c:ser>
        <c:dLbls>
          <c:showLegendKey val="0"/>
          <c:showVal val="0"/>
          <c:showCatName val="0"/>
          <c:showSerName val="0"/>
          <c:showPercent val="0"/>
          <c:showBubbleSize val="0"/>
        </c:dLbls>
        <c:marker val="1"/>
        <c:smooth val="0"/>
        <c:axId val="80699183"/>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strRef>
              <c:f>'Tables &amp; charts'!$B$179:$G$179</c:f>
              <c:strCache>
                <c:ptCount val="6"/>
                <c:pt idx="0">
                  <c:v>2020</c:v>
                </c:pt>
                <c:pt idx="1">
                  <c:v>2021</c:v>
                </c:pt>
                <c:pt idx="2">
                  <c:v>2022</c:v>
                </c:pt>
                <c:pt idx="3">
                  <c:v>2023_x000d_
Estimates</c:v>
                </c:pt>
                <c:pt idx="4">
                  <c:v>2024_x000d_
Estimates</c:v>
                </c:pt>
                <c:pt idx="5">
                  <c:v>2025_x000d_
Estimates</c:v>
                </c:pt>
              </c:strCache>
            </c:strRef>
          </c:cat>
          <c:val>
            <c:numRef>
              <c:f>'Tables &amp; charts'!$B$188:$G$188</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2-6003-4649-BB06-440630BBA5CF}"/>
            </c:ext>
          </c:extLst>
        </c:ser>
        <c:dLbls>
          <c:showLegendKey val="0"/>
          <c:showVal val="0"/>
          <c:showCatName val="0"/>
          <c:showSerName val="0"/>
          <c:showPercent val="0"/>
          <c:showBubbleSize val="0"/>
        </c:dLbls>
        <c:marker val="1"/>
        <c:smooth val="0"/>
        <c:axId val="3"/>
        <c:axId val="4"/>
      </c:lineChart>
      <c:catAx>
        <c:axId val="80699183"/>
        <c:scaling>
          <c:orientation val="minMax"/>
        </c:scaling>
        <c:delete val="0"/>
        <c:axPos val="b"/>
        <c:numFmt formatCode="General" sourceLinked="1"/>
        <c:majorTickMark val="out"/>
        <c:minorTickMark val="none"/>
        <c:tickLblPos val="nextTo"/>
        <c:spPr>
          <a:ln w="9525">
            <a:noFill/>
          </a:ln>
        </c:spPr>
        <c:txPr>
          <a:bodyPr rot="0" vert="horz"/>
          <a:lstStyle/>
          <a:p>
            <a:pPr>
              <a:defRPr sz="800"/>
            </a:pPr>
            <a:endParaRPr lang="en-US"/>
          </a:p>
        </c:txPr>
        <c:crossAx val="1"/>
        <c:crosses val="autoZero"/>
        <c:auto val="1"/>
        <c:lblAlgn val="ctr"/>
        <c:lblOffset val="100"/>
        <c:tickLblSkip val="1"/>
        <c:tickMarkSkip val="1"/>
        <c:noMultiLvlLbl val="0"/>
      </c:catAx>
      <c:valAx>
        <c:axId val="1"/>
        <c:scaling>
          <c:orientation val="minMax"/>
          <c:min val="5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a:pPr>
            <a:endParaRPr lang="en-US"/>
          </a:p>
        </c:txPr>
        <c:crossAx val="80699183"/>
        <c:crosses val="autoZero"/>
        <c:crossBetween val="between"/>
        <c:majorUnit val="5"/>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4"/>
          <c:min val="-0.1"/>
        </c:scaling>
        <c:delete val="0"/>
        <c:axPos val="r"/>
        <c:numFmt formatCode="0.0%" sourceLinked="1"/>
        <c:majorTickMark val="none"/>
        <c:minorTickMark val="none"/>
        <c:tickLblPos val="none"/>
        <c:spPr>
          <a:ln w="6350">
            <a:solidFill>
              <a:srgbClr val="000000"/>
            </a:solidFill>
          </a:ln>
        </c:spPr>
        <c:crossAx val="3"/>
        <c:crosses val="max"/>
        <c:crossBetween val="between"/>
        <c:majorUnit val="0.1"/>
      </c:valAx>
      <c:spPr>
        <a:solidFill>
          <a:srgbClr val="FFFFFF"/>
        </a:solidFill>
        <a:ln w="25400">
          <a:noFill/>
        </a:ln>
      </c:spPr>
    </c:plotArea>
    <c:legend>
      <c:legendPos val="b"/>
      <c:legendEntry>
        <c:idx val="2"/>
        <c:delete val="1"/>
      </c:legendEntry>
      <c:legendEntry>
        <c:idx val="3"/>
        <c:delete val="1"/>
      </c:legendEntry>
      <c:layout>
        <c:manualLayout>
          <c:xMode val="edge"/>
          <c:yMode val="edge"/>
          <c:x val="0.27103086331925563"/>
          <c:y val="0.90946891773663441"/>
          <c:w val="0.45793804201094518"/>
          <c:h val="8.0521072253355724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121393422160537E-2"/>
          <c:y val="3.4659153844301578E-2"/>
          <c:w val="0.88561600074469304"/>
          <c:h val="0.79918643197123307"/>
        </c:manualLayout>
      </c:layout>
      <c:barChart>
        <c:barDir val="col"/>
        <c:grouping val="clustered"/>
        <c:varyColors val="0"/>
        <c:ser>
          <c:idx val="1"/>
          <c:order val="1"/>
          <c:tx>
            <c:strRef>
              <c:f>'Tables &amp; charts'!$A$220</c:f>
              <c:strCache>
                <c:ptCount val="1"/>
                <c:pt idx="0">
                  <c:v>Growth</c:v>
                </c:pt>
              </c:strCache>
            </c:strRef>
          </c:tx>
          <c:spPr>
            <a:solidFill>
              <a:schemeClr val="tx2">
                <a:lumMod val="75000"/>
              </a:schemeClr>
            </a:solidFill>
            <a:ln w="25400">
              <a:noFill/>
            </a:ln>
          </c:spPr>
          <c:invertIfNegative val="0"/>
          <c:dLbls>
            <c:dLbl>
              <c:idx val="2"/>
              <c:layout>
                <c:manualLayout>
                  <c:x val="0"/>
                  <c:y val="1.2232415902140673E-2"/>
                </c:manualLayout>
              </c:layout>
              <c:spPr>
                <a:noFill/>
                <a:ln w="25400">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DE-4303-9EDF-773DA74C5466}"/>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Narrow" panose="020B0606020202030204" pitchFamily="34" charset="0"/>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charts'!$B$220:$G$220</c:f>
              <c:numCache>
                <c:formatCode>0.0%</c:formatCode>
                <c:ptCount val="6"/>
                <c:pt idx="0">
                  <c:v>-1.6E-2</c:v>
                </c:pt>
                <c:pt idx="1">
                  <c:v>0.158</c:v>
                </c:pt>
                <c:pt idx="2">
                  <c:v>0.188</c:v>
                </c:pt>
                <c:pt idx="3">
                  <c:v>0.123</c:v>
                </c:pt>
                <c:pt idx="4">
                  <c:v>0.113</c:v>
                </c:pt>
                <c:pt idx="5">
                  <c:v>8.6999999999999994E-2</c:v>
                </c:pt>
              </c:numCache>
            </c:numRef>
          </c:val>
          <c:extLst>
            <c:ext xmlns:c16="http://schemas.microsoft.com/office/drawing/2014/chart" uri="{C3380CC4-5D6E-409C-BE32-E72D297353CC}">
              <c16:uniqueId val="{00000001-B8DE-4303-9EDF-773DA74C5466}"/>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charts'!$A$219</c:f>
              <c:strCache>
                <c:ptCount val="1"/>
                <c:pt idx="0">
                  <c:v>Applications</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charts'!$B$222:$G$222</c:f>
                <c:numCache>
                  <c:formatCode>General</c:formatCode>
                  <c:ptCount val="6"/>
                  <c:pt idx="3">
                    <c:v>1380</c:v>
                  </c:pt>
                  <c:pt idx="4">
                    <c:v>2790</c:v>
                  </c:pt>
                  <c:pt idx="5">
                    <c:v>3580</c:v>
                  </c:pt>
                </c:numCache>
              </c:numRef>
            </c:plus>
            <c:minus>
              <c:numRef>
                <c:f>'Tables &amp; charts'!$B$224:$G$224</c:f>
                <c:numCache>
                  <c:formatCode>General</c:formatCode>
                  <c:ptCount val="6"/>
                  <c:pt idx="0">
                    <c:v>0</c:v>
                  </c:pt>
                  <c:pt idx="1">
                    <c:v>0</c:v>
                  </c:pt>
                  <c:pt idx="2">
                    <c:v>0</c:v>
                  </c:pt>
                  <c:pt idx="3">
                    <c:v>1170</c:v>
                  </c:pt>
                  <c:pt idx="4">
                    <c:v>2350</c:v>
                  </c:pt>
                  <c:pt idx="5">
                    <c:v>2980</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charts'!$B$219:$G$219</c:f>
              <c:numCache>
                <c:formatCode>#,##0</c:formatCode>
                <c:ptCount val="6"/>
                <c:pt idx="0">
                  <c:v>5799</c:v>
                </c:pt>
                <c:pt idx="1">
                  <c:v>6714</c:v>
                </c:pt>
                <c:pt idx="2">
                  <c:v>7977</c:v>
                </c:pt>
                <c:pt idx="3">
                  <c:v>8960</c:v>
                </c:pt>
                <c:pt idx="4">
                  <c:v>9970</c:v>
                </c:pt>
                <c:pt idx="5">
                  <c:v>10840</c:v>
                </c:pt>
              </c:numCache>
            </c:numRef>
          </c:val>
          <c:smooth val="0"/>
          <c:extLst>
            <c:ext xmlns:c16="http://schemas.microsoft.com/office/drawing/2014/chart" uri="{C3380CC4-5D6E-409C-BE32-E72D297353CC}">
              <c16:uniqueId val="{00000002-B8DE-4303-9EDF-773DA74C5466}"/>
            </c:ext>
          </c:extLst>
        </c:ser>
        <c:dLbls>
          <c:showLegendKey val="0"/>
          <c:showVal val="0"/>
          <c:showCatName val="0"/>
          <c:showSerName val="0"/>
          <c:showPercent val="0"/>
          <c:showBubbleSize val="0"/>
        </c:dLbls>
        <c:marker val="1"/>
        <c:smooth val="0"/>
        <c:axId val="235724591"/>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multiLvlStrRef>
              <c:f>#REF!</c:f>
            </c:multiLvlStrRef>
          </c:cat>
          <c:val>
            <c:numRef>
              <c:f>'Tables &amp; charts'!$B$223:$G$223</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B8DE-4303-9EDF-773DA74C5466}"/>
            </c:ext>
          </c:extLst>
        </c:ser>
        <c:dLbls>
          <c:showLegendKey val="0"/>
          <c:showVal val="0"/>
          <c:showCatName val="0"/>
          <c:showSerName val="0"/>
          <c:showPercent val="0"/>
          <c:showBubbleSize val="0"/>
        </c:dLbls>
        <c:marker val="1"/>
        <c:smooth val="0"/>
        <c:axId val="3"/>
        <c:axId val="4"/>
      </c:lineChart>
      <c:catAx>
        <c:axId val="235724591"/>
        <c:scaling>
          <c:orientation val="minMax"/>
        </c:scaling>
        <c:delete val="0"/>
        <c:axPos val="b"/>
        <c:numFmt formatCode="General" sourceLinked="1"/>
        <c:majorTickMark val="out"/>
        <c:minorTickMark val="none"/>
        <c:tickLblPos val="nextTo"/>
        <c:spPr>
          <a:ln w="9525">
            <a:noFill/>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1"/>
        <c:crosses val="autoZero"/>
        <c:auto val="1"/>
        <c:lblAlgn val="ctr"/>
        <c:lblOffset val="100"/>
        <c:tickLblSkip val="1"/>
        <c:tickMarkSkip val="1"/>
        <c:noMultiLvlLbl val="0"/>
      </c:catAx>
      <c:valAx>
        <c:axId val="1"/>
        <c:scaling>
          <c:orientation val="minMax"/>
          <c:min val="200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235724591"/>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4"/>
          <c:min val="-0.2"/>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34365946384564527"/>
          <c:y val="0.91939824530951664"/>
          <c:w val="0.31268107230870951"/>
          <c:h val="8.0601754690483335E-2"/>
        </c:manualLayout>
      </c:layout>
      <c:overlay val="0"/>
      <c:spPr>
        <a:solidFill>
          <a:srgbClr val="FFFFFF"/>
        </a:solidFill>
        <a:ln w="25400">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121393422160537E-2"/>
          <c:y val="3.5678521836146636E-2"/>
          <c:w val="0.88561600074469304"/>
          <c:h val="0.79612832799569777"/>
        </c:manualLayout>
      </c:layout>
      <c:barChart>
        <c:barDir val="col"/>
        <c:grouping val="clustered"/>
        <c:varyColors val="0"/>
        <c:ser>
          <c:idx val="1"/>
          <c:order val="1"/>
          <c:tx>
            <c:strRef>
              <c:f>'Tables &amp; charts'!$A$247</c:f>
              <c:strCache>
                <c:ptCount val="1"/>
                <c:pt idx="0">
                  <c:v>Growth</c:v>
                </c:pt>
              </c:strCache>
            </c:strRef>
          </c:tx>
          <c:spPr>
            <a:solidFill>
              <a:schemeClr val="tx2">
                <a:lumMod val="75000"/>
              </a:schemeClr>
            </a:solidFill>
            <a:ln w="25400">
              <a:noFill/>
            </a:ln>
          </c:spPr>
          <c:invertIfNegative val="0"/>
          <c:dLbls>
            <c:dLbl>
              <c:idx val="1"/>
              <c:layout>
                <c:manualLayout>
                  <c:x val="0"/>
                  <c:y val="-7.4752789184704548E-17"/>
                </c:manualLayout>
              </c:layout>
              <c:spPr>
                <a:noFill/>
                <a:ln w="25400">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0C-4D78-9348-FF30ACFF164A}"/>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Narrow" panose="020B0606020202030204" pitchFamily="34" charset="0"/>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charts'!$B$247:$G$247</c:f>
              <c:numCache>
                <c:formatCode>0.0%</c:formatCode>
                <c:ptCount val="6"/>
                <c:pt idx="0">
                  <c:v>0.34200000000000003</c:v>
                </c:pt>
                <c:pt idx="1">
                  <c:v>0.14799999999999999</c:v>
                </c:pt>
                <c:pt idx="2">
                  <c:v>-3.2000000000000001E-2</c:v>
                </c:pt>
                <c:pt idx="3">
                  <c:v>3.6999999999999998E-2</c:v>
                </c:pt>
                <c:pt idx="4">
                  <c:v>1.6E-2</c:v>
                </c:pt>
                <c:pt idx="5">
                  <c:v>0.127</c:v>
                </c:pt>
              </c:numCache>
            </c:numRef>
          </c:val>
          <c:extLst>
            <c:ext xmlns:c16="http://schemas.microsoft.com/office/drawing/2014/chart" uri="{C3380CC4-5D6E-409C-BE32-E72D297353CC}">
              <c16:uniqueId val="{00000001-500C-4D78-9348-FF30ACFF164A}"/>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charts'!$A$246</c:f>
              <c:strCache>
                <c:ptCount val="1"/>
                <c:pt idx="0">
                  <c:v>Renewal</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charts'!$B$249:$G$249</c:f>
                <c:numCache>
                  <c:formatCode>General</c:formatCode>
                  <c:ptCount val="6"/>
                  <c:pt idx="3">
                    <c:v>840</c:v>
                  </c:pt>
                  <c:pt idx="4">
                    <c:v>1560</c:v>
                  </c:pt>
                  <c:pt idx="5">
                    <c:v>2070</c:v>
                  </c:pt>
                </c:numCache>
              </c:numRef>
            </c:plus>
            <c:minus>
              <c:numRef>
                <c:f>'Tables &amp; charts'!$B$251:$G$251</c:f>
                <c:numCache>
                  <c:formatCode>General</c:formatCode>
                  <c:ptCount val="6"/>
                  <c:pt idx="0">
                    <c:v>0</c:v>
                  </c:pt>
                  <c:pt idx="1">
                    <c:v>0</c:v>
                  </c:pt>
                  <c:pt idx="2">
                    <c:v>0</c:v>
                  </c:pt>
                  <c:pt idx="3">
                    <c:v>720</c:v>
                  </c:pt>
                  <c:pt idx="4">
                    <c:v>1310</c:v>
                  </c:pt>
                  <c:pt idx="5">
                    <c:v>1730</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charts'!$B$246:$G$246</c:f>
              <c:numCache>
                <c:formatCode>#,##0</c:formatCode>
                <c:ptCount val="6"/>
                <c:pt idx="0">
                  <c:v>4759</c:v>
                </c:pt>
                <c:pt idx="1">
                  <c:v>5461</c:v>
                </c:pt>
                <c:pt idx="2">
                  <c:v>5284</c:v>
                </c:pt>
                <c:pt idx="3">
                  <c:v>5480</c:v>
                </c:pt>
                <c:pt idx="4">
                  <c:v>5570</c:v>
                </c:pt>
                <c:pt idx="5">
                  <c:v>6280</c:v>
                </c:pt>
              </c:numCache>
            </c:numRef>
          </c:val>
          <c:smooth val="0"/>
          <c:extLst>
            <c:ext xmlns:c16="http://schemas.microsoft.com/office/drawing/2014/chart" uri="{C3380CC4-5D6E-409C-BE32-E72D297353CC}">
              <c16:uniqueId val="{00000002-500C-4D78-9348-FF30ACFF164A}"/>
            </c:ext>
          </c:extLst>
        </c:ser>
        <c:dLbls>
          <c:showLegendKey val="0"/>
          <c:showVal val="0"/>
          <c:showCatName val="0"/>
          <c:showSerName val="0"/>
          <c:showPercent val="0"/>
          <c:showBubbleSize val="0"/>
        </c:dLbls>
        <c:marker val="1"/>
        <c:smooth val="0"/>
        <c:axId val="235726671"/>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multiLvlStrRef>
              <c:f>#REF!</c:f>
            </c:multiLvlStrRef>
          </c:cat>
          <c:val>
            <c:numRef>
              <c:f>'Tables &amp; charts'!$B$250:$G$250</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500C-4D78-9348-FF30ACFF164A}"/>
            </c:ext>
          </c:extLst>
        </c:ser>
        <c:dLbls>
          <c:showLegendKey val="0"/>
          <c:showVal val="0"/>
          <c:showCatName val="0"/>
          <c:showSerName val="0"/>
          <c:showPercent val="0"/>
          <c:showBubbleSize val="0"/>
        </c:dLbls>
        <c:marker val="1"/>
        <c:smooth val="0"/>
        <c:axId val="3"/>
        <c:axId val="4"/>
      </c:lineChart>
      <c:catAx>
        <c:axId val="235726671"/>
        <c:scaling>
          <c:orientation val="minMax"/>
        </c:scaling>
        <c:delete val="0"/>
        <c:axPos val="b"/>
        <c:numFmt formatCode="General" sourceLinked="1"/>
        <c:majorTickMark val="out"/>
        <c:minorTickMark val="none"/>
        <c:tickLblPos val="nextTo"/>
        <c:spPr>
          <a:ln w="9525">
            <a:noFill/>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1"/>
        <c:crosses val="autoZero"/>
        <c:auto val="1"/>
        <c:lblAlgn val="ctr"/>
        <c:lblOffset val="100"/>
        <c:tickLblSkip val="1"/>
        <c:tickMarkSkip val="1"/>
        <c:noMultiLvlLbl val="0"/>
      </c:catAx>
      <c:valAx>
        <c:axId val="1"/>
        <c:scaling>
          <c:orientation val="minMax"/>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235726671"/>
        <c:crosses val="autoZero"/>
        <c:crossBetween val="between"/>
        <c:majorUnit val="10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2"/>
          <c:min val="-0.2"/>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36946409352044746"/>
          <c:y val="0.91603295920528272"/>
          <c:w val="0.26107174640639208"/>
          <c:h val="8.3967113714126032E-2"/>
        </c:manualLayout>
      </c:layout>
      <c:overlay val="0"/>
      <c:spPr>
        <a:solidFill>
          <a:srgbClr val="FFFFFF"/>
        </a:solidFill>
        <a:ln w="25400">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24148786277337E-2"/>
          <c:y val="3.5678521836146636E-2"/>
          <c:w val="0.90641324538057622"/>
          <c:h val="0.79612832799569777"/>
        </c:manualLayout>
      </c:layout>
      <c:barChart>
        <c:barDir val="col"/>
        <c:grouping val="clustered"/>
        <c:varyColors val="0"/>
        <c:ser>
          <c:idx val="1"/>
          <c:order val="1"/>
          <c:tx>
            <c:strRef>
              <c:f>'Tables &amp; charts'!$A$277</c:f>
              <c:strCache>
                <c:ptCount val="1"/>
                <c:pt idx="0">
                  <c:v>Growth</c:v>
                </c:pt>
              </c:strCache>
            </c:strRef>
          </c:tx>
          <c:spPr>
            <a:solidFill>
              <a:schemeClr val="tx2">
                <a:lumMod val="75000"/>
              </a:schemeClr>
            </a:solidFill>
            <a:ln w="25400">
              <a:noFill/>
            </a:ln>
          </c:spPr>
          <c:invertIfNegative val="0"/>
          <c:dLbls>
            <c:dLbl>
              <c:idx val="2"/>
              <c:layout>
                <c:manualLayout>
                  <c:x val="0"/>
                  <c:y val="0"/>
                </c:manualLayout>
              </c:layout>
              <c:spPr>
                <a:noFill/>
                <a:ln w="25400">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4F-429B-A361-F292935D865E}"/>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Narrow" panose="020B0606020202030204" pitchFamily="34" charset="0"/>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charts'!$B$277:$G$277</c:f>
              <c:numCache>
                <c:formatCode>0.0%</c:formatCode>
                <c:ptCount val="6"/>
                <c:pt idx="0">
                  <c:v>7.5999999999999998E-2</c:v>
                </c:pt>
                <c:pt idx="1">
                  <c:v>0.11600000000000001</c:v>
                </c:pt>
                <c:pt idx="2">
                  <c:v>9.7000000000000003E-2</c:v>
                </c:pt>
                <c:pt idx="3">
                  <c:v>0.14399999999999999</c:v>
                </c:pt>
                <c:pt idx="4">
                  <c:v>8.5999999999999993E-2</c:v>
                </c:pt>
                <c:pt idx="5">
                  <c:v>9.0999999999999998E-2</c:v>
                </c:pt>
              </c:numCache>
            </c:numRef>
          </c:val>
          <c:extLst>
            <c:ext xmlns:c16="http://schemas.microsoft.com/office/drawing/2014/chart" uri="{C3380CC4-5D6E-409C-BE32-E72D297353CC}">
              <c16:uniqueId val="{00000001-E94F-429B-A361-F292935D865E}"/>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charts'!$A$276</c:f>
              <c:strCache>
                <c:ptCount val="1"/>
                <c:pt idx="0">
                  <c:v>Income (million CHF)</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charts'!$B$279:$G$279</c:f>
                <c:numCache>
                  <c:formatCode>General</c:formatCode>
                  <c:ptCount val="6"/>
                  <c:pt idx="3">
                    <c:v>1.19</c:v>
                  </c:pt>
                  <c:pt idx="4">
                    <c:v>2.34</c:v>
                  </c:pt>
                  <c:pt idx="5">
                    <c:v>2.98</c:v>
                  </c:pt>
                </c:numCache>
              </c:numRef>
            </c:plus>
            <c:minus>
              <c:numRef>
                <c:f>'Tables &amp; charts'!$B$281:$G$281</c:f>
                <c:numCache>
                  <c:formatCode>General</c:formatCode>
                  <c:ptCount val="6"/>
                  <c:pt idx="0">
                    <c:v>0</c:v>
                  </c:pt>
                  <c:pt idx="1">
                    <c:v>0</c:v>
                  </c:pt>
                  <c:pt idx="2">
                    <c:v>0</c:v>
                  </c:pt>
                  <c:pt idx="3">
                    <c:v>1.01</c:v>
                  </c:pt>
                  <c:pt idx="4">
                    <c:v>1.98</c:v>
                  </c:pt>
                  <c:pt idx="5">
                    <c:v>2.5299999999999998</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charts'!$B$276:$G$276</c:f>
              <c:numCache>
                <c:formatCode>0.0</c:formatCode>
                <c:ptCount val="6"/>
                <c:pt idx="0">
                  <c:v>5.49</c:v>
                </c:pt>
                <c:pt idx="1">
                  <c:v>6.13</c:v>
                </c:pt>
                <c:pt idx="2">
                  <c:v>6.73</c:v>
                </c:pt>
                <c:pt idx="3">
                  <c:v>7.69</c:v>
                </c:pt>
                <c:pt idx="4">
                  <c:v>8.36</c:v>
                </c:pt>
                <c:pt idx="5">
                  <c:v>9.1199999999999992</c:v>
                </c:pt>
              </c:numCache>
            </c:numRef>
          </c:val>
          <c:smooth val="0"/>
          <c:extLst>
            <c:ext xmlns:c16="http://schemas.microsoft.com/office/drawing/2014/chart" uri="{C3380CC4-5D6E-409C-BE32-E72D297353CC}">
              <c16:uniqueId val="{00000002-E94F-429B-A361-F292935D865E}"/>
            </c:ext>
          </c:extLst>
        </c:ser>
        <c:dLbls>
          <c:showLegendKey val="0"/>
          <c:showVal val="0"/>
          <c:showCatName val="0"/>
          <c:showSerName val="0"/>
          <c:showPercent val="0"/>
          <c:showBubbleSize val="0"/>
        </c:dLbls>
        <c:marker val="1"/>
        <c:smooth val="0"/>
        <c:axId val="235718351"/>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multiLvlStrRef>
              <c:f>#REF!</c:f>
            </c:multiLvlStrRef>
          </c:cat>
          <c:val>
            <c:numRef>
              <c:f>'Tables &amp; charts'!$B$280:$G$280</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E94F-429B-A361-F292935D865E}"/>
            </c:ext>
          </c:extLst>
        </c:ser>
        <c:dLbls>
          <c:showLegendKey val="0"/>
          <c:showVal val="0"/>
          <c:showCatName val="0"/>
          <c:showSerName val="0"/>
          <c:showPercent val="0"/>
          <c:showBubbleSize val="0"/>
        </c:dLbls>
        <c:marker val="1"/>
        <c:smooth val="0"/>
        <c:axId val="3"/>
        <c:axId val="4"/>
      </c:lineChart>
      <c:catAx>
        <c:axId val="235718351"/>
        <c:scaling>
          <c:orientation val="minMax"/>
        </c:scaling>
        <c:delete val="0"/>
        <c:axPos val="b"/>
        <c:numFmt formatCode="General" sourceLinked="1"/>
        <c:majorTickMark val="out"/>
        <c:minorTickMark val="none"/>
        <c:tickLblPos val="nextTo"/>
        <c:spPr>
          <a:ln w="9525">
            <a:noFill/>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1"/>
        <c:crosses val="autoZero"/>
        <c:auto val="1"/>
        <c:lblAlgn val="ctr"/>
        <c:lblOffset val="100"/>
        <c:tickLblSkip val="1"/>
        <c:tickMarkSkip val="1"/>
        <c:noMultiLvlLbl val="0"/>
      </c:catAx>
      <c:valAx>
        <c:axId val="1"/>
        <c:scaling>
          <c:orientation val="minMax"/>
          <c:min val="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235718351"/>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60000000000000009"/>
          <c:min val="-0.1"/>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30261723263334334"/>
          <c:y val="0.91798057488544238"/>
          <c:w val="0.39476553473331333"/>
          <c:h val="8.2019425114557593E-2"/>
        </c:manualLayout>
      </c:layout>
      <c:overlay val="0"/>
      <c:spPr>
        <a:solidFill>
          <a:srgbClr val="FFFFFF"/>
        </a:solidFill>
        <a:ln w="25400">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322617443555"/>
          <c:y val="6.0103275857836126E-2"/>
          <c:w val="0.85580893630096289"/>
          <c:h val="0.70560578982370026"/>
        </c:manualLayout>
      </c:layout>
      <c:barChart>
        <c:barDir val="col"/>
        <c:grouping val="stacked"/>
        <c:varyColors val="0"/>
        <c:ser>
          <c:idx val="0"/>
          <c:order val="0"/>
          <c:tx>
            <c:strRef>
              <c:f>'Filing Method'!$A$8</c:f>
              <c:strCache>
                <c:ptCount val="1"/>
                <c:pt idx="0">
                  <c:v>Paper</c:v>
                </c:pt>
              </c:strCache>
            </c:strRef>
          </c:tx>
          <c:spPr>
            <a:solidFill>
              <a:schemeClr val="accent1"/>
            </a:solidFill>
            <a:ln>
              <a:noFill/>
            </a:ln>
            <a:effectLst/>
          </c:spPr>
          <c:invertIfNegative val="0"/>
          <c:cat>
            <c:strRef>
              <c:f>'Filing Method'!$R$7:$AA$7</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'Filing Method'!$R$8:$AA$8</c:f>
              <c:numCache>
                <c:formatCode>_-* #,##0_-;\-* #,##0_-;_-* "-"??_-;_-@_-</c:formatCode>
                <c:ptCount val="10"/>
                <c:pt idx="0">
                  <c:v>15412</c:v>
                </c:pt>
                <c:pt idx="1">
                  <c:v>13562</c:v>
                </c:pt>
                <c:pt idx="2">
                  <c:v>12079</c:v>
                </c:pt>
                <c:pt idx="3">
                  <c:v>10428</c:v>
                </c:pt>
                <c:pt idx="4">
                  <c:v>8871</c:v>
                </c:pt>
                <c:pt idx="5">
                  <c:v>7553</c:v>
                </c:pt>
                <c:pt idx="6">
                  <c:v>6159</c:v>
                </c:pt>
                <c:pt idx="7">
                  <c:v>4193</c:v>
                </c:pt>
                <c:pt idx="8">
                  <c:v>3186</c:v>
                </c:pt>
                <c:pt idx="9">
                  <c:v>2557.4496997484084</c:v>
                </c:pt>
              </c:numCache>
            </c:numRef>
          </c:val>
          <c:extLst>
            <c:ext xmlns:c16="http://schemas.microsoft.com/office/drawing/2014/chart" uri="{C3380CC4-5D6E-409C-BE32-E72D297353CC}">
              <c16:uniqueId val="{00000000-1538-4103-865A-8C86818A04CC}"/>
            </c:ext>
          </c:extLst>
        </c:ser>
        <c:ser>
          <c:idx val="1"/>
          <c:order val="1"/>
          <c:tx>
            <c:strRef>
              <c:f>'Filing Method'!$A$9</c:f>
              <c:strCache>
                <c:ptCount val="1"/>
                <c:pt idx="0">
                  <c:v>Paper and Electronic Filings (EASY)</c:v>
                </c:pt>
              </c:strCache>
            </c:strRef>
          </c:tx>
          <c:spPr>
            <a:solidFill>
              <a:schemeClr val="accent2"/>
            </a:solidFill>
            <a:ln>
              <a:noFill/>
            </a:ln>
            <a:effectLst/>
          </c:spPr>
          <c:invertIfNegative val="0"/>
          <c:cat>
            <c:strRef>
              <c:f>'Filing Method'!$R$7:$AA$7</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'Filing Method'!$R$9:$AA$9</c:f>
              <c:numCache>
                <c:formatCode>_-* #,##0_-;\-* #,##0_-;_-* "-"??_-;_-@_-</c:formatCode>
                <c:ptCount val="10"/>
                <c:pt idx="0">
                  <c:v>5870</c:v>
                </c:pt>
                <c:pt idx="1">
                  <c:v>5156</c:v>
                </c:pt>
                <c:pt idx="2">
                  <c:v>1774</c:v>
                </c:pt>
                <c:pt idx="9">
                  <c:v>0</c:v>
                </c:pt>
              </c:numCache>
            </c:numRef>
          </c:val>
          <c:extLst>
            <c:ext xmlns:c16="http://schemas.microsoft.com/office/drawing/2014/chart" uri="{C3380CC4-5D6E-409C-BE32-E72D297353CC}">
              <c16:uniqueId val="{00000001-1538-4103-865A-8C86818A04CC}"/>
            </c:ext>
          </c:extLst>
        </c:ser>
        <c:ser>
          <c:idx val="2"/>
          <c:order val="2"/>
          <c:tx>
            <c:strRef>
              <c:f>'Filing Method'!$P$10</c:f>
              <c:strCache>
                <c:ptCount val="1"/>
                <c:pt idx="0">
                  <c:v>SEF - Scanned E-Fili</c:v>
                </c:pt>
              </c:strCache>
            </c:strRef>
          </c:tx>
          <c:spPr>
            <a:solidFill>
              <a:schemeClr val="accent3"/>
            </a:solidFill>
            <a:ln>
              <a:noFill/>
            </a:ln>
            <a:effectLst/>
          </c:spPr>
          <c:invertIfNegative val="0"/>
          <c:dLbls>
            <c:dLbl>
              <c:idx val="0"/>
              <c:layout>
                <c:manualLayout>
                  <c:x val="-2.0800854209499474E-3"/>
                  <c:y val="-0.36306783308919205"/>
                </c:manualLayout>
              </c:layout>
              <c:tx>
                <c:rich>
                  <a:bodyPr/>
                  <a:lstStyle/>
                  <a:p>
                    <a:fld id="{C0973ED6-2F7D-426C-BD47-F093889CEEDE}"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layout>
                    <c:manualLayout>
                      <c:w val="5.0492835252215686E-2"/>
                      <c:h val="7.5640809512508497E-2"/>
                    </c:manualLayout>
                  </c15:layout>
                  <c15:dlblFieldTable/>
                  <c15:showDataLabelsRange val="1"/>
                </c:ext>
                <c:ext xmlns:c16="http://schemas.microsoft.com/office/drawing/2014/chart" uri="{C3380CC4-5D6E-409C-BE32-E72D297353CC}">
                  <c16:uniqueId val="{00000002-1538-4103-865A-8C86818A04CC}"/>
                </c:ext>
              </c:extLst>
            </c:dLbl>
            <c:dLbl>
              <c:idx val="1"/>
              <c:layout>
                <c:manualLayout>
                  <c:x val="2.0800854209499474E-3"/>
                  <c:y val="-0.3900766794602159"/>
                </c:manualLayout>
              </c:layout>
              <c:tx>
                <c:rich>
                  <a:bodyPr/>
                  <a:lstStyle/>
                  <a:p>
                    <a:fld id="{D77AA1A3-4225-48E2-9813-131D66ED1E89}"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layout>
                    <c:manualLayout>
                      <c:w val="5.0492835252215686E-2"/>
                      <c:h val="7.5640809512508497E-2"/>
                    </c:manualLayout>
                  </c15:layout>
                  <c15:dlblFieldTable/>
                  <c15:showDataLabelsRange val="1"/>
                </c:ext>
                <c:ext xmlns:c16="http://schemas.microsoft.com/office/drawing/2014/chart" uri="{C3380CC4-5D6E-409C-BE32-E72D297353CC}">
                  <c16:uniqueId val="{00000003-1538-4103-865A-8C86818A04CC}"/>
                </c:ext>
              </c:extLst>
            </c:dLbl>
            <c:dLbl>
              <c:idx val="2"/>
              <c:layout>
                <c:manualLayout>
                  <c:x val="-3.8188584404258518E-17"/>
                  <c:y val="-0.40760313264646431"/>
                </c:manualLayout>
              </c:layout>
              <c:tx>
                <c:rich>
                  <a:bodyPr/>
                  <a:lstStyle/>
                  <a:p>
                    <a:fld id="{B4C55E9D-C39A-4FE2-AACA-84708325258B}"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layout>
                    <c:manualLayout>
                      <c:w val="5.0492835252215686E-2"/>
                      <c:h val="7.1483587976791579E-2"/>
                    </c:manualLayout>
                  </c15:layout>
                  <c15:dlblFieldTable/>
                  <c15:showDataLabelsRange val="1"/>
                </c:ext>
                <c:ext xmlns:c16="http://schemas.microsoft.com/office/drawing/2014/chart" uri="{C3380CC4-5D6E-409C-BE32-E72D297353CC}">
                  <c16:uniqueId val="{00000004-1538-4103-865A-8C86818A04CC}"/>
                </c:ext>
              </c:extLst>
            </c:dLbl>
            <c:dLbl>
              <c:idx val="3"/>
              <c:layout>
                <c:manualLayout>
                  <c:x val="0"/>
                  <c:y val="-0.44183179619794266"/>
                </c:manualLayout>
              </c:layout>
              <c:tx>
                <c:rich>
                  <a:bodyPr/>
                  <a:lstStyle/>
                  <a:p>
                    <a:fld id="{5C021C49-1C91-48BC-8883-F03CDD9D49DC}"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1538-4103-865A-8C86818A04CC}"/>
                </c:ext>
              </c:extLst>
            </c:dLbl>
            <c:dLbl>
              <c:idx val="4"/>
              <c:layout>
                <c:manualLayout>
                  <c:x val="-7.6377168808517036E-17"/>
                  <c:y val="-0.46702390402383037"/>
                </c:manualLayout>
              </c:layout>
              <c:tx>
                <c:rich>
                  <a:bodyPr/>
                  <a:lstStyle/>
                  <a:p>
                    <a:fld id="{29A224D8-4B56-4758-ADAA-E1A351E9AADA}"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1538-4103-865A-8C86818A04CC}"/>
                </c:ext>
              </c:extLst>
            </c:dLbl>
            <c:dLbl>
              <c:idx val="5"/>
              <c:layout>
                <c:manualLayout>
                  <c:x val="0"/>
                  <c:y val="-0.49202091704378992"/>
                </c:manualLayout>
              </c:layout>
              <c:tx>
                <c:rich>
                  <a:bodyPr/>
                  <a:lstStyle/>
                  <a:p>
                    <a:fld id="{AF41CB4E-9C6A-4263-B913-9C389ECE4812}"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1538-4103-865A-8C86818A04CC}"/>
                </c:ext>
              </c:extLst>
            </c:dLbl>
            <c:dLbl>
              <c:idx val="6"/>
              <c:layout>
                <c:manualLayout>
                  <c:x val="0"/>
                  <c:y val="-0.52915538024665087"/>
                </c:manualLayout>
              </c:layout>
              <c:tx>
                <c:rich>
                  <a:bodyPr/>
                  <a:lstStyle/>
                  <a:p>
                    <a:fld id="{0C4C4355-A748-4DB8-9AF9-8F56276866E9}"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1538-4103-865A-8C86818A04CC}"/>
                </c:ext>
              </c:extLst>
            </c:dLbl>
            <c:dLbl>
              <c:idx val="7"/>
              <c:layout>
                <c:manualLayout>
                  <c:x val="-1.5275433761703407E-16"/>
                  <c:y val="-0.5567884645285891"/>
                </c:manualLayout>
              </c:layout>
              <c:tx>
                <c:rich>
                  <a:bodyPr/>
                  <a:lstStyle/>
                  <a:p>
                    <a:fld id="{5CCBF59B-1F92-480A-A2E9-77A4D3072A5A}"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1538-4103-865A-8C86818A04CC}"/>
                </c:ext>
              </c:extLst>
            </c:dLbl>
            <c:dLbl>
              <c:idx val="8"/>
              <c:layout>
                <c:manualLayout>
                  <c:x val="0"/>
                  <c:y val="-0.56085840894340744"/>
                </c:manualLayout>
              </c:layout>
              <c:tx>
                <c:rich>
                  <a:bodyPr/>
                  <a:lstStyle/>
                  <a:p>
                    <a:fld id="{3F2CFDCE-6486-40B6-B0B4-6996FAA73BDD}"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1538-4103-865A-8C86818A04CC}"/>
                </c:ext>
              </c:extLst>
            </c:dLbl>
            <c:dLbl>
              <c:idx val="9"/>
              <c:layout>
                <c:manualLayout>
                  <c:x val="0"/>
                  <c:y val="-0.56787516047475728"/>
                </c:manualLayout>
              </c:layout>
              <c:tx>
                <c:rich>
                  <a:bodyPr/>
                  <a:lstStyle/>
                  <a:p>
                    <a:fld id="{A12C022A-5749-4BDC-8D67-97214837444E}"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1538-4103-865A-8C86818A04CC}"/>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inEnd"/>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strRef>
              <c:f>'Filing Method'!$R$7:$AA$7</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'Filing Method'!$R$10:$AA$10</c:f>
              <c:numCache>
                <c:formatCode>_-* #,##0_-;\-* #,##0_-;_-* "-"??_-;_-@_-</c:formatCode>
                <c:ptCount val="10"/>
                <c:pt idx="0">
                  <c:v>25468</c:v>
                </c:pt>
                <c:pt idx="1">
                  <c:v>26265</c:v>
                </c:pt>
                <c:pt idx="2">
                  <c:v>23067</c:v>
                </c:pt>
                <c:pt idx="3">
                  <c:v>22477</c:v>
                </c:pt>
                <c:pt idx="4">
                  <c:v>22171</c:v>
                </c:pt>
                <c:pt idx="5">
                  <c:v>20979</c:v>
                </c:pt>
                <c:pt idx="6">
                  <c:v>19673</c:v>
                </c:pt>
                <c:pt idx="7">
                  <c:v>19281</c:v>
                </c:pt>
                <c:pt idx="8">
                  <c:v>18389</c:v>
                </c:pt>
                <c:pt idx="9">
                  <c:v>16137.457557473128</c:v>
                </c:pt>
              </c:numCache>
            </c:numRef>
          </c:val>
          <c:extLst>
            <c:ext xmlns:c15="http://schemas.microsoft.com/office/drawing/2012/chart" uri="{02D57815-91ED-43cb-92C2-25804820EDAC}">
              <c15:datalabelsRange>
                <c15:f>'Filing Method'!$C$12:$L$12</c15:f>
                <c15:dlblRangeCache>
                  <c:ptCount val="10"/>
                  <c:pt idx="0">
                    <c:v>5.1%</c:v>
                  </c:pt>
                  <c:pt idx="1">
                    <c:v>4.4%</c:v>
                  </c:pt>
                  <c:pt idx="2">
                    <c:v>1.4%</c:v>
                  </c:pt>
                  <c:pt idx="3">
                    <c:v>7.2%</c:v>
                  </c:pt>
                  <c:pt idx="4">
                    <c:v>4.6%</c:v>
                  </c:pt>
                  <c:pt idx="5">
                    <c:v>3.8%</c:v>
                  </c:pt>
                  <c:pt idx="6">
                    <c:v>5.0%</c:v>
                  </c:pt>
                  <c:pt idx="7">
                    <c:v>3.6%</c:v>
                  </c:pt>
                  <c:pt idx="8">
                    <c:v>0.8%</c:v>
                  </c:pt>
                  <c:pt idx="9">
                    <c:v>0.2%</c:v>
                  </c:pt>
                </c15:dlblRangeCache>
              </c15:datalabelsRange>
            </c:ext>
            <c:ext xmlns:c16="http://schemas.microsoft.com/office/drawing/2014/chart" uri="{C3380CC4-5D6E-409C-BE32-E72D297353CC}">
              <c16:uniqueId val="{0000000C-1538-4103-865A-8C86818A04CC}"/>
            </c:ext>
          </c:extLst>
        </c:ser>
        <c:ser>
          <c:idx val="3"/>
          <c:order val="3"/>
          <c:tx>
            <c:strRef>
              <c:f>'Filing Method'!$P$11</c:f>
              <c:strCache>
                <c:ptCount val="1"/>
                <c:pt idx="0">
                  <c:v>E-Filing XML</c:v>
                </c:pt>
              </c:strCache>
            </c:strRef>
          </c:tx>
          <c:spPr>
            <a:solidFill>
              <a:schemeClr val="accent4"/>
            </a:solidFill>
            <a:ln>
              <a:noFill/>
            </a:ln>
            <a:effectLst/>
          </c:spPr>
          <c:invertIfNegative val="0"/>
          <c:cat>
            <c:strRef>
              <c:f>'Filing Method'!$R$7:$AA$7</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'Filing Method'!$R$11:$AA$11</c:f>
              <c:numCache>
                <c:formatCode>_-* #,##0_-;\-* #,##0_-;_-* "-"??_-;_-@_-</c:formatCode>
                <c:ptCount val="10"/>
                <c:pt idx="0">
                  <c:v>56089</c:v>
                </c:pt>
                <c:pt idx="1">
                  <c:v>55909</c:v>
                </c:pt>
                <c:pt idx="2">
                  <c:v>61159</c:v>
                </c:pt>
                <c:pt idx="3">
                  <c:v>68088</c:v>
                </c:pt>
                <c:pt idx="4">
                  <c:v>71068</c:v>
                </c:pt>
                <c:pt idx="5">
                  <c:v>72239</c:v>
                </c:pt>
                <c:pt idx="6">
                  <c:v>78228</c:v>
                </c:pt>
                <c:pt idx="7">
                  <c:v>76772</c:v>
                </c:pt>
                <c:pt idx="8">
                  <c:v>75487</c:v>
                </c:pt>
                <c:pt idx="9">
                  <c:v>75844.649177822474</c:v>
                </c:pt>
              </c:numCache>
            </c:numRef>
          </c:val>
          <c:extLst>
            <c:ext xmlns:c16="http://schemas.microsoft.com/office/drawing/2014/chart" uri="{C3380CC4-5D6E-409C-BE32-E72D297353CC}">
              <c16:uniqueId val="{0000000D-1538-4103-865A-8C86818A04CC}"/>
            </c:ext>
          </c:extLst>
        </c:ser>
        <c:ser>
          <c:idx val="4"/>
          <c:order val="4"/>
          <c:tx>
            <c:strRef>
              <c:f>'Filing Method'!$P$12</c:f>
              <c:strCache>
                <c:ptCount val="1"/>
                <c:pt idx="0">
                  <c:v>E-Filing PDF</c:v>
                </c:pt>
              </c:strCache>
            </c:strRef>
          </c:tx>
          <c:spPr>
            <a:solidFill>
              <a:schemeClr val="accent5"/>
            </a:solidFill>
            <a:ln>
              <a:noFill/>
            </a:ln>
            <a:effectLst/>
          </c:spPr>
          <c:invertIfNegative val="0"/>
          <c:cat>
            <c:strRef>
              <c:f>'Filing Method'!$R$7:$AA$7</c:f>
              <c:strCache>
                <c:ptCount val="10"/>
                <c:pt idx="0">
                  <c:v>2013</c:v>
                </c:pt>
                <c:pt idx="1">
                  <c:v>2014</c:v>
                </c:pt>
                <c:pt idx="2">
                  <c:v>2015</c:v>
                </c:pt>
                <c:pt idx="3">
                  <c:v>2016</c:v>
                </c:pt>
                <c:pt idx="4">
                  <c:v>2017</c:v>
                </c:pt>
                <c:pt idx="5">
                  <c:v>2018</c:v>
                </c:pt>
                <c:pt idx="6">
                  <c:v>2019</c:v>
                </c:pt>
                <c:pt idx="7">
                  <c:v>2020</c:v>
                </c:pt>
                <c:pt idx="8">
                  <c:v>2021</c:v>
                </c:pt>
                <c:pt idx="9">
                  <c:v>2022</c:v>
                </c:pt>
              </c:strCache>
            </c:strRef>
          </c:cat>
          <c:val>
            <c:numRef>
              <c:f>'Filing Method'!$R$12:$AA$12</c:f>
              <c:numCache>
                <c:formatCode>_-* #,##0_-;\-* #,##0_-;_-* "-"??_-;_-@_-</c:formatCode>
                <c:ptCount val="10"/>
                <c:pt idx="0">
                  <c:v>102466</c:v>
                </c:pt>
                <c:pt idx="1">
                  <c:v>113437</c:v>
                </c:pt>
                <c:pt idx="2">
                  <c:v>119152</c:v>
                </c:pt>
                <c:pt idx="3">
                  <c:v>131911</c:v>
                </c:pt>
                <c:pt idx="4">
                  <c:v>141422</c:v>
                </c:pt>
                <c:pt idx="5">
                  <c:v>152007</c:v>
                </c:pt>
                <c:pt idx="6">
                  <c:v>161323</c:v>
                </c:pt>
                <c:pt idx="7">
                  <c:v>174643</c:v>
                </c:pt>
                <c:pt idx="8">
                  <c:v>180120</c:v>
                </c:pt>
                <c:pt idx="9">
                  <c:v>183160.44356495599</c:v>
                </c:pt>
              </c:numCache>
            </c:numRef>
          </c:val>
          <c:extLst>
            <c:ext xmlns:c16="http://schemas.microsoft.com/office/drawing/2014/chart" uri="{C3380CC4-5D6E-409C-BE32-E72D297353CC}">
              <c16:uniqueId val="{0000000E-1538-4103-865A-8C86818A04CC}"/>
            </c:ext>
          </c:extLst>
        </c:ser>
        <c:dLbls>
          <c:showLegendKey val="0"/>
          <c:showVal val="0"/>
          <c:showCatName val="0"/>
          <c:showSerName val="0"/>
          <c:showPercent val="0"/>
          <c:showBubbleSize val="0"/>
        </c:dLbls>
        <c:gapWidth val="101"/>
        <c:overlap val="100"/>
        <c:axId val="31502720"/>
        <c:axId val="31504640"/>
      </c:barChart>
      <c:catAx>
        <c:axId val="315027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Narrow" panose="020B0606020202030204" pitchFamily="34" charset="0"/>
                    <a:ea typeface="+mn-ea"/>
                    <a:cs typeface="+mn-cs"/>
                  </a:defRPr>
                </a:pPr>
                <a:r>
                  <a:rPr lang="en-US" b="1"/>
                  <a:t>International Filing Year</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31504640"/>
        <c:crosses val="autoZero"/>
        <c:auto val="1"/>
        <c:lblAlgn val="ctr"/>
        <c:lblOffset val="100"/>
        <c:tickLblSkip val="1"/>
        <c:tickMarkSkip val="1"/>
        <c:noMultiLvlLbl val="0"/>
      </c:catAx>
      <c:valAx>
        <c:axId val="31504640"/>
        <c:scaling>
          <c:orientation val="minMax"/>
          <c:max val="35000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r>
                  <a:rPr lang="en-US" i="1"/>
                  <a:t>PCT applications</a:t>
                </a:r>
              </a:p>
            </c:rich>
          </c:tx>
          <c:layout>
            <c:manualLayout>
              <c:xMode val="edge"/>
              <c:yMode val="edge"/>
              <c:x val="1.0204201965302242E-2"/>
              <c:y val="0.2146845602702356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31502720"/>
        <c:crosses val="autoZero"/>
        <c:crossBetween val="between"/>
        <c:majorUnit val="50000"/>
      </c:valAx>
      <c:spPr>
        <a:noFill/>
        <a:ln>
          <a:noFill/>
        </a:ln>
        <a:effectLst/>
      </c:spPr>
    </c:plotArea>
    <c:legend>
      <c:legendPos val="b"/>
      <c:layout>
        <c:manualLayout>
          <c:xMode val="edge"/>
          <c:yMode val="edge"/>
          <c:x val="0.10001320116012972"/>
          <c:y val="0.91259703193817776"/>
          <c:w val="0.86659294108089657"/>
          <c:h val="6.233479324172730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66935237746444"/>
          <c:y val="7.6814801845032588E-2"/>
          <c:w val="0.84609981891798391"/>
          <c:h val="0.6749501398000668"/>
        </c:manualLayout>
      </c:layout>
      <c:barChart>
        <c:barDir val="col"/>
        <c:grouping val="percentStacked"/>
        <c:varyColors val="0"/>
        <c:ser>
          <c:idx val="0"/>
          <c:order val="0"/>
          <c:tx>
            <c:strRef>
              <c:f>Languages!$B$42</c:f>
              <c:strCache>
                <c:ptCount val="1"/>
                <c:pt idx="0">
                  <c:v>English</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Languages!$Q$42:$Z$42</c:f>
              <c:numCache>
                <c:formatCode>0%</c:formatCode>
                <c:ptCount val="10"/>
                <c:pt idx="0">
                  <c:v>0.51114195952363561</c:v>
                </c:pt>
                <c:pt idx="1">
                  <c:v>0.51754079009373444</c:v>
                </c:pt>
                <c:pt idx="2">
                  <c:v>0.48707136642560223</c:v>
                </c:pt>
                <c:pt idx="3">
                  <c:v>0.45024988836602203</c:v>
                </c:pt>
                <c:pt idx="4">
                  <c:v>0.437117093441519</c:v>
                </c:pt>
                <c:pt idx="5">
                  <c:v>0.43159214805085888</c:v>
                </c:pt>
                <c:pt idx="6">
                  <c:v>0.42563766330171865</c:v>
                </c:pt>
                <c:pt idx="7">
                  <c:v>0.42225043563038173</c:v>
                </c:pt>
                <c:pt idx="8">
                  <c:v>0.42525127894307713</c:v>
                </c:pt>
                <c:pt idx="9" formatCode="0.0%">
                  <c:v>0.42015420489903765</c:v>
                </c:pt>
              </c:numCache>
            </c:numRef>
          </c:val>
          <c:extLst>
            <c:ext xmlns:c16="http://schemas.microsoft.com/office/drawing/2014/chart" uri="{C3380CC4-5D6E-409C-BE32-E72D297353CC}">
              <c16:uniqueId val="{00000000-864C-49D8-BE60-D84C925A2B72}"/>
            </c:ext>
          </c:extLst>
        </c:ser>
        <c:ser>
          <c:idx val="1"/>
          <c:order val="1"/>
          <c:tx>
            <c:strRef>
              <c:f>Languages!$B$43</c:f>
              <c:strCache>
                <c:ptCount val="1"/>
                <c:pt idx="0">
                  <c:v>Chinese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Languages!$Q$43:$Z$43</c:f>
              <c:numCache>
                <c:formatCode>0%</c:formatCode>
                <c:ptCount val="10"/>
                <c:pt idx="0">
                  <c:v>9.4342563503080776E-2</c:v>
                </c:pt>
                <c:pt idx="1">
                  <c:v>0.10703171292732201</c:v>
                </c:pt>
                <c:pt idx="2">
                  <c:v>0.12468754459538464</c:v>
                </c:pt>
                <c:pt idx="3">
                  <c:v>0.17364235908357092</c:v>
                </c:pt>
                <c:pt idx="4">
                  <c:v>0.18759752311811179</c:v>
                </c:pt>
                <c:pt idx="5">
                  <c:v>0.19441169722048596</c:v>
                </c:pt>
                <c:pt idx="6">
                  <c:v>0.20185166344490793</c:v>
                </c:pt>
                <c:pt idx="7">
                  <c:v>0.23031478160275601</c:v>
                </c:pt>
                <c:pt idx="8">
                  <c:v>0.23211103174087783</c:v>
                </c:pt>
                <c:pt idx="9" formatCode="0.0%">
                  <c:v>0.23428171271396292</c:v>
                </c:pt>
              </c:numCache>
            </c:numRef>
          </c:val>
          <c:extLst>
            <c:ext xmlns:c16="http://schemas.microsoft.com/office/drawing/2014/chart" uri="{C3380CC4-5D6E-409C-BE32-E72D297353CC}">
              <c16:uniqueId val="{00000001-864C-49D8-BE60-D84C925A2B72}"/>
            </c:ext>
          </c:extLst>
        </c:ser>
        <c:ser>
          <c:idx val="2"/>
          <c:order val="2"/>
          <c:tx>
            <c:strRef>
              <c:f>Languages!$B$44</c:f>
              <c:strCache>
                <c:ptCount val="1"/>
                <c:pt idx="0">
                  <c:v>Japanese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Languages!$Q$44:$Z$44</c:f>
              <c:numCache>
                <c:formatCode>0%</c:formatCode>
                <c:ptCount val="10"/>
                <c:pt idx="0">
                  <c:v>0.20094006478166629</c:v>
                </c:pt>
                <c:pt idx="1">
                  <c:v>0.1859197775382706</c:v>
                </c:pt>
                <c:pt idx="2">
                  <c:v>0.1928638177792304</c:v>
                </c:pt>
                <c:pt idx="3">
                  <c:v>0.18677652595060626</c:v>
                </c:pt>
                <c:pt idx="4">
                  <c:v>0.19174482203570783</c:v>
                </c:pt>
                <c:pt idx="5">
                  <c:v>0.19063763460427727</c:v>
                </c:pt>
                <c:pt idx="6">
                  <c:v>0.19324146610747486</c:v>
                </c:pt>
                <c:pt idx="7">
                  <c:v>0.17779540105278857</c:v>
                </c:pt>
                <c:pt idx="8">
                  <c:v>0.17552727089060619</c:v>
                </c:pt>
                <c:pt idx="9" formatCode="0.0%">
                  <c:v>0.17516261541904604</c:v>
                </c:pt>
              </c:numCache>
            </c:numRef>
          </c:val>
          <c:extLst>
            <c:ext xmlns:c16="http://schemas.microsoft.com/office/drawing/2014/chart" uri="{C3380CC4-5D6E-409C-BE32-E72D297353CC}">
              <c16:uniqueId val="{00000002-864C-49D8-BE60-D84C925A2B72}"/>
            </c:ext>
          </c:extLst>
        </c:ser>
        <c:ser>
          <c:idx val="3"/>
          <c:order val="3"/>
          <c:tx>
            <c:strRef>
              <c:f>Languages!$B$45</c:f>
              <c:strCache>
                <c:ptCount val="1"/>
                <c:pt idx="0">
                  <c:v>German</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Languages!$Q$45:$Z$45</c:f>
              <c:numCache>
                <c:formatCode>0%</c:formatCode>
                <c:ptCount val="10"/>
                <c:pt idx="0">
                  <c:v>8.0699447163975549E-2</c:v>
                </c:pt>
                <c:pt idx="1">
                  <c:v>7.7213069626602099E-2</c:v>
                </c:pt>
                <c:pt idx="2">
                  <c:v>7.7576404840929702E-2</c:v>
                </c:pt>
                <c:pt idx="3">
                  <c:v>7.2587847353416002E-2</c:v>
                </c:pt>
                <c:pt idx="4">
                  <c:v>7.1271947834370838E-2</c:v>
                </c:pt>
                <c:pt idx="5">
                  <c:v>7.0437300714460915E-2</c:v>
                </c:pt>
                <c:pt idx="6">
                  <c:v>6.4808220571777389E-2</c:v>
                </c:pt>
                <c:pt idx="7">
                  <c:v>5.8583646490037798E-2</c:v>
                </c:pt>
                <c:pt idx="8">
                  <c:v>5.3080647372484503E-2</c:v>
                </c:pt>
                <c:pt idx="9" formatCode="0.0%">
                  <c:v>5.2820231451735165E-2</c:v>
                </c:pt>
              </c:numCache>
            </c:numRef>
          </c:val>
          <c:extLst>
            <c:ext xmlns:c16="http://schemas.microsoft.com/office/drawing/2014/chart" uri="{C3380CC4-5D6E-409C-BE32-E72D297353CC}">
              <c16:uniqueId val="{00000003-864C-49D8-BE60-D84C925A2B72}"/>
            </c:ext>
          </c:extLst>
        </c:ser>
        <c:ser>
          <c:idx val="4"/>
          <c:order val="4"/>
          <c:tx>
            <c:strRef>
              <c:f>Languages!$B$46</c:f>
              <c:strCache>
                <c:ptCount val="1"/>
                <c:pt idx="0">
                  <c:v>Korean</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Languages!$Q$46:$Z$46</c:f>
              <c:numCache>
                <c:formatCode>0%</c:formatCode>
                <c:ptCount val="10"/>
                <c:pt idx="0">
                  <c:v>4.9823433428313975E-2</c:v>
                </c:pt>
                <c:pt idx="1">
                  <c:v>5.0823733605811626E-2</c:v>
                </c:pt>
                <c:pt idx="2">
                  <c:v>5.7675930230952306E-2</c:v>
                </c:pt>
                <c:pt idx="3">
                  <c:v>5.9140246625218974E-2</c:v>
                </c:pt>
                <c:pt idx="4">
                  <c:v>5.8066291082896702E-2</c:v>
                </c:pt>
                <c:pt idx="5">
                  <c:v>5.9823244111433749E-2</c:v>
                </c:pt>
                <c:pt idx="6">
                  <c:v>6.3383864075694379E-2</c:v>
                </c:pt>
                <c:pt idx="7">
                  <c:v>6.2290597295635693E-2</c:v>
                </c:pt>
                <c:pt idx="8">
                  <c:v>6.7793002431615332E-2</c:v>
                </c:pt>
                <c:pt idx="9" formatCode="0.0%">
                  <c:v>7.2918847506082282E-2</c:v>
                </c:pt>
              </c:numCache>
            </c:numRef>
          </c:val>
          <c:extLst>
            <c:ext xmlns:c16="http://schemas.microsoft.com/office/drawing/2014/chart" uri="{C3380CC4-5D6E-409C-BE32-E72D297353CC}">
              <c16:uniqueId val="{00000004-864C-49D8-BE60-D84C925A2B72}"/>
            </c:ext>
          </c:extLst>
        </c:ser>
        <c:ser>
          <c:idx val="5"/>
          <c:order val="5"/>
          <c:tx>
            <c:strRef>
              <c:f>Languages!$B$47</c:f>
              <c:strCache>
                <c:ptCount val="1"/>
                <c:pt idx="0">
                  <c:v>French</c:v>
                </c:pt>
              </c:strCache>
            </c:strRef>
          </c:tx>
          <c:spPr>
            <a:solidFill>
              <a:schemeClr val="accent6"/>
            </a:solidFill>
            <a:ln>
              <a:noFill/>
            </a:ln>
            <a:effectLst/>
          </c:spPr>
          <c:invertIfNegative val="0"/>
          <c:dLbls>
            <c:delete val="1"/>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Languages!$Q$47:$Z$47</c:f>
              <c:numCache>
                <c:formatCode>0%</c:formatCode>
                <c:ptCount val="10"/>
                <c:pt idx="0">
                  <c:v>3.006258980541146E-2</c:v>
                </c:pt>
                <c:pt idx="1">
                  <c:v>3.0028600889287032E-2</c:v>
                </c:pt>
                <c:pt idx="2">
                  <c:v>2.9636654068710269E-2</c:v>
                </c:pt>
                <c:pt idx="3">
                  <c:v>2.7942843403290625E-2</c:v>
                </c:pt>
                <c:pt idx="4">
                  <c:v>2.5787165547032833E-2</c:v>
                </c:pt>
                <c:pt idx="5">
                  <c:v>2.4713384867353964E-2</c:v>
                </c:pt>
                <c:pt idx="6">
                  <c:v>2.3012024131161379E-2</c:v>
                </c:pt>
                <c:pt idx="7">
                  <c:v>2.152868976204941E-2</c:v>
                </c:pt>
                <c:pt idx="8">
                  <c:v>1.9048855986319457E-2</c:v>
                </c:pt>
                <c:pt idx="9" formatCode="0.0%">
                  <c:v>2.0102225719586767E-2</c:v>
                </c:pt>
              </c:numCache>
            </c:numRef>
          </c:val>
          <c:extLst>
            <c:ext xmlns:c16="http://schemas.microsoft.com/office/drawing/2014/chart" uri="{C3380CC4-5D6E-409C-BE32-E72D297353CC}">
              <c16:uniqueId val="{00000005-864C-49D8-BE60-D84C925A2B72}"/>
            </c:ext>
          </c:extLst>
        </c:ser>
        <c:ser>
          <c:idx val="6"/>
          <c:order val="6"/>
          <c:tx>
            <c:strRef>
              <c:f>Languages!$B$48</c:f>
              <c:strCache>
                <c:ptCount val="1"/>
                <c:pt idx="0">
                  <c:v>Italian</c:v>
                </c:pt>
              </c:strCache>
            </c:strRef>
          </c:tx>
          <c:spPr>
            <a:solidFill>
              <a:schemeClr val="accent1">
                <a:lumMod val="60000"/>
              </a:schemeClr>
            </a:solidFill>
            <a:ln>
              <a:noFill/>
            </a:ln>
            <a:effectLst/>
          </c:spPr>
          <c:invertIfNegative val="0"/>
          <c:dLbls>
            <c:delete val="1"/>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Languages!$Q$48:$Z$48</c:f>
              <c:numCache>
                <c:formatCode>0%</c:formatCode>
                <c:ptCount val="10"/>
                <c:pt idx="0">
                  <c:v>9.0986580940551863E-3</c:v>
                </c:pt>
                <c:pt idx="1">
                  <c:v>9.2987883114277591E-3</c:v>
                </c:pt>
                <c:pt idx="2">
                  <c:v>9.4139418407133413E-3</c:v>
                </c:pt>
                <c:pt idx="3">
                  <c:v>9.6005221035276329E-3</c:v>
                </c:pt>
                <c:pt idx="4">
                  <c:v>8.618990522806038E-3</c:v>
                </c:pt>
                <c:pt idx="5">
                  <c:v>8.9525196021805701E-3</c:v>
                </c:pt>
                <c:pt idx="6">
                  <c:v>9.088750975005935E-3</c:v>
                </c:pt>
                <c:pt idx="7">
                  <c:v>9.1200448180902109E-3</c:v>
                </c:pt>
                <c:pt idx="8">
                  <c:v>9.3079637205879164E-3</c:v>
                </c:pt>
                <c:pt idx="9" formatCode="0.0%">
                  <c:v>8.9014344809662353E-3</c:v>
                </c:pt>
              </c:numCache>
            </c:numRef>
          </c:val>
          <c:extLst>
            <c:ext xmlns:c16="http://schemas.microsoft.com/office/drawing/2014/chart" uri="{C3380CC4-5D6E-409C-BE32-E72D297353CC}">
              <c16:uniqueId val="{00000006-864C-49D8-BE60-D84C925A2B72}"/>
            </c:ext>
          </c:extLst>
        </c:ser>
        <c:ser>
          <c:idx val="7"/>
          <c:order val="7"/>
          <c:tx>
            <c:strRef>
              <c:f>Languages!$B$49</c:f>
              <c:strCache>
                <c:ptCount val="1"/>
                <c:pt idx="0">
                  <c:v>Others</c:v>
                </c:pt>
              </c:strCache>
            </c:strRef>
          </c:tx>
          <c:spPr>
            <a:solidFill>
              <a:schemeClr val="accent2">
                <a:lumMod val="60000"/>
              </a:schemeClr>
            </a:solidFill>
            <a:ln>
              <a:noFill/>
            </a:ln>
            <a:effectLst/>
          </c:spPr>
          <c:invertIfNegative val="0"/>
          <c:dLbls>
            <c:delete val="1"/>
          </c:dLbls>
          <c:cat>
            <c:numRef>
              <c:f>Languages!$Q$41:$Z$41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Languages!$Q$49:$Z$49</c:f>
              <c:numCache>
                <c:formatCode>0%</c:formatCode>
                <c:ptCount val="10"/>
                <c:pt idx="0">
                  <c:v>2.3891283699861182E-2</c:v>
                </c:pt>
                <c:pt idx="1">
                  <c:v>2.2143527007544475E-2</c:v>
                </c:pt>
                <c:pt idx="2">
                  <c:v>2.1074340218477105E-2</c:v>
                </c:pt>
                <c:pt idx="3">
                  <c:v>2.0059767114347541E-2</c:v>
                </c:pt>
                <c:pt idx="4">
                  <c:v>1.9796166417554984E-2</c:v>
                </c:pt>
                <c:pt idx="5">
                  <c:v>1.9432070828948721E-2</c:v>
                </c:pt>
                <c:pt idx="6">
                  <c:v>1.897634739225949E-2</c:v>
                </c:pt>
                <c:pt idx="7">
                  <c:v>1.8116403348260569E-2</c:v>
                </c:pt>
                <c:pt idx="8">
                  <c:v>1.7879948914431672E-2</c:v>
                </c:pt>
                <c:pt idx="9" formatCode="0.0%">
                  <c:v>1.565872780958294E-2</c:v>
                </c:pt>
              </c:numCache>
            </c:numRef>
          </c:val>
          <c:extLst>
            <c:ext xmlns:c16="http://schemas.microsoft.com/office/drawing/2014/chart" uri="{C3380CC4-5D6E-409C-BE32-E72D297353CC}">
              <c16:uniqueId val="{00000007-864C-49D8-BE60-D84C925A2B72}"/>
            </c:ext>
          </c:extLst>
        </c:ser>
        <c:dLbls>
          <c:dLblPos val="ctr"/>
          <c:showLegendKey val="0"/>
          <c:showVal val="1"/>
          <c:showCatName val="0"/>
          <c:showSerName val="0"/>
          <c:showPercent val="0"/>
          <c:showBubbleSize val="0"/>
        </c:dLbls>
        <c:gapWidth val="85"/>
        <c:overlap val="100"/>
        <c:axId val="80946688"/>
        <c:axId val="80948608"/>
      </c:barChart>
      <c:catAx>
        <c:axId val="8094668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b="1">
                    <a:solidFill>
                      <a:sysClr val="windowText" lastClr="000000"/>
                    </a:solidFill>
                  </a:rPr>
                  <a:t>International Filing Year</a:t>
                </a:r>
              </a:p>
            </c:rich>
          </c:tx>
          <c:layout>
            <c:manualLayout>
              <c:xMode val="edge"/>
              <c:yMode val="edge"/>
              <c:x val="0.43040924535595831"/>
              <c:y val="0.8313494126208546"/>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0948608"/>
        <c:crosses val="autoZero"/>
        <c:auto val="1"/>
        <c:lblAlgn val="ctr"/>
        <c:lblOffset val="100"/>
        <c:noMultiLvlLbl val="0"/>
      </c:catAx>
      <c:valAx>
        <c:axId val="80948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i="1">
                    <a:solidFill>
                      <a:sysClr val="windowText" lastClr="000000"/>
                    </a:solidFill>
                  </a:rPr>
                  <a:t>PCT applications</a:t>
                </a:r>
              </a:p>
            </c:rich>
          </c:tx>
          <c:layout>
            <c:manualLayout>
              <c:xMode val="edge"/>
              <c:yMode val="edge"/>
              <c:x val="4.5734399479134873E-2"/>
              <c:y val="0.23741525817871428"/>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0946688"/>
        <c:crosses val="autoZero"/>
        <c:crossBetween val="between"/>
        <c:majorUnit val="0.25"/>
      </c:valAx>
      <c:spPr>
        <a:noFill/>
        <a:ln>
          <a:noFill/>
        </a:ln>
        <a:effectLst/>
      </c:spPr>
    </c:plotArea>
    <c:legend>
      <c:legendPos val="b"/>
      <c:layout>
        <c:manualLayout>
          <c:xMode val="edge"/>
          <c:yMode val="edge"/>
          <c:x val="0.11427471566054244"/>
          <c:y val="0.89241858219204329"/>
          <c:w val="0.69355079452277768"/>
          <c:h val="6.4475941256613822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25143219326687"/>
          <c:y val="7.5937445640967396E-2"/>
          <c:w val="0.85867352494250915"/>
          <c:h val="0.66741930160372664"/>
        </c:manualLayout>
      </c:layout>
      <c:barChart>
        <c:barDir val="col"/>
        <c:grouping val="percentStacked"/>
        <c:varyColors val="0"/>
        <c:ser>
          <c:idx val="1"/>
          <c:order val="1"/>
          <c:tx>
            <c:strRef>
              <c:f>Languages!$B$43</c:f>
              <c:strCache>
                <c:ptCount val="1"/>
                <c:pt idx="0">
                  <c:v>Chinese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Languages!$AD$43:$AM$43</c:f>
              <c:numCache>
                <c:formatCode>0%</c:formatCode>
                <c:ptCount val="10"/>
                <c:pt idx="0">
                  <c:v>0.19298560255068997</c:v>
                </c:pt>
                <c:pt idx="1">
                  <c:v>0.22184613896813501</c:v>
                </c:pt>
                <c:pt idx="2">
                  <c:v>0.24308946008041354</c:v>
                </c:pt>
                <c:pt idx="3">
                  <c:v>0.31585688735463413</c:v>
                </c:pt>
                <c:pt idx="4">
                  <c:v>0.33327983659177124</c:v>
                </c:pt>
                <c:pt idx="5">
                  <c:v>0.34202852151641483</c:v>
                </c:pt>
                <c:pt idx="6">
                  <c:v>0.35143610670095654</c:v>
                </c:pt>
                <c:pt idx="7">
                  <c:v>0.39864120339762116</c:v>
                </c:pt>
                <c:pt idx="8">
                  <c:v>0.4038478438265018</c:v>
                </c:pt>
                <c:pt idx="9">
                  <c:v>0.40404141013589645</c:v>
                </c:pt>
              </c:numCache>
            </c:numRef>
          </c:val>
          <c:extLst>
            <c:ext xmlns:c16="http://schemas.microsoft.com/office/drawing/2014/chart" uri="{C3380CC4-5D6E-409C-BE32-E72D297353CC}">
              <c16:uniqueId val="{00000000-B9C6-4CA7-A5E0-31EBF33ECCCF}"/>
            </c:ext>
          </c:extLst>
        </c:ser>
        <c:ser>
          <c:idx val="2"/>
          <c:order val="2"/>
          <c:tx>
            <c:strRef>
              <c:f>Languages!$B$44</c:f>
              <c:strCache>
                <c:ptCount val="1"/>
                <c:pt idx="0">
                  <c:v>Japanese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Languages!$AD$44:$AM$44</c:f>
              <c:numCache>
                <c:formatCode>0%</c:formatCode>
                <c:ptCount val="10"/>
                <c:pt idx="0">
                  <c:v>0.41103970507647086</c:v>
                </c:pt>
                <c:pt idx="1">
                  <c:v>0.385358541656593</c:v>
                </c:pt>
                <c:pt idx="2">
                  <c:v>0.37600516944284895</c:v>
                </c:pt>
                <c:pt idx="3">
                  <c:v>0.33974804551738141</c:v>
                </c:pt>
                <c:pt idx="4">
                  <c:v>0.34064779690691566</c:v>
                </c:pt>
                <c:pt idx="5">
                  <c:v>0.33538881271706072</c:v>
                </c:pt>
                <c:pt idx="6">
                  <c:v>0.33644522588009917</c:v>
                </c:pt>
                <c:pt idx="7">
                  <c:v>0.30773783662957993</c:v>
                </c:pt>
                <c:pt idx="8">
                  <c:v>0.3053982800828573</c:v>
                </c:pt>
                <c:pt idx="9">
                  <c:v>0.30208482479129961</c:v>
                </c:pt>
              </c:numCache>
            </c:numRef>
          </c:val>
          <c:extLst>
            <c:ext xmlns:c16="http://schemas.microsoft.com/office/drawing/2014/chart" uri="{C3380CC4-5D6E-409C-BE32-E72D297353CC}">
              <c16:uniqueId val="{00000001-B9C6-4CA7-A5E0-31EBF33ECCCF}"/>
            </c:ext>
          </c:extLst>
        </c:ser>
        <c:ser>
          <c:idx val="3"/>
          <c:order val="3"/>
          <c:tx>
            <c:strRef>
              <c:f>Languages!$B$45</c:f>
              <c:strCache>
                <c:ptCount val="1"/>
                <c:pt idx="0">
                  <c:v>German</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Languages!$AD$45:$AM$45</c:f>
              <c:numCache>
                <c:formatCode>0%</c:formatCode>
                <c:ptCount val="10"/>
                <c:pt idx="0">
                  <c:v>0.16507746724455735</c:v>
                </c:pt>
                <c:pt idx="1">
                  <c:v>0.16004061699144143</c:v>
                </c:pt>
                <c:pt idx="2">
                  <c:v>0.15124210224009191</c:v>
                </c:pt>
                <c:pt idx="3">
                  <c:v>0.13203789470395738</c:v>
                </c:pt>
                <c:pt idx="4">
                  <c:v>0.12661949226728916</c:v>
                </c:pt>
                <c:pt idx="5">
                  <c:v>0.12392035133385765</c:v>
                </c:pt>
                <c:pt idx="6">
                  <c:v>0.11283508062928897</c:v>
                </c:pt>
                <c:pt idx="7">
                  <c:v>0.10139972421088422</c:v>
                </c:pt>
                <c:pt idx="8">
                  <c:v>9.2354528905906716E-2</c:v>
                </c:pt>
                <c:pt idx="9">
                  <c:v>9.1093583670013759E-2</c:v>
                </c:pt>
              </c:numCache>
            </c:numRef>
          </c:val>
          <c:extLst>
            <c:ext xmlns:c16="http://schemas.microsoft.com/office/drawing/2014/chart" uri="{C3380CC4-5D6E-409C-BE32-E72D297353CC}">
              <c16:uniqueId val="{00000002-B9C6-4CA7-A5E0-31EBF33ECCCF}"/>
            </c:ext>
          </c:extLst>
        </c:ser>
        <c:ser>
          <c:idx val="4"/>
          <c:order val="4"/>
          <c:tx>
            <c:strRef>
              <c:f>Languages!$B$46</c:f>
              <c:strCache>
                <c:ptCount val="1"/>
                <c:pt idx="0">
                  <c:v>Korean</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Languages!$AD$46:$AM$46</c:f>
              <c:numCache>
                <c:formatCode>0%</c:formatCode>
                <c:ptCount val="10"/>
                <c:pt idx="0">
                  <c:v>0.10191799930254571</c:v>
                </c:pt>
                <c:pt idx="1">
                  <c:v>0.10534306851699628</c:v>
                </c:pt>
                <c:pt idx="2">
                  <c:v>0.11244435669155657</c:v>
                </c:pt>
                <c:pt idx="3">
                  <c:v>0.10757659775537141</c:v>
                </c:pt>
                <c:pt idx="4">
                  <c:v>0.10315873942223519</c:v>
                </c:pt>
                <c:pt idx="5">
                  <c:v>0.10524704031848331</c:v>
                </c:pt>
                <c:pt idx="6">
                  <c:v>0.11035518874732657</c:v>
                </c:pt>
                <c:pt idx="7">
                  <c:v>0.10781591391349793</c:v>
                </c:pt>
                <c:pt idx="8">
                  <c:v>0.11795241981043249</c:v>
                </c:pt>
                <c:pt idx="9">
                  <c:v>0.1257555855749298</c:v>
                </c:pt>
              </c:numCache>
            </c:numRef>
          </c:val>
          <c:extLst>
            <c:ext xmlns:c16="http://schemas.microsoft.com/office/drawing/2014/chart" uri="{C3380CC4-5D6E-409C-BE32-E72D297353CC}">
              <c16:uniqueId val="{00000003-B9C6-4CA7-A5E0-31EBF33ECCCF}"/>
            </c:ext>
          </c:extLst>
        </c:ser>
        <c:ser>
          <c:idx val="5"/>
          <c:order val="5"/>
          <c:tx>
            <c:strRef>
              <c:f>Languages!$B$47</c:f>
              <c:strCache>
                <c:ptCount val="1"/>
                <c:pt idx="0">
                  <c:v>French</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Languages!$AD$47:$AM$47</c:f>
              <c:numCache>
                <c:formatCode>0%</c:formatCode>
                <c:ptCount val="10"/>
                <c:pt idx="0">
                  <c:v>6.1495541274348628E-2</c:v>
                </c:pt>
                <c:pt idx="1">
                  <c:v>6.2240704027851652E-2</c:v>
                </c:pt>
                <c:pt idx="2">
                  <c:v>5.777929350947731E-2</c:v>
                </c:pt>
                <c:pt idx="3">
                  <c:v>5.0828263263536892E-2</c:v>
                </c:pt>
                <c:pt idx="4">
                  <c:v>4.5812664137729796E-2</c:v>
                </c:pt>
                <c:pt idx="5">
                  <c:v>4.3478260869565216E-2</c:v>
                </c:pt>
                <c:pt idx="6">
                  <c:v>4.0065343182921549E-2</c:v>
                </c:pt>
                <c:pt idx="7">
                  <c:v>3.7263013405365926E-2</c:v>
                </c:pt>
                <c:pt idx="8">
                  <c:v>3.3142928880798443E-2</c:v>
                </c:pt>
                <c:pt idx="9">
                  <c:v>3.4668227120775413E-2</c:v>
                </c:pt>
              </c:numCache>
            </c:numRef>
          </c:val>
          <c:extLst>
            <c:ext xmlns:c16="http://schemas.microsoft.com/office/drawing/2014/chart" uri="{C3380CC4-5D6E-409C-BE32-E72D297353CC}">
              <c16:uniqueId val="{00000004-B9C6-4CA7-A5E0-31EBF33ECCCF}"/>
            </c:ext>
          </c:extLst>
        </c:ser>
        <c:ser>
          <c:idx val="6"/>
          <c:order val="6"/>
          <c:tx>
            <c:strRef>
              <c:f>Languages!$B$48</c:f>
              <c:strCache>
                <c:ptCount val="1"/>
                <c:pt idx="0">
                  <c:v>Italian</c:v>
                </c:pt>
              </c:strCache>
            </c:strRef>
          </c:tx>
          <c:spPr>
            <a:solidFill>
              <a:schemeClr val="accent1">
                <a:lumMod val="60000"/>
              </a:schemeClr>
            </a:solidFill>
            <a:ln>
              <a:noFill/>
            </a:ln>
            <a:effectLst/>
          </c:spPr>
          <c:invertIfNegative val="0"/>
          <c:dLbls>
            <c:delete val="1"/>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Languages!$AD$48:$AM$48</c:f>
              <c:numCache>
                <c:formatCode>0%</c:formatCode>
                <c:ptCount val="10"/>
                <c:pt idx="0">
                  <c:v>1.8612065959248743E-2</c:v>
                </c:pt>
                <c:pt idx="1">
                  <c:v>1.9273729510178424E-2</c:v>
                </c:pt>
                <c:pt idx="2">
                  <c:v>1.8353317059161402E-2</c:v>
                </c:pt>
                <c:pt idx="3">
                  <c:v>1.7463429111442608E-2</c:v>
                </c:pt>
                <c:pt idx="4">
                  <c:v>1.5312226437117013E-2</c:v>
                </c:pt>
                <c:pt idx="5">
                  <c:v>1.5750168776664974E-2</c:v>
                </c:pt>
                <c:pt idx="6">
                  <c:v>1.5824072008712425E-2</c:v>
                </c:pt>
                <c:pt idx="7">
                  <c:v>1.5785463772769917E-2</c:v>
                </c:pt>
                <c:pt idx="8">
                  <c:v>1.6194840248571967E-2</c:v>
                </c:pt>
                <c:pt idx="9">
                  <c:v>1.5351382309181571E-2</c:v>
                </c:pt>
              </c:numCache>
            </c:numRef>
          </c:val>
          <c:extLst>
            <c:ext xmlns:c16="http://schemas.microsoft.com/office/drawing/2014/chart" uri="{C3380CC4-5D6E-409C-BE32-E72D297353CC}">
              <c16:uniqueId val="{00000005-B9C6-4CA7-A5E0-31EBF33ECCCF}"/>
            </c:ext>
          </c:extLst>
        </c:ser>
        <c:ser>
          <c:idx val="7"/>
          <c:order val="7"/>
          <c:tx>
            <c:strRef>
              <c:f>Languages!$B$49</c:f>
              <c:strCache>
                <c:ptCount val="1"/>
                <c:pt idx="0">
                  <c:v>Others</c:v>
                </c:pt>
              </c:strCache>
            </c:strRef>
          </c:tx>
          <c:spPr>
            <a:solidFill>
              <a:schemeClr val="accent2">
                <a:lumMod val="60000"/>
              </a:schemeClr>
            </a:solidFill>
            <a:ln>
              <a:noFill/>
            </a:ln>
            <a:effectLst/>
          </c:spPr>
          <c:invertIfNegative val="0"/>
          <c:dLbls>
            <c:delete val="1"/>
          </c:dLbls>
          <c:cat>
            <c:numRef>
              <c:f>Languages!$AD$41:$AM$41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Languages!$AD$49:$AM$49</c:f>
              <c:numCache>
                <c:formatCode>0%</c:formatCode>
                <c:ptCount val="10"/>
                <c:pt idx="0">
                  <c:v>4.8871618592138691E-2</c:v>
                </c:pt>
                <c:pt idx="1">
                  <c:v>4.5897200328804219E-2</c:v>
                </c:pt>
                <c:pt idx="2">
                  <c:v>4.1086300976450316E-2</c:v>
                </c:pt>
                <c:pt idx="3">
                  <c:v>3.6488882293676146E-2</c:v>
                </c:pt>
                <c:pt idx="4">
                  <c:v>3.5169244236941934E-2</c:v>
                </c:pt>
                <c:pt idx="5">
                  <c:v>3.4186844467953316E-2</c:v>
                </c:pt>
                <c:pt idx="6">
                  <c:v>3.3038982850694766E-2</c:v>
                </c:pt>
                <c:pt idx="7">
                  <c:v>3.1356844670280888E-2</c:v>
                </c:pt>
                <c:pt idx="8">
                  <c:v>3.1109158244931268E-2</c:v>
                </c:pt>
                <c:pt idx="9">
                  <c:v>2.7004986397903347E-2</c:v>
                </c:pt>
              </c:numCache>
            </c:numRef>
          </c:val>
          <c:extLst>
            <c:ext xmlns:c16="http://schemas.microsoft.com/office/drawing/2014/chart" uri="{C3380CC4-5D6E-409C-BE32-E72D297353CC}">
              <c16:uniqueId val="{00000006-B9C6-4CA7-A5E0-31EBF33ECCCF}"/>
            </c:ext>
          </c:extLst>
        </c:ser>
        <c:dLbls>
          <c:dLblPos val="ctr"/>
          <c:showLegendKey val="0"/>
          <c:showVal val="1"/>
          <c:showCatName val="0"/>
          <c:showSerName val="0"/>
          <c:showPercent val="0"/>
          <c:showBubbleSize val="0"/>
        </c:dLbls>
        <c:gapWidth val="85"/>
        <c:overlap val="100"/>
        <c:axId val="81090048"/>
        <c:axId val="81091968"/>
        <c:extLst>
          <c:ext xmlns:c15="http://schemas.microsoft.com/office/drawing/2012/chart" uri="{02D57815-91ED-43cb-92C2-25804820EDAC}">
            <c15:filteredBarSeries>
              <c15:ser>
                <c:idx val="0"/>
                <c:order val="0"/>
                <c:tx>
                  <c:strRef>
                    <c:extLst>
                      <c:ext uri="{02D57815-91ED-43cb-92C2-25804820EDAC}">
                        <c15:formulaRef>
                          <c15:sqref>Languages!$B$42</c15:sqref>
                        </c15:formulaRef>
                      </c:ext>
                    </c:extLst>
                    <c:strCache>
                      <c:ptCount val="1"/>
                      <c:pt idx="0">
                        <c:v>English</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Languages!$AD$41:$AM$41</c15:sqref>
                        </c15:formulaRef>
                      </c:ext>
                    </c:extLst>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extLst>
                      <c:ext uri="{02D57815-91ED-43cb-92C2-25804820EDAC}">
                        <c15:formulaRef>
                          <c15:sqref>Languages!$AD$42:$AM$42</c15:sqref>
                        </c15:formulaRef>
                      </c:ext>
                    </c:extLst>
                    <c:numCache>
                      <c:formatCode>General</c:formatCode>
                      <c:ptCount val="10"/>
                    </c:numCache>
                  </c:numRef>
                </c:val>
                <c:extLst>
                  <c:ext xmlns:c16="http://schemas.microsoft.com/office/drawing/2014/chart" uri="{C3380CC4-5D6E-409C-BE32-E72D297353CC}">
                    <c16:uniqueId val="{00000007-B9C6-4CA7-A5E0-31EBF33ECCCF}"/>
                  </c:ext>
                </c:extLst>
              </c15:ser>
            </c15:filteredBarSeries>
          </c:ext>
        </c:extLst>
      </c:barChart>
      <c:catAx>
        <c:axId val="8109004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b="1">
                    <a:solidFill>
                      <a:sysClr val="windowText" lastClr="000000"/>
                    </a:solidFill>
                  </a:rPr>
                  <a:t>International Filing Year</a:t>
                </a:r>
              </a:p>
            </c:rich>
          </c:tx>
          <c:layout>
            <c:manualLayout>
              <c:xMode val="edge"/>
              <c:yMode val="edge"/>
              <c:x val="0.42158845469393724"/>
              <c:y val="0.82285517055398438"/>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1091968"/>
        <c:crosses val="autoZero"/>
        <c:auto val="1"/>
        <c:lblAlgn val="ctr"/>
        <c:lblOffset val="100"/>
        <c:noMultiLvlLbl val="0"/>
      </c:catAx>
      <c:valAx>
        <c:axId val="81091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i="1">
                    <a:solidFill>
                      <a:sysClr val="windowText" lastClr="000000"/>
                    </a:solidFill>
                  </a:rPr>
                  <a:t>PCT applications</a:t>
                </a:r>
              </a:p>
            </c:rich>
          </c:tx>
          <c:layout>
            <c:manualLayout>
              <c:xMode val="edge"/>
              <c:yMode val="edge"/>
              <c:x val="4.671574721890414E-2"/>
              <c:y val="0.2746392447255227"/>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1090048"/>
        <c:crosses val="autoZero"/>
        <c:crossBetween val="between"/>
        <c:majorUnit val="0.25"/>
      </c:valAx>
      <c:spPr>
        <a:noFill/>
        <a:ln>
          <a:noFill/>
        </a:ln>
        <a:effectLst/>
      </c:spPr>
    </c:plotArea>
    <c:legend>
      <c:legendPos val="b"/>
      <c:layout>
        <c:manualLayout>
          <c:xMode val="edge"/>
          <c:yMode val="edge"/>
          <c:x val="0.11858202709181476"/>
          <c:y val="0.88817658661471743"/>
          <c:w val="0.60758164517361024"/>
          <c:h val="6.468669126196670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2903026357275"/>
          <c:y val="9.6423287998091148E-2"/>
          <c:w val="0.87682238628127784"/>
          <c:h val="0.70586903909738552"/>
        </c:manualLayout>
      </c:layout>
      <c:barChart>
        <c:barDir val="col"/>
        <c:grouping val="stacked"/>
        <c:varyColors val="0"/>
        <c:ser>
          <c:idx val="0"/>
          <c:order val="0"/>
          <c:tx>
            <c:strRef>
              <c:f>'Unit cost'!$A$36</c:f>
              <c:strCache>
                <c:ptCount val="1"/>
                <c:pt idx="0">
                  <c:v>Direct costs</c:v>
                </c:pt>
              </c:strCache>
            </c:strRef>
          </c:tx>
          <c:spPr>
            <a:solidFill>
              <a:schemeClr val="accent1"/>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cost'!$B$35:$K$35</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'Unit cost'!$B$36:$K$36</c:f>
              <c:numCache>
                <c:formatCode>_-* #,##0_-;\-* #,##0_-;_-* "-"??_-;_-@_-</c:formatCode>
                <c:ptCount val="10"/>
                <c:pt idx="0">
                  <c:v>470.44237360549448</c:v>
                </c:pt>
                <c:pt idx="1">
                  <c:v>430.60119739422339</c:v>
                </c:pt>
                <c:pt idx="2">
                  <c:v>475.12556398311858</c:v>
                </c:pt>
                <c:pt idx="3">
                  <c:v>445.9923237382045</c:v>
                </c:pt>
                <c:pt idx="4">
                  <c:v>442.40709591136601</c:v>
                </c:pt>
                <c:pt idx="5">
                  <c:v>410.79877355947059</c:v>
                </c:pt>
                <c:pt idx="6">
                  <c:v>419.30959584975471</c:v>
                </c:pt>
                <c:pt idx="7">
                  <c:v>373.01045711380891</c:v>
                </c:pt>
                <c:pt idx="8">
                  <c:v>388.40807596475236</c:v>
                </c:pt>
                <c:pt idx="9" formatCode="_(* #,##0_);_(* \(#,##0\);_(* &quot;-&quot;??_);_(@_)">
                  <c:v>370.78813905322193</c:v>
                </c:pt>
              </c:numCache>
            </c:numRef>
          </c:val>
          <c:extLst>
            <c:ext xmlns:c16="http://schemas.microsoft.com/office/drawing/2014/chart" uri="{C3380CC4-5D6E-409C-BE32-E72D297353CC}">
              <c16:uniqueId val="{00000000-A5A3-4F0B-9C7C-51E638F08FB9}"/>
            </c:ext>
          </c:extLst>
        </c:ser>
        <c:ser>
          <c:idx val="1"/>
          <c:order val="1"/>
          <c:tx>
            <c:strRef>
              <c:f>'Unit cost'!$A$37</c:f>
              <c:strCache>
                <c:ptCount val="1"/>
                <c:pt idx="0">
                  <c:v>Indirect costs</c:v>
                </c:pt>
              </c:strCache>
            </c:strRef>
          </c:tx>
          <c:spPr>
            <a:solidFill>
              <a:schemeClr val="accent2"/>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cost'!$B$35:$K$35</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'Unit cost'!$B$37:$K$37</c:f>
              <c:numCache>
                <c:formatCode>_-* #,##0_-;\-* #,##0_-;_-* "-"??_-;_-@_-</c:formatCode>
                <c:ptCount val="10"/>
                <c:pt idx="0">
                  <c:v>251.60568931814984</c:v>
                </c:pt>
                <c:pt idx="1">
                  <c:v>231.79852292798066</c:v>
                </c:pt>
                <c:pt idx="2">
                  <c:v>259.88649139061908</c:v>
                </c:pt>
                <c:pt idx="3">
                  <c:v>239.2934344912882</c:v>
                </c:pt>
                <c:pt idx="4">
                  <c:v>259.83689115135553</c:v>
                </c:pt>
                <c:pt idx="5">
                  <c:v>211.45590547204731</c:v>
                </c:pt>
                <c:pt idx="6">
                  <c:v>220.54039403441504</c:v>
                </c:pt>
                <c:pt idx="7">
                  <c:v>180.21127877243725</c:v>
                </c:pt>
                <c:pt idx="8">
                  <c:v>188.449844677074</c:v>
                </c:pt>
                <c:pt idx="9">
                  <c:v>175.35429914940016</c:v>
                </c:pt>
              </c:numCache>
            </c:numRef>
          </c:val>
          <c:extLst>
            <c:ext xmlns:c16="http://schemas.microsoft.com/office/drawing/2014/chart" uri="{C3380CC4-5D6E-409C-BE32-E72D297353CC}">
              <c16:uniqueId val="{00000001-A5A3-4F0B-9C7C-51E638F08FB9}"/>
            </c:ext>
          </c:extLst>
        </c:ser>
        <c:ser>
          <c:idx val="2"/>
          <c:order val="2"/>
          <c:tx>
            <c:strRef>
              <c:f>'Unit cost'!$A$38</c:f>
              <c:strCache>
                <c:ptCount val="1"/>
                <c:pt idx="0">
                  <c:v>Total</c:v>
                </c:pt>
              </c:strCache>
            </c:strRef>
          </c:tx>
          <c:spPr>
            <a:noFill/>
            <a:ln>
              <a:noFill/>
            </a:ln>
            <a:effectLst/>
          </c:spPr>
          <c:invertIfNegative val="0"/>
          <c:dPt>
            <c:idx val="6"/>
            <c:invertIfNegative val="0"/>
            <c:bubble3D val="0"/>
            <c:extLst>
              <c:ext xmlns:c16="http://schemas.microsoft.com/office/drawing/2014/chart" uri="{C3380CC4-5D6E-409C-BE32-E72D297353CC}">
                <c16:uniqueId val="{00000002-A5A3-4F0B-9C7C-51E638F08FB9}"/>
              </c:ext>
            </c:extLst>
          </c:dPt>
          <c:dLbls>
            <c:dLbl>
              <c:idx val="0"/>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A5A3-4F0B-9C7C-51E638F08FB9}"/>
                </c:ext>
              </c:extLst>
            </c:dLbl>
            <c:dLbl>
              <c:idx val="1"/>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A5A3-4F0B-9C7C-51E638F08FB9}"/>
                </c:ext>
              </c:extLst>
            </c:dLbl>
            <c:dLbl>
              <c:idx val="2"/>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A5A3-4F0B-9C7C-51E638F08FB9}"/>
                </c:ext>
              </c:extLst>
            </c:dLbl>
            <c:dLbl>
              <c:idx val="3"/>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A5A3-4F0B-9C7C-51E638F08FB9}"/>
                </c:ext>
              </c:extLst>
            </c:dLbl>
            <c:dLbl>
              <c:idx val="4"/>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A5A3-4F0B-9C7C-51E638F08FB9}"/>
                </c:ext>
              </c:extLst>
            </c:dLbl>
            <c:dLbl>
              <c:idx val="5"/>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A5A3-4F0B-9C7C-51E638F08FB9}"/>
                </c:ext>
              </c:extLst>
            </c:dLbl>
            <c:dLbl>
              <c:idx val="6"/>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A5A3-4F0B-9C7C-51E638F08FB9}"/>
                </c:ext>
              </c:extLst>
            </c:dLbl>
            <c:dLbl>
              <c:idx val="7"/>
              <c:tx>
                <c:rich>
                  <a:bodyPr rot="0" vert="horz"/>
                  <a:lstStyle/>
                  <a:p>
                    <a:pPr>
                      <a:defRPr/>
                    </a:pPr>
                    <a:fld id="{E485C07A-1DB2-4AE9-90CC-4798229BEB3A}" type="VALUE">
                      <a:rPr lang="en-US"/>
                      <a:pPr>
                        <a:defRPr/>
                      </a:pPr>
                      <a:t>[VALUE]</a:t>
                    </a:fld>
                    <a:endParaRPr lang="en-US"/>
                  </a:p>
                </c:rich>
              </c:tx>
              <c:spPr>
                <a:solidFill>
                  <a:sysClr val="window" lastClr="FFFFFF"/>
                </a:solidFill>
                <a:ln>
                  <a:noFill/>
                </a:ln>
                <a:effectLst/>
              </c:sp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A5A3-4F0B-9C7C-51E638F08FB9}"/>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cost'!$B$35:$K$35</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'Unit cost'!$B$38:$K$38</c:f>
              <c:numCache>
                <c:formatCode>_-* #,##0_-;\-* #,##0_-;_-* "-"??_-;_-@_-</c:formatCode>
                <c:ptCount val="10"/>
                <c:pt idx="0">
                  <c:v>722.04806292364435</c:v>
                </c:pt>
                <c:pt idx="1">
                  <c:v>662.39972032220408</c:v>
                </c:pt>
                <c:pt idx="2">
                  <c:v>735.01205537373767</c:v>
                </c:pt>
                <c:pt idx="3">
                  <c:v>685.28575822949267</c:v>
                </c:pt>
                <c:pt idx="4">
                  <c:v>702.24398706272154</c:v>
                </c:pt>
                <c:pt idx="5">
                  <c:v>622.25467903151787</c:v>
                </c:pt>
                <c:pt idx="6">
                  <c:v>639.84998988416976</c:v>
                </c:pt>
                <c:pt idx="7">
                  <c:v>553.22173588624617</c:v>
                </c:pt>
                <c:pt idx="8">
                  <c:v>576.85792064182635</c:v>
                </c:pt>
                <c:pt idx="9">
                  <c:v>546.14243820262209</c:v>
                </c:pt>
              </c:numCache>
            </c:numRef>
          </c:val>
          <c:extLst>
            <c:ext xmlns:c16="http://schemas.microsoft.com/office/drawing/2014/chart" uri="{C3380CC4-5D6E-409C-BE32-E72D297353CC}">
              <c16:uniqueId val="{0000000A-A5A3-4F0B-9C7C-51E638F08FB9}"/>
            </c:ext>
          </c:extLst>
        </c:ser>
        <c:dLbls>
          <c:showLegendKey val="0"/>
          <c:showVal val="0"/>
          <c:showCatName val="0"/>
          <c:showSerName val="0"/>
          <c:showPercent val="0"/>
          <c:showBubbleSize val="0"/>
        </c:dLbls>
        <c:gapWidth val="150"/>
        <c:overlap val="100"/>
        <c:axId val="81231232"/>
        <c:axId val="80807424"/>
      </c:barChart>
      <c:catAx>
        <c:axId val="81231232"/>
        <c:scaling>
          <c:orientation val="minMax"/>
        </c:scaling>
        <c:delete val="0"/>
        <c:axPos val="b"/>
        <c:title>
          <c:tx>
            <c:rich>
              <a:bodyPr rot="0" vert="horz"/>
              <a:lstStyle/>
              <a:p>
                <a:pPr>
                  <a:defRPr b="1"/>
                </a:pPr>
                <a:r>
                  <a:rPr lang="en-US" b="1"/>
                  <a:t>Processing Year</a:t>
                </a:r>
              </a:p>
            </c:rich>
          </c:tx>
          <c:layout>
            <c:manualLayout>
              <c:xMode val="edge"/>
              <c:yMode val="edge"/>
              <c:x val="0.45671420557609704"/>
              <c:y val="0.89689675154242088"/>
            </c:manualLayout>
          </c:layout>
          <c:overlay val="0"/>
          <c:spPr>
            <a:noFill/>
            <a:ln>
              <a:noFill/>
            </a:ln>
            <a:effectLst/>
          </c:spPr>
        </c:title>
        <c:numFmt formatCode="General"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0"/>
          <a:lstStyle/>
          <a:p>
            <a:pPr>
              <a:defRPr/>
            </a:pPr>
            <a:endParaRPr lang="en-US"/>
          </a:p>
        </c:txPr>
        <c:crossAx val="80807424"/>
        <c:crosses val="autoZero"/>
        <c:auto val="1"/>
        <c:lblAlgn val="ctr"/>
        <c:lblOffset val="100"/>
        <c:tickLblSkip val="1"/>
        <c:tickMarkSkip val="1"/>
        <c:noMultiLvlLbl val="0"/>
      </c:catAx>
      <c:valAx>
        <c:axId val="80807424"/>
        <c:scaling>
          <c:orientation val="minMax"/>
          <c:max val="900"/>
          <c:min val="0"/>
        </c:scaling>
        <c:delete val="0"/>
        <c:axPos val="l"/>
        <c:title>
          <c:tx>
            <c:rich>
              <a:bodyPr rot="-5400000" vert="horz"/>
              <a:lstStyle/>
              <a:p>
                <a:pPr>
                  <a:defRPr b="0" i="1"/>
                </a:pPr>
                <a:r>
                  <a:rPr lang="en-US" b="0" i="1"/>
                  <a:t>Unit cost  (CHF)</a:t>
                </a:r>
              </a:p>
            </c:rich>
          </c:tx>
          <c:layout>
            <c:manualLayout>
              <c:xMode val="edge"/>
              <c:yMode val="edge"/>
              <c:x val="3.2375430450288872E-2"/>
              <c:y val="0.28533285612025772"/>
            </c:manualLayout>
          </c:layout>
          <c:overlay val="0"/>
          <c:spPr>
            <a:noFill/>
            <a:ln>
              <a:noFill/>
            </a:ln>
            <a:effectLst/>
          </c:sp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0"/>
          <a:lstStyle/>
          <a:p>
            <a:pPr>
              <a:defRPr/>
            </a:pPr>
            <a:endParaRPr lang="en-US"/>
          </a:p>
        </c:txPr>
        <c:crossAx val="81231232"/>
        <c:crosses val="autoZero"/>
        <c:crossBetween val="between"/>
        <c:majorUnit val="150"/>
        <c:minorUnit val="50"/>
      </c:valAx>
      <c:spPr>
        <a:noFill/>
        <a:ln>
          <a:noFill/>
        </a:ln>
        <a:effectLst/>
      </c:spPr>
    </c:plotArea>
    <c:legend>
      <c:legendPos val="b"/>
      <c:legendEntry>
        <c:idx val="2"/>
        <c:delete val="1"/>
      </c:legendEntry>
      <c:layout>
        <c:manualLayout>
          <c:xMode val="edge"/>
          <c:yMode val="edge"/>
          <c:x val="0.10188378558764398"/>
          <c:y val="0.90450761836588611"/>
          <c:w val="0.26920989973437986"/>
          <c:h val="5.8203264180219524E-2"/>
        </c:manualLayout>
      </c:layout>
      <c:overlay val="0"/>
      <c:spPr>
        <a:noFill/>
        <a:ln>
          <a:noFill/>
        </a:ln>
        <a:effectLst/>
      </c:spPr>
      <c:txPr>
        <a:bodyPr rot="0" vert="horz"/>
        <a:lstStyle/>
        <a:p>
          <a:pPr>
            <a:defRPr/>
          </a:pPr>
          <a:endParaRPr lang="en-US"/>
        </a:p>
      </c:txPr>
    </c:legend>
    <c:plotVisOnly val="1"/>
    <c:dispBlanksAs val="gap"/>
    <c:showDLblsOverMax val="0"/>
  </c:chart>
  <c:spPr>
    <a:noFill/>
    <a:ln w="9525" cap="flat" cmpd="sng" algn="ctr">
      <a:noFill/>
      <a:round/>
    </a:ln>
    <a:effectLst/>
  </c:spPr>
  <c:txPr>
    <a:bodyPr/>
    <a:lstStyle/>
    <a:p>
      <a:pPr>
        <a:defRPr sz="800">
          <a:latin typeface="Arial Narrow" panose="020B060602020203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572996105395691"/>
          <c:y val="5.576532241650068E-2"/>
          <c:w val="0.83150780551768244"/>
          <c:h val="0.74864168949003129"/>
        </c:manualLayout>
      </c:layout>
      <c:lineChart>
        <c:grouping val="standard"/>
        <c:varyColors val="0"/>
        <c:ser>
          <c:idx val="0"/>
          <c:order val="0"/>
          <c:spPr>
            <a:ln w="28575" cap="rnd">
              <a:solidFill>
                <a:schemeClr val="tx2"/>
              </a:solidFill>
              <a:round/>
            </a:ln>
            <a:effectLst/>
          </c:spPr>
          <c:marker>
            <c:symbol val="none"/>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Productivity!$K$6:$R$6</c:f>
              <c:numCache>
                <c:formatCode>General</c:formatCode>
                <c:ptCount val="8"/>
                <c:pt idx="0">
                  <c:v>2013</c:v>
                </c:pt>
                <c:pt idx="1">
                  <c:v>2014</c:v>
                </c:pt>
                <c:pt idx="2">
                  <c:v>2015</c:v>
                </c:pt>
                <c:pt idx="3">
                  <c:v>2016</c:v>
                </c:pt>
                <c:pt idx="4">
                  <c:v>2017</c:v>
                </c:pt>
                <c:pt idx="5">
                  <c:v>2018</c:v>
                </c:pt>
                <c:pt idx="6">
                  <c:v>2019</c:v>
                </c:pt>
                <c:pt idx="7">
                  <c:v>2020</c:v>
                </c:pt>
              </c:numCache>
            </c:numRef>
          </c:cat>
          <c:val>
            <c:numRef>
              <c:f>Productivity!$K$9:$R$9</c:f>
              <c:numCache>
                <c:formatCode>_-* #,##0_-;\-* #,##0_-;_-* "-"??_-;_-@_-</c:formatCode>
                <c:ptCount val="8"/>
                <c:pt idx="0">
                  <c:v>1003.2864583333334</c:v>
                </c:pt>
                <c:pt idx="1">
                  <c:v>1179.2217245240761</c:v>
                </c:pt>
                <c:pt idx="2">
                  <c:v>1168.1860465116279</c:v>
                </c:pt>
                <c:pt idx="3" formatCode="_ * #,##0_ ;_ * \-#,##0_ ;_ * &quot;-&quot;??_ ;_ @_ ">
                  <c:v>1230.7251461988303</c:v>
                </c:pt>
                <c:pt idx="4" formatCode="_ * #,##0_ ;_ * \-#,##0_ ;_ * &quot;-&quot;??_ ;_ @_ ">
                  <c:v>1380.0679012345679</c:v>
                </c:pt>
                <c:pt idx="5" formatCode="_ * #,##0_ ;_ * \-#,##0_ ;_ * &quot;-&quot;??_ ;_ @_ ">
                  <c:v>1429.9879518072289</c:v>
                </c:pt>
                <c:pt idx="6" formatCode="_ * #,##0_ ;_ * \-#,##0_ ;_ * &quot;-&quot;??_ ;_ @_ ">
                  <c:v>1534.7604231487244</c:v>
                </c:pt>
                <c:pt idx="7" formatCode="_ * #,##0_ ;_ * \-#,##0_ ;_ * &quot;-&quot;??_ ;_ @_ ">
                  <c:v>1664.0503144654087</c:v>
                </c:pt>
              </c:numCache>
            </c:numRef>
          </c:val>
          <c:smooth val="0"/>
          <c:extLst>
            <c:ext xmlns:c16="http://schemas.microsoft.com/office/drawing/2014/chart" uri="{C3380CC4-5D6E-409C-BE32-E72D297353CC}">
              <c16:uniqueId val="{00000000-F0E4-4AD6-971E-3945E0BC440E}"/>
            </c:ext>
          </c:extLst>
        </c:ser>
        <c:dLbls>
          <c:showLegendKey val="0"/>
          <c:showVal val="0"/>
          <c:showCatName val="0"/>
          <c:showSerName val="0"/>
          <c:showPercent val="0"/>
          <c:showBubbleSize val="0"/>
        </c:dLbls>
        <c:smooth val="0"/>
        <c:axId val="466468288"/>
        <c:axId val="466469536"/>
      </c:lineChart>
      <c:catAx>
        <c:axId val="4664682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466469536"/>
        <c:crosses val="autoZero"/>
        <c:auto val="1"/>
        <c:lblAlgn val="ctr"/>
        <c:lblOffset val="100"/>
        <c:noMultiLvlLbl val="0"/>
      </c:catAx>
      <c:valAx>
        <c:axId val="466469536"/>
        <c:scaling>
          <c:orientation val="minMax"/>
          <c:max val="2000"/>
          <c:min val="50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r>
                  <a:rPr lang="en-US" i="1"/>
                  <a:t>Publications per Personnel</a:t>
                </a:r>
              </a:p>
            </c:rich>
          </c:tx>
          <c:layout>
            <c:manualLayout>
              <c:xMode val="edge"/>
              <c:yMode val="edge"/>
              <c:x val="1.4629049111807733E-2"/>
              <c:y val="0.2073408276795588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466468288"/>
        <c:crosses val="autoZero"/>
        <c:crossBetween val="between"/>
      </c:valAx>
      <c:spPr>
        <a:noFill/>
        <a:ln>
          <a:noFill/>
        </a:ln>
        <a:effectLst/>
      </c:spPr>
    </c:plotArea>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890278707889874"/>
          <c:y val="5.576532241650068E-2"/>
          <c:w val="0.75109721292110132"/>
          <c:h val="0.76505324006271647"/>
        </c:manualLayout>
      </c:layout>
      <c:lineChart>
        <c:grouping val="standard"/>
        <c:varyColors val="0"/>
        <c:ser>
          <c:idx val="0"/>
          <c:order val="0"/>
          <c:spPr>
            <a:ln w="28575" cap="rnd">
              <a:solidFill>
                <a:schemeClr val="tx2"/>
              </a:solidFill>
              <a:round/>
            </a:ln>
            <a:effectLst/>
          </c:spPr>
          <c:marker>
            <c:symbol val="none"/>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Productivity!$S$6:$T$6</c:f>
              <c:numCache>
                <c:formatCode>General</c:formatCode>
                <c:ptCount val="2"/>
                <c:pt idx="0">
                  <c:v>2021</c:v>
                </c:pt>
                <c:pt idx="1">
                  <c:v>2022</c:v>
                </c:pt>
              </c:numCache>
            </c:numRef>
          </c:cat>
          <c:val>
            <c:numRef>
              <c:f>Productivity!$S$9:$T$9</c:f>
              <c:numCache>
                <c:formatCode>_ * #,##0_ ;_ * \-#,##0_ ;_ * "-"??_ ;_ @_ </c:formatCode>
                <c:ptCount val="2"/>
                <c:pt idx="0">
                  <c:v>1535.1545189504373</c:v>
                </c:pt>
                <c:pt idx="1">
                  <c:v>1565.0172413793102</c:v>
                </c:pt>
              </c:numCache>
            </c:numRef>
          </c:val>
          <c:smooth val="0"/>
          <c:extLst>
            <c:ext xmlns:c16="http://schemas.microsoft.com/office/drawing/2014/chart" uri="{C3380CC4-5D6E-409C-BE32-E72D297353CC}">
              <c16:uniqueId val="{00000000-D67A-4C9F-BF14-E0781381415D}"/>
            </c:ext>
          </c:extLst>
        </c:ser>
        <c:dLbls>
          <c:showLegendKey val="0"/>
          <c:showVal val="0"/>
          <c:showCatName val="0"/>
          <c:showSerName val="0"/>
          <c:showPercent val="0"/>
          <c:showBubbleSize val="0"/>
        </c:dLbls>
        <c:smooth val="0"/>
        <c:axId val="466468288"/>
        <c:axId val="466469536"/>
      </c:lineChart>
      <c:catAx>
        <c:axId val="4664682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466469536"/>
        <c:crosses val="autoZero"/>
        <c:auto val="1"/>
        <c:lblAlgn val="ctr"/>
        <c:lblOffset val="100"/>
        <c:noMultiLvlLbl val="0"/>
      </c:catAx>
      <c:valAx>
        <c:axId val="466469536"/>
        <c:scaling>
          <c:orientation val="minMax"/>
          <c:max val="2000"/>
          <c:min val="50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r>
                  <a:rPr lang="en-US" i="1"/>
                  <a:t>Publications per Personnel</a:t>
                </a:r>
              </a:p>
            </c:rich>
          </c:tx>
          <c:layout>
            <c:manualLayout>
              <c:xMode val="edge"/>
              <c:yMode val="edge"/>
              <c:x val="1.4629049111807733E-2"/>
              <c:y val="0.20734082767955889"/>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466468288"/>
        <c:crosses val="autoZero"/>
        <c:crossBetween val="between"/>
      </c:valAx>
      <c:spPr>
        <a:noFill/>
        <a:ln>
          <a:noFill/>
        </a:ln>
        <a:effectLst/>
      </c:spPr>
    </c:plotArea>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010214939348795E-2"/>
          <c:y val="4.2979481730042936E-2"/>
          <c:w val="0.86780591615237279"/>
          <c:h val="0.76931061249254062"/>
        </c:manualLayout>
      </c:layout>
      <c:lineChart>
        <c:grouping val="standard"/>
        <c:varyColors val="0"/>
        <c:ser>
          <c:idx val="0"/>
          <c:order val="0"/>
          <c:tx>
            <c:strRef>
              <c:f>'chart 2'!$C$7</c:f>
              <c:strCache>
                <c:ptCount val="1"/>
                <c:pt idx="0">
                  <c:v>Estimated income for PoW&amp;B </c:v>
                </c:pt>
              </c:strCache>
            </c:strRef>
          </c:tx>
          <c:spPr>
            <a:ln w="19050" cap="rnd">
              <a:solidFill>
                <a:schemeClr val="accent1"/>
              </a:solidFill>
              <a:round/>
            </a:ln>
            <a:effectLst>
              <a:outerShdw blurRad="40000" dist="23000" dir="5400000" rotWithShape="0">
                <a:srgbClr val="000000">
                  <a:alpha val="35000"/>
                </a:srgbClr>
              </a:outerShdw>
            </a:effectLst>
          </c:spPr>
          <c:marker>
            <c:spPr>
              <a:ln w="19050"/>
            </c:spPr>
          </c:marker>
          <c:dPt>
            <c:idx val="8"/>
            <c:bubble3D val="0"/>
            <c:extLst>
              <c:ext xmlns:c16="http://schemas.microsoft.com/office/drawing/2014/chart" uri="{C3380CC4-5D6E-409C-BE32-E72D297353CC}">
                <c16:uniqueId val="{00000000-5A1A-45D0-9F5A-0A47F18FFC65}"/>
              </c:ext>
            </c:extLst>
          </c:dPt>
          <c:dPt>
            <c:idx val="9"/>
            <c:bubble3D val="0"/>
            <c:extLst>
              <c:ext xmlns:c16="http://schemas.microsoft.com/office/drawing/2014/chart" uri="{C3380CC4-5D6E-409C-BE32-E72D297353CC}">
                <c16:uniqueId val="{00000001-5A1A-45D0-9F5A-0A47F18FFC65}"/>
              </c:ext>
            </c:extLst>
          </c:dPt>
          <c:cat>
            <c:strRef>
              <c:f>'chart 2'!$L$6:$U$6</c:f>
              <c:strCache>
                <c:ptCount val="10"/>
                <c:pt idx="0">
                  <c:v>2006/07</c:v>
                </c:pt>
                <c:pt idx="1">
                  <c:v>2008/09</c:v>
                </c:pt>
                <c:pt idx="2">
                  <c:v>2010/11</c:v>
                </c:pt>
                <c:pt idx="3">
                  <c:v>2012/13</c:v>
                </c:pt>
                <c:pt idx="4">
                  <c:v>2014/15</c:v>
                </c:pt>
                <c:pt idx="5">
                  <c:v>2016/17</c:v>
                </c:pt>
                <c:pt idx="6">
                  <c:v>2018/19</c:v>
                </c:pt>
                <c:pt idx="7">
                  <c:v>2020/21</c:v>
                </c:pt>
                <c:pt idx="8">
                  <c:v>2022/23</c:v>
                </c:pt>
                <c:pt idx="9">
                  <c:v>2024/25</c:v>
                </c:pt>
              </c:strCache>
            </c:strRef>
          </c:cat>
          <c:val>
            <c:numRef>
              <c:f>'chart 2'!$L$7:$U$7</c:f>
              <c:numCache>
                <c:formatCode>_(* #,##0_);_(* \(#,##0\);_(* "-"??_);_(@_)</c:formatCode>
                <c:ptCount val="10"/>
                <c:pt idx="0">
                  <c:v>531</c:v>
                </c:pt>
                <c:pt idx="1">
                  <c:v>628.4</c:v>
                </c:pt>
                <c:pt idx="2">
                  <c:v>618.63699999999994</c:v>
                </c:pt>
                <c:pt idx="3">
                  <c:v>647.42999999999995</c:v>
                </c:pt>
                <c:pt idx="4">
                  <c:v>713.3</c:v>
                </c:pt>
                <c:pt idx="5">
                  <c:v>748.21748603059359</c:v>
                </c:pt>
                <c:pt idx="6">
                  <c:v>829.64480800000001</c:v>
                </c:pt>
                <c:pt idx="7">
                  <c:v>882.76839496625303</c:v>
                </c:pt>
                <c:pt idx="8">
                  <c:v>951.76176399999997</c:v>
                </c:pt>
                <c:pt idx="9">
                  <c:v>972.58623300000011</c:v>
                </c:pt>
              </c:numCache>
            </c:numRef>
          </c:val>
          <c:smooth val="0"/>
          <c:extLst>
            <c:ext xmlns:c16="http://schemas.microsoft.com/office/drawing/2014/chart" uri="{C3380CC4-5D6E-409C-BE32-E72D297353CC}">
              <c16:uniqueId val="{00000002-5A1A-45D0-9F5A-0A47F18FFC65}"/>
            </c:ext>
          </c:extLst>
        </c:ser>
        <c:ser>
          <c:idx val="1"/>
          <c:order val="1"/>
          <c:tx>
            <c:strRef>
              <c:f>'chart 2'!$C$8</c:f>
              <c:strCache>
                <c:ptCount val="1"/>
                <c:pt idx="0">
                  <c:v>Actual income (2022/23: updated estimates)</c:v>
                </c:pt>
              </c:strCache>
            </c:strRef>
          </c:tx>
          <c:spPr>
            <a:ln w="19050" cap="rnd">
              <a:solidFill>
                <a:schemeClr val="accent2"/>
              </a:solidFill>
              <a:round/>
            </a:ln>
            <a:effectLst>
              <a:outerShdw blurRad="40000" dist="23000" dir="5400000" rotWithShape="0">
                <a:srgbClr val="000000">
                  <a:alpha val="35000"/>
                </a:srgbClr>
              </a:outerShdw>
            </a:effectLst>
          </c:spPr>
          <c:marker>
            <c:spPr>
              <a:ln w="19050"/>
            </c:spPr>
          </c:marker>
          <c:dPt>
            <c:idx val="8"/>
            <c:bubble3D val="0"/>
            <c:spPr>
              <a:ln w="19050" cap="rnd">
                <a:solidFill>
                  <a:schemeClr val="accent2"/>
                </a:solidFill>
                <a:prstDash val="dash"/>
                <a:round/>
              </a:ln>
              <a:effectLst>
                <a:outerShdw blurRad="40000" dist="23000" dir="5400000" rotWithShape="0">
                  <a:srgbClr val="000000">
                    <a:alpha val="35000"/>
                  </a:srgbClr>
                </a:outerShdw>
              </a:effectLst>
            </c:spPr>
            <c:extLst>
              <c:ext xmlns:c16="http://schemas.microsoft.com/office/drawing/2014/chart" uri="{C3380CC4-5D6E-409C-BE32-E72D297353CC}">
                <c16:uniqueId val="{00000004-5A1A-45D0-9F5A-0A47F18FFC65}"/>
              </c:ext>
            </c:extLst>
          </c:dPt>
          <c:dPt>
            <c:idx val="9"/>
            <c:bubble3D val="0"/>
            <c:extLst>
              <c:ext xmlns:c16="http://schemas.microsoft.com/office/drawing/2014/chart" uri="{C3380CC4-5D6E-409C-BE32-E72D297353CC}">
                <c16:uniqueId val="{00000005-5A1A-45D0-9F5A-0A47F18FFC65}"/>
              </c:ext>
            </c:extLst>
          </c:dPt>
          <c:cat>
            <c:strRef>
              <c:f>'chart 2'!$L$6:$U$6</c:f>
              <c:strCache>
                <c:ptCount val="10"/>
                <c:pt idx="0">
                  <c:v>2006/07</c:v>
                </c:pt>
                <c:pt idx="1">
                  <c:v>2008/09</c:v>
                </c:pt>
                <c:pt idx="2">
                  <c:v>2010/11</c:v>
                </c:pt>
                <c:pt idx="3">
                  <c:v>2012/13</c:v>
                </c:pt>
                <c:pt idx="4">
                  <c:v>2014/15</c:v>
                </c:pt>
                <c:pt idx="5">
                  <c:v>2016/17</c:v>
                </c:pt>
                <c:pt idx="6">
                  <c:v>2018/19</c:v>
                </c:pt>
                <c:pt idx="7">
                  <c:v>2020/21</c:v>
                </c:pt>
                <c:pt idx="8">
                  <c:v>2022/23</c:v>
                </c:pt>
                <c:pt idx="9">
                  <c:v>2024/25</c:v>
                </c:pt>
              </c:strCache>
            </c:strRef>
          </c:cat>
          <c:val>
            <c:numRef>
              <c:f>'chart 2'!$L$8:$T$8</c:f>
              <c:numCache>
                <c:formatCode>_(* #,##0_);_(* \(#,##0\);_(* "-"??_);_(@_)</c:formatCode>
                <c:ptCount val="9"/>
                <c:pt idx="0">
                  <c:v>609.29</c:v>
                </c:pt>
                <c:pt idx="1">
                  <c:v>607.43100000000004</c:v>
                </c:pt>
                <c:pt idx="2">
                  <c:v>592.79999999999995</c:v>
                </c:pt>
                <c:pt idx="3">
                  <c:v>680.73099999999999</c:v>
                </c:pt>
                <c:pt idx="4">
                  <c:v>775.72199999999998</c:v>
                </c:pt>
                <c:pt idx="5">
                  <c:v>782.27099999999996</c:v>
                </c:pt>
                <c:pt idx="6">
                  <c:v>870.40937190000011</c:v>
                </c:pt>
                <c:pt idx="7">
                  <c:v>932.05882884000016</c:v>
                </c:pt>
                <c:pt idx="8">
                  <c:v>990.42976399999998</c:v>
                </c:pt>
              </c:numCache>
            </c:numRef>
          </c:val>
          <c:smooth val="0"/>
          <c:extLst>
            <c:ext xmlns:c16="http://schemas.microsoft.com/office/drawing/2014/chart" uri="{C3380CC4-5D6E-409C-BE32-E72D297353CC}">
              <c16:uniqueId val="{00000006-5A1A-45D0-9F5A-0A47F18FFC65}"/>
            </c:ext>
          </c:extLst>
        </c:ser>
        <c:dLbls>
          <c:showLegendKey val="0"/>
          <c:showVal val="0"/>
          <c:showCatName val="0"/>
          <c:showSerName val="0"/>
          <c:showPercent val="0"/>
          <c:showBubbleSize val="0"/>
        </c:dLbls>
        <c:marker val="1"/>
        <c:smooth val="0"/>
        <c:axId val="41715968"/>
        <c:axId val="41721856"/>
      </c:lineChart>
      <c:catAx>
        <c:axId val="41715968"/>
        <c:scaling>
          <c:orientation val="minMax"/>
        </c:scaling>
        <c:delete val="0"/>
        <c:axPos val="b"/>
        <c:numFmt formatCode="General" sourceLinked="1"/>
        <c:majorTickMark val="in"/>
        <c:minorTickMark val="none"/>
        <c:tickLblPos val="low"/>
        <c:spPr>
          <a:noFill/>
          <a:ln w="9525" cap="flat" cmpd="sng" algn="ctr">
            <a:solidFill>
              <a:schemeClr val="tx2">
                <a:lumMod val="15000"/>
                <a:lumOff val="85000"/>
              </a:schemeClr>
            </a:solidFill>
            <a:round/>
          </a:ln>
          <a:effectLst/>
        </c:spPr>
        <c:txPr>
          <a:bodyPr rot="-258000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41721856"/>
        <c:crosses val="autoZero"/>
        <c:auto val="1"/>
        <c:lblAlgn val="ctr"/>
        <c:lblOffset val="100"/>
        <c:tickLblSkip val="1"/>
        <c:tickMarkSkip val="1"/>
        <c:noMultiLvlLbl val="0"/>
      </c:catAx>
      <c:valAx>
        <c:axId val="41721856"/>
        <c:scaling>
          <c:orientation val="minMax"/>
          <c:max val="1000"/>
          <c:min val="4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700" b="1" i="1" u="none" strike="noStrike" kern="1200" baseline="0">
                    <a:solidFill>
                      <a:schemeClr val="tx2"/>
                    </a:solidFill>
                    <a:latin typeface="Arial" pitchFamily="34" charset="0"/>
                    <a:ea typeface="+mn-ea"/>
                    <a:cs typeface="Arial" pitchFamily="34" charset="0"/>
                  </a:defRPr>
                </a:pPr>
                <a:r>
                  <a:rPr lang="en-US" sz="700" i="1">
                    <a:latin typeface="Arial" pitchFamily="34" charset="0"/>
                    <a:cs typeface="Arial" pitchFamily="34" charset="0"/>
                  </a:rPr>
                  <a:t>(in</a:t>
                </a:r>
                <a:r>
                  <a:rPr lang="en-US" sz="700" i="1" baseline="0">
                    <a:latin typeface="Arial" pitchFamily="34" charset="0"/>
                    <a:cs typeface="Arial" pitchFamily="34" charset="0"/>
                  </a:rPr>
                  <a:t> millions of Swiss francs)</a:t>
                </a:r>
                <a:endParaRPr lang="en-US" sz="700" i="1">
                  <a:latin typeface="Arial" pitchFamily="34" charset="0"/>
                  <a:cs typeface="Arial" pitchFamily="34" charset="0"/>
                </a:endParaRPr>
              </a:p>
            </c:rich>
          </c:tx>
          <c:layout>
            <c:manualLayout>
              <c:xMode val="edge"/>
              <c:yMode val="edge"/>
              <c:x val="3.3815705469248778E-3"/>
              <c:y val="0.30067582220631323"/>
            </c:manualLayout>
          </c:layout>
          <c:overlay val="0"/>
          <c:spPr>
            <a:noFill/>
            <a:ln>
              <a:noFill/>
            </a:ln>
            <a:effectLst/>
          </c:spPr>
        </c:title>
        <c:numFmt formatCode="0" sourceLinked="0"/>
        <c:majorTickMark val="none"/>
        <c:minorTickMark val="none"/>
        <c:tickLblPos val="nextTo"/>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crossAx val="41715968"/>
        <c:crossesAt val="1"/>
        <c:crossBetween val="between"/>
      </c:valAx>
      <c:spPr>
        <a:noFill/>
        <a:ln>
          <a:noFill/>
        </a:ln>
        <a:effectLst/>
      </c:spPr>
    </c:plotArea>
    <c:legend>
      <c:legendPos val="b"/>
      <c:layout>
        <c:manualLayout>
          <c:xMode val="edge"/>
          <c:yMode val="edge"/>
          <c:x val="0.10905242250124141"/>
          <c:y val="0.94950801479470326"/>
          <c:w val="0.79991317301553522"/>
          <c:h val="5.0491985205296699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2"/>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60260713643104"/>
          <c:y val="6.7402910955529749E-2"/>
          <c:w val="0.86929441949758468"/>
          <c:h val="0.74904135802007732"/>
        </c:manualLayout>
      </c:layout>
      <c:lineChart>
        <c:grouping val="standard"/>
        <c:varyColors val="0"/>
        <c:ser>
          <c:idx val="0"/>
          <c:order val="0"/>
          <c:tx>
            <c:strRef>
              <c:f>'Exam Quality'!$C$10</c:f>
              <c:strCache>
                <c:ptCount val="1"/>
                <c:pt idx="0">
                  <c:v>Quality index of formality examination</c:v>
                </c:pt>
              </c:strCache>
            </c:strRef>
          </c:tx>
          <c:spPr>
            <a:ln cap="sq">
              <a:solidFill>
                <a:schemeClr val="tx2"/>
              </a:solidFill>
            </a:ln>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'Exam Quality'!$D$5:$M$5</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'Exam Quality'!$D$10:$M$10</c:f>
              <c:numCache>
                <c:formatCode>0.0%</c:formatCode>
                <c:ptCount val="10"/>
                <c:pt idx="0">
                  <c:v>0.87464999999999993</c:v>
                </c:pt>
                <c:pt idx="1">
                  <c:v>0.93017499999999997</c:v>
                </c:pt>
                <c:pt idx="2">
                  <c:v>0.92712499999999998</c:v>
                </c:pt>
                <c:pt idx="3">
                  <c:v>0.95137500000000008</c:v>
                </c:pt>
                <c:pt idx="4">
                  <c:v>0.97040000000000004</c:v>
                </c:pt>
                <c:pt idx="5">
                  <c:v>0.97509999999999997</c:v>
                </c:pt>
                <c:pt idx="6">
                  <c:v>0.96857499999999996</c:v>
                </c:pt>
                <c:pt idx="7">
                  <c:v>0.97965000000000002</c:v>
                </c:pt>
                <c:pt idx="8">
                  <c:v>0.96940000000000004</c:v>
                </c:pt>
                <c:pt idx="9">
                  <c:v>0.97370000000000001</c:v>
                </c:pt>
              </c:numCache>
            </c:numRef>
          </c:val>
          <c:smooth val="0"/>
          <c:extLst>
            <c:ext xmlns:c16="http://schemas.microsoft.com/office/drawing/2014/chart" uri="{C3380CC4-5D6E-409C-BE32-E72D297353CC}">
              <c16:uniqueId val="{00000000-86A9-4DE5-B2CF-61500E8DBAE9}"/>
            </c:ext>
          </c:extLst>
        </c:ser>
        <c:dLbls>
          <c:showLegendKey val="0"/>
          <c:showVal val="0"/>
          <c:showCatName val="0"/>
          <c:showSerName val="0"/>
          <c:showPercent val="0"/>
          <c:showBubbleSize val="0"/>
        </c:dLbls>
        <c:smooth val="0"/>
        <c:axId val="97744768"/>
        <c:axId val="97763328"/>
      </c:lineChart>
      <c:catAx>
        <c:axId val="97744768"/>
        <c:scaling>
          <c:orientation val="minMax"/>
        </c:scaling>
        <c:delete val="0"/>
        <c:axPos val="b"/>
        <c:numFmt formatCode="General" sourceLinked="1"/>
        <c:majorTickMark val="out"/>
        <c:minorTickMark val="none"/>
        <c:tickLblPos val="nextTo"/>
        <c:crossAx val="97763328"/>
        <c:crosses val="autoZero"/>
        <c:auto val="1"/>
        <c:lblAlgn val="ctr"/>
        <c:lblOffset val="100"/>
        <c:noMultiLvlLbl val="0"/>
      </c:catAx>
      <c:valAx>
        <c:axId val="97763328"/>
        <c:scaling>
          <c:orientation val="minMax"/>
          <c:max val="1"/>
          <c:min val="0.75000000000000011"/>
        </c:scaling>
        <c:delete val="0"/>
        <c:axPos val="l"/>
        <c:title>
          <c:tx>
            <c:rich>
              <a:bodyPr rot="-5400000" vert="horz"/>
              <a:lstStyle/>
              <a:p>
                <a:pPr>
                  <a:defRPr b="0" i="1">
                    <a:solidFill>
                      <a:sysClr val="windowText" lastClr="000000"/>
                    </a:solidFill>
                  </a:defRPr>
                </a:pPr>
                <a:r>
                  <a:rPr lang="en-US" b="0" i="1">
                    <a:solidFill>
                      <a:sysClr val="windowText" lastClr="000000"/>
                    </a:solidFill>
                  </a:rPr>
                  <a:t>Quality index</a:t>
                </a:r>
              </a:p>
            </c:rich>
          </c:tx>
          <c:overlay val="0"/>
        </c:title>
        <c:numFmt formatCode="0%" sourceLinked="0"/>
        <c:majorTickMark val="out"/>
        <c:minorTickMark val="none"/>
        <c:tickLblPos val="nextTo"/>
        <c:spPr>
          <a:ln>
            <a:solidFill>
              <a:schemeClr val="tx1"/>
            </a:solidFill>
          </a:ln>
        </c:spPr>
        <c:crossAx val="97744768"/>
        <c:crosses val="autoZero"/>
        <c:crossBetween val="between"/>
      </c:valAx>
    </c:plotArea>
    <c:plotVisOnly val="1"/>
    <c:dispBlanksAs val="gap"/>
    <c:showDLblsOverMax val="0"/>
  </c:chart>
  <c:spPr>
    <a:solidFill>
      <a:sysClr val="window" lastClr="FFFFFF"/>
    </a:solidFill>
    <a:ln>
      <a:noFill/>
    </a:ln>
  </c:spPr>
  <c:txPr>
    <a:bodyPr/>
    <a:lstStyle/>
    <a:p>
      <a:pPr>
        <a:defRPr sz="800">
          <a:latin typeface="Arial Narrow" panose="020B0606020202030204" pitchFamily="34" charset="0"/>
          <a:cs typeface="Arial" panose="020B060402020202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58462212504248"/>
          <c:y val="5.9747046182334007E-2"/>
          <c:w val="0.85608199131114848"/>
          <c:h val="0.74339950224668505"/>
        </c:manualLayout>
      </c:layout>
      <c:barChart>
        <c:barDir val="col"/>
        <c:grouping val="percentStacked"/>
        <c:varyColors val="0"/>
        <c:ser>
          <c:idx val="0"/>
          <c:order val="0"/>
          <c:tx>
            <c:strRef>
              <c:f>'Trans Quality'!$B$7</c:f>
              <c:strCache>
                <c:ptCount val="1"/>
                <c:pt idx="0">
                  <c:v>Acceptable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'Trans Quality'!$G$6:$P$6</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'Trans Quality'!$G$7:$P$7</c:f>
              <c:numCache>
                <c:formatCode>0%</c:formatCode>
                <c:ptCount val="10"/>
                <c:pt idx="0">
                  <c:v>0.871</c:v>
                </c:pt>
                <c:pt idx="1">
                  <c:v>0.86</c:v>
                </c:pt>
                <c:pt idx="2">
                  <c:v>0.87599999999999989</c:v>
                </c:pt>
                <c:pt idx="3">
                  <c:v>0.86</c:v>
                </c:pt>
                <c:pt idx="4">
                  <c:v>0.86199999999999999</c:v>
                </c:pt>
                <c:pt idx="5">
                  <c:v>0.86199999999999999</c:v>
                </c:pt>
                <c:pt idx="6">
                  <c:v>0.89</c:v>
                </c:pt>
                <c:pt idx="7">
                  <c:v>0.8909999999999999</c:v>
                </c:pt>
                <c:pt idx="8">
                  <c:v>0.91</c:v>
                </c:pt>
                <c:pt idx="9">
                  <c:v>0.91900000000000004</c:v>
                </c:pt>
              </c:numCache>
            </c:numRef>
          </c:val>
          <c:extLst>
            <c:ext xmlns:c16="http://schemas.microsoft.com/office/drawing/2014/chart" uri="{C3380CC4-5D6E-409C-BE32-E72D297353CC}">
              <c16:uniqueId val="{00000000-BD88-4C78-966C-14A4F55278E7}"/>
            </c:ext>
          </c:extLst>
        </c:ser>
        <c:ser>
          <c:idx val="1"/>
          <c:order val="1"/>
          <c:tx>
            <c:strRef>
              <c:f>'Trans Quality'!$B$8</c:f>
              <c:strCache>
                <c:ptCount val="1"/>
                <c:pt idx="0">
                  <c:v>Not Acceptable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Narrow" panose="020B0606020202030204"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'Trans Quality'!$G$6:$P$6</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'Trans Quality'!$G$8:$P$8</c:f>
              <c:numCache>
                <c:formatCode>0%</c:formatCode>
                <c:ptCount val="10"/>
                <c:pt idx="0">
                  <c:v>0.12900000000000006</c:v>
                </c:pt>
                <c:pt idx="1">
                  <c:v>0.14000000000000001</c:v>
                </c:pt>
                <c:pt idx="2">
                  <c:v>0.12400000000000005</c:v>
                </c:pt>
                <c:pt idx="3">
                  <c:v>0.14000000000000001</c:v>
                </c:pt>
                <c:pt idx="4">
                  <c:v>0.13799999999999998</c:v>
                </c:pt>
                <c:pt idx="5">
                  <c:v>0.13799999999999998</c:v>
                </c:pt>
                <c:pt idx="6">
                  <c:v>0.11</c:v>
                </c:pt>
                <c:pt idx="7">
                  <c:v>0.10900000000000006</c:v>
                </c:pt>
                <c:pt idx="8">
                  <c:v>0.09</c:v>
                </c:pt>
                <c:pt idx="9">
                  <c:v>8.0999999999999961E-2</c:v>
                </c:pt>
              </c:numCache>
            </c:numRef>
          </c:val>
          <c:extLst>
            <c:ext xmlns:c16="http://schemas.microsoft.com/office/drawing/2014/chart" uri="{C3380CC4-5D6E-409C-BE32-E72D297353CC}">
              <c16:uniqueId val="{00000001-BD88-4C78-966C-14A4F55278E7}"/>
            </c:ext>
          </c:extLst>
        </c:ser>
        <c:dLbls>
          <c:showLegendKey val="0"/>
          <c:showVal val="0"/>
          <c:showCatName val="0"/>
          <c:showSerName val="0"/>
          <c:showPercent val="0"/>
          <c:showBubbleSize val="0"/>
        </c:dLbls>
        <c:gapWidth val="101"/>
        <c:overlap val="100"/>
        <c:axId val="85215488"/>
        <c:axId val="85246336"/>
      </c:barChart>
      <c:catAx>
        <c:axId val="8521548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5246336"/>
        <c:crossesAt val="0"/>
        <c:auto val="1"/>
        <c:lblAlgn val="ctr"/>
        <c:lblOffset val="100"/>
        <c:tickLblSkip val="1"/>
        <c:tickMarkSkip val="1"/>
        <c:noMultiLvlLbl val="0"/>
      </c:catAx>
      <c:valAx>
        <c:axId val="85246336"/>
        <c:scaling>
          <c:orientation val="minMax"/>
          <c:max val="1"/>
          <c:min val="0"/>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GB" i="1">
                    <a:solidFill>
                      <a:sysClr val="windowText" lastClr="000000"/>
                    </a:solidFill>
                  </a:rPr>
                  <a:t>Distribution of Quality Result</a:t>
                </a:r>
              </a:p>
            </c:rich>
          </c:tx>
          <c:layout>
            <c:manualLayout>
              <c:xMode val="edge"/>
              <c:yMode val="edge"/>
              <c:x val="4.1708780162230112E-2"/>
              <c:y val="0.23583416150651071"/>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85215488"/>
        <c:crosses val="autoZero"/>
        <c:crossBetween val="between"/>
        <c:majorUnit val="0.25"/>
        <c:minorUnit val="0.05"/>
      </c:valAx>
      <c:spPr>
        <a:noFill/>
        <a:ln>
          <a:noFill/>
        </a:ln>
        <a:effectLst/>
      </c:spPr>
    </c:plotArea>
    <c:legend>
      <c:legendPos val="b"/>
      <c:layout>
        <c:manualLayout>
          <c:xMode val="edge"/>
          <c:yMode val="edge"/>
          <c:x val="0.14376601520753743"/>
          <c:y val="0.90452072131760231"/>
          <c:w val="0.25471535888421432"/>
          <c:h val="6.501640764338238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8257904677803122E-2"/>
          <c:y val="5.3030264420830898E-2"/>
          <c:w val="0.89427281870140063"/>
          <c:h val="0.75475779119843034"/>
        </c:manualLayout>
      </c:layout>
      <c:barChart>
        <c:barDir val="col"/>
        <c:grouping val="clustered"/>
        <c:varyColors val="0"/>
        <c:ser>
          <c:idx val="0"/>
          <c:order val="0"/>
          <c:tx>
            <c:strRef>
              <c:f>'PCTIS-QSD'!$H$10</c:f>
              <c:strCache>
                <c:ptCount val="1"/>
                <c:pt idx="0">
                  <c:v>share</c:v>
                </c:pt>
              </c:strCache>
            </c:strRef>
          </c:tx>
          <c:invertIfNegative val="0"/>
          <c:dLbls>
            <c:dLbl>
              <c:idx val="1"/>
              <c:layout>
                <c:manualLayout>
                  <c:x val="0"/>
                  <c:y val="1.1049723756906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1B-4995-AABB-35D07980545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'PCTIS-QSD'!$I$9:$R$9</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'PCTIS-QSD'!$I$10:$R$10</c:f>
              <c:numCache>
                <c:formatCode>0.0%</c:formatCode>
                <c:ptCount val="10"/>
                <c:pt idx="0">
                  <c:v>0.89439999999999997</c:v>
                </c:pt>
                <c:pt idx="1">
                  <c:v>0.94530000000000003</c:v>
                </c:pt>
                <c:pt idx="2">
                  <c:v>0.91869999999999996</c:v>
                </c:pt>
                <c:pt idx="3">
                  <c:v>0.93330000000000002</c:v>
                </c:pt>
                <c:pt idx="4">
                  <c:v>0.93689999999999996</c:v>
                </c:pt>
                <c:pt idx="5">
                  <c:v>0.92300000000000004</c:v>
                </c:pt>
                <c:pt idx="6">
                  <c:v>0.92090000000000005</c:v>
                </c:pt>
                <c:pt idx="7">
                  <c:v>0.91969999999999996</c:v>
                </c:pt>
                <c:pt idx="8">
                  <c:v>0.91979999999999995</c:v>
                </c:pt>
                <c:pt idx="9">
                  <c:v>0.92200000000000004</c:v>
                </c:pt>
              </c:numCache>
            </c:numRef>
          </c:val>
          <c:extLst>
            <c:ext xmlns:c16="http://schemas.microsoft.com/office/drawing/2014/chart" uri="{C3380CC4-5D6E-409C-BE32-E72D297353CC}">
              <c16:uniqueId val="{00000001-881B-4995-AABB-35D07980545E}"/>
            </c:ext>
          </c:extLst>
        </c:ser>
        <c:dLbls>
          <c:showLegendKey val="0"/>
          <c:showVal val="0"/>
          <c:showCatName val="0"/>
          <c:showSerName val="0"/>
          <c:showPercent val="0"/>
          <c:showBubbleSize val="0"/>
        </c:dLbls>
        <c:gapWidth val="101"/>
        <c:axId val="85609472"/>
        <c:axId val="85619840"/>
      </c:barChart>
      <c:catAx>
        <c:axId val="85609472"/>
        <c:scaling>
          <c:orientation val="minMax"/>
        </c:scaling>
        <c:delete val="0"/>
        <c:axPos val="b"/>
        <c:title>
          <c:tx>
            <c:rich>
              <a:bodyPr/>
              <a:lstStyle/>
              <a:p>
                <a:pPr>
                  <a:defRPr/>
                </a:pPr>
                <a:r>
                  <a:rPr lang="en-US"/>
                  <a:t>Year of release</a:t>
                </a:r>
              </a:p>
            </c:rich>
          </c:tx>
          <c:layout>
            <c:manualLayout>
              <c:xMode val="edge"/>
              <c:yMode val="edge"/>
              <c:x val="0.45845397829944157"/>
              <c:y val="0.89326266255553011"/>
            </c:manualLayout>
          </c:layout>
          <c:overlay val="0"/>
        </c:title>
        <c:numFmt formatCode="General" sourceLinked="1"/>
        <c:majorTickMark val="out"/>
        <c:minorTickMark val="none"/>
        <c:tickLblPos val="nextTo"/>
        <c:crossAx val="85619840"/>
        <c:crosses val="autoZero"/>
        <c:auto val="1"/>
        <c:lblAlgn val="ctr"/>
        <c:lblOffset val="100"/>
        <c:noMultiLvlLbl val="0"/>
      </c:catAx>
      <c:valAx>
        <c:axId val="85619840"/>
        <c:scaling>
          <c:orientation val="minMax"/>
          <c:max val="1"/>
          <c:min val="0"/>
        </c:scaling>
        <c:delete val="1"/>
        <c:axPos val="l"/>
        <c:title>
          <c:tx>
            <c:rich>
              <a:bodyPr rot="-5400000" vert="horz"/>
              <a:lstStyle/>
              <a:p>
                <a:pPr>
                  <a:defRPr b="0" i="1"/>
                </a:pPr>
                <a:r>
                  <a:rPr lang="en-US" b="0" i="1"/>
                  <a:t>Quality of Software Development</a:t>
                </a:r>
              </a:p>
            </c:rich>
          </c:tx>
          <c:layout>
            <c:manualLayout>
              <c:xMode val="edge"/>
              <c:yMode val="edge"/>
              <c:x val="2.997751449293137E-2"/>
              <c:y val="0.19284220540393615"/>
            </c:manualLayout>
          </c:layout>
          <c:overlay val="0"/>
        </c:title>
        <c:numFmt formatCode="0%" sourceLinked="0"/>
        <c:majorTickMark val="out"/>
        <c:minorTickMark val="none"/>
        <c:tickLblPos val="nextTo"/>
        <c:crossAx val="85609472"/>
        <c:crosses val="autoZero"/>
        <c:crossBetween val="between"/>
        <c:majorUnit val="0.25"/>
      </c:valAx>
      <c:spPr>
        <a:noFill/>
        <a:ln w="25400">
          <a:noFill/>
        </a:ln>
      </c:spPr>
    </c:plotArea>
    <c:plotVisOnly val="1"/>
    <c:dispBlanksAs val="gap"/>
    <c:showDLblsOverMax val="0"/>
  </c:chart>
  <c:spPr>
    <a:noFill/>
    <a:ln>
      <a:noFill/>
    </a:ln>
  </c:spPr>
  <c:txPr>
    <a:bodyPr/>
    <a:lstStyle/>
    <a:p>
      <a:pPr>
        <a:defRPr sz="800">
          <a:latin typeface="Arial Narrow" panose="020B0606020202030204" pitchFamily="34" charset="0"/>
          <a:cs typeface="Arial" panose="020B0604020202020204"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54549431321084"/>
          <c:y val="6.6795360257387193E-2"/>
          <c:w val="0.82701227563945812"/>
          <c:h val="0.745985945305224"/>
        </c:manualLayout>
      </c:layout>
      <c:barChart>
        <c:barDir val="col"/>
        <c:grouping val="stacked"/>
        <c:varyColors val="0"/>
        <c:ser>
          <c:idx val="0"/>
          <c:order val="0"/>
          <c:spPr>
            <a:solidFill>
              <a:schemeClr val="accent1"/>
            </a:solidFill>
            <a:ln w="25400">
              <a:noFill/>
            </a:ln>
          </c:spPr>
          <c:invertIfNegative val="0"/>
          <c:dLbls>
            <c:dLbl>
              <c:idx val="0"/>
              <c:layout>
                <c:manualLayout>
                  <c:x val="0"/>
                  <c:y val="-0.21627470179547253"/>
                </c:manualLayout>
              </c:layout>
              <c:tx>
                <c:rich>
                  <a:bodyPr/>
                  <a:lstStyle/>
                  <a:p>
                    <a:fld id="{2D397207-416F-45B5-8B00-DFD3A4D7C404}"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E0EF-487E-888D-AA9642F18FBF}"/>
                </c:ext>
              </c:extLst>
            </c:dLbl>
            <c:dLbl>
              <c:idx val="1"/>
              <c:layout>
                <c:manualLayout>
                  <c:x val="0"/>
                  <c:y val="-0.22613679919505458"/>
                </c:manualLayout>
              </c:layout>
              <c:tx>
                <c:rich>
                  <a:bodyPr/>
                  <a:lstStyle/>
                  <a:p>
                    <a:fld id="{FDD573D3-81C9-4933-9CBC-3E909A32FEE0}"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E0EF-487E-888D-AA9642F18FBF}"/>
                </c:ext>
              </c:extLst>
            </c:dLbl>
            <c:dLbl>
              <c:idx val="2"/>
              <c:layout>
                <c:manualLayout>
                  <c:x val="1.5343306482546988E-3"/>
                  <c:y val="-0.23658619299772629"/>
                </c:manualLayout>
              </c:layout>
              <c:tx>
                <c:rich>
                  <a:bodyPr/>
                  <a:lstStyle/>
                  <a:p>
                    <a:fld id="{2B8585B6-0415-41EB-8FB1-579ED33BC1F2}"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E0EF-487E-888D-AA9642F18FBF}"/>
                </c:ext>
              </c:extLst>
            </c:dLbl>
            <c:dLbl>
              <c:idx val="3"/>
              <c:layout>
                <c:manualLayout>
                  <c:x val="-5.6258140537165444E-17"/>
                  <c:y val="-0.24689848505871156"/>
                </c:manualLayout>
              </c:layout>
              <c:tx>
                <c:rich>
                  <a:bodyPr/>
                  <a:lstStyle/>
                  <a:p>
                    <a:fld id="{D2F2D32F-07D1-4D4E-B758-9DACA6CE6B74}"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E0EF-487E-888D-AA9642F18FBF}"/>
                </c:ext>
              </c:extLst>
            </c:dLbl>
            <c:dLbl>
              <c:idx val="4"/>
              <c:layout>
                <c:manualLayout>
                  <c:x val="1.5343734207136392E-3"/>
                  <c:y val="-0.26155245110490227"/>
                </c:manualLayout>
              </c:layout>
              <c:tx>
                <c:rich>
                  <a:bodyPr/>
                  <a:lstStyle/>
                  <a:p>
                    <a:fld id="{0E43B882-D3CE-4599-9C33-88B15FDEC004}"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E0EF-487E-888D-AA9642F18FBF}"/>
                </c:ext>
              </c:extLst>
            </c:dLbl>
            <c:dLbl>
              <c:idx val="5"/>
              <c:layout>
                <c:manualLayout>
                  <c:x val="0"/>
                  <c:y val="-0.28105867411734825"/>
                </c:manualLayout>
              </c:layout>
              <c:tx>
                <c:rich>
                  <a:bodyPr/>
                  <a:lstStyle/>
                  <a:p>
                    <a:fld id="{4E565784-FC27-40B4-B640-50F04DDFEF0F}"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E0EF-487E-888D-AA9642F18FBF}"/>
                </c:ext>
              </c:extLst>
            </c:dLbl>
            <c:dLbl>
              <c:idx val="6"/>
              <c:layout>
                <c:manualLayout>
                  <c:x val="0"/>
                  <c:y val="-0.2916450766234866"/>
                </c:manualLayout>
              </c:layout>
              <c:tx>
                <c:rich>
                  <a:bodyPr/>
                  <a:lstStyle/>
                  <a:p>
                    <a:fld id="{FB8B4E14-DAAE-4118-881F-21E3E207CFF9}"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E0EF-487E-888D-AA9642F18FBF}"/>
                </c:ext>
              </c:extLst>
            </c:dLbl>
            <c:dLbl>
              <c:idx val="7"/>
              <c:layout>
                <c:manualLayout>
                  <c:x val="0"/>
                  <c:y val="-0.30446702226737787"/>
                </c:manualLayout>
              </c:layout>
              <c:tx>
                <c:rich>
                  <a:bodyPr/>
                  <a:lstStyle/>
                  <a:p>
                    <a:fld id="{D86C6560-2F54-4D13-A8DB-8551C1848C1E}"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E0EF-487E-888D-AA9642F18FBF}"/>
                </c:ext>
              </c:extLst>
            </c:dLbl>
            <c:dLbl>
              <c:idx val="8"/>
              <c:layout>
                <c:manualLayout>
                  <c:x val="5.360199540273339E-4"/>
                  <c:y val="-0.33632105664211326"/>
                </c:manualLayout>
              </c:layout>
              <c:tx>
                <c:rich>
                  <a:bodyPr/>
                  <a:lstStyle/>
                  <a:p>
                    <a:fld id="{01B391FB-F260-48EE-8C45-4F89BDCA724F}"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E0EF-487E-888D-AA9642F18FBF}"/>
                </c:ext>
              </c:extLst>
            </c:dLbl>
            <c:dLbl>
              <c:idx val="9"/>
              <c:layout>
                <c:manualLayout>
                  <c:x val="-1.5182709356148066E-16"/>
                  <c:y val="-0.32531843197019727"/>
                </c:manualLayout>
              </c:layout>
              <c:tx>
                <c:rich>
                  <a:bodyPr/>
                  <a:lstStyle/>
                  <a:p>
                    <a:fld id="{227608F2-1B7D-47BC-9B3C-E5A9898879C9}" type="CELLRANGE">
                      <a:rPr lang="en-US"/>
                      <a:pPr/>
                      <a:t>[CELLRANGE]</a:t>
                    </a:fld>
                    <a:endParaRPr lang="en-US"/>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E0EF-487E-888D-AA9642F18FBF}"/>
                </c:ext>
              </c:extLst>
            </c:dLbl>
            <c:spPr>
              <a:noFill/>
              <a:ln>
                <a:noFill/>
              </a:ln>
              <a:effectLst/>
            </c:spPr>
            <c:dLblPos val="inEnd"/>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Applications!$E$6:$N$6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Applications!$E$7:$N$7</c:f>
              <c:numCache>
                <c:formatCode>#,##0</c:formatCode>
                <c:ptCount val="10"/>
                <c:pt idx="0">
                  <c:v>47108</c:v>
                </c:pt>
                <c:pt idx="1">
                  <c:v>48520</c:v>
                </c:pt>
                <c:pt idx="2">
                  <c:v>49057</c:v>
                </c:pt>
                <c:pt idx="3">
                  <c:v>53564</c:v>
                </c:pt>
                <c:pt idx="4">
                  <c:v>57536</c:v>
                </c:pt>
                <c:pt idx="5">
                  <c:v>60965</c:v>
                </c:pt>
                <c:pt idx="6">
                  <c:v>64182</c:v>
                </c:pt>
                <c:pt idx="7">
                  <c:v>63906</c:v>
                </c:pt>
                <c:pt idx="8">
                  <c:v>73500</c:v>
                </c:pt>
                <c:pt idx="9">
                  <c:v>69000</c:v>
                </c:pt>
              </c:numCache>
            </c:numRef>
          </c:val>
          <c:extLst>
            <c:ext xmlns:c15="http://schemas.microsoft.com/office/drawing/2012/chart" uri="{02D57815-91ED-43cb-92C2-25804820EDAC}">
              <c15:datalabelsRange>
                <c15:f>Applications!$E$8:$N$8</c15:f>
                <c15:dlblRangeCache>
                  <c:ptCount val="10"/>
                  <c:pt idx="0">
                    <c:v>5.4%</c:v>
                  </c:pt>
                  <c:pt idx="1">
                    <c:v>3.0%</c:v>
                  </c:pt>
                  <c:pt idx="2">
                    <c:v>1.1%</c:v>
                  </c:pt>
                  <c:pt idx="3">
                    <c:v>9.2%</c:v>
                  </c:pt>
                  <c:pt idx="4">
                    <c:v>7.4%</c:v>
                  </c:pt>
                  <c:pt idx="5">
                    <c:v>6.0%</c:v>
                  </c:pt>
                  <c:pt idx="6">
                    <c:v>5.3%</c:v>
                  </c:pt>
                  <c:pt idx="7">
                    <c:v>-0.4%</c:v>
                  </c:pt>
                  <c:pt idx="8">
                    <c:v>15.0%</c:v>
                  </c:pt>
                  <c:pt idx="9">
                    <c:v>-6.1%</c:v>
                  </c:pt>
                </c15:dlblRangeCache>
              </c15:datalabelsRange>
            </c:ext>
            <c:ext xmlns:c16="http://schemas.microsoft.com/office/drawing/2014/chart" uri="{C3380CC4-5D6E-409C-BE32-E72D297353CC}">
              <c16:uniqueId val="{0000000A-E0EF-487E-888D-AA9642F18FBF}"/>
            </c:ext>
          </c:extLst>
        </c:ser>
        <c:dLbls>
          <c:showLegendKey val="0"/>
          <c:showVal val="0"/>
          <c:showCatName val="0"/>
          <c:showSerName val="0"/>
          <c:showPercent val="0"/>
          <c:showBubbleSize val="0"/>
        </c:dLbls>
        <c:gapWidth val="103"/>
        <c:overlap val="100"/>
        <c:axId val="97198848"/>
        <c:axId val="97200768"/>
      </c:barChart>
      <c:catAx>
        <c:axId val="97198848"/>
        <c:scaling>
          <c:orientation val="minMax"/>
        </c:scaling>
        <c:delete val="0"/>
        <c:axPos val="b"/>
        <c:title>
          <c:tx>
            <c:rich>
              <a:bodyPr/>
              <a:lstStyle/>
              <a:p>
                <a:pPr>
                  <a:defRPr b="1"/>
                </a:pPr>
                <a:r>
                  <a:rPr lang="en-US" b="1"/>
                  <a:t>Year of filing</a:t>
                </a:r>
              </a:p>
            </c:rich>
          </c:tx>
          <c:layout>
            <c:manualLayout>
              <c:xMode val="edge"/>
              <c:yMode val="edge"/>
              <c:x val="0.48819685039370081"/>
              <c:y val="0.90434560567896782"/>
            </c:manualLayout>
          </c:layout>
          <c:overlay val="0"/>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7200768"/>
        <c:crosses val="autoZero"/>
        <c:auto val="1"/>
        <c:lblAlgn val="ctr"/>
        <c:lblOffset val="100"/>
        <c:tickLblSkip val="1"/>
        <c:tickMarkSkip val="1"/>
        <c:noMultiLvlLbl val="0"/>
      </c:catAx>
      <c:valAx>
        <c:axId val="97200768"/>
        <c:scaling>
          <c:orientation val="minMax"/>
          <c:max val="90000"/>
        </c:scaling>
        <c:delete val="0"/>
        <c:axPos val="l"/>
        <c:title>
          <c:tx>
            <c:rich>
              <a:bodyPr/>
              <a:lstStyle/>
              <a:p>
                <a:pPr>
                  <a:defRPr b="0" i="1">
                    <a:solidFill>
                      <a:sysClr val="windowText" lastClr="000000"/>
                    </a:solidFill>
                  </a:defRPr>
                </a:pPr>
                <a:r>
                  <a:rPr lang="en-US" b="0" i="1">
                    <a:solidFill>
                      <a:sysClr val="windowText" lastClr="000000"/>
                    </a:solidFill>
                  </a:rPr>
                  <a:t>Applications </a:t>
                </a:r>
              </a:p>
            </c:rich>
          </c:tx>
          <c:layout>
            <c:manualLayout>
              <c:xMode val="edge"/>
              <c:yMode val="edge"/>
              <c:x val="4.1578715704015265E-2"/>
              <c:y val="0.3428448056896114"/>
            </c:manualLayout>
          </c:layout>
          <c:overlay val="0"/>
          <c:spPr>
            <a:noFill/>
            <a:ln w="25400">
              <a:noFill/>
            </a:ln>
          </c:spPr>
        </c:title>
        <c:numFmt formatCode="#,##0" sourceLinked="0"/>
        <c:majorTickMark val="out"/>
        <c:minorTickMark val="none"/>
        <c:tickLblPos val="nextTo"/>
        <c:spPr>
          <a:noFill/>
          <a:ln w="3175">
            <a:solidFill>
              <a:srgbClr val="000000"/>
            </a:solidFill>
            <a:prstDash val="solid"/>
          </a:ln>
        </c:spPr>
        <c:txPr>
          <a:bodyPr rot="0" vert="horz"/>
          <a:lstStyle/>
          <a:p>
            <a:pPr>
              <a:defRPr/>
            </a:pPr>
            <a:endParaRPr lang="en-US"/>
          </a:p>
        </c:txPr>
        <c:crossAx val="97198848"/>
        <c:crosses val="autoZero"/>
        <c:crossBetween val="between"/>
        <c:majorUnit val="10000"/>
      </c:valAx>
      <c:spPr>
        <a:noFill/>
        <a:ln w="25400">
          <a:noFill/>
        </a:ln>
      </c:spPr>
    </c:plotArea>
    <c:plotVisOnly val="0"/>
    <c:dispBlanksAs val="gap"/>
    <c:showDLblsOverMax val="0"/>
  </c:chart>
  <c:spPr>
    <a:solidFill>
      <a:sysClr val="window" lastClr="FFFFFF"/>
    </a:solidFill>
    <a:ln w="9525">
      <a:noFill/>
    </a:ln>
  </c:spPr>
  <c:txPr>
    <a:bodyPr/>
    <a:lstStyle/>
    <a:p>
      <a:pPr>
        <a:defRPr sz="800" b="0" i="0" u="none" strike="noStrike" baseline="0">
          <a:solidFill>
            <a:sysClr val="windowText" lastClr="000000"/>
          </a:solidFill>
          <a:latin typeface="Arial Narrow" panose="020B0606020202030204" pitchFamily="34" charset="0"/>
          <a:ea typeface="Arial"/>
          <a:cs typeface="Arial"/>
        </a:defRPr>
      </a:pPr>
      <a:endParaRPr lang="en-US"/>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0640501332682"/>
          <c:y val="6.6715252826406418E-2"/>
          <c:w val="0.83457893344727263"/>
          <c:h val="0.74921998827816427"/>
        </c:manualLayout>
      </c:layout>
      <c:barChart>
        <c:barDir val="col"/>
        <c:grouping val="percentStacked"/>
        <c:varyColors val="0"/>
        <c:ser>
          <c:idx val="0"/>
          <c:order val="0"/>
          <c:tx>
            <c:strRef>
              <c:f>Languages!$C$7</c:f>
              <c:strCache>
                <c:ptCount val="1"/>
                <c:pt idx="0">
                  <c:v>English</c:v>
                </c:pt>
              </c:strCache>
            </c:strRef>
          </c:tx>
          <c:spPr>
            <a:solidFill>
              <a:schemeClr val="accent1"/>
            </a:solidFill>
            <a:ln w="25400">
              <a:noFill/>
            </a:ln>
          </c:spPr>
          <c:invertIfNegative val="0"/>
          <c:dPt>
            <c:idx val="0"/>
            <c:invertIfNegative val="0"/>
            <c:bubble3D val="0"/>
            <c:spPr>
              <a:solidFill>
                <a:schemeClr val="accent1"/>
              </a:solidFill>
              <a:ln w="25400">
                <a:noFill/>
              </a:ln>
            </c:spPr>
            <c:extLst>
              <c:ext xmlns:c16="http://schemas.microsoft.com/office/drawing/2014/chart" uri="{C3380CC4-5D6E-409C-BE32-E72D297353CC}">
                <c16:uniqueId val="{00000001-01E8-42B6-960F-AFDAF2219EDD}"/>
              </c:ext>
            </c:extLst>
          </c:dPt>
          <c:dLbls>
            <c:spPr>
              <a:noFill/>
              <a:ln>
                <a:noFill/>
              </a:ln>
              <a:effectLst/>
            </c:spPr>
            <c:txPr>
              <a:bodyPr/>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Languages!$D$6:$M$6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Languages!$D$7:$M$7</c:f>
              <c:numCache>
                <c:formatCode>0%</c:formatCode>
                <c:ptCount val="10"/>
                <c:pt idx="0">
                  <c:v>0.78390000000000004</c:v>
                </c:pt>
                <c:pt idx="1">
                  <c:v>0.79559999999999997</c:v>
                </c:pt>
                <c:pt idx="2">
                  <c:v>0.79820000000000002</c:v>
                </c:pt>
                <c:pt idx="3">
                  <c:v>0.81769999999999998</c:v>
                </c:pt>
                <c:pt idx="4">
                  <c:v>0.82779999999999998</c:v>
                </c:pt>
                <c:pt idx="5">
                  <c:v>0.83009999999999995</c:v>
                </c:pt>
                <c:pt idx="6">
                  <c:v>0.83650000000000002</c:v>
                </c:pt>
                <c:pt idx="7">
                  <c:v>0.85409999999999997</c:v>
                </c:pt>
                <c:pt idx="8">
                  <c:v>0.84960000000000002</c:v>
                </c:pt>
                <c:pt idx="9">
                  <c:v>0.85109999999999997</c:v>
                </c:pt>
              </c:numCache>
            </c:numRef>
          </c:val>
          <c:extLst>
            <c:ext xmlns:c16="http://schemas.microsoft.com/office/drawing/2014/chart" uri="{C3380CC4-5D6E-409C-BE32-E72D297353CC}">
              <c16:uniqueId val="{00000002-01E8-42B6-960F-AFDAF2219EDD}"/>
            </c:ext>
          </c:extLst>
        </c:ser>
        <c:ser>
          <c:idx val="1"/>
          <c:order val="1"/>
          <c:tx>
            <c:strRef>
              <c:f>Languages!$C$8</c:f>
              <c:strCache>
                <c:ptCount val="1"/>
                <c:pt idx="0">
                  <c:v>French</c:v>
                </c:pt>
              </c:strCache>
            </c:strRef>
          </c:tx>
          <c:spPr>
            <a:solidFill>
              <a:schemeClr val="accent2"/>
            </a:solidFill>
            <a:ln w="25400">
              <a:noFill/>
            </a:ln>
          </c:spPr>
          <c:invertIfNegative val="0"/>
          <c:dLbls>
            <c:spPr>
              <a:noFill/>
              <a:ln>
                <a:noFill/>
              </a:ln>
              <a:effectLst/>
            </c:spPr>
            <c:txPr>
              <a:bodyPr/>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Languages!$D$6:$M$6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Languages!$D$8:$M$8</c:f>
              <c:numCache>
                <c:formatCode>0%</c:formatCode>
                <c:ptCount val="10"/>
                <c:pt idx="0">
                  <c:v>0.18759999999999999</c:v>
                </c:pt>
                <c:pt idx="1">
                  <c:v>0.1744</c:v>
                </c:pt>
                <c:pt idx="2">
                  <c:v>0.17349999999999999</c:v>
                </c:pt>
                <c:pt idx="3">
                  <c:v>0.15579999999999999</c:v>
                </c:pt>
                <c:pt idx="4">
                  <c:v>0.1472</c:v>
                </c:pt>
                <c:pt idx="5">
                  <c:v>0.14560000000000001</c:v>
                </c:pt>
                <c:pt idx="6">
                  <c:v>0.1401</c:v>
                </c:pt>
                <c:pt idx="7">
                  <c:v>0.12429999999999999</c:v>
                </c:pt>
                <c:pt idx="8">
                  <c:v>0.1263</c:v>
                </c:pt>
                <c:pt idx="9">
                  <c:v>0.1237</c:v>
                </c:pt>
              </c:numCache>
            </c:numRef>
          </c:val>
          <c:extLst>
            <c:ext xmlns:c16="http://schemas.microsoft.com/office/drawing/2014/chart" uri="{C3380CC4-5D6E-409C-BE32-E72D297353CC}">
              <c16:uniqueId val="{00000003-01E8-42B6-960F-AFDAF2219EDD}"/>
            </c:ext>
          </c:extLst>
        </c:ser>
        <c:ser>
          <c:idx val="2"/>
          <c:order val="2"/>
          <c:tx>
            <c:strRef>
              <c:f>Languages!$C$9</c:f>
              <c:strCache>
                <c:ptCount val="1"/>
                <c:pt idx="0">
                  <c:v>Spanish</c:v>
                </c:pt>
              </c:strCache>
            </c:strRef>
          </c:tx>
          <c:spPr>
            <a:solidFill>
              <a:schemeClr val="accent3">
                <a:lumMod val="60000"/>
                <a:lumOff val="40000"/>
              </a:schemeClr>
            </a:solidFill>
            <a:ln w="25400">
              <a:noFill/>
            </a:ln>
          </c:spPr>
          <c:invertIfNegative val="0"/>
          <c:cat>
            <c:numRef>
              <c:f>Languages!$D$6:$M$6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Languages!$D$9:$M$9</c:f>
              <c:numCache>
                <c:formatCode>0%</c:formatCode>
                <c:ptCount val="10"/>
                <c:pt idx="0">
                  <c:v>2.8400000000000002E-2</c:v>
                </c:pt>
                <c:pt idx="1">
                  <c:v>0.03</c:v>
                </c:pt>
                <c:pt idx="2">
                  <c:v>2.8400000000000002E-2</c:v>
                </c:pt>
                <c:pt idx="3">
                  <c:v>2.6499999999999999E-2</c:v>
                </c:pt>
                <c:pt idx="4">
                  <c:v>2.5000000000000001E-2</c:v>
                </c:pt>
                <c:pt idx="5">
                  <c:v>2.4299999999999999E-2</c:v>
                </c:pt>
                <c:pt idx="6">
                  <c:v>2.35E-2</c:v>
                </c:pt>
                <c:pt idx="7">
                  <c:v>2.1600000000000001E-2</c:v>
                </c:pt>
                <c:pt idx="8">
                  <c:v>2.4199999999999999E-2</c:v>
                </c:pt>
                <c:pt idx="9">
                  <c:v>2.52E-2</c:v>
                </c:pt>
              </c:numCache>
            </c:numRef>
          </c:val>
          <c:extLst>
            <c:ext xmlns:c16="http://schemas.microsoft.com/office/drawing/2014/chart" uri="{C3380CC4-5D6E-409C-BE32-E72D297353CC}">
              <c16:uniqueId val="{00000004-01E8-42B6-960F-AFDAF2219EDD}"/>
            </c:ext>
          </c:extLst>
        </c:ser>
        <c:dLbls>
          <c:showLegendKey val="0"/>
          <c:showVal val="0"/>
          <c:showCatName val="0"/>
          <c:showSerName val="0"/>
          <c:showPercent val="0"/>
          <c:showBubbleSize val="0"/>
        </c:dLbls>
        <c:gapWidth val="104"/>
        <c:overlap val="100"/>
        <c:axId val="94852608"/>
        <c:axId val="94854528"/>
      </c:barChart>
      <c:catAx>
        <c:axId val="94852608"/>
        <c:scaling>
          <c:orientation val="minMax"/>
        </c:scaling>
        <c:delete val="0"/>
        <c:axPos val="b"/>
        <c:title>
          <c:tx>
            <c:rich>
              <a:bodyPr/>
              <a:lstStyle/>
              <a:p>
                <a:pPr>
                  <a:defRPr b="1"/>
                </a:pPr>
                <a:r>
                  <a:rPr lang="en-US" b="1"/>
                  <a:t>Year of filing</a:t>
                </a:r>
              </a:p>
            </c:rich>
          </c:tx>
          <c:layout>
            <c:manualLayout>
              <c:xMode val="edge"/>
              <c:yMode val="edge"/>
              <c:x val="0.50106411117215"/>
              <c:y val="0.89783383873132361"/>
            </c:manualLayout>
          </c:layout>
          <c:overlay val="0"/>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4854528"/>
        <c:crosses val="autoZero"/>
        <c:auto val="1"/>
        <c:lblAlgn val="ctr"/>
        <c:lblOffset val="100"/>
        <c:tickLblSkip val="1"/>
        <c:tickMarkSkip val="1"/>
        <c:noMultiLvlLbl val="0"/>
      </c:catAx>
      <c:valAx>
        <c:axId val="94854528"/>
        <c:scaling>
          <c:orientation val="minMax"/>
        </c:scaling>
        <c:delete val="0"/>
        <c:axPos val="l"/>
        <c:majorGridlines/>
        <c:title>
          <c:tx>
            <c:rich>
              <a:bodyPr/>
              <a:lstStyle/>
              <a:p>
                <a:pPr>
                  <a:defRPr i="1"/>
                </a:pPr>
                <a:r>
                  <a:rPr lang="en-US" i="1"/>
                  <a:t>Distribution of languages</a:t>
                </a:r>
              </a:p>
            </c:rich>
          </c:tx>
          <c:layout>
            <c:manualLayout>
              <c:xMode val="edge"/>
              <c:yMode val="edge"/>
              <c:x val="5.6877820504995014E-2"/>
              <c:y val="0.2375689931962388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4852608"/>
        <c:crosses val="autoZero"/>
        <c:crossBetween val="between"/>
        <c:majorUnit val="0.25"/>
      </c:valAx>
      <c:spPr>
        <a:noFill/>
        <a:ln w="25400">
          <a:noFill/>
        </a:ln>
      </c:spPr>
    </c:plotArea>
    <c:legend>
      <c:legendPos val="b"/>
      <c:layout>
        <c:manualLayout>
          <c:xMode val="edge"/>
          <c:yMode val="edge"/>
          <c:x val="0.14133984414738857"/>
          <c:y val="0.91005138920741702"/>
          <c:w val="0.25840558302305233"/>
          <c:h val="6.4058643155042519E-2"/>
        </c:manualLayout>
      </c:layout>
      <c:overlay val="0"/>
      <c:spPr>
        <a:noFill/>
        <a:ln w="25400">
          <a:noFill/>
        </a:ln>
      </c:spPr>
    </c:legend>
    <c:plotVisOnly val="0"/>
    <c:dispBlanksAs val="gap"/>
    <c:showDLblsOverMax val="0"/>
  </c:chart>
  <c:spPr>
    <a:solidFill>
      <a:sysClr val="window" lastClr="FFFFFF"/>
    </a:solidFill>
    <a:ln w="9525">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57413785409744"/>
          <c:y val="6.0954565145376234E-2"/>
          <c:w val="0.8412312834929635"/>
          <c:h val="0.70345488367352127"/>
        </c:manualLayout>
      </c:layout>
      <c:barChart>
        <c:barDir val="col"/>
        <c:grouping val="stacked"/>
        <c:varyColors val="0"/>
        <c:ser>
          <c:idx val="1"/>
          <c:order val="0"/>
          <c:tx>
            <c:strRef>
              <c:f>Renewals!$C$7</c:f>
              <c:strCache>
                <c:ptCount val="1"/>
                <c:pt idx="0">
                  <c:v>Processed automatically</c:v>
                </c:pt>
              </c:strCache>
            </c:strRef>
          </c:tx>
          <c:spPr>
            <a:solidFill>
              <a:schemeClr val="accent1"/>
            </a:solidFill>
            <a:ln w="25400">
              <a:noFill/>
            </a:ln>
          </c:spPr>
          <c:invertIfNegative val="0"/>
          <c:cat>
            <c:numRef>
              <c:f>Renewals!$D$6:$M$6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Renewals!$D$7:$M$7</c:f>
              <c:numCache>
                <c:formatCode>#,##0</c:formatCode>
                <c:ptCount val="10"/>
                <c:pt idx="0">
                  <c:v>12790</c:v>
                </c:pt>
                <c:pt idx="1">
                  <c:v>14841</c:v>
                </c:pt>
                <c:pt idx="2">
                  <c:v>13056</c:v>
                </c:pt>
                <c:pt idx="3">
                  <c:v>14913</c:v>
                </c:pt>
                <c:pt idx="4">
                  <c:v>15275</c:v>
                </c:pt>
                <c:pt idx="5">
                  <c:v>17044</c:v>
                </c:pt>
                <c:pt idx="6">
                  <c:v>16279</c:v>
                </c:pt>
                <c:pt idx="7">
                  <c:v>18123</c:v>
                </c:pt>
                <c:pt idx="8">
                  <c:v>18318</c:v>
                </c:pt>
                <c:pt idx="9">
                  <c:v>17654</c:v>
                </c:pt>
              </c:numCache>
            </c:numRef>
          </c:val>
          <c:extLst>
            <c:ext xmlns:c16="http://schemas.microsoft.com/office/drawing/2014/chart" uri="{C3380CC4-5D6E-409C-BE32-E72D297353CC}">
              <c16:uniqueId val="{00000000-974D-4FE6-A407-AF73A717C96F}"/>
            </c:ext>
          </c:extLst>
        </c:ser>
        <c:ser>
          <c:idx val="0"/>
          <c:order val="1"/>
          <c:tx>
            <c:strRef>
              <c:f>Renewals!$C$8</c:f>
              <c:strCache>
                <c:ptCount val="1"/>
                <c:pt idx="0">
                  <c:v>Processed manually</c:v>
                </c:pt>
              </c:strCache>
            </c:strRef>
          </c:tx>
          <c:spPr>
            <a:solidFill>
              <a:schemeClr val="accent2"/>
            </a:solidFill>
            <a:ln w="25400">
              <a:noFill/>
            </a:ln>
          </c:spPr>
          <c:invertIfNegative val="0"/>
          <c:cat>
            <c:numRef>
              <c:f>Renewals!$D$6:$M$6</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Renewals!$D$8:$M$8</c:f>
              <c:numCache>
                <c:formatCode>#,##0</c:formatCode>
                <c:ptCount val="10"/>
                <c:pt idx="0">
                  <c:v>10160</c:v>
                </c:pt>
                <c:pt idx="1">
                  <c:v>10793</c:v>
                </c:pt>
                <c:pt idx="2">
                  <c:v>15328</c:v>
                </c:pt>
                <c:pt idx="3">
                  <c:v>14198</c:v>
                </c:pt>
                <c:pt idx="4">
                  <c:v>14320</c:v>
                </c:pt>
                <c:pt idx="5">
                  <c:v>15214</c:v>
                </c:pt>
                <c:pt idx="6">
                  <c:v>12857</c:v>
                </c:pt>
                <c:pt idx="7">
                  <c:v>14708</c:v>
                </c:pt>
                <c:pt idx="8">
                  <c:v>15900</c:v>
                </c:pt>
                <c:pt idx="9">
                  <c:v>20611</c:v>
                </c:pt>
              </c:numCache>
            </c:numRef>
          </c:val>
          <c:extLst>
            <c:ext xmlns:c16="http://schemas.microsoft.com/office/drawing/2014/chart" uri="{C3380CC4-5D6E-409C-BE32-E72D297353CC}">
              <c16:uniqueId val="{00000001-974D-4FE6-A407-AF73A717C96F}"/>
            </c:ext>
          </c:extLst>
        </c:ser>
        <c:dLbls>
          <c:showLegendKey val="0"/>
          <c:showVal val="0"/>
          <c:showCatName val="0"/>
          <c:showSerName val="0"/>
          <c:showPercent val="0"/>
          <c:showBubbleSize val="0"/>
        </c:dLbls>
        <c:gapWidth val="108"/>
        <c:overlap val="100"/>
        <c:axId val="97533312"/>
        <c:axId val="97662464"/>
      </c:barChart>
      <c:catAx>
        <c:axId val="97533312"/>
        <c:scaling>
          <c:orientation val="minMax"/>
        </c:scaling>
        <c:delete val="0"/>
        <c:axPos val="b"/>
        <c:title>
          <c:tx>
            <c:rich>
              <a:bodyPr/>
              <a:lstStyle/>
              <a:p>
                <a:pPr>
                  <a:defRPr b="1"/>
                </a:pPr>
                <a:r>
                  <a:rPr lang="en-US" b="1"/>
                  <a:t>Processing year</a:t>
                </a:r>
              </a:p>
            </c:rich>
          </c:tx>
          <c:layout>
            <c:manualLayout>
              <c:xMode val="edge"/>
              <c:yMode val="edge"/>
              <c:x val="0.46912258069750556"/>
              <c:y val="0.84230835223266998"/>
            </c:manualLayout>
          </c:layout>
          <c:overlay val="0"/>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7662464"/>
        <c:crosses val="autoZero"/>
        <c:auto val="1"/>
        <c:lblAlgn val="ctr"/>
        <c:lblOffset val="100"/>
        <c:noMultiLvlLbl val="0"/>
      </c:catAx>
      <c:valAx>
        <c:axId val="97662464"/>
        <c:scaling>
          <c:orientation val="minMax"/>
        </c:scaling>
        <c:delete val="0"/>
        <c:axPos val="l"/>
        <c:majorGridlines>
          <c:spPr>
            <a:ln>
              <a:noFill/>
            </a:ln>
          </c:spPr>
        </c:majorGridlines>
        <c:title>
          <c:tx>
            <c:rich>
              <a:bodyPr rot="-5400000" vert="horz"/>
              <a:lstStyle/>
              <a:p>
                <a:pPr>
                  <a:defRPr i="1"/>
                </a:pPr>
                <a:r>
                  <a:rPr lang="en-US" i="1"/>
                  <a:t>Renewals</a:t>
                </a:r>
              </a:p>
            </c:rich>
          </c:tx>
          <c:layout>
            <c:manualLayout>
              <c:xMode val="edge"/>
              <c:yMode val="edge"/>
              <c:x val="3.9275152429748446E-2"/>
              <c:y val="0.29845730448742452"/>
            </c:manualLayout>
          </c:layout>
          <c:overlay val="0"/>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97533312"/>
        <c:crosses val="autoZero"/>
        <c:crossBetween val="between"/>
        <c:majorUnit val="5000"/>
      </c:valAx>
      <c:spPr>
        <a:noFill/>
        <a:ln w="25400">
          <a:noFill/>
        </a:ln>
      </c:spPr>
    </c:plotArea>
    <c:legend>
      <c:legendPos val="b"/>
      <c:layout>
        <c:manualLayout>
          <c:xMode val="edge"/>
          <c:yMode val="edge"/>
          <c:x val="0.13295411489328904"/>
          <c:y val="0.9091122832946853"/>
          <c:w val="0.42206347081421625"/>
          <c:h val="6.4058643155042519E-2"/>
        </c:manualLayout>
      </c:layout>
      <c:overlay val="0"/>
      <c:spPr>
        <a:noFill/>
        <a:ln w="25400">
          <a:noFill/>
        </a:ln>
      </c:spPr>
    </c:legend>
    <c:plotVisOnly val="0"/>
    <c:dispBlanksAs val="gap"/>
    <c:showDLblsOverMax val="0"/>
  </c:chart>
  <c:spPr>
    <a:solidFill>
      <a:sysClr val="window" lastClr="FFFFFF"/>
    </a:solidFill>
    <a:ln w="9525">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16153699489264"/>
          <c:y val="4.6683361037256489E-2"/>
          <c:w val="0.84547931508561425"/>
          <c:h val="0.70089080153233541"/>
        </c:manualLayout>
      </c:layout>
      <c:barChart>
        <c:barDir val="col"/>
        <c:grouping val="stacked"/>
        <c:varyColors val="0"/>
        <c:ser>
          <c:idx val="0"/>
          <c:order val="0"/>
          <c:tx>
            <c:strRef>
              <c:f>'Total Workload'!$E$72</c:f>
              <c:strCache>
                <c:ptCount val="1"/>
                <c:pt idx="0">
                  <c:v>Registrations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Workload'!$F$72:$O$72</c:f>
              <c:numCache>
                <c:formatCode>#,##0</c:formatCode>
                <c:ptCount val="10"/>
                <c:pt idx="0">
                  <c:v>44414</c:v>
                </c:pt>
                <c:pt idx="1">
                  <c:v>42430</c:v>
                </c:pt>
                <c:pt idx="2">
                  <c:v>51938</c:v>
                </c:pt>
                <c:pt idx="3">
                  <c:v>44726</c:v>
                </c:pt>
                <c:pt idx="4">
                  <c:v>56267</c:v>
                </c:pt>
                <c:pt idx="5">
                  <c:v>60071</c:v>
                </c:pt>
                <c:pt idx="6">
                  <c:v>64118</c:v>
                </c:pt>
                <c:pt idx="7">
                  <c:v>62062</c:v>
                </c:pt>
                <c:pt idx="8">
                  <c:v>68265</c:v>
                </c:pt>
                <c:pt idx="9">
                  <c:v>68589</c:v>
                </c:pt>
              </c:numCache>
            </c:numRef>
          </c:val>
          <c:extLst>
            <c:ext xmlns:c16="http://schemas.microsoft.com/office/drawing/2014/chart" uri="{C3380CC4-5D6E-409C-BE32-E72D297353CC}">
              <c16:uniqueId val="{00000000-0FEF-4D8A-A625-6B3F5AD3B80D}"/>
            </c:ext>
          </c:extLst>
        </c:ser>
        <c:ser>
          <c:idx val="1"/>
          <c:order val="1"/>
          <c:tx>
            <c:strRef>
              <c:f>'Total Workload'!$E$73</c:f>
              <c:strCache>
                <c:ptCount val="1"/>
                <c:pt idx="0">
                  <c:v>Decisions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Workload'!$F$73:$O$73</c:f>
              <c:numCache>
                <c:formatCode>#,##0</c:formatCode>
                <c:ptCount val="10"/>
                <c:pt idx="0">
                  <c:v>40185.997725105692</c:v>
                </c:pt>
                <c:pt idx="1">
                  <c:v>38661.45925932446</c:v>
                </c:pt>
                <c:pt idx="2">
                  <c:v>38880.81505877935</c:v>
                </c:pt>
                <c:pt idx="3">
                  <c:v>34187.696973750993</c:v>
                </c:pt>
                <c:pt idx="4">
                  <c:v>44336.773846054726</c:v>
                </c:pt>
                <c:pt idx="5">
                  <c:v>48080.439372629102</c:v>
                </c:pt>
                <c:pt idx="6">
                  <c:v>52094.960457944384</c:v>
                </c:pt>
                <c:pt idx="7">
                  <c:v>51819.141053675063</c:v>
                </c:pt>
                <c:pt idx="8">
                  <c:v>55890.062201665831</c:v>
                </c:pt>
                <c:pt idx="9">
                  <c:v>58256.623945947053</c:v>
                </c:pt>
              </c:numCache>
            </c:numRef>
          </c:val>
          <c:extLst>
            <c:ext xmlns:c16="http://schemas.microsoft.com/office/drawing/2014/chart" uri="{C3380CC4-5D6E-409C-BE32-E72D297353CC}">
              <c16:uniqueId val="{00000001-0FEF-4D8A-A625-6B3F5AD3B80D}"/>
            </c:ext>
          </c:extLst>
        </c:ser>
        <c:ser>
          <c:idx val="2"/>
          <c:order val="2"/>
          <c:tx>
            <c:strRef>
              <c:f>'Total Workload'!$E$74</c:f>
              <c:strCache>
                <c:ptCount val="1"/>
                <c:pt idx="0">
                  <c:v>Modifications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Workload'!$F$74:$O$74</c:f>
              <c:numCache>
                <c:formatCode>#,##0</c:formatCode>
                <c:ptCount val="10"/>
                <c:pt idx="0">
                  <c:v>20000</c:v>
                </c:pt>
                <c:pt idx="1">
                  <c:v>21096.195652173912</c:v>
                </c:pt>
                <c:pt idx="2">
                  <c:v>22479.891304347824</c:v>
                </c:pt>
                <c:pt idx="3">
                  <c:v>22034.782608695652</c:v>
                </c:pt>
                <c:pt idx="4">
                  <c:v>23079.891304347824</c:v>
                </c:pt>
                <c:pt idx="5">
                  <c:v>24083.695652173912</c:v>
                </c:pt>
                <c:pt idx="6">
                  <c:v>25610.869565217388</c:v>
                </c:pt>
                <c:pt idx="7">
                  <c:v>25486.956521739128</c:v>
                </c:pt>
                <c:pt idx="8">
                  <c:v>29802.717391304348</c:v>
                </c:pt>
                <c:pt idx="9">
                  <c:v>33788.586956521736</c:v>
                </c:pt>
              </c:numCache>
            </c:numRef>
          </c:val>
          <c:extLst>
            <c:ext xmlns:c16="http://schemas.microsoft.com/office/drawing/2014/chart" uri="{C3380CC4-5D6E-409C-BE32-E72D297353CC}">
              <c16:uniqueId val="{00000002-0FEF-4D8A-A625-6B3F5AD3B80D}"/>
            </c:ext>
          </c:extLst>
        </c:ser>
        <c:ser>
          <c:idx val="3"/>
          <c:order val="3"/>
          <c:tx>
            <c:strRef>
              <c:f>'Total Workload'!$E$75</c:f>
              <c:strCache>
                <c:ptCount val="1"/>
                <c:pt idx="0">
                  <c:v>Corrections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Workload'!$F$75:$O$75</c:f>
              <c:numCache>
                <c:formatCode>#,##0</c:formatCode>
                <c:ptCount val="10"/>
                <c:pt idx="0">
                  <c:v>10827.083333333334</c:v>
                </c:pt>
                <c:pt idx="1">
                  <c:v>12652.083333333334</c:v>
                </c:pt>
                <c:pt idx="2">
                  <c:v>12764.583333333334</c:v>
                </c:pt>
                <c:pt idx="3">
                  <c:v>11447.916666666668</c:v>
                </c:pt>
                <c:pt idx="4">
                  <c:v>11381.25</c:v>
                </c:pt>
                <c:pt idx="5">
                  <c:v>13889.583333333334</c:v>
                </c:pt>
                <c:pt idx="6">
                  <c:v>11833.333333333334</c:v>
                </c:pt>
                <c:pt idx="7">
                  <c:v>11547.916666666668</c:v>
                </c:pt>
                <c:pt idx="8">
                  <c:v>12535.416666666668</c:v>
                </c:pt>
                <c:pt idx="9">
                  <c:v>13627.083333333334</c:v>
                </c:pt>
              </c:numCache>
            </c:numRef>
          </c:val>
          <c:extLst>
            <c:ext xmlns:c16="http://schemas.microsoft.com/office/drawing/2014/chart" uri="{C3380CC4-5D6E-409C-BE32-E72D297353CC}">
              <c16:uniqueId val="{00000003-0FEF-4D8A-A625-6B3F5AD3B80D}"/>
            </c:ext>
          </c:extLst>
        </c:ser>
        <c:ser>
          <c:idx val="4"/>
          <c:order val="4"/>
          <c:tx>
            <c:strRef>
              <c:f>'Total Workload'!$E$76</c:f>
              <c:strCache>
                <c:ptCount val="1"/>
                <c:pt idx="0">
                  <c:v>Renewals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Workload'!$F$76:$O$76</c:f>
              <c:numCache>
                <c:formatCode>#,##0</c:formatCode>
                <c:ptCount val="10"/>
                <c:pt idx="0">
                  <c:v>7100.4745475295658</c:v>
                </c:pt>
                <c:pt idx="1">
                  <c:v>7616.4453877940796</c:v>
                </c:pt>
                <c:pt idx="2">
                  <c:v>10346.082540464895</c:v>
                </c:pt>
                <c:pt idx="3">
                  <c:v>9748.7951076863501</c:v>
                </c:pt>
                <c:pt idx="4">
                  <c:v>9846.2860604780381</c:v>
                </c:pt>
                <c:pt idx="5">
                  <c:v>10508.835081164498</c:v>
                </c:pt>
                <c:pt idx="6">
                  <c:v>8990.8224323091326</c:v>
                </c:pt>
                <c:pt idx="7">
                  <c:v>10255.89720288337</c:v>
                </c:pt>
                <c:pt idx="8">
                  <c:v>11012.339152591601</c:v>
                </c:pt>
                <c:pt idx="9">
                  <c:v>13917.752846918447</c:v>
                </c:pt>
              </c:numCache>
            </c:numRef>
          </c:val>
          <c:extLst>
            <c:ext xmlns:c16="http://schemas.microsoft.com/office/drawing/2014/chart" uri="{C3380CC4-5D6E-409C-BE32-E72D297353CC}">
              <c16:uniqueId val="{00000004-0FEF-4D8A-A625-6B3F5AD3B80D}"/>
            </c:ext>
          </c:extLst>
        </c:ser>
        <c:ser>
          <c:idx val="5"/>
          <c:order val="5"/>
          <c:tx>
            <c:strRef>
              <c:f>'Total Workload'!$E$77</c:f>
              <c:strCache>
                <c:ptCount val="1"/>
                <c:pt idx="0">
                  <c:v>Subsequent designations</c:v>
                </c:pt>
              </c:strCache>
            </c:strRef>
          </c:tx>
          <c:invertIfNegative val="0"/>
          <c:cat>
            <c:numRef>
              <c:f>'Total Workload'!$F$71:$O$71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Workload'!$F$77:$O$77</c:f>
              <c:numCache>
                <c:formatCode>#,##0</c:formatCode>
                <c:ptCount val="10"/>
                <c:pt idx="0">
                  <c:v>7761.95652173913</c:v>
                </c:pt>
                <c:pt idx="1">
                  <c:v>7815.2173913043471</c:v>
                </c:pt>
                <c:pt idx="2">
                  <c:v>7525.9899369519226</c:v>
                </c:pt>
                <c:pt idx="3">
                  <c:v>7330.5371606336212</c:v>
                </c:pt>
                <c:pt idx="4">
                  <c:v>6263.6466137887865</c:v>
                </c:pt>
                <c:pt idx="5">
                  <c:v>6027.2003430543982</c:v>
                </c:pt>
                <c:pt idx="6">
                  <c:v>6776.9361497749933</c:v>
                </c:pt>
                <c:pt idx="7">
                  <c:v>5859.8225566622059</c:v>
                </c:pt>
                <c:pt idx="8">
                  <c:v>6400.5463164256525</c:v>
                </c:pt>
                <c:pt idx="9">
                  <c:v>6353.3983196533791</c:v>
                </c:pt>
              </c:numCache>
            </c:numRef>
          </c:val>
          <c:extLst>
            <c:ext xmlns:c16="http://schemas.microsoft.com/office/drawing/2014/chart" uri="{C3380CC4-5D6E-409C-BE32-E72D297353CC}">
              <c16:uniqueId val="{00000005-0FEF-4D8A-A625-6B3F5AD3B80D}"/>
            </c:ext>
          </c:extLst>
        </c:ser>
        <c:dLbls>
          <c:showLegendKey val="0"/>
          <c:showVal val="0"/>
          <c:showCatName val="0"/>
          <c:showSerName val="0"/>
          <c:showPercent val="0"/>
          <c:showBubbleSize val="0"/>
        </c:dLbls>
        <c:gapWidth val="109"/>
        <c:overlap val="100"/>
        <c:axId val="54957568"/>
        <c:axId val="54959488"/>
        <c:extLst>
          <c:ext xmlns:c15="http://schemas.microsoft.com/office/drawing/2012/chart" uri="{02D57815-91ED-43cb-92C2-25804820EDAC}">
            <c15:filteredBarSeries>
              <c15:ser>
                <c:idx val="6"/>
                <c:order val="6"/>
                <c:invertIfNegative val="0"/>
                <c:cat>
                  <c:numRef>
                    <c:extLst>
                      <c:ext uri="{02D57815-91ED-43cb-92C2-25804820EDAC}">
                        <c15:formulaRef>
                          <c15:sqref>'Total Workload'!$F$71:$O$71</c15:sqref>
                        </c15:formulaRef>
                      </c:ext>
                    </c:extLst>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extLst>
                      <c:ext uri="{02D57815-91ED-43cb-92C2-25804820EDAC}">
                        <c15:formulaRef>
                          <c15:sqref>'Total Workload'!$F$71:$O$71</c15:sqref>
                        </c15:formulaRef>
                      </c:ext>
                    </c:extLst>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val>
                <c:extLst>
                  <c:ext xmlns:c16="http://schemas.microsoft.com/office/drawing/2014/chart" uri="{C3380CC4-5D6E-409C-BE32-E72D297353CC}">
                    <c16:uniqueId val="{00000006-0FEF-4D8A-A625-6B3F5AD3B80D}"/>
                  </c:ext>
                </c:extLst>
              </c15:ser>
            </c15:filteredBarSeries>
          </c:ext>
        </c:extLst>
      </c:barChart>
      <c:catAx>
        <c:axId val="54957568"/>
        <c:scaling>
          <c:orientation val="minMax"/>
        </c:scaling>
        <c:delete val="0"/>
        <c:axPos val="b"/>
        <c:title>
          <c:tx>
            <c:rich>
              <a:bodyPr/>
              <a:lstStyle/>
              <a:p>
                <a:pPr>
                  <a:defRPr/>
                </a:pPr>
                <a:r>
                  <a:rPr lang="en-US"/>
                  <a:t>Processing year</a:t>
                </a:r>
              </a:p>
            </c:rich>
          </c:tx>
          <c:layout>
            <c:manualLayout>
              <c:xMode val="edge"/>
              <c:yMode val="edge"/>
              <c:x val="0.48683729062460696"/>
              <c:y val="0.8418077856350995"/>
            </c:manualLayout>
          </c:layout>
          <c:overlay val="0"/>
        </c:title>
        <c:numFmt formatCode="General" sourceLinked="1"/>
        <c:majorTickMark val="out"/>
        <c:minorTickMark val="none"/>
        <c:tickLblPos val="nextTo"/>
        <c:crossAx val="54959488"/>
        <c:crosses val="autoZero"/>
        <c:auto val="1"/>
        <c:lblAlgn val="ctr"/>
        <c:lblOffset val="100"/>
        <c:noMultiLvlLbl val="0"/>
      </c:catAx>
      <c:valAx>
        <c:axId val="54959488"/>
        <c:scaling>
          <c:orientation val="minMax"/>
        </c:scaling>
        <c:delete val="0"/>
        <c:axPos val="l"/>
        <c:majorGridlines>
          <c:spPr>
            <a:ln>
              <a:noFill/>
            </a:ln>
          </c:spPr>
        </c:majorGridlines>
        <c:title>
          <c:tx>
            <c:rich>
              <a:bodyPr rot="-5400000" vert="horz"/>
              <a:lstStyle/>
              <a:p>
                <a:pPr>
                  <a:defRPr b="0" i="1"/>
                </a:pPr>
                <a:r>
                  <a:rPr lang="en-US" b="0" i="1"/>
                  <a:t>Workload</a:t>
                </a:r>
              </a:p>
            </c:rich>
          </c:tx>
          <c:layout>
            <c:manualLayout>
              <c:xMode val="edge"/>
              <c:yMode val="edge"/>
              <c:x val="3.6470468603705238E-2"/>
              <c:y val="0.30946504670787117"/>
            </c:manualLayout>
          </c:layout>
          <c:overlay val="0"/>
        </c:title>
        <c:numFmt formatCode="#,##0" sourceLinked="1"/>
        <c:majorTickMark val="out"/>
        <c:minorTickMark val="none"/>
        <c:tickLblPos val="nextTo"/>
        <c:crossAx val="54957568"/>
        <c:crosses val="autoZero"/>
        <c:crossBetween val="between"/>
      </c:valAx>
    </c:plotArea>
    <c:legend>
      <c:legendPos val="b"/>
      <c:layout>
        <c:manualLayout>
          <c:xMode val="edge"/>
          <c:yMode val="edge"/>
          <c:x val="0.1304646115526131"/>
          <c:y val="0.92349159902723443"/>
          <c:w val="0.86953543015271872"/>
          <c:h val="6.3778498609510403E-2"/>
        </c:manualLayout>
      </c:layout>
      <c:overlay val="0"/>
    </c:legend>
    <c:plotVisOnly val="1"/>
    <c:dispBlanksAs val="gap"/>
    <c:showDLblsOverMax val="0"/>
  </c:chart>
  <c:spPr>
    <a:solidFill>
      <a:sysClr val="window" lastClr="FFFFFF"/>
    </a:solidFill>
    <a:ln>
      <a:noFill/>
    </a:ln>
  </c:spPr>
  <c:txPr>
    <a:bodyPr/>
    <a:lstStyle/>
    <a:p>
      <a:pPr>
        <a:defRPr sz="800">
          <a:latin typeface="Arial Narrow" panose="020B0606020202030204" pitchFamily="34"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072426933282251"/>
          <c:y val="5.4423485082216547E-2"/>
          <c:w val="0.71403116568470903"/>
          <c:h val="0.72588714727384729"/>
        </c:manualLayout>
      </c:layout>
      <c:barChart>
        <c:barDir val="col"/>
        <c:grouping val="percentStacked"/>
        <c:varyColors val="0"/>
        <c:ser>
          <c:idx val="4"/>
          <c:order val="0"/>
          <c:tx>
            <c:strRef>
              <c:f>Medium!$F$10</c:f>
              <c:strCache>
                <c:ptCount val="1"/>
                <c:pt idx="0">
                  <c:v>Paper</c:v>
                </c:pt>
              </c:strCache>
            </c:strRef>
          </c:tx>
          <c:spPr>
            <a:solidFill>
              <a:schemeClr val="accent1"/>
            </a:solidFill>
            <a:ln w="25400">
              <a:noFill/>
            </a:ln>
          </c:spPr>
          <c:invertIfNegative val="0"/>
          <c:dLbls>
            <c:spPr>
              <a:noFill/>
              <a:ln w="25400">
                <a:noFill/>
              </a:ln>
            </c:spPr>
            <c:txPr>
              <a:bodyPr/>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Medium!$G$3:$K$3</c:f>
              <c:numCache>
                <c:formatCode>0</c:formatCode>
                <c:ptCount val="5"/>
                <c:pt idx="0">
                  <c:v>2018</c:v>
                </c:pt>
                <c:pt idx="1">
                  <c:v>2019</c:v>
                </c:pt>
                <c:pt idx="2">
                  <c:v>2020</c:v>
                </c:pt>
                <c:pt idx="3">
                  <c:v>2021</c:v>
                </c:pt>
                <c:pt idx="4">
                  <c:v>2022</c:v>
                </c:pt>
              </c:numCache>
            </c:numRef>
          </c:cat>
          <c:val>
            <c:numRef>
              <c:f>Medium!$G$10:$K$10</c:f>
              <c:numCache>
                <c:formatCode>0%</c:formatCode>
                <c:ptCount val="5"/>
                <c:pt idx="0">
                  <c:v>0.17573862796792733</c:v>
                </c:pt>
                <c:pt idx="1">
                  <c:v>0.20946190258992908</c:v>
                </c:pt>
                <c:pt idx="2">
                  <c:v>0.18940212777169491</c:v>
                </c:pt>
                <c:pt idx="3">
                  <c:v>0.1771045348876131</c:v>
                </c:pt>
                <c:pt idx="4">
                  <c:v>0.14906516156353955</c:v>
                </c:pt>
              </c:numCache>
            </c:numRef>
          </c:val>
          <c:extLst>
            <c:ext xmlns:c16="http://schemas.microsoft.com/office/drawing/2014/chart" uri="{C3380CC4-5D6E-409C-BE32-E72D297353CC}">
              <c16:uniqueId val="{00000000-BDC6-4772-A1EF-FAAEFCD38723}"/>
            </c:ext>
          </c:extLst>
        </c:ser>
        <c:ser>
          <c:idx val="0"/>
          <c:order val="1"/>
          <c:tx>
            <c:strRef>
              <c:f>Medium!$F$11</c:f>
              <c:strCache>
                <c:ptCount val="1"/>
                <c:pt idx="0">
                  <c:v>Electronic</c:v>
                </c:pt>
              </c:strCache>
            </c:strRef>
          </c:tx>
          <c:spPr>
            <a:solidFill>
              <a:schemeClr val="accent2"/>
            </a:solidFill>
            <a:ln w="25400">
              <a:noFill/>
            </a:ln>
          </c:spPr>
          <c:invertIfNegative val="0"/>
          <c:dLbls>
            <c:spPr>
              <a:noFill/>
              <a:ln w="25400">
                <a:noFill/>
              </a:ln>
            </c:spPr>
            <c:txPr>
              <a:bodyPr/>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Medium!$G$3:$K$3</c:f>
              <c:numCache>
                <c:formatCode>0</c:formatCode>
                <c:ptCount val="5"/>
                <c:pt idx="0">
                  <c:v>2018</c:v>
                </c:pt>
                <c:pt idx="1">
                  <c:v>2019</c:v>
                </c:pt>
                <c:pt idx="2">
                  <c:v>2020</c:v>
                </c:pt>
                <c:pt idx="3">
                  <c:v>2021</c:v>
                </c:pt>
                <c:pt idx="4">
                  <c:v>2022</c:v>
                </c:pt>
              </c:numCache>
            </c:numRef>
          </c:cat>
          <c:val>
            <c:numRef>
              <c:f>Medium!$G$11:$K$11</c:f>
              <c:numCache>
                <c:formatCode>0%</c:formatCode>
                <c:ptCount val="5"/>
                <c:pt idx="0">
                  <c:v>0.82426137203207261</c:v>
                </c:pt>
                <c:pt idx="1">
                  <c:v>0.79053809741007097</c:v>
                </c:pt>
                <c:pt idx="2">
                  <c:v>0.81059787222830515</c:v>
                </c:pt>
                <c:pt idx="3">
                  <c:v>0.82289546511238687</c:v>
                </c:pt>
                <c:pt idx="4">
                  <c:v>0.85093483843646045</c:v>
                </c:pt>
              </c:numCache>
            </c:numRef>
          </c:val>
          <c:extLst>
            <c:ext xmlns:c16="http://schemas.microsoft.com/office/drawing/2014/chart" uri="{C3380CC4-5D6E-409C-BE32-E72D297353CC}">
              <c16:uniqueId val="{00000001-BDC6-4772-A1EF-FAAEFCD38723}"/>
            </c:ext>
          </c:extLst>
        </c:ser>
        <c:dLbls>
          <c:showLegendKey val="0"/>
          <c:showVal val="0"/>
          <c:showCatName val="0"/>
          <c:showSerName val="0"/>
          <c:showPercent val="0"/>
          <c:showBubbleSize val="0"/>
        </c:dLbls>
        <c:gapWidth val="100"/>
        <c:overlap val="100"/>
        <c:axId val="96942336"/>
        <c:axId val="96964992"/>
      </c:barChart>
      <c:catAx>
        <c:axId val="96942336"/>
        <c:scaling>
          <c:orientation val="minMax"/>
        </c:scaling>
        <c:delete val="0"/>
        <c:axPos val="b"/>
        <c:title>
          <c:tx>
            <c:rich>
              <a:bodyPr/>
              <a:lstStyle/>
              <a:p>
                <a:pPr>
                  <a:defRPr b="1"/>
                </a:pPr>
                <a:r>
                  <a:rPr lang="en-US" b="1"/>
                  <a:t>Year of receipt</a:t>
                </a:r>
              </a:p>
            </c:rich>
          </c:tx>
          <c:layout>
            <c:manualLayout>
              <c:xMode val="edge"/>
              <c:yMode val="edge"/>
              <c:x val="0.46036181177928576"/>
              <c:y val="0.85651370131815641"/>
            </c:manualLayout>
          </c:layout>
          <c:overlay val="0"/>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6964992"/>
        <c:crosses val="autoZero"/>
        <c:auto val="1"/>
        <c:lblAlgn val="ctr"/>
        <c:lblOffset val="100"/>
        <c:tickLblSkip val="1"/>
        <c:tickMarkSkip val="1"/>
        <c:noMultiLvlLbl val="0"/>
      </c:catAx>
      <c:valAx>
        <c:axId val="96964992"/>
        <c:scaling>
          <c:orientation val="minMax"/>
        </c:scaling>
        <c:delete val="0"/>
        <c:axPos val="l"/>
        <c:majorGridlines>
          <c:spPr>
            <a:ln>
              <a:noFill/>
            </a:ln>
          </c:spPr>
        </c:majorGridlines>
        <c:title>
          <c:tx>
            <c:rich>
              <a:bodyPr/>
              <a:lstStyle/>
              <a:p>
                <a:pPr>
                  <a:defRPr i="1"/>
                </a:pPr>
                <a:r>
                  <a:rPr lang="en-US" i="1"/>
                  <a:t>Share</a:t>
                </a:r>
              </a:p>
            </c:rich>
          </c:tx>
          <c:layout>
            <c:manualLayout>
              <c:xMode val="edge"/>
              <c:yMode val="edge"/>
              <c:x val="0.10885285212668953"/>
              <c:y val="0.3720319345682023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6942336"/>
        <c:crosses val="autoZero"/>
        <c:crossBetween val="between"/>
        <c:majorUnit val="0.25"/>
        <c:minorUnit val="0.04"/>
      </c:valAx>
      <c:spPr>
        <a:noFill/>
        <a:ln w="25400">
          <a:noFill/>
        </a:ln>
      </c:spPr>
    </c:plotArea>
    <c:legend>
      <c:legendPos val="b"/>
      <c:layout>
        <c:manualLayout>
          <c:xMode val="edge"/>
          <c:yMode val="edge"/>
          <c:x val="0.17539475293448248"/>
          <c:y val="0.91464265019298951"/>
          <c:w val="0.40592037883376464"/>
          <c:h val="6.3851980746090678E-2"/>
        </c:manualLayout>
      </c:layout>
      <c:overlay val="0"/>
      <c:spPr>
        <a:noFill/>
        <a:ln w="25400">
          <a:noFill/>
        </a:ln>
      </c:spPr>
    </c:legend>
    <c:plotVisOnly val="0"/>
    <c:dispBlanksAs val="gap"/>
    <c:showDLblsOverMax val="0"/>
  </c:chart>
  <c:spPr>
    <a:solidFill>
      <a:sysClr val="window" lastClr="FFFFFF"/>
    </a:solidFill>
    <a:ln w="9525">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16460905349794"/>
          <c:y val="8.7765653087576279E-2"/>
          <c:w val="0.87288681507404187"/>
          <c:h val="0.73633913124203521"/>
        </c:manualLayout>
      </c:layout>
      <c:barChart>
        <c:barDir val="col"/>
        <c:grouping val="stacked"/>
        <c:varyColors val="0"/>
        <c:ser>
          <c:idx val="0"/>
          <c:order val="0"/>
          <c:tx>
            <c:strRef>
              <c:f>'Unit Costs'!$D$36</c:f>
              <c:strCache>
                <c:ptCount val="1"/>
                <c:pt idx="0">
                  <c:v>Direct costs</c:v>
                </c:pt>
              </c:strCache>
            </c:strRef>
          </c:tx>
          <c:spPr>
            <a:solidFill>
              <a:schemeClr val="accent1"/>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Costs'!$E$35:$K$35</c:f>
              <c:numCache>
                <c:formatCode>0</c:formatCode>
                <c:ptCount val="7"/>
                <c:pt idx="0">
                  <c:v>2016</c:v>
                </c:pt>
                <c:pt idx="1">
                  <c:v>2017</c:v>
                </c:pt>
                <c:pt idx="2">
                  <c:v>2018</c:v>
                </c:pt>
                <c:pt idx="3">
                  <c:v>2019</c:v>
                </c:pt>
                <c:pt idx="4">
                  <c:v>2020</c:v>
                </c:pt>
                <c:pt idx="5">
                  <c:v>2021</c:v>
                </c:pt>
                <c:pt idx="6">
                  <c:v>2022</c:v>
                </c:pt>
              </c:numCache>
            </c:numRef>
          </c:cat>
          <c:val>
            <c:numRef>
              <c:f>'Unit Costs'!$E$36:$K$36</c:f>
              <c:numCache>
                <c:formatCode>_-* #,##0_-;\-* #,##0_-;_-* "-"??_-;_-@_-</c:formatCode>
                <c:ptCount val="7"/>
                <c:pt idx="0">
                  <c:v>456.17713131954122</c:v>
                </c:pt>
                <c:pt idx="1">
                  <c:v>432.79037101825986</c:v>
                </c:pt>
                <c:pt idx="2">
                  <c:v>375.97727066977211</c:v>
                </c:pt>
                <c:pt idx="3">
                  <c:v>390.81834573389932</c:v>
                </c:pt>
                <c:pt idx="4">
                  <c:v>367.75155707096746</c:v>
                </c:pt>
                <c:pt idx="5">
                  <c:v>347.65390834782102</c:v>
                </c:pt>
                <c:pt idx="6" formatCode="_(* #,##0_);_(* \(#,##0\);_(* &quot;-&quot;??_);_(@_)">
                  <c:v>326.27457440592048</c:v>
                </c:pt>
              </c:numCache>
            </c:numRef>
          </c:val>
          <c:extLst>
            <c:ext xmlns:c16="http://schemas.microsoft.com/office/drawing/2014/chart" uri="{C3380CC4-5D6E-409C-BE32-E72D297353CC}">
              <c16:uniqueId val="{00000000-1D70-4DCF-8C2F-887A9968D6C8}"/>
            </c:ext>
          </c:extLst>
        </c:ser>
        <c:ser>
          <c:idx val="1"/>
          <c:order val="1"/>
          <c:tx>
            <c:strRef>
              <c:f>'Unit Costs'!$D$37</c:f>
              <c:strCache>
                <c:ptCount val="1"/>
                <c:pt idx="0">
                  <c:v>Indirect costs</c:v>
                </c:pt>
              </c:strCache>
            </c:strRef>
          </c:tx>
          <c:spPr>
            <a:solidFill>
              <a:schemeClr val="accent2"/>
            </a:solidFill>
            <a:ln>
              <a:noFill/>
            </a:ln>
            <a:effectLst/>
          </c:spPr>
          <c:invertIfNegative val="0"/>
          <c:dLbls>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'Unit Costs'!$E$35:$K$35</c:f>
              <c:numCache>
                <c:formatCode>0</c:formatCode>
                <c:ptCount val="7"/>
                <c:pt idx="0">
                  <c:v>2016</c:v>
                </c:pt>
                <c:pt idx="1">
                  <c:v>2017</c:v>
                </c:pt>
                <c:pt idx="2">
                  <c:v>2018</c:v>
                </c:pt>
                <c:pt idx="3">
                  <c:v>2019</c:v>
                </c:pt>
                <c:pt idx="4">
                  <c:v>2020</c:v>
                </c:pt>
                <c:pt idx="5">
                  <c:v>2021</c:v>
                </c:pt>
                <c:pt idx="6">
                  <c:v>2022</c:v>
                </c:pt>
              </c:numCache>
            </c:numRef>
          </c:cat>
          <c:val>
            <c:numRef>
              <c:f>'Unit Costs'!$E$37:$K$37</c:f>
              <c:numCache>
                <c:formatCode>_-* #,##0_-;\-* #,##0_-;_-* "-"??_-;_-@_-</c:formatCode>
                <c:ptCount val="7"/>
                <c:pt idx="0">
                  <c:v>324.47477448132992</c:v>
                </c:pt>
                <c:pt idx="1">
                  <c:v>345.91210130378846</c:v>
                </c:pt>
                <c:pt idx="2">
                  <c:v>272.36692886034734</c:v>
                </c:pt>
                <c:pt idx="3">
                  <c:v>286.73275225606625</c:v>
                </c:pt>
                <c:pt idx="4">
                  <c:v>257.5104164660205</c:v>
                </c:pt>
                <c:pt idx="5">
                  <c:v>250.27190209374771</c:v>
                </c:pt>
                <c:pt idx="6">
                  <c:v>236.3797003583071</c:v>
                </c:pt>
              </c:numCache>
            </c:numRef>
          </c:val>
          <c:extLst>
            <c:ext xmlns:c16="http://schemas.microsoft.com/office/drawing/2014/chart" uri="{C3380CC4-5D6E-409C-BE32-E72D297353CC}">
              <c16:uniqueId val="{00000001-1D70-4DCF-8C2F-887A9968D6C8}"/>
            </c:ext>
          </c:extLst>
        </c:ser>
        <c:ser>
          <c:idx val="2"/>
          <c:order val="2"/>
          <c:spPr>
            <a:noFill/>
            <a:ln>
              <a:noFill/>
            </a:ln>
            <a:effectLst/>
          </c:spPr>
          <c:invertIfNegative val="0"/>
          <c:dLbls>
            <c:dLbl>
              <c:idx val="0"/>
              <c:layout>
                <c:manualLayout>
                  <c:x val="-1.121087381260071E-3"/>
                  <c:y val="0.12890498012507279"/>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1D70-4DCF-8C2F-887A9968D6C8}"/>
                </c:ext>
              </c:extLst>
            </c:dLbl>
            <c:dLbl>
              <c:idx val="1"/>
              <c:layout>
                <c:manualLayout>
                  <c:x val="0"/>
                  <c:y val="0.1272248525204446"/>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1D70-4DCF-8C2F-887A9968D6C8}"/>
                </c:ext>
              </c:extLst>
            </c:dLbl>
            <c:dLbl>
              <c:idx val="2"/>
              <c:layout>
                <c:manualLayout>
                  <c:x val="1.0396611863234546E-3"/>
                  <c:y val="0.22881501548640826"/>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1D70-4DCF-8C2F-887A9968D6C8}"/>
                </c:ext>
              </c:extLst>
            </c:dLbl>
            <c:dLbl>
              <c:idx val="3"/>
              <c:layout>
                <c:manualLayout>
                  <c:x val="-6.2705375959147026E-4"/>
                  <c:y val="0.2098366964579588"/>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1D70-4DCF-8C2F-887A9968D6C8}"/>
                </c:ext>
              </c:extLst>
            </c:dLbl>
            <c:dLbl>
              <c:idx val="4"/>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1D70-4DCF-8C2F-887A9968D6C8}"/>
                </c:ext>
              </c:extLst>
            </c:dLbl>
            <c:dLbl>
              <c:idx val="5"/>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1D70-4DCF-8C2F-887A9968D6C8}"/>
                </c:ext>
              </c:extLst>
            </c:dLbl>
            <c:dLbl>
              <c:idx val="6"/>
              <c:tx>
                <c:rich>
                  <a:bodyPr rot="0" vert="horz"/>
                  <a:lstStyle/>
                  <a:p>
                    <a:pPr>
                      <a:defRPr/>
                    </a:pPr>
                    <a:r>
                      <a:rPr lang="en-US"/>
                      <a:t>562</a:t>
                    </a:r>
                  </a:p>
                </c:rich>
              </c:tx>
              <c:spPr>
                <a:noFill/>
                <a:ln>
                  <a:noFill/>
                </a:ln>
                <a:effectLst/>
              </c:sp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1D70-4DCF-8C2F-887A9968D6C8}"/>
                </c:ext>
              </c:extLst>
            </c:dLbl>
            <c:dLbl>
              <c:idx val="7"/>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1D70-4DCF-8C2F-887A9968D6C8}"/>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'Unit Costs'!$E$35:$K$35</c:f>
              <c:numCache>
                <c:formatCode>0</c:formatCode>
                <c:ptCount val="7"/>
                <c:pt idx="0">
                  <c:v>2016</c:v>
                </c:pt>
                <c:pt idx="1">
                  <c:v>2017</c:v>
                </c:pt>
                <c:pt idx="2">
                  <c:v>2018</c:v>
                </c:pt>
                <c:pt idx="3">
                  <c:v>2019</c:v>
                </c:pt>
                <c:pt idx="4">
                  <c:v>2020</c:v>
                </c:pt>
                <c:pt idx="5">
                  <c:v>2021</c:v>
                </c:pt>
                <c:pt idx="6">
                  <c:v>2022</c:v>
                </c:pt>
              </c:numCache>
            </c:numRef>
          </c:cat>
          <c:val>
            <c:numRef>
              <c:f>'Unit Costs'!$E$38:$K$38</c:f>
              <c:numCache>
                <c:formatCode>_-* #,##0_-;\-* #,##0_-;_-* "-"??_-;_-@_-</c:formatCode>
                <c:ptCount val="7"/>
                <c:pt idx="0">
                  <c:v>780.65190580087119</c:v>
                </c:pt>
                <c:pt idx="1">
                  <c:v>779</c:v>
                </c:pt>
                <c:pt idx="2">
                  <c:v>648.34419953011945</c:v>
                </c:pt>
                <c:pt idx="3">
                  <c:v>677.55109798996557</c:v>
                </c:pt>
                <c:pt idx="4">
                  <c:v>625.26197353698797</c:v>
                </c:pt>
                <c:pt idx="5">
                  <c:v>597.92581044156873</c:v>
                </c:pt>
                <c:pt idx="6">
                  <c:v>562.65427476422758</c:v>
                </c:pt>
              </c:numCache>
            </c:numRef>
          </c:val>
          <c:extLst>
            <c:ext xmlns:c16="http://schemas.microsoft.com/office/drawing/2014/chart" uri="{C3380CC4-5D6E-409C-BE32-E72D297353CC}">
              <c16:uniqueId val="{0000000A-1D70-4DCF-8C2F-887A9968D6C8}"/>
            </c:ext>
          </c:extLst>
        </c:ser>
        <c:dLbls>
          <c:showLegendKey val="0"/>
          <c:showVal val="0"/>
          <c:showCatName val="0"/>
          <c:showSerName val="0"/>
          <c:showPercent val="0"/>
          <c:showBubbleSize val="0"/>
        </c:dLbls>
        <c:gapWidth val="101"/>
        <c:overlap val="100"/>
        <c:axId val="81231232"/>
        <c:axId val="80807424"/>
      </c:barChart>
      <c:catAx>
        <c:axId val="81231232"/>
        <c:scaling>
          <c:orientation val="minMax"/>
        </c:scaling>
        <c:delete val="0"/>
        <c:axPos val="b"/>
        <c:title>
          <c:tx>
            <c:rich>
              <a:bodyPr rot="0" vert="horz"/>
              <a:lstStyle/>
              <a:p>
                <a:pPr>
                  <a:defRPr/>
                </a:pPr>
                <a:r>
                  <a:rPr lang="en-US"/>
                  <a:t>Processing Year</a:t>
                </a:r>
              </a:p>
            </c:rich>
          </c:tx>
          <c:layout>
            <c:manualLayout>
              <c:xMode val="edge"/>
              <c:yMode val="edge"/>
              <c:x val="0.47751495676740402"/>
              <c:y val="0.8968966500356379"/>
            </c:manualLayout>
          </c:layout>
          <c:overlay val="0"/>
          <c:spPr>
            <a:noFill/>
            <a:ln>
              <a:noFill/>
            </a:ln>
            <a:effectLst/>
          </c:sp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0"/>
          <a:lstStyle/>
          <a:p>
            <a:pPr>
              <a:defRPr/>
            </a:pPr>
            <a:endParaRPr lang="en-US"/>
          </a:p>
        </c:txPr>
        <c:crossAx val="80807424"/>
        <c:crosses val="autoZero"/>
        <c:auto val="1"/>
        <c:lblAlgn val="ctr"/>
        <c:lblOffset val="100"/>
        <c:tickLblSkip val="1"/>
        <c:tickMarkSkip val="1"/>
        <c:noMultiLvlLbl val="0"/>
      </c:catAx>
      <c:valAx>
        <c:axId val="80807424"/>
        <c:scaling>
          <c:orientation val="minMax"/>
          <c:max val="900"/>
          <c:min val="0"/>
        </c:scaling>
        <c:delete val="0"/>
        <c:axPos val="l"/>
        <c:title>
          <c:tx>
            <c:rich>
              <a:bodyPr rot="-5400000" vert="horz"/>
              <a:lstStyle/>
              <a:p>
                <a:pPr>
                  <a:defRPr b="0" i="1"/>
                </a:pPr>
                <a:r>
                  <a:rPr lang="en-US" b="0" i="1"/>
                  <a:t>Unit cost per new/renewed international </a:t>
                </a:r>
              </a:p>
              <a:p>
                <a:pPr>
                  <a:defRPr b="0" i="1"/>
                </a:pPr>
                <a:r>
                  <a:rPr lang="en-US" b="0" i="1"/>
                  <a:t>registration (CHF)</a:t>
                </a:r>
              </a:p>
            </c:rich>
          </c:tx>
          <c:layout>
            <c:manualLayout>
              <c:xMode val="edge"/>
              <c:yMode val="edge"/>
              <c:x val="4.4157674735102537E-3"/>
              <c:y val="0.17355555342945436"/>
            </c:manualLayout>
          </c:layout>
          <c:overlay val="0"/>
          <c:spPr>
            <a:noFill/>
            <a:ln>
              <a:noFill/>
            </a:ln>
            <a:effectLst/>
          </c:sp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0"/>
          <a:lstStyle/>
          <a:p>
            <a:pPr>
              <a:defRPr/>
            </a:pPr>
            <a:endParaRPr lang="en-US"/>
          </a:p>
        </c:txPr>
        <c:crossAx val="81231232"/>
        <c:crosses val="autoZero"/>
        <c:crossBetween val="between"/>
        <c:majorUnit val="150"/>
        <c:minorUnit val="50"/>
      </c:valAx>
      <c:spPr>
        <a:noFill/>
        <a:ln>
          <a:noFill/>
        </a:ln>
        <a:effectLst/>
      </c:spPr>
    </c:plotArea>
    <c:legend>
      <c:legendPos val="b"/>
      <c:legendEntry>
        <c:idx val="2"/>
        <c:delete val="1"/>
      </c:legendEntry>
      <c:layout>
        <c:manualLayout>
          <c:xMode val="edge"/>
          <c:yMode val="edge"/>
          <c:x val="0.13515097848352167"/>
          <c:y val="0.91752790787520588"/>
          <c:w val="0.26920989973437986"/>
          <c:h val="5.8203264180219524E-2"/>
        </c:manualLayout>
      </c:layout>
      <c:overlay val="0"/>
      <c:spPr>
        <a:noFill/>
        <a:ln>
          <a:noFill/>
        </a:ln>
        <a:effectLst/>
      </c:spPr>
      <c:txPr>
        <a:bodyPr rot="0" vert="horz"/>
        <a:lstStyle/>
        <a:p>
          <a:pPr>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solidFill>
            <a:sysClr val="windowText" lastClr="000000"/>
          </a:solidFill>
          <a:latin typeface="Arial Narrow" panose="020B0606020202030204" pitchFamily="34"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77962929052473"/>
          <c:y val="7.0944459916786926E-2"/>
          <c:w val="0.87072404321552832"/>
          <c:h val="0.73633913124203521"/>
        </c:manualLayout>
      </c:layout>
      <c:barChart>
        <c:barDir val="col"/>
        <c:grouping val="stacked"/>
        <c:varyColors val="0"/>
        <c:ser>
          <c:idx val="0"/>
          <c:order val="0"/>
          <c:tx>
            <c:strRef>
              <c:f>'Unit Costs'!$D$36</c:f>
              <c:strCache>
                <c:ptCount val="1"/>
                <c:pt idx="0">
                  <c:v>Direct costs</c:v>
                </c:pt>
              </c:strCache>
            </c:strRef>
          </c:tx>
          <c:spPr>
            <a:solidFill>
              <a:schemeClr val="accent1"/>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Costs'!$E$77:$K$77</c:f>
              <c:numCache>
                <c:formatCode>0</c:formatCode>
                <c:ptCount val="7"/>
                <c:pt idx="0">
                  <c:v>2016</c:v>
                </c:pt>
                <c:pt idx="1">
                  <c:v>2017</c:v>
                </c:pt>
                <c:pt idx="2">
                  <c:v>2018</c:v>
                </c:pt>
                <c:pt idx="3">
                  <c:v>2019</c:v>
                </c:pt>
                <c:pt idx="4">
                  <c:v>2020</c:v>
                </c:pt>
                <c:pt idx="5">
                  <c:v>2021</c:v>
                </c:pt>
                <c:pt idx="6">
                  <c:v>2022</c:v>
                </c:pt>
              </c:numCache>
            </c:numRef>
          </c:cat>
          <c:val>
            <c:numRef>
              <c:f>'Unit Costs'!$E$78:$K$78</c:f>
              <c:numCache>
                <c:formatCode>_-* #,##0_-;\-* #,##0_-;_-* "-"??_-;_-@_-</c:formatCode>
                <c:ptCount val="7"/>
                <c:pt idx="0">
                  <c:v>198.75206162667899</c:v>
                </c:pt>
                <c:pt idx="1">
                  <c:v>189.59690477375585</c:v>
                </c:pt>
                <c:pt idx="2">
                  <c:v>164.50138527550129</c:v>
                </c:pt>
                <c:pt idx="3">
                  <c:v>168.63514243423339</c:v>
                </c:pt>
                <c:pt idx="4">
                  <c:v>159.13422155607304</c:v>
                </c:pt>
                <c:pt idx="5">
                  <c:v>151.10931424034376</c:v>
                </c:pt>
                <c:pt idx="6" formatCode="_(* #,##0_);_(* \(#,##0\);_(* &quot;-&quot;??_);_(@_)">
                  <c:v>138.38234344436131</c:v>
                </c:pt>
              </c:numCache>
            </c:numRef>
          </c:val>
          <c:extLst>
            <c:ext xmlns:c16="http://schemas.microsoft.com/office/drawing/2014/chart" uri="{C3380CC4-5D6E-409C-BE32-E72D297353CC}">
              <c16:uniqueId val="{00000000-CA30-4D9F-921B-EE2C59DF672D}"/>
            </c:ext>
          </c:extLst>
        </c:ser>
        <c:ser>
          <c:idx val="1"/>
          <c:order val="1"/>
          <c:tx>
            <c:strRef>
              <c:f>'Unit Costs'!$D$37</c:f>
              <c:strCache>
                <c:ptCount val="1"/>
                <c:pt idx="0">
                  <c:v>Indirect costs</c:v>
                </c:pt>
              </c:strCache>
            </c:strRef>
          </c:tx>
          <c:spPr>
            <a:solidFill>
              <a:schemeClr val="accent2"/>
            </a:solidFill>
            <a:ln>
              <a:noFill/>
            </a:ln>
            <a:effectLst/>
          </c:spPr>
          <c:invertIfNegative val="0"/>
          <c:dLbls>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'Unit Costs'!$E$77:$K$77</c:f>
              <c:numCache>
                <c:formatCode>0</c:formatCode>
                <c:ptCount val="7"/>
                <c:pt idx="0">
                  <c:v>2016</c:v>
                </c:pt>
                <c:pt idx="1">
                  <c:v>2017</c:v>
                </c:pt>
                <c:pt idx="2">
                  <c:v>2018</c:v>
                </c:pt>
                <c:pt idx="3">
                  <c:v>2019</c:v>
                </c:pt>
                <c:pt idx="4">
                  <c:v>2020</c:v>
                </c:pt>
                <c:pt idx="5">
                  <c:v>2021</c:v>
                </c:pt>
                <c:pt idx="6">
                  <c:v>2022</c:v>
                </c:pt>
              </c:numCache>
            </c:numRef>
          </c:cat>
          <c:val>
            <c:numRef>
              <c:f>'Unit Costs'!$E$79:$K$79</c:f>
              <c:numCache>
                <c:formatCode>_-* #,##0_-;\-* #,##0_-;_-* "-"??_-;_-@_-</c:formatCode>
                <c:ptCount val="7"/>
                <c:pt idx="0">
                  <c:v>141.37059038332706</c:v>
                </c:pt>
                <c:pt idx="1">
                  <c:v>151.53725249635261</c:v>
                </c:pt>
                <c:pt idx="2">
                  <c:v>119.16873863397423</c:v>
                </c:pt>
                <c:pt idx="3">
                  <c:v>123.7230008393318</c:v>
                </c:pt>
                <c:pt idx="4">
                  <c:v>111.43044503545752</c:v>
                </c:pt>
                <c:pt idx="5">
                  <c:v>108.78179301576003</c:v>
                </c:pt>
                <c:pt idx="6" formatCode="_(* #,##0_);_(* \(#,##0\);_(* &quot;-&quot;??_);_(@_)">
                  <c:v>100.25536601440103</c:v>
                </c:pt>
              </c:numCache>
            </c:numRef>
          </c:val>
          <c:extLst>
            <c:ext xmlns:c16="http://schemas.microsoft.com/office/drawing/2014/chart" uri="{C3380CC4-5D6E-409C-BE32-E72D297353CC}">
              <c16:uniqueId val="{00000001-CA30-4D9F-921B-EE2C59DF672D}"/>
            </c:ext>
          </c:extLst>
        </c:ser>
        <c:ser>
          <c:idx val="2"/>
          <c:order val="2"/>
          <c:spPr>
            <a:noFill/>
            <a:ln>
              <a:noFill/>
            </a:ln>
            <a:effectLst/>
          </c:spPr>
          <c:invertIfNegative val="0"/>
          <c:dLbls>
            <c:dLbl>
              <c:idx val="0"/>
              <c:layout>
                <c:manualLayout>
                  <c:x val="2.2851118653382176E-3"/>
                  <c:y val="0.12427981232577737"/>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CA30-4D9F-921B-EE2C59DF672D}"/>
                </c:ext>
              </c:extLst>
            </c:dLbl>
            <c:dLbl>
              <c:idx val="1"/>
              <c:layout>
                <c:manualLayout>
                  <c:x val="9.7783161108794692E-4"/>
                  <c:y val="0.11605555945718175"/>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CA30-4D9F-921B-EE2C59DF672D}"/>
                </c:ext>
              </c:extLst>
            </c:dLbl>
            <c:dLbl>
              <c:idx val="2"/>
              <c:layout>
                <c:manualLayout>
                  <c:x val="1.849258319980149E-3"/>
                  <c:y val="0.2275232566933898"/>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CA30-4D9F-921B-EE2C59DF672D}"/>
                </c:ext>
              </c:extLst>
            </c:dLbl>
            <c:dLbl>
              <c:idx val="3"/>
              <c:layout>
                <c:manualLayout>
                  <c:x val="2.1799686813502627E-4"/>
                  <c:y val="0.21037110767768002"/>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CA30-4D9F-921B-EE2C59DF672D}"/>
                </c:ext>
              </c:extLst>
            </c:dLbl>
            <c:dLbl>
              <c:idx val="4"/>
              <c:layout>
                <c:manualLayout>
                  <c:x val="3.8475395793992257E-3"/>
                  <c:y val="0.21920378913931324"/>
                </c:manualLayout>
              </c:layout>
              <c:tx>
                <c:rich>
                  <a:bodyPr rot="0" vert="horz"/>
                  <a:lstStyle/>
                  <a:p>
                    <a:pPr>
                      <a:defRPr/>
                    </a:pPr>
                    <a:fld id="{23D6C3E4-61E1-44CA-A4BF-5182BDCC7FAA}" type="VALUE">
                      <a:rPr lang="en-US"/>
                      <a:pPr>
                        <a:defRPr/>
                      </a:pPr>
                      <a:t>[VALUE]</a:t>
                    </a:fld>
                    <a:endParaRPr lang="en-US"/>
                  </a:p>
                </c:rich>
              </c:tx>
              <c:spPr>
                <a:noFill/>
                <a:ln>
                  <a:noFill/>
                </a:ln>
                <a:effectLst/>
              </c:sp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6-CA30-4D9F-921B-EE2C59DF672D}"/>
                </c:ext>
              </c:extLst>
            </c:dLbl>
            <c:dLbl>
              <c:idx val="5"/>
              <c:layout>
                <c:manualLayout>
                  <c:x val="0"/>
                  <c:y val="0.21066890680035436"/>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CA30-4D9F-921B-EE2C59DF672D}"/>
                </c:ext>
              </c:extLst>
            </c:dLbl>
            <c:dLbl>
              <c:idx val="6"/>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CA30-4D9F-921B-EE2C59DF672D}"/>
                </c:ext>
              </c:extLst>
            </c:dLbl>
            <c:dLbl>
              <c:idx val="7"/>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CA30-4D9F-921B-EE2C59DF672D}"/>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Costs'!$E$77:$K$77</c:f>
              <c:numCache>
                <c:formatCode>0</c:formatCode>
                <c:ptCount val="7"/>
                <c:pt idx="0">
                  <c:v>2016</c:v>
                </c:pt>
                <c:pt idx="1">
                  <c:v>2017</c:v>
                </c:pt>
                <c:pt idx="2">
                  <c:v>2018</c:v>
                </c:pt>
                <c:pt idx="3">
                  <c:v>2019</c:v>
                </c:pt>
                <c:pt idx="4">
                  <c:v>2020</c:v>
                </c:pt>
                <c:pt idx="5">
                  <c:v>2021</c:v>
                </c:pt>
                <c:pt idx="6">
                  <c:v>2022</c:v>
                </c:pt>
              </c:numCache>
            </c:numRef>
          </c:cat>
          <c:val>
            <c:numRef>
              <c:f>'Unit Costs'!$E$80:$K$80</c:f>
              <c:numCache>
                <c:formatCode>_-* #,##0_-;\-* #,##0_-;_-* "-"??_-;_-@_-</c:formatCode>
                <c:ptCount val="7"/>
                <c:pt idx="0">
                  <c:v>340.12265201000605</c:v>
                </c:pt>
                <c:pt idx="1">
                  <c:v>341.13415727010846</c:v>
                </c:pt>
                <c:pt idx="2">
                  <c:v>283.67012390947554</c:v>
                </c:pt>
                <c:pt idx="3">
                  <c:v>292.35814327356519</c:v>
                </c:pt>
                <c:pt idx="4">
                  <c:v>270.56466659153057</c:v>
                </c:pt>
                <c:pt idx="5">
                  <c:v>259.89110725610379</c:v>
                </c:pt>
                <c:pt idx="6">
                  <c:v>238.63770945876234</c:v>
                </c:pt>
              </c:numCache>
            </c:numRef>
          </c:val>
          <c:extLst>
            <c:ext xmlns:c16="http://schemas.microsoft.com/office/drawing/2014/chart" uri="{C3380CC4-5D6E-409C-BE32-E72D297353CC}">
              <c16:uniqueId val="{0000000A-CA30-4D9F-921B-EE2C59DF672D}"/>
            </c:ext>
          </c:extLst>
        </c:ser>
        <c:dLbls>
          <c:showLegendKey val="0"/>
          <c:showVal val="0"/>
          <c:showCatName val="0"/>
          <c:showSerName val="0"/>
          <c:showPercent val="0"/>
          <c:showBubbleSize val="0"/>
        </c:dLbls>
        <c:gapWidth val="101"/>
        <c:overlap val="100"/>
        <c:axId val="81231232"/>
        <c:axId val="80807424"/>
      </c:barChart>
      <c:catAx>
        <c:axId val="81231232"/>
        <c:scaling>
          <c:orientation val="minMax"/>
        </c:scaling>
        <c:delete val="0"/>
        <c:axPos val="b"/>
        <c:title>
          <c:tx>
            <c:rich>
              <a:bodyPr rot="0" vert="horz"/>
              <a:lstStyle/>
              <a:p>
                <a:pPr>
                  <a:defRPr/>
                </a:pPr>
                <a:r>
                  <a:rPr lang="en-US"/>
                  <a:t>Processing Year</a:t>
                </a:r>
              </a:p>
            </c:rich>
          </c:tx>
          <c:layout>
            <c:manualLayout>
              <c:xMode val="edge"/>
              <c:yMode val="edge"/>
              <c:x val="0.47613870457320945"/>
              <c:y val="0.89689671778198232"/>
            </c:manualLayout>
          </c:layout>
          <c:overlay val="0"/>
          <c:spPr>
            <a:noFill/>
            <a:ln>
              <a:noFill/>
            </a:ln>
            <a:effectLst/>
          </c:sp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0"/>
          <a:lstStyle/>
          <a:p>
            <a:pPr>
              <a:defRPr/>
            </a:pPr>
            <a:endParaRPr lang="en-US"/>
          </a:p>
        </c:txPr>
        <c:crossAx val="80807424"/>
        <c:crosses val="autoZero"/>
        <c:auto val="1"/>
        <c:lblAlgn val="ctr"/>
        <c:lblOffset val="100"/>
        <c:tickLblSkip val="1"/>
        <c:tickMarkSkip val="1"/>
        <c:noMultiLvlLbl val="0"/>
      </c:catAx>
      <c:valAx>
        <c:axId val="80807424"/>
        <c:scaling>
          <c:orientation val="minMax"/>
          <c:max val="400"/>
          <c:min val="0"/>
        </c:scaling>
        <c:delete val="0"/>
        <c:axPos val="l"/>
        <c:title>
          <c:tx>
            <c:rich>
              <a:bodyPr rot="-5400000" vert="horz"/>
              <a:lstStyle/>
              <a:p>
                <a:pPr>
                  <a:defRPr b="0" i="1"/>
                </a:pPr>
                <a:r>
                  <a:rPr lang="en-US" b="0" i="1"/>
                  <a:t>Unit cost per inscribed document (CHF)</a:t>
                </a:r>
              </a:p>
            </c:rich>
          </c:tx>
          <c:layout>
            <c:manualLayout>
              <c:xMode val="edge"/>
              <c:yMode val="edge"/>
              <c:x val="2.1481805515051362E-2"/>
              <c:y val="0.13039580989876265"/>
            </c:manualLayout>
          </c:layout>
          <c:overlay val="0"/>
          <c:spPr>
            <a:noFill/>
            <a:ln>
              <a:noFill/>
            </a:ln>
            <a:effectLst/>
          </c:sp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0"/>
          <a:lstStyle/>
          <a:p>
            <a:pPr>
              <a:defRPr/>
            </a:pPr>
            <a:endParaRPr lang="en-US"/>
          </a:p>
        </c:txPr>
        <c:crossAx val="81231232"/>
        <c:crosses val="autoZero"/>
        <c:crossBetween val="between"/>
        <c:majorUnit val="100"/>
        <c:minorUnit val="50"/>
      </c:valAx>
      <c:spPr>
        <a:noFill/>
        <a:ln>
          <a:noFill/>
        </a:ln>
        <a:effectLst/>
      </c:spPr>
    </c:plotArea>
    <c:legend>
      <c:legendPos val="b"/>
      <c:legendEntry>
        <c:idx val="2"/>
        <c:delete val="1"/>
      </c:legendEntry>
      <c:layout>
        <c:manualLayout>
          <c:xMode val="edge"/>
          <c:yMode val="edge"/>
          <c:x val="0.12649649026429838"/>
          <c:y val="0.92615236600248119"/>
          <c:w val="0.26920989973437986"/>
          <c:h val="5.8203264180219524E-2"/>
        </c:manualLayout>
      </c:layout>
      <c:overlay val="0"/>
      <c:spPr>
        <a:noFill/>
        <a:ln>
          <a:noFill/>
        </a:ln>
        <a:effectLst/>
      </c:spPr>
      <c:txPr>
        <a:bodyPr rot="0" vert="horz"/>
        <a:lstStyle/>
        <a:p>
          <a:pPr>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52307965508235"/>
          <c:y val="0.11206976238664348"/>
          <c:w val="0.45689463147623421"/>
          <c:h val="0.72476846529779682"/>
        </c:manualLayout>
      </c:layout>
      <c:pieChart>
        <c:varyColors val="1"/>
        <c:ser>
          <c:idx val="0"/>
          <c:order val="0"/>
          <c:dLbls>
            <c:dLbl>
              <c:idx val="0"/>
              <c:layout>
                <c:manualLayout>
                  <c:x val="-0.12151903104210168"/>
                  <c:y val="-8.1092479713612553E-2"/>
                </c:manualLayout>
              </c:layout>
              <c:dLblPos val="bestFit"/>
              <c:showLegendKey val="0"/>
              <c:showVal val="0"/>
              <c:showCatName val="0"/>
              <c:showSerName val="0"/>
              <c:showPercent val="1"/>
              <c:showBubbleSize val="0"/>
              <c:extLst>
                <c:ext xmlns:c15="http://schemas.microsoft.com/office/drawing/2012/chart" uri="{CE6537A1-D6FC-4f65-9D91-7224C49458BB}">
                  <c15:layout>
                    <c:manualLayout>
                      <c:w val="8.1931473983878012E-2"/>
                      <c:h val="0.10467345781038484"/>
                    </c:manualLayout>
                  </c15:layout>
                </c:ext>
                <c:ext xmlns:c16="http://schemas.microsoft.com/office/drawing/2014/chart" uri="{C3380CC4-5D6E-409C-BE32-E72D297353CC}">
                  <c16:uniqueId val="{00000000-8D07-4610-8234-3317D69A6FDF}"/>
                </c:ext>
              </c:extLst>
            </c:dLbl>
            <c:dLbl>
              <c:idx val="1"/>
              <c:layout>
                <c:manualLayout>
                  <c:x val="0.10687206362598946"/>
                  <c:y val="6.916127351433847E-2"/>
                </c:manualLayout>
              </c:layout>
              <c:numFmt formatCode="0%" sourceLinked="0"/>
              <c:spPr/>
              <c:txPr>
                <a:bodyPr/>
                <a:lstStyle/>
                <a:p>
                  <a:pPr>
                    <a:defRPr sz="1100">
                      <a:solidFill>
                        <a:schemeClr val="bg1"/>
                      </a:solidFill>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D07-4610-8234-3317D69A6FDF}"/>
                </c:ext>
              </c:extLst>
            </c:dLbl>
            <c:numFmt formatCode="0%" sourceLinked="0"/>
            <c:spPr>
              <a:noFill/>
              <a:ln>
                <a:noFill/>
              </a:ln>
              <a:effectLst/>
            </c:spPr>
            <c:txPr>
              <a:bodyPr/>
              <a:lstStyle/>
              <a:p>
                <a:pPr>
                  <a:defRPr sz="1100">
                    <a:solidFill>
                      <a:schemeClr val="bg1"/>
                    </a:solidFill>
                  </a:defRPr>
                </a:pPr>
                <a:endParaRPr lang="en-US"/>
              </a:p>
            </c:txPr>
            <c:dLblPos val="inEnd"/>
            <c:showLegendKey val="0"/>
            <c:showVal val="0"/>
            <c:showCatName val="0"/>
            <c:showSerName val="0"/>
            <c:showPercent val="1"/>
            <c:showBubbleSize val="0"/>
            <c:showLeaderLines val="0"/>
            <c:extLst>
              <c:ext xmlns:c15="http://schemas.microsoft.com/office/drawing/2012/chart" uri="{CE6537A1-D6FC-4f65-9D91-7224C49458BB}"/>
            </c:extLst>
          </c:dLbls>
          <c:cat>
            <c:strRef>
              <c:f>'Chart 3'!$A$5:$A$6</c:f>
              <c:strCache>
                <c:ptCount val="2"/>
                <c:pt idx="0">
                  <c:v>Personnel </c:v>
                </c:pt>
                <c:pt idx="1">
                  <c:v>Non-Personnel </c:v>
                </c:pt>
              </c:strCache>
            </c:strRef>
          </c:cat>
          <c:val>
            <c:numRef>
              <c:f>'Chart 3'!$B$5:$B$6</c:f>
              <c:numCache>
                <c:formatCode>#,##0.000</c:formatCode>
                <c:ptCount val="2"/>
                <c:pt idx="0">
                  <c:v>512167.80000000005</c:v>
                </c:pt>
                <c:pt idx="1">
                  <c:v>345132.02</c:v>
                </c:pt>
              </c:numCache>
            </c:numRef>
          </c:val>
          <c:extLst>
            <c:ext xmlns:c16="http://schemas.microsoft.com/office/drawing/2014/chart" uri="{C3380CC4-5D6E-409C-BE32-E72D297353CC}">
              <c16:uniqueId val="{00000002-8D07-4610-8234-3317D69A6FDF}"/>
            </c:ext>
          </c:extLst>
        </c:ser>
        <c:dLbls>
          <c:showLegendKey val="0"/>
          <c:showVal val="1"/>
          <c:showCatName val="0"/>
          <c:showSerName val="0"/>
          <c:showPercent val="0"/>
          <c:showBubbleSize val="0"/>
          <c:showLeaderLines val="0"/>
        </c:dLbls>
        <c:firstSliceAng val="0"/>
      </c:pieChart>
    </c:plotArea>
    <c:legend>
      <c:legendPos val="r"/>
      <c:layout>
        <c:manualLayout>
          <c:xMode val="edge"/>
          <c:yMode val="edge"/>
          <c:x val="0.63648915923424254"/>
          <c:y val="0.3568391662111654"/>
          <c:w val="0.23909332463245567"/>
          <c:h val="0.17126101774591609"/>
        </c:manualLayout>
      </c:layout>
      <c:overlay val="0"/>
    </c:legend>
    <c:plotVisOnly val="1"/>
    <c:dispBlanksAs val="gap"/>
    <c:showDLblsOverMax val="0"/>
  </c:chart>
  <c:spPr>
    <a:ln>
      <a:noFill/>
    </a:ln>
  </c:spPr>
  <c:txPr>
    <a:bodyPr/>
    <a:lstStyle/>
    <a:p>
      <a:pPr>
        <a:defRPr>
          <a:latin typeface="Arial Narrow" panose="020B060602020203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01022734981189"/>
          <c:y val="5.5739981384116115E-2"/>
          <c:w val="0.77629342057888884"/>
          <c:h val="0.77544782940471102"/>
        </c:manualLayout>
      </c:layout>
      <c:barChart>
        <c:barDir val="col"/>
        <c:grouping val="clustered"/>
        <c:varyColors val="0"/>
        <c:ser>
          <c:idx val="0"/>
          <c:order val="0"/>
          <c:tx>
            <c:strRef>
              <c:f>Productivity!$D$21</c:f>
              <c:strCache>
                <c:ptCount val="1"/>
              </c:strCache>
            </c:strRef>
          </c:tx>
          <c:spPr>
            <a:solidFill>
              <a:schemeClr val="accent1"/>
            </a:solidFill>
          </c:spPr>
          <c:invertIfNegative val="0"/>
          <c:cat>
            <c:numRef>
              <c:f>Productivity!$F$18:$L$18</c:f>
              <c:numCache>
                <c:formatCode>General</c:formatCode>
                <c:ptCount val="7"/>
                <c:pt idx="0">
                  <c:v>2016</c:v>
                </c:pt>
                <c:pt idx="1">
                  <c:v>2017</c:v>
                </c:pt>
                <c:pt idx="2">
                  <c:v>2018</c:v>
                </c:pt>
                <c:pt idx="3">
                  <c:v>2019</c:v>
                </c:pt>
                <c:pt idx="4">
                  <c:v>2020</c:v>
                </c:pt>
                <c:pt idx="5">
                  <c:v>2021</c:v>
                </c:pt>
                <c:pt idx="6">
                  <c:v>2022</c:v>
                </c:pt>
              </c:numCache>
            </c:numRef>
          </c:cat>
          <c:val>
            <c:numRef>
              <c:f>Productivity!$F$20:$L$20</c:f>
              <c:numCache>
                <c:formatCode>#,##0</c:formatCode>
                <c:ptCount val="7"/>
                <c:pt idx="0">
                  <c:v>981.52783977813249</c:v>
                </c:pt>
                <c:pt idx="1">
                  <c:v>979.45608978485996</c:v>
                </c:pt>
                <c:pt idx="2">
                  <c:v>994.08218424175345</c:v>
                </c:pt>
                <c:pt idx="3">
                  <c:v>1022.5010130392885</c:v>
                </c:pt>
                <c:pt idx="4">
                  <c:v>1011.4391217186485</c:v>
                </c:pt>
                <c:pt idx="5">
                  <c:v>1064.1253577529073</c:v>
                </c:pt>
                <c:pt idx="6">
                  <c:v>1057.7788826528006</c:v>
                </c:pt>
              </c:numCache>
            </c:numRef>
          </c:val>
          <c:extLst>
            <c:ext xmlns:c16="http://schemas.microsoft.com/office/drawing/2014/chart" uri="{C3380CC4-5D6E-409C-BE32-E72D297353CC}">
              <c16:uniqueId val="{00000000-30B8-4275-BA60-09BDFE7118B2}"/>
            </c:ext>
          </c:extLst>
        </c:ser>
        <c:dLbls>
          <c:showLegendKey val="0"/>
          <c:showVal val="0"/>
          <c:showCatName val="0"/>
          <c:showSerName val="0"/>
          <c:showPercent val="0"/>
          <c:showBubbleSize val="0"/>
        </c:dLbls>
        <c:gapWidth val="101"/>
        <c:axId val="103589376"/>
        <c:axId val="103591296"/>
      </c:barChart>
      <c:catAx>
        <c:axId val="103589376"/>
        <c:scaling>
          <c:orientation val="minMax"/>
        </c:scaling>
        <c:delete val="0"/>
        <c:axPos val="b"/>
        <c:title>
          <c:tx>
            <c:rich>
              <a:bodyPr/>
              <a:lstStyle/>
              <a:p>
                <a:pPr>
                  <a:defRPr/>
                </a:pPr>
                <a:r>
                  <a:rPr lang="en-US"/>
                  <a:t>Processing year</a:t>
                </a:r>
              </a:p>
            </c:rich>
          </c:tx>
          <c:layout>
            <c:manualLayout>
              <c:xMode val="edge"/>
              <c:yMode val="edge"/>
              <c:x val="0.4889389568878148"/>
              <c:y val="0.91629963187508912"/>
            </c:manualLayout>
          </c:layout>
          <c:overlay val="0"/>
        </c:title>
        <c:numFmt formatCode="General" sourceLinked="1"/>
        <c:majorTickMark val="out"/>
        <c:minorTickMark val="none"/>
        <c:tickLblPos val="nextTo"/>
        <c:crossAx val="103591296"/>
        <c:crosses val="autoZero"/>
        <c:auto val="1"/>
        <c:lblAlgn val="ctr"/>
        <c:lblOffset val="100"/>
        <c:noMultiLvlLbl val="0"/>
      </c:catAx>
      <c:valAx>
        <c:axId val="103591296"/>
        <c:scaling>
          <c:orientation val="minMax"/>
          <c:max val="1100"/>
          <c:min val="800"/>
        </c:scaling>
        <c:delete val="0"/>
        <c:axPos val="l"/>
        <c:majorGridlines>
          <c:spPr>
            <a:ln>
              <a:noFill/>
            </a:ln>
          </c:spPr>
        </c:majorGridlines>
        <c:title>
          <c:tx>
            <c:rich>
              <a:bodyPr rot="-5400000" vert="horz"/>
              <a:lstStyle/>
              <a:p>
                <a:pPr>
                  <a:defRPr b="0" i="1"/>
                </a:pPr>
                <a:r>
                  <a:rPr lang="en-US" b="0" i="1"/>
                  <a:t>New/renewed international registrations </a:t>
                </a:r>
              </a:p>
              <a:p>
                <a:pPr>
                  <a:defRPr b="0" i="1"/>
                </a:pPr>
                <a:r>
                  <a:rPr lang="en-US" b="0" i="1"/>
                  <a:t>per personnel</a:t>
                </a:r>
              </a:p>
            </c:rich>
          </c:tx>
          <c:layout>
            <c:manualLayout>
              <c:xMode val="edge"/>
              <c:yMode val="edge"/>
              <c:x val="7.8378845813681083E-2"/>
              <c:y val="0.13301723154170947"/>
            </c:manualLayout>
          </c:layout>
          <c:overlay val="0"/>
        </c:title>
        <c:numFmt formatCode="#,##0" sourceLinked="0"/>
        <c:majorTickMark val="out"/>
        <c:minorTickMark val="none"/>
        <c:tickLblPos val="nextTo"/>
        <c:crossAx val="103589376"/>
        <c:crosses val="autoZero"/>
        <c:crossBetween val="between"/>
        <c:majorUnit val="100"/>
      </c:valAx>
    </c:plotArea>
    <c:plotVisOnly val="1"/>
    <c:dispBlanksAs val="gap"/>
    <c:showDLblsOverMax val="0"/>
  </c:chart>
  <c:spPr>
    <a:solidFill>
      <a:sysClr val="window" lastClr="FFFFFF"/>
    </a:solidFill>
    <a:ln>
      <a:noFill/>
    </a:ln>
  </c:spPr>
  <c:txPr>
    <a:bodyPr/>
    <a:lstStyle/>
    <a:p>
      <a:pPr>
        <a:defRPr sz="800">
          <a:latin typeface="Arial Narrow" panose="020B060602020203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55203824674045"/>
          <c:y val="0.12734574844811064"/>
          <c:w val="0.83669813078638999"/>
          <c:h val="0.7152405949256343"/>
        </c:manualLayout>
      </c:layout>
      <c:lineChart>
        <c:grouping val="stacked"/>
        <c:varyColors val="0"/>
        <c:ser>
          <c:idx val="1"/>
          <c:order val="0"/>
          <c:spPr>
            <a:ln>
              <a:solidFill>
                <a:srgbClr val="0070C0"/>
              </a:solidFill>
            </a:ln>
          </c:spPr>
          <c:marker>
            <c:symbol val="none"/>
          </c:marker>
          <c:cat>
            <c:numRef>
              <c:f>Pendency!$C$65:$C$74</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Pendency!$G$65:$G$74</c:f>
              <c:numCache>
                <c:formatCode>_ * #,##0_ ;_ * \-#,##0_ ;_ * "-"??_ ;_ @_ </c:formatCode>
                <c:ptCount val="10"/>
                <c:pt idx="0">
                  <c:v>34.155636916275213</c:v>
                </c:pt>
                <c:pt idx="1">
                  <c:v>60.792380740411012</c:v>
                </c:pt>
                <c:pt idx="2">
                  <c:v>56.798093666941618</c:v>
                </c:pt>
                <c:pt idx="3">
                  <c:v>63.803977569572638</c:v>
                </c:pt>
                <c:pt idx="4">
                  <c:v>61.56542268228457</c:v>
                </c:pt>
                <c:pt idx="5">
                  <c:v>56.415019546734463</c:v>
                </c:pt>
                <c:pt idx="6">
                  <c:v>36.57748945315609</c:v>
                </c:pt>
                <c:pt idx="7">
                  <c:v>27.931381493461611</c:v>
                </c:pt>
                <c:pt idx="8">
                  <c:v>33.660798335717075</c:v>
                </c:pt>
                <c:pt idx="9">
                  <c:v>29.46337016884501</c:v>
                </c:pt>
              </c:numCache>
            </c:numRef>
          </c:val>
          <c:smooth val="0"/>
          <c:extLst>
            <c:ext xmlns:c16="http://schemas.microsoft.com/office/drawing/2014/chart" uri="{C3380CC4-5D6E-409C-BE32-E72D297353CC}">
              <c16:uniqueId val="{00000000-687E-44BF-9183-A5F9B61F4D83}"/>
            </c:ext>
          </c:extLst>
        </c:ser>
        <c:dLbls>
          <c:showLegendKey val="0"/>
          <c:showVal val="0"/>
          <c:showCatName val="0"/>
          <c:showSerName val="0"/>
          <c:showPercent val="0"/>
          <c:showBubbleSize val="0"/>
        </c:dLbls>
        <c:smooth val="0"/>
        <c:axId val="166444416"/>
        <c:axId val="166454784"/>
      </c:lineChart>
      <c:catAx>
        <c:axId val="166444416"/>
        <c:scaling>
          <c:orientation val="minMax"/>
        </c:scaling>
        <c:delete val="0"/>
        <c:axPos val="b"/>
        <c:numFmt formatCode="General" sourceLinked="1"/>
        <c:majorTickMark val="out"/>
        <c:minorTickMark val="none"/>
        <c:tickLblPos val="nextTo"/>
        <c:txPr>
          <a:bodyPr/>
          <a:lstStyle/>
          <a:p>
            <a:pPr>
              <a:defRPr sz="700"/>
            </a:pPr>
            <a:endParaRPr lang="en-US"/>
          </a:p>
        </c:txPr>
        <c:crossAx val="166454784"/>
        <c:crosses val="autoZero"/>
        <c:auto val="1"/>
        <c:lblAlgn val="ctr"/>
        <c:lblOffset val="100"/>
        <c:noMultiLvlLbl val="0"/>
      </c:catAx>
      <c:valAx>
        <c:axId val="166454784"/>
        <c:scaling>
          <c:orientation val="minMax"/>
          <c:max val="80"/>
        </c:scaling>
        <c:delete val="0"/>
        <c:axPos val="l"/>
        <c:majorGridlines>
          <c:spPr>
            <a:ln>
              <a:noFill/>
            </a:ln>
          </c:spPr>
        </c:majorGridlines>
        <c:title>
          <c:tx>
            <c:rich>
              <a:bodyPr rot="-5400000" vert="horz"/>
              <a:lstStyle/>
              <a:p>
                <a:pPr>
                  <a:defRPr sz="700"/>
                </a:pPr>
                <a:r>
                  <a:rPr lang="en-US" sz="700"/>
                  <a:t>Days</a:t>
                </a:r>
              </a:p>
            </c:rich>
          </c:tx>
          <c:layout>
            <c:manualLayout>
              <c:xMode val="edge"/>
              <c:yMode val="edge"/>
              <c:x val="4.7975684073973514E-3"/>
              <c:y val="0.43174186560013333"/>
            </c:manualLayout>
          </c:layout>
          <c:overlay val="0"/>
        </c:title>
        <c:numFmt formatCode="#,##0" sourceLinked="0"/>
        <c:majorTickMark val="out"/>
        <c:minorTickMark val="none"/>
        <c:tickLblPos val="nextTo"/>
        <c:crossAx val="166444416"/>
        <c:crosses val="autoZero"/>
        <c:crossBetween val="between"/>
        <c:majorUnit val="20"/>
      </c:valAx>
    </c:plotArea>
    <c:plotVisOnly val="1"/>
    <c:dispBlanksAs val="zero"/>
    <c:showDLblsOverMax val="0"/>
  </c:chart>
  <c:spPr>
    <a:noFill/>
    <a:ln>
      <a:noFill/>
    </a:ln>
  </c:spPr>
  <c:txPr>
    <a:bodyPr/>
    <a:lstStyle/>
    <a:p>
      <a:pPr>
        <a:defRPr sz="800">
          <a:latin typeface="Arial Narrow" panose="020B0606020202030204" pitchFamily="34"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27078383176148"/>
          <c:y val="0.13715111408946223"/>
          <c:w val="0.79591891170409745"/>
          <c:h val="0.69247417211146478"/>
        </c:manualLayout>
      </c:layout>
      <c:lineChart>
        <c:grouping val="stacked"/>
        <c:varyColors val="0"/>
        <c:ser>
          <c:idx val="1"/>
          <c:order val="0"/>
          <c:spPr>
            <a:ln>
              <a:solidFill>
                <a:srgbClr val="0070C0"/>
              </a:solidFill>
            </a:ln>
          </c:spPr>
          <c:marker>
            <c:symbol val="none"/>
          </c:marker>
          <c:cat>
            <c:numRef>
              <c:f>Pendency!$C$37:$C$46</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Pendency!$G$37:$G$46</c:f>
              <c:numCache>
                <c:formatCode>_ * #,##0_ ;_ * \-#,##0_ ;_ * "-"??_ ;_ @_ </c:formatCode>
                <c:ptCount val="10"/>
                <c:pt idx="0">
                  <c:v>201.99503475670309</c:v>
                </c:pt>
                <c:pt idx="1">
                  <c:v>262.76466049382714</c:v>
                </c:pt>
                <c:pt idx="2">
                  <c:v>119.76644666808602</c:v>
                </c:pt>
                <c:pt idx="3">
                  <c:v>134.91388624086431</c:v>
                </c:pt>
                <c:pt idx="4">
                  <c:v>217.03603603603602</c:v>
                </c:pt>
                <c:pt idx="5">
                  <c:v>111.0224584717608</c:v>
                </c:pt>
                <c:pt idx="6">
                  <c:v>27.678571428571427</c:v>
                </c:pt>
                <c:pt idx="7">
                  <c:v>45.064006024096386</c:v>
                </c:pt>
                <c:pt idx="8">
                  <c:v>16.14115058157812</c:v>
                </c:pt>
                <c:pt idx="9">
                  <c:v>26.264330521306512</c:v>
                </c:pt>
              </c:numCache>
            </c:numRef>
          </c:val>
          <c:smooth val="0"/>
          <c:extLst>
            <c:ext xmlns:c16="http://schemas.microsoft.com/office/drawing/2014/chart" uri="{C3380CC4-5D6E-409C-BE32-E72D297353CC}">
              <c16:uniqueId val="{00000000-5A98-4587-9A0E-6CB6450A3CC4}"/>
            </c:ext>
          </c:extLst>
        </c:ser>
        <c:dLbls>
          <c:showLegendKey val="0"/>
          <c:showVal val="0"/>
          <c:showCatName val="0"/>
          <c:showSerName val="0"/>
          <c:showPercent val="0"/>
          <c:showBubbleSize val="0"/>
        </c:dLbls>
        <c:smooth val="0"/>
        <c:axId val="165277056"/>
        <c:axId val="166413824"/>
      </c:lineChart>
      <c:catAx>
        <c:axId val="165277056"/>
        <c:scaling>
          <c:orientation val="minMax"/>
        </c:scaling>
        <c:delete val="0"/>
        <c:axPos val="b"/>
        <c:numFmt formatCode="General" sourceLinked="1"/>
        <c:majorTickMark val="out"/>
        <c:minorTickMark val="none"/>
        <c:tickLblPos val="nextTo"/>
        <c:crossAx val="166413824"/>
        <c:crosses val="autoZero"/>
        <c:auto val="1"/>
        <c:lblAlgn val="ctr"/>
        <c:lblOffset val="100"/>
        <c:noMultiLvlLbl val="0"/>
      </c:catAx>
      <c:valAx>
        <c:axId val="166413824"/>
        <c:scaling>
          <c:orientation val="minMax"/>
        </c:scaling>
        <c:delete val="0"/>
        <c:axPos val="l"/>
        <c:majorGridlines>
          <c:spPr>
            <a:ln>
              <a:noFill/>
            </a:ln>
          </c:spPr>
        </c:majorGridlines>
        <c:title>
          <c:tx>
            <c:rich>
              <a:bodyPr rot="-5400000" vert="horz"/>
              <a:lstStyle/>
              <a:p>
                <a:pPr>
                  <a:defRPr/>
                </a:pPr>
                <a:r>
                  <a:rPr lang="en-US"/>
                  <a:t>Days</a:t>
                </a:r>
              </a:p>
            </c:rich>
          </c:tx>
          <c:layout>
            <c:manualLayout>
              <c:xMode val="edge"/>
              <c:yMode val="edge"/>
              <c:x val="3.7526628155821896E-2"/>
              <c:y val="0.43835567096666106"/>
            </c:manualLayout>
          </c:layout>
          <c:overlay val="0"/>
        </c:title>
        <c:numFmt formatCode="#,##0" sourceLinked="0"/>
        <c:majorTickMark val="out"/>
        <c:minorTickMark val="none"/>
        <c:tickLblPos val="nextTo"/>
        <c:crossAx val="165277056"/>
        <c:crosses val="autoZero"/>
        <c:crossBetween val="between"/>
      </c:valAx>
    </c:plotArea>
    <c:plotVisOnly val="1"/>
    <c:dispBlanksAs val="zero"/>
    <c:showDLblsOverMax val="0"/>
  </c:chart>
  <c:spPr>
    <a:noFill/>
    <a:ln>
      <a:noFill/>
    </a:ln>
  </c:spPr>
  <c:txPr>
    <a:bodyPr/>
    <a:lstStyle/>
    <a:p>
      <a:pPr>
        <a:defRPr sz="700">
          <a:latin typeface="Arial Narrow" panose="020B0606020202030204" pitchFamily="34" charset="0"/>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184673637106836"/>
          <c:y val="8.2873759862308854E-2"/>
          <c:w val="0.80809861882018841"/>
          <c:h val="0.74675186650575132"/>
        </c:manualLayout>
      </c:layout>
      <c:lineChart>
        <c:grouping val="stacked"/>
        <c:varyColors val="0"/>
        <c:ser>
          <c:idx val="1"/>
          <c:order val="0"/>
          <c:spPr>
            <a:ln>
              <a:solidFill>
                <a:srgbClr val="0070C0"/>
              </a:solidFill>
            </a:ln>
          </c:spPr>
          <c:marker>
            <c:symbol val="none"/>
          </c:marker>
          <c:cat>
            <c:numRef>
              <c:f>Pendency!$C$10:$C$19</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Pendency!$G$10:$G$19</c:f>
              <c:numCache>
                <c:formatCode>_ * #,##0_ ;_ * \-#,##0_ ;_ * "-"??_ ;_ @_ </c:formatCode>
                <c:ptCount val="10"/>
                <c:pt idx="0">
                  <c:v>21.971194861504749</c:v>
                </c:pt>
                <c:pt idx="1">
                  <c:v>19.063920885030363</c:v>
                </c:pt>
                <c:pt idx="2">
                  <c:v>11.345629065377473</c:v>
                </c:pt>
                <c:pt idx="3">
                  <c:v>23.646672372855551</c:v>
                </c:pt>
                <c:pt idx="4">
                  <c:v>43.090760702897526</c:v>
                </c:pt>
                <c:pt idx="5">
                  <c:v>15.651307592570019</c:v>
                </c:pt>
                <c:pt idx="6">
                  <c:v>12.313807038717572</c:v>
                </c:pt>
                <c:pt idx="7">
                  <c:v>10.964492838719444</c:v>
                </c:pt>
                <c:pt idx="8">
                  <c:v>10.062134632243962</c:v>
                </c:pt>
                <c:pt idx="9">
                  <c:v>8.1736608583218313</c:v>
                </c:pt>
              </c:numCache>
            </c:numRef>
          </c:val>
          <c:smooth val="0"/>
          <c:extLst>
            <c:ext xmlns:c16="http://schemas.microsoft.com/office/drawing/2014/chart" uri="{C3380CC4-5D6E-409C-BE32-E72D297353CC}">
              <c16:uniqueId val="{00000000-C20C-4E22-BB11-441262785BA8}"/>
            </c:ext>
          </c:extLst>
        </c:ser>
        <c:dLbls>
          <c:showLegendKey val="0"/>
          <c:showVal val="0"/>
          <c:showCatName val="0"/>
          <c:showSerName val="0"/>
          <c:showPercent val="0"/>
          <c:showBubbleSize val="0"/>
        </c:dLbls>
        <c:smooth val="0"/>
        <c:axId val="165211520"/>
        <c:axId val="165213696"/>
      </c:lineChart>
      <c:catAx>
        <c:axId val="165211520"/>
        <c:scaling>
          <c:orientation val="minMax"/>
        </c:scaling>
        <c:delete val="0"/>
        <c:axPos val="b"/>
        <c:numFmt formatCode="General" sourceLinked="1"/>
        <c:majorTickMark val="out"/>
        <c:minorTickMark val="none"/>
        <c:tickLblPos val="nextTo"/>
        <c:crossAx val="165213696"/>
        <c:crosses val="autoZero"/>
        <c:auto val="1"/>
        <c:lblAlgn val="ctr"/>
        <c:lblOffset val="100"/>
        <c:noMultiLvlLbl val="0"/>
      </c:catAx>
      <c:valAx>
        <c:axId val="165213696"/>
        <c:scaling>
          <c:orientation val="minMax"/>
          <c:max val="50"/>
        </c:scaling>
        <c:delete val="0"/>
        <c:axPos val="l"/>
        <c:majorGridlines>
          <c:spPr>
            <a:ln>
              <a:noFill/>
            </a:ln>
          </c:spPr>
        </c:majorGridlines>
        <c:title>
          <c:tx>
            <c:rich>
              <a:bodyPr rot="-5400000" vert="horz"/>
              <a:lstStyle/>
              <a:p>
                <a:pPr>
                  <a:defRPr/>
                </a:pPr>
                <a:r>
                  <a:rPr lang="en-US"/>
                  <a:t>Days</a:t>
                </a:r>
              </a:p>
            </c:rich>
          </c:tx>
          <c:layout>
            <c:manualLayout>
              <c:xMode val="edge"/>
              <c:yMode val="edge"/>
              <c:x val="5.3083517008602782E-2"/>
              <c:y val="0.35992304263853808"/>
            </c:manualLayout>
          </c:layout>
          <c:overlay val="0"/>
        </c:title>
        <c:numFmt formatCode="#,##0" sourceLinked="0"/>
        <c:majorTickMark val="out"/>
        <c:minorTickMark val="none"/>
        <c:tickLblPos val="nextTo"/>
        <c:crossAx val="165211520"/>
        <c:crosses val="autoZero"/>
        <c:crossBetween val="between"/>
        <c:majorUnit val="10"/>
      </c:valAx>
    </c:plotArea>
    <c:plotVisOnly val="1"/>
    <c:dispBlanksAs val="zero"/>
    <c:showDLblsOverMax val="0"/>
  </c:chart>
  <c:spPr>
    <a:noFill/>
    <a:ln>
      <a:noFill/>
    </a:ln>
  </c:spPr>
  <c:txPr>
    <a:bodyPr/>
    <a:lstStyle/>
    <a:p>
      <a:pPr>
        <a:defRPr sz="700">
          <a:latin typeface="Arial Narrow" panose="020B0606020202030204" pitchFamily="34" charset="0"/>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37086507911208"/>
          <c:y val="0.13884696337470151"/>
          <c:w val="0.79674519430010515"/>
          <c:h val="0.69077846953035082"/>
        </c:manualLayout>
      </c:layout>
      <c:lineChart>
        <c:grouping val="stacked"/>
        <c:varyColors val="0"/>
        <c:ser>
          <c:idx val="1"/>
          <c:order val="0"/>
          <c:spPr>
            <a:ln>
              <a:solidFill>
                <a:srgbClr val="0070C0"/>
              </a:solidFill>
            </a:ln>
          </c:spPr>
          <c:marker>
            <c:symbol val="none"/>
          </c:marker>
          <c:cat>
            <c:numRef>
              <c:f>Pendency!$C$24:$C$33</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Pendency!$G$24:$G$33</c:f>
              <c:numCache>
                <c:formatCode>_ * #,##0_ ;_ * \-#,##0_ ;_ * "-"??_ ;_ @_ </c:formatCode>
                <c:ptCount val="10"/>
                <c:pt idx="0">
                  <c:v>54.914176126856646</c:v>
                </c:pt>
                <c:pt idx="1">
                  <c:v>70.512447296058667</c:v>
                </c:pt>
                <c:pt idx="2">
                  <c:v>55.509712364587223</c:v>
                </c:pt>
                <c:pt idx="3">
                  <c:v>62.121811851963976</c:v>
                </c:pt>
                <c:pt idx="4">
                  <c:v>80.423270513871003</c:v>
                </c:pt>
                <c:pt idx="5">
                  <c:v>40.207887153041106</c:v>
                </c:pt>
                <c:pt idx="6">
                  <c:v>36.13807411190195</c:v>
                </c:pt>
                <c:pt idx="7">
                  <c:v>29.998195876288658</c:v>
                </c:pt>
                <c:pt idx="8">
                  <c:v>31.836018142008133</c:v>
                </c:pt>
                <c:pt idx="9">
                  <c:v>25.706383069052624</c:v>
                </c:pt>
              </c:numCache>
            </c:numRef>
          </c:val>
          <c:smooth val="0"/>
          <c:extLst>
            <c:ext xmlns:c16="http://schemas.microsoft.com/office/drawing/2014/chart" uri="{C3380CC4-5D6E-409C-BE32-E72D297353CC}">
              <c16:uniqueId val="{00000000-9BB3-4242-B54C-A57584888A5E}"/>
            </c:ext>
          </c:extLst>
        </c:ser>
        <c:dLbls>
          <c:showLegendKey val="0"/>
          <c:showVal val="0"/>
          <c:showCatName val="0"/>
          <c:showSerName val="0"/>
          <c:showPercent val="0"/>
          <c:showBubbleSize val="0"/>
        </c:dLbls>
        <c:smooth val="0"/>
        <c:axId val="165230080"/>
        <c:axId val="165232000"/>
      </c:lineChart>
      <c:catAx>
        <c:axId val="165230080"/>
        <c:scaling>
          <c:orientation val="minMax"/>
        </c:scaling>
        <c:delete val="0"/>
        <c:axPos val="b"/>
        <c:numFmt formatCode="General" sourceLinked="1"/>
        <c:majorTickMark val="out"/>
        <c:minorTickMark val="none"/>
        <c:tickLblPos val="nextTo"/>
        <c:crossAx val="165232000"/>
        <c:crosses val="autoZero"/>
        <c:auto val="1"/>
        <c:lblAlgn val="ctr"/>
        <c:lblOffset val="100"/>
        <c:noMultiLvlLbl val="0"/>
      </c:catAx>
      <c:valAx>
        <c:axId val="165232000"/>
        <c:scaling>
          <c:orientation val="minMax"/>
          <c:max val="100"/>
        </c:scaling>
        <c:delete val="0"/>
        <c:axPos val="l"/>
        <c:majorGridlines>
          <c:spPr>
            <a:ln>
              <a:noFill/>
            </a:ln>
          </c:spPr>
        </c:majorGridlines>
        <c:title>
          <c:tx>
            <c:rich>
              <a:bodyPr rot="-5400000" vert="horz"/>
              <a:lstStyle/>
              <a:p>
                <a:pPr>
                  <a:defRPr/>
                </a:pPr>
                <a:r>
                  <a:rPr lang="en-US"/>
                  <a:t>Days</a:t>
                </a:r>
              </a:p>
            </c:rich>
          </c:tx>
          <c:layout>
            <c:manualLayout>
              <c:xMode val="edge"/>
              <c:yMode val="edge"/>
              <c:x val="3.8236491990225357E-2"/>
              <c:y val="0.43835562221388991"/>
            </c:manualLayout>
          </c:layout>
          <c:overlay val="0"/>
        </c:title>
        <c:numFmt formatCode="#,##0" sourceLinked="0"/>
        <c:majorTickMark val="out"/>
        <c:minorTickMark val="none"/>
        <c:tickLblPos val="nextTo"/>
        <c:crossAx val="165230080"/>
        <c:crosses val="autoZero"/>
        <c:crossBetween val="between"/>
        <c:majorUnit val="25"/>
      </c:valAx>
    </c:plotArea>
    <c:plotVisOnly val="1"/>
    <c:dispBlanksAs val="zero"/>
    <c:showDLblsOverMax val="0"/>
  </c:chart>
  <c:spPr>
    <a:noFill/>
    <a:ln>
      <a:noFill/>
    </a:ln>
  </c:spPr>
  <c:txPr>
    <a:bodyPr/>
    <a:lstStyle/>
    <a:p>
      <a:pPr>
        <a:defRPr sz="700">
          <a:latin typeface="Arial Narrow" panose="020B0606020202030204" pitchFamily="34"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55203824674045"/>
          <c:y val="0.11997259957889878"/>
          <c:w val="0.83669813078638999"/>
          <c:h val="0.71058896484093337"/>
        </c:manualLayout>
      </c:layout>
      <c:lineChart>
        <c:grouping val="stacked"/>
        <c:varyColors val="0"/>
        <c:ser>
          <c:idx val="1"/>
          <c:order val="0"/>
          <c:spPr>
            <a:ln>
              <a:solidFill>
                <a:srgbClr val="0070C0"/>
              </a:solidFill>
            </a:ln>
          </c:spPr>
          <c:marker>
            <c:symbol val="none"/>
          </c:marker>
          <c:cat>
            <c:numRef>
              <c:f>Pendency!$C$51:$C$60</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Pendency!$G$51:$G$60</c:f>
              <c:numCache>
                <c:formatCode>_ * #,##0_ ;_ * \-#,##0_ ;_ * "-"??_ ;_ @_ </c:formatCode>
                <c:ptCount val="10"/>
                <c:pt idx="0">
                  <c:v>56.383625950614963</c:v>
                </c:pt>
                <c:pt idx="1">
                  <c:v>56.543247097168468</c:v>
                </c:pt>
                <c:pt idx="2">
                  <c:v>56.291657454491855</c:v>
                </c:pt>
                <c:pt idx="3">
                  <c:v>65.120471688090944</c:v>
                </c:pt>
                <c:pt idx="4">
                  <c:v>64.805415086388535</c:v>
                </c:pt>
                <c:pt idx="5">
                  <c:v>48.30766995932597</c:v>
                </c:pt>
                <c:pt idx="6">
                  <c:v>48.121581408530538</c:v>
                </c:pt>
                <c:pt idx="7">
                  <c:v>46.251098119766155</c:v>
                </c:pt>
                <c:pt idx="8">
                  <c:v>47.857121339920475</c:v>
                </c:pt>
                <c:pt idx="9">
                  <c:v>45.104228466641494</c:v>
                </c:pt>
              </c:numCache>
            </c:numRef>
          </c:val>
          <c:smooth val="0"/>
          <c:extLst>
            <c:ext xmlns:c16="http://schemas.microsoft.com/office/drawing/2014/chart" uri="{C3380CC4-5D6E-409C-BE32-E72D297353CC}">
              <c16:uniqueId val="{00000000-C7E6-4B19-9F41-87306876F4D8}"/>
            </c:ext>
          </c:extLst>
        </c:ser>
        <c:dLbls>
          <c:showLegendKey val="0"/>
          <c:showVal val="0"/>
          <c:showCatName val="0"/>
          <c:showSerName val="0"/>
          <c:showPercent val="0"/>
          <c:showBubbleSize val="0"/>
        </c:dLbls>
        <c:smooth val="0"/>
        <c:axId val="166426112"/>
        <c:axId val="166428032"/>
      </c:lineChart>
      <c:catAx>
        <c:axId val="166426112"/>
        <c:scaling>
          <c:orientation val="minMax"/>
        </c:scaling>
        <c:delete val="0"/>
        <c:axPos val="b"/>
        <c:numFmt formatCode="General" sourceLinked="1"/>
        <c:majorTickMark val="out"/>
        <c:minorTickMark val="none"/>
        <c:tickLblPos val="nextTo"/>
        <c:crossAx val="166428032"/>
        <c:crosses val="autoZero"/>
        <c:auto val="1"/>
        <c:lblAlgn val="ctr"/>
        <c:lblOffset val="100"/>
        <c:noMultiLvlLbl val="0"/>
      </c:catAx>
      <c:valAx>
        <c:axId val="166428032"/>
        <c:scaling>
          <c:orientation val="minMax"/>
          <c:max val="80"/>
        </c:scaling>
        <c:delete val="0"/>
        <c:axPos val="l"/>
        <c:majorGridlines>
          <c:spPr>
            <a:ln>
              <a:noFill/>
            </a:ln>
          </c:spPr>
        </c:majorGridlines>
        <c:title>
          <c:tx>
            <c:rich>
              <a:bodyPr rot="-5400000" vert="horz"/>
              <a:lstStyle/>
              <a:p>
                <a:pPr>
                  <a:defRPr/>
                </a:pPr>
                <a:r>
                  <a:rPr lang="en-US"/>
                  <a:t>Days</a:t>
                </a:r>
              </a:p>
            </c:rich>
          </c:tx>
          <c:layout>
            <c:manualLayout>
              <c:xMode val="edge"/>
              <c:yMode val="edge"/>
              <c:x val="2.1249940106371084E-2"/>
              <c:y val="0.43835568630844224"/>
            </c:manualLayout>
          </c:layout>
          <c:overlay val="0"/>
        </c:title>
        <c:numFmt formatCode="#,##0" sourceLinked="0"/>
        <c:majorTickMark val="out"/>
        <c:minorTickMark val="none"/>
        <c:tickLblPos val="nextTo"/>
        <c:crossAx val="166426112"/>
        <c:crosses val="autoZero"/>
        <c:crossBetween val="between"/>
        <c:majorUnit val="20"/>
      </c:valAx>
    </c:plotArea>
    <c:plotVisOnly val="1"/>
    <c:dispBlanksAs val="zero"/>
    <c:showDLblsOverMax val="0"/>
  </c:chart>
  <c:spPr>
    <a:noFill/>
    <a:ln>
      <a:noFill/>
    </a:ln>
  </c:spPr>
  <c:txPr>
    <a:bodyPr/>
    <a:lstStyle/>
    <a:p>
      <a:pPr>
        <a:defRPr sz="700">
          <a:latin typeface="Arial Narrow" panose="020B0606020202030204" pitchFamily="34" charset="0"/>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55203824674045"/>
          <c:y val="0.12193866556154163"/>
          <c:w val="0.83669813078638999"/>
          <c:h val="0.71575714877745544"/>
        </c:manualLayout>
      </c:layout>
      <c:lineChart>
        <c:grouping val="stacked"/>
        <c:varyColors val="0"/>
        <c:ser>
          <c:idx val="1"/>
          <c:order val="0"/>
          <c:spPr>
            <a:ln>
              <a:solidFill>
                <a:srgbClr val="0070C0"/>
              </a:solidFill>
            </a:ln>
          </c:spPr>
          <c:marker>
            <c:symbol val="none"/>
          </c:marker>
          <c:cat>
            <c:numRef>
              <c:f>Pendency!$C$79:$C$88</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Pendency!$G$79:$G$88</c:f>
              <c:numCache>
                <c:formatCode>_ * #,##0_ ;_ * \-#,##0_ ;_ * "-"??_ ;_ @_ </c:formatCode>
                <c:ptCount val="10"/>
                <c:pt idx="0">
                  <c:v>43.735876623376626</c:v>
                </c:pt>
                <c:pt idx="1">
                  <c:v>51.644368697628181</c:v>
                </c:pt>
                <c:pt idx="2">
                  <c:v>32.199301789165261</c:v>
                </c:pt>
                <c:pt idx="3">
                  <c:v>41.968541722207412</c:v>
                </c:pt>
                <c:pt idx="4">
                  <c:v>38.053552738690549</c:v>
                </c:pt>
                <c:pt idx="5">
                  <c:v>18.218289746317971</c:v>
                </c:pt>
                <c:pt idx="6">
                  <c:v>14.657033723676935</c:v>
                </c:pt>
                <c:pt idx="7">
                  <c:v>14.390373150805917</c:v>
                </c:pt>
                <c:pt idx="8">
                  <c:v>14.748484393005661</c:v>
                </c:pt>
                <c:pt idx="9">
                  <c:v>15.218794040668412</c:v>
                </c:pt>
              </c:numCache>
            </c:numRef>
          </c:val>
          <c:smooth val="0"/>
          <c:extLst>
            <c:ext xmlns:c16="http://schemas.microsoft.com/office/drawing/2014/chart" uri="{C3380CC4-5D6E-409C-BE32-E72D297353CC}">
              <c16:uniqueId val="{00000000-F1B4-498E-B777-352DCBBA0037}"/>
            </c:ext>
          </c:extLst>
        </c:ser>
        <c:dLbls>
          <c:showLegendKey val="0"/>
          <c:showVal val="0"/>
          <c:showCatName val="0"/>
          <c:showSerName val="0"/>
          <c:showPercent val="0"/>
          <c:showBubbleSize val="0"/>
        </c:dLbls>
        <c:smooth val="0"/>
        <c:axId val="166516224"/>
        <c:axId val="166518144"/>
      </c:lineChart>
      <c:catAx>
        <c:axId val="166516224"/>
        <c:scaling>
          <c:orientation val="minMax"/>
        </c:scaling>
        <c:delete val="0"/>
        <c:axPos val="b"/>
        <c:numFmt formatCode="General" sourceLinked="1"/>
        <c:majorTickMark val="out"/>
        <c:minorTickMark val="none"/>
        <c:tickLblPos val="nextTo"/>
        <c:crossAx val="166518144"/>
        <c:crosses val="autoZero"/>
        <c:auto val="1"/>
        <c:lblAlgn val="ctr"/>
        <c:lblOffset val="100"/>
        <c:noMultiLvlLbl val="0"/>
      </c:catAx>
      <c:valAx>
        <c:axId val="166518144"/>
        <c:scaling>
          <c:orientation val="minMax"/>
          <c:max val="80"/>
        </c:scaling>
        <c:delete val="0"/>
        <c:axPos val="l"/>
        <c:majorGridlines>
          <c:spPr>
            <a:ln>
              <a:noFill/>
            </a:ln>
          </c:spPr>
        </c:majorGridlines>
        <c:title>
          <c:tx>
            <c:rich>
              <a:bodyPr rot="-5400000" vert="horz"/>
              <a:lstStyle/>
              <a:p>
                <a:pPr>
                  <a:defRPr/>
                </a:pPr>
                <a:r>
                  <a:rPr lang="en-US"/>
                  <a:t>Days</a:t>
                </a:r>
              </a:p>
            </c:rich>
          </c:tx>
          <c:layout>
            <c:manualLayout>
              <c:xMode val="edge"/>
              <c:yMode val="edge"/>
              <c:x val="2.1249940106371084E-2"/>
              <c:y val="0.43835557397430586"/>
            </c:manualLayout>
          </c:layout>
          <c:overlay val="0"/>
        </c:title>
        <c:numFmt formatCode="#,##0" sourceLinked="0"/>
        <c:majorTickMark val="out"/>
        <c:minorTickMark val="none"/>
        <c:tickLblPos val="nextTo"/>
        <c:crossAx val="166516224"/>
        <c:crosses val="autoZero"/>
        <c:crossBetween val="between"/>
        <c:majorUnit val="20"/>
      </c:valAx>
    </c:plotArea>
    <c:plotVisOnly val="1"/>
    <c:dispBlanksAs val="zero"/>
    <c:showDLblsOverMax val="0"/>
  </c:chart>
  <c:spPr>
    <a:noFill/>
    <a:ln>
      <a:noFill/>
    </a:ln>
  </c:spPr>
  <c:txPr>
    <a:bodyPr/>
    <a:lstStyle/>
    <a:p>
      <a:pPr>
        <a:defRPr sz="700">
          <a:latin typeface="Arial Narrow" panose="020B0606020202030204" pitchFamily="34" charset="0"/>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13198350206224"/>
          <c:y val="4.832715265430531E-2"/>
          <c:w val="0.85666650364356645"/>
          <c:h val="0.77571721276775885"/>
        </c:manualLayout>
      </c:layout>
      <c:barChart>
        <c:barDir val="col"/>
        <c:grouping val="clustered"/>
        <c:varyColors val="0"/>
        <c:ser>
          <c:idx val="0"/>
          <c:order val="0"/>
          <c:tx>
            <c:strRef>
              <c:f>'Quality Nice'!$B$7</c:f>
              <c:strCache>
                <c:ptCount val="1"/>
                <c:pt idx="0">
                  <c:v>NICE OK </c:v>
                </c:pt>
              </c:strCache>
            </c:strRef>
          </c:tx>
          <c:invertIfNegative val="0"/>
          <c:dLbls>
            <c:dLbl>
              <c:idx val="0"/>
              <c:tx>
                <c:rich>
                  <a:bodyPr/>
                  <a:lstStyle/>
                  <a:p>
                    <a:r>
                      <a:rPr lang="en-US" sz="800" b="1">
                        <a:solidFill>
                          <a:schemeClr val="bg1"/>
                        </a:solidFill>
                      </a:rPr>
                      <a:t>89%</a:t>
                    </a:r>
                    <a:endParaRPr lang="en-US" sz="300">
                      <a:solidFill>
                        <a:schemeClr val="bg1"/>
                      </a:solidFill>
                    </a:endParaRPr>
                  </a:p>
                </c:rich>
              </c:tx>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51-4FF0-A0E0-C9BE795F5543}"/>
                </c:ext>
              </c:extLst>
            </c:dLbl>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'Quality Nice'!$A$11:$A$15</c:f>
              <c:numCache>
                <c:formatCode>General</c:formatCode>
                <c:ptCount val="5"/>
                <c:pt idx="0">
                  <c:v>2018</c:v>
                </c:pt>
                <c:pt idx="1">
                  <c:v>2019</c:v>
                </c:pt>
                <c:pt idx="2">
                  <c:v>2020</c:v>
                </c:pt>
                <c:pt idx="3">
                  <c:v>2021</c:v>
                </c:pt>
                <c:pt idx="4">
                  <c:v>2022</c:v>
                </c:pt>
              </c:numCache>
            </c:numRef>
          </c:cat>
          <c:val>
            <c:numRef>
              <c:f>'Quality Nice'!$B$11:$B$15</c:f>
              <c:numCache>
                <c:formatCode>0%</c:formatCode>
                <c:ptCount val="5"/>
                <c:pt idx="0">
                  <c:v>0.91</c:v>
                </c:pt>
                <c:pt idx="1">
                  <c:v>0.92</c:v>
                </c:pt>
                <c:pt idx="2">
                  <c:v>0.89</c:v>
                </c:pt>
                <c:pt idx="3">
                  <c:v>0.9</c:v>
                </c:pt>
                <c:pt idx="4">
                  <c:v>0.91300000000000003</c:v>
                </c:pt>
              </c:numCache>
            </c:numRef>
          </c:val>
          <c:extLst>
            <c:ext xmlns:c16="http://schemas.microsoft.com/office/drawing/2014/chart" uri="{C3380CC4-5D6E-409C-BE32-E72D297353CC}">
              <c16:uniqueId val="{00000001-0551-4FF0-A0E0-C9BE795F5543}"/>
            </c:ext>
          </c:extLst>
        </c:ser>
        <c:dLbls>
          <c:showLegendKey val="0"/>
          <c:showVal val="0"/>
          <c:showCatName val="0"/>
          <c:showSerName val="0"/>
          <c:showPercent val="0"/>
          <c:showBubbleSize val="0"/>
        </c:dLbls>
        <c:gapWidth val="150"/>
        <c:axId val="105203200"/>
        <c:axId val="105204736"/>
      </c:barChart>
      <c:lineChart>
        <c:grouping val="standard"/>
        <c:varyColors val="0"/>
        <c:ser>
          <c:idx val="1"/>
          <c:order val="1"/>
          <c:tx>
            <c:strRef>
              <c:f>'Quality Nice'!$C$7</c:f>
              <c:strCache>
                <c:ptCount val="1"/>
                <c:pt idx="0">
                  <c:v>AQL</c:v>
                </c:pt>
              </c:strCache>
            </c:strRef>
          </c:tx>
          <c:spPr>
            <a:ln w="6350">
              <a:solidFill>
                <a:schemeClr val="accent2"/>
              </a:solidFill>
            </a:ln>
          </c:spPr>
          <c:marker>
            <c:symbol val="none"/>
          </c:marker>
          <c:cat>
            <c:numRef>
              <c:f>'Quality Nice'!$A$11:$A$15</c:f>
              <c:numCache>
                <c:formatCode>General</c:formatCode>
                <c:ptCount val="5"/>
                <c:pt idx="0">
                  <c:v>2018</c:v>
                </c:pt>
                <c:pt idx="1">
                  <c:v>2019</c:v>
                </c:pt>
                <c:pt idx="2">
                  <c:v>2020</c:v>
                </c:pt>
                <c:pt idx="3">
                  <c:v>2021</c:v>
                </c:pt>
                <c:pt idx="4">
                  <c:v>2022</c:v>
                </c:pt>
              </c:numCache>
            </c:numRef>
          </c:cat>
          <c:val>
            <c:numRef>
              <c:f>'Quality Nice'!$C$11:$C$15</c:f>
              <c:numCache>
                <c:formatCode>0%</c:formatCode>
                <c:ptCount val="5"/>
                <c:pt idx="0">
                  <c:v>0.9</c:v>
                </c:pt>
                <c:pt idx="1">
                  <c:v>0.9</c:v>
                </c:pt>
                <c:pt idx="2">
                  <c:v>0.9</c:v>
                </c:pt>
                <c:pt idx="3">
                  <c:v>0.9</c:v>
                </c:pt>
                <c:pt idx="4">
                  <c:v>0.9</c:v>
                </c:pt>
              </c:numCache>
            </c:numRef>
          </c:val>
          <c:smooth val="0"/>
          <c:extLst>
            <c:ext xmlns:c16="http://schemas.microsoft.com/office/drawing/2014/chart" uri="{C3380CC4-5D6E-409C-BE32-E72D297353CC}">
              <c16:uniqueId val="{00000002-0551-4FF0-A0E0-C9BE795F5543}"/>
            </c:ext>
          </c:extLst>
        </c:ser>
        <c:dLbls>
          <c:showLegendKey val="0"/>
          <c:showVal val="0"/>
          <c:showCatName val="0"/>
          <c:showSerName val="0"/>
          <c:showPercent val="0"/>
          <c:showBubbleSize val="0"/>
        </c:dLbls>
        <c:marker val="1"/>
        <c:smooth val="0"/>
        <c:axId val="105203200"/>
        <c:axId val="105204736"/>
      </c:lineChart>
      <c:catAx>
        <c:axId val="105203200"/>
        <c:scaling>
          <c:orientation val="minMax"/>
        </c:scaling>
        <c:delete val="0"/>
        <c:axPos val="b"/>
        <c:title>
          <c:tx>
            <c:rich>
              <a:bodyPr/>
              <a:lstStyle/>
              <a:p>
                <a:pPr>
                  <a:defRPr/>
                </a:pPr>
                <a:r>
                  <a:rPr lang="en-US"/>
                  <a:t>Processing year</a:t>
                </a:r>
              </a:p>
            </c:rich>
          </c:tx>
          <c:layout>
            <c:manualLayout>
              <c:xMode val="edge"/>
              <c:yMode val="edge"/>
              <c:x val="0.47426647755987023"/>
              <c:y val="0.90567877402421493"/>
            </c:manualLayout>
          </c:layout>
          <c:overlay val="0"/>
        </c:title>
        <c:numFmt formatCode="General" sourceLinked="1"/>
        <c:majorTickMark val="none"/>
        <c:minorTickMark val="none"/>
        <c:tickLblPos val="nextTo"/>
        <c:crossAx val="105204736"/>
        <c:crossesAt val="0"/>
        <c:auto val="1"/>
        <c:lblAlgn val="ctr"/>
        <c:lblOffset val="100"/>
        <c:noMultiLvlLbl val="0"/>
      </c:catAx>
      <c:valAx>
        <c:axId val="105204736"/>
        <c:scaling>
          <c:orientation val="minMax"/>
          <c:max val="1"/>
          <c:min val="0.75000000000000011"/>
        </c:scaling>
        <c:delete val="0"/>
        <c:axPos val="l"/>
        <c:title>
          <c:tx>
            <c:rich>
              <a:bodyPr rot="-5400000" vert="horz"/>
              <a:lstStyle/>
              <a:p>
                <a:pPr>
                  <a:defRPr b="0" i="1"/>
                </a:pPr>
                <a:r>
                  <a:rPr lang="en-US" b="0" i="1"/>
                  <a:t>Quality performance level</a:t>
                </a:r>
              </a:p>
            </c:rich>
          </c:tx>
          <c:layout>
            <c:manualLayout>
              <c:xMode val="edge"/>
              <c:yMode val="edge"/>
              <c:x val="1.6107497432386167E-2"/>
              <c:y val="0.20119651172635677"/>
            </c:manualLayout>
          </c:layout>
          <c:overlay val="0"/>
        </c:title>
        <c:numFmt formatCode="0%" sourceLinked="1"/>
        <c:majorTickMark val="none"/>
        <c:minorTickMark val="none"/>
        <c:tickLblPos val="nextTo"/>
        <c:crossAx val="105203200"/>
        <c:crosses val="autoZero"/>
        <c:crossBetween val="between"/>
        <c:majorUnit val="5.000000000000001E-2"/>
        <c:minorUnit val="1.0000000000000002E-3"/>
      </c:valAx>
    </c:plotArea>
    <c:plotVisOnly val="1"/>
    <c:dispBlanksAs val="gap"/>
    <c:showDLblsOverMax val="0"/>
  </c:chart>
  <c:spPr>
    <a:solidFill>
      <a:sysClr val="window" lastClr="FFFFFF"/>
    </a:solidFill>
    <a:ln>
      <a:noFill/>
    </a:ln>
  </c:spPr>
  <c:txPr>
    <a:bodyPr/>
    <a:lstStyle/>
    <a:p>
      <a:pPr>
        <a:defRPr sz="800">
          <a:latin typeface="Arial Narrow" panose="020B0606020202030204" pitchFamily="34" charset="0"/>
        </a:defRPr>
      </a:pPr>
      <a:endParaRPr lang="en-US"/>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88577395317845"/>
          <c:y val="4.7159699892818867E-2"/>
          <c:w val="0.60019404695156131"/>
          <c:h val="0.79710594053556805"/>
        </c:manualLayout>
      </c:layout>
      <c:barChart>
        <c:barDir val="col"/>
        <c:grouping val="percentStacked"/>
        <c:varyColors val="0"/>
        <c:ser>
          <c:idx val="0"/>
          <c:order val="0"/>
          <c:tx>
            <c:strRef>
              <c:f>'Errors Classification'!$A$11</c:f>
              <c:strCache>
                <c:ptCount val="1"/>
                <c:pt idx="0">
                  <c:v>Misclassification (Rule 12)</c:v>
                </c:pt>
              </c:strCache>
            </c:strRef>
          </c:tx>
          <c:invertIfNegative val="0"/>
          <c:dLbls>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Classification'!$D$11:$H$11</c:f>
              <c:numCache>
                <c:formatCode>0%</c:formatCode>
                <c:ptCount val="5"/>
                <c:pt idx="0">
                  <c:v>0.1660958904109589</c:v>
                </c:pt>
                <c:pt idx="1">
                  <c:v>0.219</c:v>
                </c:pt>
                <c:pt idx="2">
                  <c:v>0.251</c:v>
                </c:pt>
                <c:pt idx="3">
                  <c:v>0.34</c:v>
                </c:pt>
                <c:pt idx="4">
                  <c:v>0.34399999999999997</c:v>
                </c:pt>
              </c:numCache>
            </c:numRef>
          </c:val>
          <c:extLst>
            <c:ext xmlns:c16="http://schemas.microsoft.com/office/drawing/2014/chart" uri="{C3380CC4-5D6E-409C-BE32-E72D297353CC}">
              <c16:uniqueId val="{00000000-7A55-44AB-BF43-009918C12785}"/>
            </c:ext>
          </c:extLst>
        </c:ser>
        <c:ser>
          <c:idx val="1"/>
          <c:order val="1"/>
          <c:tx>
            <c:strRef>
              <c:f>'Errors Classification'!$A$12</c:f>
              <c:strCache>
                <c:ptCount val="1"/>
                <c:pt idx="0">
                  <c:v>Typo/punctuation</c:v>
                </c:pt>
              </c:strCache>
            </c:strRef>
          </c:tx>
          <c:invertIfNegative val="0"/>
          <c:dLbls>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Classification'!$D$12:$H$12</c:f>
              <c:numCache>
                <c:formatCode>0%</c:formatCode>
                <c:ptCount val="5"/>
                <c:pt idx="0">
                  <c:v>0.18321917808219179</c:v>
                </c:pt>
                <c:pt idx="1">
                  <c:v>0.191</c:v>
                </c:pt>
                <c:pt idx="2">
                  <c:v>0.105</c:v>
                </c:pt>
                <c:pt idx="3">
                  <c:v>0.2</c:v>
                </c:pt>
                <c:pt idx="4">
                  <c:v>0.21299999999999999</c:v>
                </c:pt>
              </c:numCache>
            </c:numRef>
          </c:val>
          <c:extLst>
            <c:ext xmlns:c16="http://schemas.microsoft.com/office/drawing/2014/chart" uri="{C3380CC4-5D6E-409C-BE32-E72D297353CC}">
              <c16:uniqueId val="{00000001-7A55-44AB-BF43-009918C12785}"/>
            </c:ext>
          </c:extLst>
        </c:ser>
        <c:ser>
          <c:idx val="2"/>
          <c:order val="2"/>
          <c:tx>
            <c:strRef>
              <c:f>'Errors Classification'!$A$13</c:f>
              <c:strCache>
                <c:ptCount val="1"/>
                <c:pt idx="0">
                  <c:v>Reexamination following irregularities</c:v>
                </c:pt>
              </c:strCache>
            </c:strRef>
          </c:tx>
          <c:invertIfNegative val="0"/>
          <c:dLbls>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Classification'!$D$13:$H$13</c:f>
              <c:numCache>
                <c:formatCode>0%</c:formatCode>
                <c:ptCount val="5"/>
                <c:pt idx="0">
                  <c:v>0.31164383561643838</c:v>
                </c:pt>
                <c:pt idx="1">
                  <c:v>0.31</c:v>
                </c:pt>
                <c:pt idx="2">
                  <c:v>0.32600000000000001</c:v>
                </c:pt>
                <c:pt idx="3">
                  <c:v>0.23</c:v>
                </c:pt>
                <c:pt idx="4">
                  <c:v>0.20399999999999999</c:v>
                </c:pt>
              </c:numCache>
            </c:numRef>
          </c:val>
          <c:extLst>
            <c:ext xmlns:c16="http://schemas.microsoft.com/office/drawing/2014/chart" uri="{C3380CC4-5D6E-409C-BE32-E72D297353CC}">
              <c16:uniqueId val="{00000002-7A55-44AB-BF43-009918C12785}"/>
            </c:ext>
          </c:extLst>
        </c:ser>
        <c:ser>
          <c:idx val="3"/>
          <c:order val="3"/>
          <c:tx>
            <c:strRef>
              <c:f>'Errors Classification'!$A$14</c:f>
              <c:strCache>
                <c:ptCount val="1"/>
                <c:pt idx="0">
                  <c:v>Mistranslation</c:v>
                </c:pt>
              </c:strCache>
            </c:strRef>
          </c:tx>
          <c:invertIfNegative val="0"/>
          <c:dLbls>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Classification'!$D$14:$H$14</c:f>
              <c:numCache>
                <c:formatCode>0%</c:formatCode>
                <c:ptCount val="5"/>
                <c:pt idx="0">
                  <c:v>0.14554794520547945</c:v>
                </c:pt>
                <c:pt idx="1">
                  <c:v>0.128</c:v>
                </c:pt>
                <c:pt idx="2">
                  <c:v>0.152</c:v>
                </c:pt>
                <c:pt idx="3">
                  <c:v>0.16</c:v>
                </c:pt>
                <c:pt idx="4">
                  <c:v>0.13</c:v>
                </c:pt>
              </c:numCache>
            </c:numRef>
          </c:val>
          <c:extLst>
            <c:ext xmlns:c16="http://schemas.microsoft.com/office/drawing/2014/chart" uri="{C3380CC4-5D6E-409C-BE32-E72D297353CC}">
              <c16:uniqueId val="{00000003-7A55-44AB-BF43-009918C12785}"/>
            </c:ext>
          </c:extLst>
        </c:ser>
        <c:ser>
          <c:idx val="4"/>
          <c:order val="4"/>
          <c:tx>
            <c:strRef>
              <c:f>'Errors Classification'!$A$15</c:f>
              <c:strCache>
                <c:ptCount val="1"/>
                <c:pt idx="0">
                  <c:v>IT system failure</c:v>
                </c:pt>
              </c:strCache>
            </c:strRef>
          </c:tx>
          <c:invertIfNegative val="0"/>
          <c:dLbls>
            <c:dLbl>
              <c:idx val="3"/>
              <c:layout>
                <c:manualLayout>
                  <c:x val="-7.6268823899487004E-17"/>
                  <c:y val="1.194029850746267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A55-44AB-BF43-009918C12785}"/>
                </c:ext>
              </c:extLst>
            </c:dLbl>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Classification'!$D$15:$H$15</c:f>
              <c:numCache>
                <c:formatCode>0%</c:formatCode>
                <c:ptCount val="5"/>
                <c:pt idx="0">
                  <c:v>7.5342465753424653E-2</c:v>
                </c:pt>
                <c:pt idx="1">
                  <c:v>0.104</c:v>
                </c:pt>
                <c:pt idx="2">
                  <c:v>4.2000000000000003E-2</c:v>
                </c:pt>
                <c:pt idx="3">
                  <c:v>0.02</c:v>
                </c:pt>
                <c:pt idx="4">
                  <c:v>5.5E-2</c:v>
                </c:pt>
              </c:numCache>
            </c:numRef>
          </c:val>
          <c:extLst>
            <c:ext xmlns:c16="http://schemas.microsoft.com/office/drawing/2014/chart" uri="{C3380CC4-5D6E-409C-BE32-E72D297353CC}">
              <c16:uniqueId val="{00000005-7A55-44AB-BF43-009918C12785}"/>
            </c:ext>
          </c:extLst>
        </c:ser>
        <c:ser>
          <c:idx val="5"/>
          <c:order val="5"/>
          <c:tx>
            <c:strRef>
              <c:f>'Errors Classification'!$A$16</c:f>
              <c:strCache>
                <c:ptCount val="1"/>
                <c:pt idx="0">
                  <c:v>Add/remove goods &amp; services</c:v>
                </c:pt>
              </c:strCache>
            </c:strRef>
          </c:tx>
          <c:invertIfNegative val="0"/>
          <c:dLbls>
            <c:numFmt formatCode="0%" sourceLinked="0"/>
            <c:spPr>
              <a:noFill/>
              <a:ln>
                <a:noFill/>
              </a:ln>
              <a:effectLst/>
            </c:spPr>
            <c:txPr>
              <a:bodyPr/>
              <a:lstStyle/>
              <a:p>
                <a:pPr>
                  <a:defRPr>
                    <a:solidFill>
                      <a:schemeClr val="bg1"/>
                    </a:solidFill>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'Errors Classification'!$D$10:$H$10</c:f>
              <c:numCache>
                <c:formatCode>General</c:formatCode>
                <c:ptCount val="5"/>
                <c:pt idx="0">
                  <c:v>2018</c:v>
                </c:pt>
                <c:pt idx="1">
                  <c:v>2019</c:v>
                </c:pt>
                <c:pt idx="2">
                  <c:v>2020</c:v>
                </c:pt>
                <c:pt idx="3">
                  <c:v>2021</c:v>
                </c:pt>
                <c:pt idx="4">
                  <c:v>2022</c:v>
                </c:pt>
              </c:numCache>
            </c:numRef>
          </c:cat>
          <c:val>
            <c:numRef>
              <c:f>'Errors Classification'!$D$16:$H$16</c:f>
              <c:numCache>
                <c:formatCode>0%</c:formatCode>
                <c:ptCount val="5"/>
                <c:pt idx="0">
                  <c:v>0.11815068493150685</c:v>
                </c:pt>
                <c:pt idx="1">
                  <c:v>4.8000000000000001E-2</c:v>
                </c:pt>
                <c:pt idx="2">
                  <c:v>0.124</c:v>
                </c:pt>
                <c:pt idx="3">
                  <c:v>0.05</c:v>
                </c:pt>
                <c:pt idx="4">
                  <c:v>5.3999999999999999E-2</c:v>
                </c:pt>
              </c:numCache>
            </c:numRef>
          </c:val>
          <c:extLst>
            <c:ext xmlns:c16="http://schemas.microsoft.com/office/drawing/2014/chart" uri="{C3380CC4-5D6E-409C-BE32-E72D297353CC}">
              <c16:uniqueId val="{00000006-7A55-44AB-BF43-009918C12785}"/>
            </c:ext>
          </c:extLst>
        </c:ser>
        <c:ser>
          <c:idx val="6"/>
          <c:order val="6"/>
          <c:tx>
            <c:strRef>
              <c:f>'Errors Classification'!$A$17</c:f>
              <c:strCache>
                <c:ptCount val="1"/>
                <c:pt idx="0">
                  <c:v>Others</c:v>
                </c:pt>
              </c:strCache>
            </c:strRef>
          </c:tx>
          <c:invertIfNegative val="0"/>
          <c:dLbls>
            <c:delete val="1"/>
          </c:dLbls>
          <c:cat>
            <c:numRef>
              <c:f>'Errors Classification'!$D$10:$H$10</c:f>
              <c:numCache>
                <c:formatCode>General</c:formatCode>
                <c:ptCount val="5"/>
                <c:pt idx="0">
                  <c:v>2018</c:v>
                </c:pt>
                <c:pt idx="1">
                  <c:v>2019</c:v>
                </c:pt>
                <c:pt idx="2">
                  <c:v>2020</c:v>
                </c:pt>
                <c:pt idx="3">
                  <c:v>2021</c:v>
                </c:pt>
                <c:pt idx="4">
                  <c:v>2022</c:v>
                </c:pt>
              </c:numCache>
            </c:numRef>
          </c:cat>
          <c:val>
            <c:numRef>
              <c:f>'Errors Classification'!$D$17:$H$17</c:f>
              <c:numCache>
                <c:formatCode>0%</c:formatCode>
                <c:ptCount val="5"/>
                <c:pt idx="0">
                  <c:v>0</c:v>
                </c:pt>
                <c:pt idx="1">
                  <c:v>0</c:v>
                </c:pt>
                <c:pt idx="2">
                  <c:v>0</c:v>
                </c:pt>
                <c:pt idx="3">
                  <c:v>0</c:v>
                </c:pt>
                <c:pt idx="4">
                  <c:v>0</c:v>
                </c:pt>
              </c:numCache>
            </c:numRef>
          </c:val>
          <c:extLst>
            <c:ext xmlns:c16="http://schemas.microsoft.com/office/drawing/2014/chart" uri="{C3380CC4-5D6E-409C-BE32-E72D297353CC}">
              <c16:uniqueId val="{00000007-7A55-44AB-BF43-009918C12785}"/>
            </c:ext>
          </c:extLst>
        </c:ser>
        <c:dLbls>
          <c:dLblPos val="ctr"/>
          <c:showLegendKey val="0"/>
          <c:showVal val="1"/>
          <c:showCatName val="0"/>
          <c:showSerName val="0"/>
          <c:showPercent val="0"/>
          <c:showBubbleSize val="0"/>
        </c:dLbls>
        <c:gapWidth val="101"/>
        <c:overlap val="100"/>
        <c:axId val="106311040"/>
        <c:axId val="106329600"/>
      </c:barChart>
      <c:catAx>
        <c:axId val="106311040"/>
        <c:scaling>
          <c:orientation val="minMax"/>
        </c:scaling>
        <c:delete val="0"/>
        <c:axPos val="b"/>
        <c:title>
          <c:tx>
            <c:rich>
              <a:bodyPr/>
              <a:lstStyle/>
              <a:p>
                <a:pPr>
                  <a:defRPr/>
                </a:pPr>
                <a:r>
                  <a:rPr lang="en-US"/>
                  <a:t>Processing Year</a:t>
                </a:r>
              </a:p>
            </c:rich>
          </c:tx>
          <c:overlay val="0"/>
        </c:title>
        <c:numFmt formatCode="General" sourceLinked="1"/>
        <c:majorTickMark val="out"/>
        <c:minorTickMark val="none"/>
        <c:tickLblPos val="nextTo"/>
        <c:crossAx val="106329600"/>
        <c:crosses val="autoZero"/>
        <c:auto val="1"/>
        <c:lblAlgn val="ctr"/>
        <c:lblOffset val="100"/>
        <c:noMultiLvlLbl val="0"/>
      </c:catAx>
      <c:valAx>
        <c:axId val="106329600"/>
        <c:scaling>
          <c:orientation val="minMax"/>
          <c:max val="1"/>
        </c:scaling>
        <c:delete val="0"/>
        <c:axPos val="l"/>
        <c:majorGridlines>
          <c:spPr>
            <a:ln>
              <a:noFill/>
            </a:ln>
          </c:spPr>
        </c:majorGridlines>
        <c:title>
          <c:tx>
            <c:rich>
              <a:bodyPr rot="-5400000" vert="horz"/>
              <a:lstStyle/>
              <a:p>
                <a:pPr>
                  <a:defRPr b="0" i="1"/>
                </a:pPr>
                <a:r>
                  <a:rPr lang="en-US" b="0" i="1"/>
                  <a:t>Distribution</a:t>
                </a:r>
              </a:p>
            </c:rich>
          </c:tx>
          <c:overlay val="0"/>
        </c:title>
        <c:numFmt formatCode="0%" sourceLinked="1"/>
        <c:majorTickMark val="out"/>
        <c:minorTickMark val="none"/>
        <c:tickLblPos val="nextTo"/>
        <c:crossAx val="106311040"/>
        <c:crosses val="autoZero"/>
        <c:crossBetween val="between"/>
        <c:majorUnit val="0.25"/>
      </c:valAx>
    </c:plotArea>
    <c:legend>
      <c:legendPos val="r"/>
      <c:layout>
        <c:manualLayout>
          <c:xMode val="edge"/>
          <c:yMode val="edge"/>
          <c:x val="0.72365845136231033"/>
          <c:y val="4.9938307550784461E-2"/>
          <c:w val="0.26395764770889713"/>
          <c:h val="0.76638259445865087"/>
        </c:manualLayout>
      </c:layout>
      <c:overlay val="0"/>
    </c:legend>
    <c:plotVisOnly val="1"/>
    <c:dispBlanksAs val="gap"/>
    <c:showDLblsOverMax val="0"/>
  </c:chart>
  <c:spPr>
    <a:solidFill>
      <a:sysClr val="window" lastClr="FFFFFF"/>
    </a:solidFill>
    <a:ln>
      <a:noFill/>
    </a:ln>
  </c:spPr>
  <c:txPr>
    <a:bodyPr/>
    <a:lstStyle/>
    <a:p>
      <a:pPr>
        <a:defRPr sz="900">
          <a:latin typeface="Arial Narrow" panose="020B0606020202030204" pitchFamily="34"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62381199644358"/>
          <c:y val="5.6304316844787004E-2"/>
          <c:w val="0.86200738583093017"/>
          <c:h val="0.74592282120541575"/>
        </c:manualLayout>
      </c:layout>
      <c:barChart>
        <c:barDir val="col"/>
        <c:grouping val="stacked"/>
        <c:varyColors val="0"/>
        <c:ser>
          <c:idx val="0"/>
          <c:order val="0"/>
          <c:tx>
            <c:strRef>
              <c:f>Applications!$A$6</c:f>
              <c:strCache>
                <c:ptCount val="1"/>
                <c:pt idx="0">
                  <c:v>Electronic</c:v>
                </c:pt>
              </c:strCache>
            </c:strRef>
          </c:tx>
          <c:spPr>
            <a:solidFill>
              <a:schemeClr val="accent1"/>
            </a:solidFill>
            <a:ln>
              <a:noFill/>
            </a:ln>
            <a:effectLst/>
          </c:spPr>
          <c:invertIfNegative val="0"/>
          <c:cat>
            <c:numRef>
              <c:f>Applications!$B$3:$K$3</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Applications!$B$6:$K$6</c:f>
              <c:numCache>
                <c:formatCode>_(* #,##0_);_(* \(#,##0\);_(* "-"??_);_(@_)</c:formatCode>
                <c:ptCount val="10"/>
                <c:pt idx="0">
                  <c:v>2685</c:v>
                </c:pt>
                <c:pt idx="1">
                  <c:v>2681</c:v>
                </c:pt>
                <c:pt idx="2">
                  <c:v>3993</c:v>
                </c:pt>
                <c:pt idx="3">
                  <c:v>5384</c:v>
                </c:pt>
                <c:pt idx="4">
                  <c:v>5183</c:v>
                </c:pt>
                <c:pt idx="5">
                  <c:v>5367</c:v>
                </c:pt>
                <c:pt idx="6">
                  <c:v>5853</c:v>
                </c:pt>
                <c:pt idx="7">
                  <c:v>5768</c:v>
                </c:pt>
                <c:pt idx="8">
                  <c:v>6697</c:v>
                </c:pt>
                <c:pt idx="9">
                  <c:v>7969</c:v>
                </c:pt>
              </c:numCache>
            </c:numRef>
          </c:val>
          <c:extLst>
            <c:ext xmlns:c16="http://schemas.microsoft.com/office/drawing/2014/chart" uri="{C3380CC4-5D6E-409C-BE32-E72D297353CC}">
              <c16:uniqueId val="{00000000-3136-4DA7-9968-A539E011BB26}"/>
            </c:ext>
          </c:extLst>
        </c:ser>
        <c:ser>
          <c:idx val="1"/>
          <c:order val="1"/>
          <c:tx>
            <c:strRef>
              <c:f>Applications!$A$7</c:f>
              <c:strCache>
                <c:ptCount val="1"/>
                <c:pt idx="0">
                  <c:v>Paper</c:v>
                </c:pt>
              </c:strCache>
            </c:strRef>
          </c:tx>
          <c:spPr>
            <a:solidFill>
              <a:schemeClr val="accent2"/>
            </a:solidFill>
            <a:ln>
              <a:noFill/>
            </a:ln>
            <a:effectLst/>
          </c:spPr>
          <c:invertIfNegative val="0"/>
          <c:cat>
            <c:numRef>
              <c:f>Applications!$B$3:$K$3</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Applications!$B$7:$K$7</c:f>
              <c:numCache>
                <c:formatCode>_(* #,##0_);_(* \(#,##0\);_(* "-"??_);_(@_)</c:formatCode>
                <c:ptCount val="10"/>
                <c:pt idx="0">
                  <c:v>337</c:v>
                </c:pt>
                <c:pt idx="1">
                  <c:v>252</c:v>
                </c:pt>
                <c:pt idx="2">
                  <c:v>194</c:v>
                </c:pt>
                <c:pt idx="3">
                  <c:v>196</c:v>
                </c:pt>
                <c:pt idx="4">
                  <c:v>73</c:v>
                </c:pt>
                <c:pt idx="5">
                  <c:v>84</c:v>
                </c:pt>
                <c:pt idx="6">
                  <c:v>42</c:v>
                </c:pt>
                <c:pt idx="7">
                  <c:v>31</c:v>
                </c:pt>
                <c:pt idx="8">
                  <c:v>17</c:v>
                </c:pt>
                <c:pt idx="9">
                  <c:v>4</c:v>
                </c:pt>
              </c:numCache>
            </c:numRef>
          </c:val>
          <c:extLst>
            <c:ext xmlns:c16="http://schemas.microsoft.com/office/drawing/2014/chart" uri="{C3380CC4-5D6E-409C-BE32-E72D297353CC}">
              <c16:uniqueId val="{00000001-3136-4DA7-9968-A539E011BB26}"/>
            </c:ext>
          </c:extLst>
        </c:ser>
        <c:dLbls>
          <c:showLegendKey val="0"/>
          <c:showVal val="0"/>
          <c:showCatName val="0"/>
          <c:showSerName val="0"/>
          <c:showPercent val="0"/>
          <c:showBubbleSize val="0"/>
        </c:dLbls>
        <c:gapWidth val="101"/>
        <c:overlap val="100"/>
        <c:axId val="98851840"/>
        <c:axId val="98854016"/>
      </c:barChart>
      <c:catAx>
        <c:axId val="98851840"/>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sz="800" b="1">
                    <a:solidFill>
                      <a:sysClr val="windowText" lastClr="000000"/>
                    </a:solidFill>
                  </a:rPr>
                  <a:t>Application year </a:t>
                </a:r>
              </a:p>
            </c:rich>
          </c:tx>
          <c:layout>
            <c:manualLayout>
              <c:xMode val="edge"/>
              <c:yMode val="edge"/>
              <c:x val="0.4745992040246465"/>
              <c:y val="0.88468858370005488"/>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8854016"/>
        <c:crosses val="autoZero"/>
        <c:auto val="1"/>
        <c:lblAlgn val="ctr"/>
        <c:lblOffset val="100"/>
        <c:noMultiLvlLbl val="0"/>
      </c:catAx>
      <c:valAx>
        <c:axId val="98854016"/>
        <c:scaling>
          <c:orientation val="minMax"/>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sz="800" i="1">
                    <a:solidFill>
                      <a:sysClr val="windowText" lastClr="000000"/>
                    </a:solidFill>
                  </a:rPr>
                  <a:t>Applications</a:t>
                </a:r>
              </a:p>
            </c:rich>
          </c:tx>
          <c:layout>
            <c:manualLayout>
              <c:xMode val="edge"/>
              <c:yMode val="edge"/>
              <c:x val="1.8560671618018509E-2"/>
              <c:y val="0.30531738523946195"/>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8851840"/>
        <c:crosses val="autoZero"/>
        <c:crossBetween val="between"/>
      </c:valAx>
      <c:spPr>
        <a:noFill/>
        <a:ln>
          <a:noFill/>
        </a:ln>
        <a:effectLst/>
      </c:spPr>
    </c:plotArea>
    <c:legend>
      <c:legendPos val="b"/>
      <c:layout>
        <c:manualLayout>
          <c:xMode val="edge"/>
          <c:yMode val="edge"/>
          <c:x val="0.12314826250245166"/>
          <c:y val="0.90323335464459631"/>
          <c:w val="0.17308966527025713"/>
          <c:h val="5.78963142569892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latin typeface="Arial Narrow" panose="020B060602020203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11129949154237"/>
          <c:y val="2.8629856850715747E-2"/>
          <c:w val="0.86111257105945338"/>
          <c:h val="0.79652351738241312"/>
        </c:manualLayout>
      </c:layout>
      <c:barChart>
        <c:barDir val="col"/>
        <c:grouping val="clustered"/>
        <c:varyColors val="0"/>
        <c:ser>
          <c:idx val="1"/>
          <c:order val="1"/>
          <c:tx>
            <c:strRef>
              <c:f>'Tables &amp; charts'!$A$6</c:f>
              <c:strCache>
                <c:ptCount val="1"/>
                <c:pt idx="0">
                  <c:v>Growth</c:v>
                </c:pt>
              </c:strCache>
            </c:strRef>
          </c:tx>
          <c:spPr>
            <a:solidFill>
              <a:schemeClr val="tx2"/>
            </a:solidFill>
            <a:ln w="25400">
              <a:noFill/>
            </a:ln>
          </c:spPr>
          <c:invertIfNegative val="0"/>
          <c:dLbls>
            <c:dLbl>
              <c:idx val="0"/>
              <c:layout>
                <c:manualLayout>
                  <c:x val="-1.9824950644572616E-17"/>
                  <c:y val="-6.8050119495344306E-4"/>
                </c:manualLayout>
              </c:layout>
              <c:spPr>
                <a:noFill/>
                <a:ln w="25400">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D3-4A52-B80B-8B1155E694B6}"/>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Narrow" panose="020B0606020202030204" pitchFamily="34" charset="0"/>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charts'!$B$6:$G$6</c:f>
              <c:numCache>
                <c:formatCode>0.0%</c:formatCode>
                <c:ptCount val="6"/>
                <c:pt idx="0">
                  <c:v>3.5999999999999997E-2</c:v>
                </c:pt>
                <c:pt idx="1">
                  <c:v>8.0000000000000002E-3</c:v>
                </c:pt>
                <c:pt idx="2">
                  <c:v>2E-3</c:v>
                </c:pt>
                <c:pt idx="3">
                  <c:v>2.3E-2</c:v>
                </c:pt>
                <c:pt idx="4">
                  <c:v>2.7E-2</c:v>
                </c:pt>
                <c:pt idx="5">
                  <c:v>2.4E-2</c:v>
                </c:pt>
              </c:numCache>
            </c:numRef>
          </c:val>
          <c:extLst>
            <c:ext xmlns:c16="http://schemas.microsoft.com/office/drawing/2014/chart" uri="{C3380CC4-5D6E-409C-BE32-E72D297353CC}">
              <c16:uniqueId val="{00000001-FED3-4A52-B80B-8B1155E694B6}"/>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charts'!$A$5</c:f>
              <c:strCache>
                <c:ptCount val="1"/>
                <c:pt idx="0">
                  <c:v>Applications</c:v>
                </c:pt>
              </c:strCache>
            </c:strRef>
          </c:tx>
          <c:spPr>
            <a:ln w="28575">
              <a:noFill/>
            </a:ln>
          </c:spPr>
          <c:marker>
            <c:symbol val="diamond"/>
            <c:size val="8"/>
            <c:spPr>
              <a:solidFill>
                <a:srgbClr val="000000"/>
              </a:solidFill>
              <a:ln>
                <a:solidFill>
                  <a:srgbClr val="000000"/>
                </a:solidFill>
                <a:prstDash val="solid"/>
              </a:ln>
            </c:spPr>
          </c:marker>
          <c:errBars>
            <c:errDir val="y"/>
            <c:errBarType val="both"/>
            <c:errValType val="cust"/>
            <c:noEndCap val="0"/>
            <c:plus>
              <c:numRef>
                <c:f>'Tables &amp; charts'!$B$8:$G$8</c:f>
                <c:numCache>
                  <c:formatCode>General</c:formatCode>
                  <c:ptCount val="6"/>
                  <c:pt idx="2">
                    <c:v>700</c:v>
                  </c:pt>
                  <c:pt idx="3">
                    <c:v>8800</c:v>
                  </c:pt>
                  <c:pt idx="4">
                    <c:v>12400</c:v>
                  </c:pt>
                  <c:pt idx="5">
                    <c:v>15300</c:v>
                  </c:pt>
                </c:numCache>
              </c:numRef>
            </c:plus>
            <c:minus>
              <c:numRef>
                <c:f>'Tables &amp; charts'!$B$10:$G$10</c:f>
                <c:numCache>
                  <c:formatCode>General</c:formatCode>
                  <c:ptCount val="6"/>
                  <c:pt idx="0">
                    <c:v>0</c:v>
                  </c:pt>
                  <c:pt idx="1">
                    <c:v>0</c:v>
                  </c:pt>
                  <c:pt idx="2">
                    <c:v>700</c:v>
                  </c:pt>
                  <c:pt idx="3">
                    <c:v>8800</c:v>
                  </c:pt>
                  <c:pt idx="4">
                    <c:v>12500</c:v>
                  </c:pt>
                  <c:pt idx="5">
                    <c:v>15200</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charts'!$B$5:$G$5</c:f>
              <c:numCache>
                <c:formatCode>#,##0</c:formatCode>
                <c:ptCount val="6"/>
                <c:pt idx="0">
                  <c:v>274889</c:v>
                </c:pt>
                <c:pt idx="1">
                  <c:v>277185</c:v>
                </c:pt>
                <c:pt idx="2">
                  <c:v>277700</c:v>
                </c:pt>
                <c:pt idx="3">
                  <c:v>284100</c:v>
                </c:pt>
                <c:pt idx="4">
                  <c:v>291700</c:v>
                </c:pt>
                <c:pt idx="5">
                  <c:v>298700</c:v>
                </c:pt>
              </c:numCache>
            </c:numRef>
          </c:val>
          <c:smooth val="0"/>
          <c:extLst>
            <c:ext xmlns:c16="http://schemas.microsoft.com/office/drawing/2014/chart" uri="{C3380CC4-5D6E-409C-BE32-E72D297353CC}">
              <c16:uniqueId val="{00000002-FED3-4A52-B80B-8B1155E694B6}"/>
            </c:ext>
          </c:extLst>
        </c:ser>
        <c:dLbls>
          <c:showLegendKey val="0"/>
          <c:showVal val="0"/>
          <c:showCatName val="0"/>
          <c:showSerName val="0"/>
          <c:showPercent val="0"/>
          <c:showBubbleSize val="0"/>
        </c:dLbls>
        <c:marker val="1"/>
        <c:smooth val="0"/>
        <c:axId val="2140929023"/>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multiLvlStrRef>
              <c:f>#REF!</c:f>
            </c:multiLvlStrRef>
          </c:cat>
          <c:val>
            <c:numRef>
              <c:f>'Tables &amp; charts'!$B$9:$G$9</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FED3-4A52-B80B-8B1155E694B6}"/>
            </c:ext>
          </c:extLst>
        </c:ser>
        <c:dLbls>
          <c:showLegendKey val="0"/>
          <c:showVal val="0"/>
          <c:showCatName val="0"/>
          <c:showSerName val="0"/>
          <c:showPercent val="0"/>
          <c:showBubbleSize val="0"/>
        </c:dLbls>
        <c:marker val="1"/>
        <c:smooth val="0"/>
        <c:axId val="3"/>
        <c:axId val="4"/>
      </c:lineChart>
      <c:catAx>
        <c:axId val="2140929023"/>
        <c:scaling>
          <c:orientation val="minMax"/>
        </c:scaling>
        <c:delete val="0"/>
        <c:axPos val="b"/>
        <c:numFmt formatCode="General" sourceLinked="1"/>
        <c:majorTickMark val="out"/>
        <c:minorTickMark val="none"/>
        <c:tickLblPos val="nextTo"/>
        <c:spPr>
          <a:ln w="9525">
            <a:noFill/>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1"/>
        <c:crosses val="autoZero"/>
        <c:auto val="1"/>
        <c:lblAlgn val="ctr"/>
        <c:lblOffset val="100"/>
        <c:tickLblSkip val="1"/>
        <c:tickMarkSkip val="1"/>
        <c:noMultiLvlLbl val="0"/>
      </c:catAx>
      <c:valAx>
        <c:axId val="1"/>
        <c:scaling>
          <c:orientation val="minMax"/>
          <c:max val="340000"/>
          <c:min val="20000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2140929023"/>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44000000000000006"/>
          <c:min val="-5.000000000000001E-2"/>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35133056766369958"/>
          <c:y val="0.93206877040534042"/>
          <c:w val="0.29733886467260084"/>
          <c:h val="6.7931229594659623E-2"/>
        </c:manualLayout>
      </c:layout>
      <c:overlay val="0"/>
      <c:spPr>
        <a:solidFill>
          <a:srgbClr val="FFFFFF"/>
        </a:solidFill>
        <a:ln w="25400">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49624286075067"/>
          <c:y val="6.4879602117213553E-2"/>
          <c:w val="0.85182920158610298"/>
          <c:h val="0.74392721836981357"/>
        </c:manualLayout>
      </c:layout>
      <c:barChart>
        <c:barDir val="col"/>
        <c:grouping val="stacked"/>
        <c:varyColors val="0"/>
        <c:ser>
          <c:idx val="0"/>
          <c:order val="0"/>
          <c:tx>
            <c:strRef>
              <c:f>'Avg Designs'!$A$6</c:f>
              <c:strCache>
                <c:ptCount val="1"/>
                <c:pt idx="0">
                  <c:v>Avg nb of designs per app</c:v>
                </c:pt>
              </c:strCache>
            </c:strRef>
          </c:tx>
          <c:spPr>
            <a:solidFill>
              <a:schemeClr val="accent1"/>
            </a:solidFill>
            <a:ln>
              <a:noFill/>
            </a:ln>
            <a:effectLst/>
          </c:spPr>
          <c:invertIfNegative val="0"/>
          <c:cat>
            <c:numRef>
              <c:f>'Avg Designs'!$B$3:$K$3</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'Avg Designs'!$B$6:$K$6</c:f>
              <c:numCache>
                <c:formatCode>#,##0.0</c:formatCode>
                <c:ptCount val="10"/>
                <c:pt idx="0">
                  <c:v>4.0684976836532094</c:v>
                </c:pt>
                <c:pt idx="1">
                  <c:v>4.895669962495738</c:v>
                </c:pt>
                <c:pt idx="2">
                  <c:v>3.9605923095294959</c:v>
                </c:pt>
                <c:pt idx="3">
                  <c:v>3.3695340501792113</c:v>
                </c:pt>
                <c:pt idx="4">
                  <c:v>3.7566590563165905</c:v>
                </c:pt>
                <c:pt idx="5">
                  <c:v>3.6263070996147495</c:v>
                </c:pt>
                <c:pt idx="6">
                  <c:v>3.7090754877014418</c:v>
                </c:pt>
                <c:pt idx="7">
                  <c:v>3.2102086566649422</c:v>
                </c:pt>
                <c:pt idx="8">
                  <c:v>3.3518022043491214</c:v>
                </c:pt>
                <c:pt idx="9">
                  <c:v>3.1274300765082153</c:v>
                </c:pt>
              </c:numCache>
            </c:numRef>
          </c:val>
          <c:extLst>
            <c:ext xmlns:c16="http://schemas.microsoft.com/office/drawing/2014/chart" uri="{C3380CC4-5D6E-409C-BE32-E72D297353CC}">
              <c16:uniqueId val="{00000000-5768-4C2D-A06F-12C54BED2266}"/>
            </c:ext>
          </c:extLst>
        </c:ser>
        <c:dLbls>
          <c:showLegendKey val="0"/>
          <c:showVal val="0"/>
          <c:showCatName val="0"/>
          <c:showSerName val="0"/>
          <c:showPercent val="0"/>
          <c:showBubbleSize val="0"/>
        </c:dLbls>
        <c:gapWidth val="101"/>
        <c:overlap val="100"/>
        <c:axId val="98878592"/>
        <c:axId val="98880512"/>
      </c:barChart>
      <c:catAx>
        <c:axId val="9887859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b="1">
                    <a:solidFill>
                      <a:sysClr val="windowText" lastClr="000000"/>
                    </a:solidFill>
                  </a:rPr>
                  <a:t>Application year</a:t>
                </a:r>
              </a:p>
            </c:rich>
          </c:tx>
          <c:layout>
            <c:manualLayout>
              <c:xMode val="edge"/>
              <c:yMode val="edge"/>
              <c:x val="0.4664042182608592"/>
              <c:y val="0.90483788086946337"/>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8880512"/>
        <c:crosses val="autoZero"/>
        <c:auto val="1"/>
        <c:lblAlgn val="ctr"/>
        <c:lblOffset val="100"/>
        <c:noMultiLvlLbl val="0"/>
      </c:catAx>
      <c:valAx>
        <c:axId val="98880512"/>
        <c:scaling>
          <c:orientation val="minMax"/>
          <c:min val="1"/>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i="1">
                    <a:solidFill>
                      <a:sysClr val="windowText" lastClr="000000"/>
                    </a:solidFill>
                  </a:rPr>
                  <a:t>Average number of designs</a:t>
                </a:r>
              </a:p>
            </c:rich>
          </c:tx>
          <c:layout>
            <c:manualLayout>
              <c:xMode val="edge"/>
              <c:yMode val="edge"/>
              <c:x val="3.8445930666600583E-2"/>
              <c:y val="0.24554864638912854"/>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8878592"/>
        <c:crosses val="autoZero"/>
        <c:crossBetween val="between"/>
        <c:majorUnit val="1"/>
      </c:valAx>
      <c:spPr>
        <a:noFill/>
        <a:ln>
          <a:noFill/>
        </a:ln>
        <a:effectLst/>
      </c:spPr>
    </c:plotArea>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71157614912265"/>
          <c:y val="5.4364042416562404E-2"/>
          <c:w val="0.84566334352761119"/>
          <c:h val="0.75751751198992223"/>
        </c:manualLayout>
      </c:layout>
      <c:barChart>
        <c:barDir val="col"/>
        <c:grouping val="stacked"/>
        <c:varyColors val="0"/>
        <c:ser>
          <c:idx val="0"/>
          <c:order val="0"/>
          <c:tx>
            <c:strRef>
              <c:f>Renewals!$A$10</c:f>
              <c:strCache>
                <c:ptCount val="1"/>
                <c:pt idx="0">
                  <c:v>Electronic</c:v>
                </c:pt>
              </c:strCache>
            </c:strRef>
          </c:tx>
          <c:spPr>
            <a:solidFill>
              <a:schemeClr val="accent1"/>
            </a:solidFill>
            <a:ln>
              <a:noFill/>
            </a:ln>
            <a:effectLst/>
          </c:spPr>
          <c:invertIfNegative val="0"/>
          <c:cat>
            <c:numRef>
              <c:f>Renewals!$I$8:$R$8</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Renewals!$I$10:$R$10</c:f>
              <c:numCache>
                <c:formatCode>#,##0</c:formatCode>
                <c:ptCount val="10"/>
                <c:pt idx="0">
                  <c:v>1864</c:v>
                </c:pt>
                <c:pt idx="1">
                  <c:v>1852</c:v>
                </c:pt>
                <c:pt idx="2">
                  <c:v>2338</c:v>
                </c:pt>
                <c:pt idx="3">
                  <c:v>2436</c:v>
                </c:pt>
                <c:pt idx="4">
                  <c:v>2566</c:v>
                </c:pt>
                <c:pt idx="5">
                  <c:v>2200</c:v>
                </c:pt>
                <c:pt idx="6">
                  <c:v>1743</c:v>
                </c:pt>
                <c:pt idx="7">
                  <c:v>3306</c:v>
                </c:pt>
                <c:pt idx="8">
                  <c:v>4985</c:v>
                </c:pt>
                <c:pt idx="9">
                  <c:v>4964</c:v>
                </c:pt>
              </c:numCache>
            </c:numRef>
          </c:val>
          <c:extLst>
            <c:ext xmlns:c16="http://schemas.microsoft.com/office/drawing/2014/chart" uri="{C3380CC4-5D6E-409C-BE32-E72D297353CC}">
              <c16:uniqueId val="{00000000-B3E6-41DC-B98C-7A43D25FC2B7}"/>
            </c:ext>
          </c:extLst>
        </c:ser>
        <c:ser>
          <c:idx val="1"/>
          <c:order val="1"/>
          <c:tx>
            <c:strRef>
              <c:f>Renewals!$A$11</c:f>
              <c:strCache>
                <c:ptCount val="1"/>
                <c:pt idx="0">
                  <c:v>Manual</c:v>
                </c:pt>
              </c:strCache>
            </c:strRef>
          </c:tx>
          <c:spPr>
            <a:solidFill>
              <a:schemeClr val="accent2"/>
            </a:solidFill>
            <a:ln>
              <a:noFill/>
            </a:ln>
            <a:effectLst/>
          </c:spPr>
          <c:invertIfNegative val="0"/>
          <c:cat>
            <c:numRef>
              <c:f>Renewals!$I$8:$R$8</c:f>
              <c:numCache>
                <c:formatCode>0</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Renewals!$I$11:$R$11</c:f>
              <c:numCache>
                <c:formatCode>#,##0</c:formatCode>
                <c:ptCount val="10"/>
                <c:pt idx="0">
                  <c:v>995</c:v>
                </c:pt>
                <c:pt idx="1">
                  <c:v>851</c:v>
                </c:pt>
                <c:pt idx="2">
                  <c:v>856</c:v>
                </c:pt>
                <c:pt idx="3">
                  <c:v>714</c:v>
                </c:pt>
                <c:pt idx="4">
                  <c:v>731</c:v>
                </c:pt>
                <c:pt idx="5">
                  <c:v>1066</c:v>
                </c:pt>
                <c:pt idx="6">
                  <c:v>1804</c:v>
                </c:pt>
                <c:pt idx="7">
                  <c:v>1453</c:v>
                </c:pt>
                <c:pt idx="8">
                  <c:v>476</c:v>
                </c:pt>
                <c:pt idx="9">
                  <c:v>320</c:v>
                </c:pt>
              </c:numCache>
            </c:numRef>
          </c:val>
          <c:extLst>
            <c:ext xmlns:c16="http://schemas.microsoft.com/office/drawing/2014/chart" uri="{C3380CC4-5D6E-409C-BE32-E72D297353CC}">
              <c16:uniqueId val="{00000001-B3E6-41DC-B98C-7A43D25FC2B7}"/>
            </c:ext>
          </c:extLst>
        </c:ser>
        <c:dLbls>
          <c:showLegendKey val="0"/>
          <c:showVal val="0"/>
          <c:showCatName val="0"/>
          <c:showSerName val="0"/>
          <c:showPercent val="0"/>
          <c:showBubbleSize val="0"/>
        </c:dLbls>
        <c:gapWidth val="101"/>
        <c:overlap val="100"/>
        <c:axId val="99080832"/>
        <c:axId val="98894592"/>
      </c:barChart>
      <c:catAx>
        <c:axId val="9908083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b="1">
                    <a:solidFill>
                      <a:sysClr val="windowText" lastClr="000000"/>
                    </a:solidFill>
                  </a:rPr>
                  <a:t>Year of receipt</a:t>
                </a:r>
              </a:p>
            </c:rich>
          </c:tx>
          <c:layout>
            <c:manualLayout>
              <c:xMode val="edge"/>
              <c:yMode val="edge"/>
              <c:x val="0.48658464414355046"/>
              <c:y val="0.90030311638421379"/>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8894592"/>
        <c:crosses val="autoZero"/>
        <c:auto val="1"/>
        <c:lblAlgn val="ctr"/>
        <c:lblOffset val="100"/>
        <c:noMultiLvlLbl val="0"/>
      </c:catAx>
      <c:valAx>
        <c:axId val="98894592"/>
        <c:scaling>
          <c:orientation val="minMax"/>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i="1">
                    <a:solidFill>
                      <a:sysClr val="windowText" lastClr="000000"/>
                    </a:solidFill>
                  </a:rPr>
                  <a:t>Renewals</a:t>
                </a:r>
              </a:p>
            </c:rich>
          </c:tx>
          <c:layout>
            <c:manualLayout>
              <c:xMode val="edge"/>
              <c:yMode val="edge"/>
              <c:x val="2.4811429379757548E-2"/>
              <c:y val="0.34405634367437854"/>
            </c:manualLayout>
          </c:layout>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1"/>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9080832"/>
        <c:crosses val="autoZero"/>
        <c:crossBetween val="between"/>
      </c:valAx>
      <c:spPr>
        <a:noFill/>
        <a:ln>
          <a:noFill/>
        </a:ln>
        <a:effectLst/>
      </c:spPr>
    </c:plotArea>
    <c:legend>
      <c:legendPos val="b"/>
      <c:layout>
        <c:manualLayout>
          <c:xMode val="edge"/>
          <c:yMode val="edge"/>
          <c:x val="0.13221954280455481"/>
          <c:y val="0.92291804109958175"/>
          <c:w val="0.21231246050091335"/>
          <c:h val="5.1973022621919752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80270474665243"/>
          <c:y val="4.1131116499299368E-2"/>
          <c:w val="0.86636490353959994"/>
          <c:h val="0.74847147948465653"/>
        </c:manualLayout>
      </c:layout>
      <c:barChart>
        <c:barDir val="col"/>
        <c:grouping val="stacked"/>
        <c:varyColors val="0"/>
        <c:ser>
          <c:idx val="0"/>
          <c:order val="0"/>
          <c:tx>
            <c:strRef>
              <c:f>'Total Workload'!$D$59</c:f>
              <c:strCache>
                <c:ptCount val="1"/>
                <c:pt idx="0">
                  <c:v>Application</c:v>
                </c:pt>
              </c:strCache>
            </c:strRef>
          </c:tx>
          <c:spPr>
            <a:solidFill>
              <a:schemeClr val="accent1"/>
            </a:solidFill>
            <a:ln>
              <a:noFill/>
            </a:ln>
            <a:effectLst/>
          </c:spPr>
          <c:invertIfNegative val="0"/>
          <c:cat>
            <c:numRef>
              <c:f>'Total Workload'!$E$58:$N$58</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Workload'!$E$59:$N$59</c:f>
              <c:numCache>
                <c:formatCode>_(* #,##0_);_(* \(#,##0\);_(* "-"??_);_(@_)</c:formatCode>
                <c:ptCount val="10"/>
                <c:pt idx="0">
                  <c:v>3022</c:v>
                </c:pt>
                <c:pt idx="1">
                  <c:v>2933</c:v>
                </c:pt>
                <c:pt idx="2">
                  <c:v>4187</c:v>
                </c:pt>
                <c:pt idx="3">
                  <c:v>5580</c:v>
                </c:pt>
                <c:pt idx="4">
                  <c:v>5256</c:v>
                </c:pt>
                <c:pt idx="5">
                  <c:v>5451</c:v>
                </c:pt>
                <c:pt idx="6">
                  <c:v>5895</c:v>
                </c:pt>
                <c:pt idx="7">
                  <c:v>5799</c:v>
                </c:pt>
                <c:pt idx="8">
                  <c:v>6711</c:v>
                </c:pt>
                <c:pt idx="9">
                  <c:v>7973</c:v>
                </c:pt>
              </c:numCache>
            </c:numRef>
          </c:val>
          <c:extLst>
            <c:ext xmlns:c16="http://schemas.microsoft.com/office/drawing/2014/chart" uri="{C3380CC4-5D6E-409C-BE32-E72D297353CC}">
              <c16:uniqueId val="{00000000-1A8F-4DDD-BB6D-029D63A356CA}"/>
            </c:ext>
          </c:extLst>
        </c:ser>
        <c:ser>
          <c:idx val="1"/>
          <c:order val="1"/>
          <c:tx>
            <c:strRef>
              <c:f>'Total Workload'!$D$60</c:f>
              <c:strCache>
                <c:ptCount val="1"/>
                <c:pt idx="0">
                  <c:v>Decision</c:v>
                </c:pt>
              </c:strCache>
            </c:strRef>
          </c:tx>
          <c:spPr>
            <a:solidFill>
              <a:schemeClr val="accent2"/>
            </a:solidFill>
            <a:ln>
              <a:noFill/>
            </a:ln>
            <a:effectLst/>
          </c:spPr>
          <c:invertIfNegative val="0"/>
          <c:cat>
            <c:numRef>
              <c:f>'Total Workload'!$E$58:$N$58</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Workload'!$E$60:$N$60</c:f>
              <c:numCache>
                <c:formatCode>_(* #,##0_);_(* \(#,##0\);_(* "-"??_);_(@_)</c:formatCode>
                <c:ptCount val="10"/>
                <c:pt idx="0">
                  <c:v>356.570119670905</c:v>
                </c:pt>
                <c:pt idx="1">
                  <c:v>413.98092744951384</c:v>
                </c:pt>
                <c:pt idx="2">
                  <c:v>500.69988780852657</c:v>
                </c:pt>
                <c:pt idx="3">
                  <c:v>1321.3876215407629</c:v>
                </c:pt>
                <c:pt idx="4">
                  <c:v>2329.4046372475691</c:v>
                </c:pt>
                <c:pt idx="5">
                  <c:v>2815.403889304413</c:v>
                </c:pt>
                <c:pt idx="6">
                  <c:v>3115.8992146596856</c:v>
                </c:pt>
                <c:pt idx="7">
                  <c:v>3138.7090501121916</c:v>
                </c:pt>
                <c:pt idx="8">
                  <c:v>3676.4934554973825</c:v>
                </c:pt>
                <c:pt idx="9">
                  <c:v>2102.2177378874762</c:v>
                </c:pt>
              </c:numCache>
            </c:numRef>
          </c:val>
          <c:extLst>
            <c:ext xmlns:c16="http://schemas.microsoft.com/office/drawing/2014/chart" uri="{C3380CC4-5D6E-409C-BE32-E72D297353CC}">
              <c16:uniqueId val="{00000001-1A8F-4DDD-BB6D-029D63A356CA}"/>
            </c:ext>
          </c:extLst>
        </c:ser>
        <c:ser>
          <c:idx val="2"/>
          <c:order val="2"/>
          <c:tx>
            <c:strRef>
              <c:f>'Total Workload'!$D$61</c:f>
              <c:strCache>
                <c:ptCount val="1"/>
                <c:pt idx="0">
                  <c:v>Renewal</c:v>
                </c:pt>
              </c:strCache>
            </c:strRef>
          </c:tx>
          <c:spPr>
            <a:solidFill>
              <a:schemeClr val="accent3"/>
            </a:solidFill>
            <a:ln>
              <a:noFill/>
            </a:ln>
            <a:effectLst/>
          </c:spPr>
          <c:invertIfNegative val="0"/>
          <c:cat>
            <c:numRef>
              <c:f>'Total Workload'!$E$58:$N$58</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Workload'!$E$61:$N$61</c:f>
              <c:numCache>
                <c:formatCode>_(* #,##0_);_(* \(#,##0\);_(* "-"??_);_(@_)</c:formatCode>
                <c:ptCount val="10"/>
                <c:pt idx="0">
                  <c:v>263.79160433807033</c:v>
                </c:pt>
                <c:pt idx="1">
                  <c:v>244.89407255048621</c:v>
                </c:pt>
                <c:pt idx="2">
                  <c:v>281.86910994764406</c:v>
                </c:pt>
                <c:pt idx="3">
                  <c:v>271.44895287958127</c:v>
                </c:pt>
                <c:pt idx="4">
                  <c:v>283.2972139117428</c:v>
                </c:pt>
                <c:pt idx="5">
                  <c:v>297.79749439042644</c:v>
                </c:pt>
                <c:pt idx="6">
                  <c:v>355.8664921465969</c:v>
                </c:pt>
                <c:pt idx="7">
                  <c:v>428.89500747943168</c:v>
                </c:pt>
                <c:pt idx="8">
                  <c:v>432.34966342557982</c:v>
                </c:pt>
                <c:pt idx="9">
                  <c:v>365.67111111111114</c:v>
                </c:pt>
              </c:numCache>
            </c:numRef>
          </c:val>
          <c:extLst>
            <c:ext xmlns:c16="http://schemas.microsoft.com/office/drawing/2014/chart" uri="{C3380CC4-5D6E-409C-BE32-E72D297353CC}">
              <c16:uniqueId val="{00000002-1A8F-4DDD-BB6D-029D63A356CA}"/>
            </c:ext>
          </c:extLst>
        </c:ser>
        <c:ser>
          <c:idx val="3"/>
          <c:order val="3"/>
          <c:tx>
            <c:strRef>
              <c:f>'Total Workload'!$D$62</c:f>
              <c:strCache>
                <c:ptCount val="1"/>
                <c:pt idx="0">
                  <c:v>Changes</c:v>
                </c:pt>
              </c:strCache>
            </c:strRef>
          </c:tx>
          <c:spPr>
            <a:solidFill>
              <a:schemeClr val="accent4"/>
            </a:solidFill>
            <a:ln>
              <a:noFill/>
            </a:ln>
            <a:effectLst/>
          </c:spPr>
          <c:invertIfNegative val="0"/>
          <c:cat>
            <c:numRef>
              <c:f>'Total Workload'!$E$58:$N$58</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'Total Workload'!$E$62:$N$62</c:f>
              <c:numCache>
                <c:formatCode>_(* #,##0_);_(* \(#,##0\);_(* "-"??_);_(@_)</c:formatCode>
                <c:ptCount val="10"/>
                <c:pt idx="0">
                  <c:v>246</c:v>
                </c:pt>
                <c:pt idx="1">
                  <c:v>265.75</c:v>
                </c:pt>
                <c:pt idx="2">
                  <c:v>254.5</c:v>
                </c:pt>
                <c:pt idx="3">
                  <c:v>255</c:v>
                </c:pt>
                <c:pt idx="4">
                  <c:v>326.25</c:v>
                </c:pt>
                <c:pt idx="5">
                  <c:v>263.25</c:v>
                </c:pt>
                <c:pt idx="6">
                  <c:v>167</c:v>
                </c:pt>
                <c:pt idx="7">
                  <c:v>239.75</c:v>
                </c:pt>
                <c:pt idx="8">
                  <c:v>269</c:v>
                </c:pt>
                <c:pt idx="9">
                  <c:v>750.82500000000005</c:v>
                </c:pt>
              </c:numCache>
            </c:numRef>
          </c:val>
          <c:extLst>
            <c:ext xmlns:c16="http://schemas.microsoft.com/office/drawing/2014/chart" uri="{C3380CC4-5D6E-409C-BE32-E72D297353CC}">
              <c16:uniqueId val="{00000003-1A8F-4DDD-BB6D-029D63A356CA}"/>
            </c:ext>
          </c:extLst>
        </c:ser>
        <c:dLbls>
          <c:showLegendKey val="0"/>
          <c:showVal val="0"/>
          <c:showCatName val="0"/>
          <c:showSerName val="0"/>
          <c:showPercent val="0"/>
          <c:showBubbleSize val="0"/>
        </c:dLbls>
        <c:gapWidth val="101"/>
        <c:overlap val="100"/>
        <c:axId val="97546624"/>
        <c:axId val="97548544"/>
      </c:barChart>
      <c:catAx>
        <c:axId val="97546624"/>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r>
                  <a:rPr lang="en-US" b="1">
                    <a:solidFill>
                      <a:sysClr val="windowText" lastClr="000000"/>
                    </a:solidFill>
                  </a:rPr>
                  <a:t>Processing year</a:t>
                </a:r>
              </a:p>
            </c:rich>
          </c:tx>
          <c:layout>
            <c:manualLayout>
              <c:xMode val="edge"/>
              <c:yMode val="edge"/>
              <c:x val="0.47188468496522679"/>
              <c:y val="0.86066090696996211"/>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Narrow" panose="020B0606020202030204" pitchFamily="34"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7548544"/>
        <c:crosses val="autoZero"/>
        <c:auto val="1"/>
        <c:lblAlgn val="ctr"/>
        <c:lblOffset val="100"/>
        <c:noMultiLvlLbl val="0"/>
      </c:catAx>
      <c:valAx>
        <c:axId val="97548544"/>
        <c:scaling>
          <c:orientation val="minMax"/>
        </c:scaling>
        <c:delete val="0"/>
        <c:axPos val="l"/>
        <c:title>
          <c:tx>
            <c:rich>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r>
                  <a:rPr lang="en-US" i="1">
                    <a:solidFill>
                      <a:sysClr val="windowText" lastClr="000000"/>
                    </a:solidFill>
                  </a:rPr>
                  <a:t>Volume</a:t>
                </a:r>
              </a:p>
            </c:rich>
          </c:tx>
          <c:overlay val="0"/>
          <c:spPr>
            <a:noFill/>
            <a:ln>
              <a:noFill/>
            </a:ln>
            <a:effectLst/>
          </c:spPr>
          <c:txPr>
            <a:bodyPr rot="-5400000" spcFirstLastPara="1" vertOverflow="ellipsis" vert="horz" wrap="square" anchor="ctr" anchorCtr="1"/>
            <a:lstStyle/>
            <a:p>
              <a:pPr>
                <a:defRPr sz="800" b="0" i="1" u="none" strike="noStrike" kern="1200" baseline="0">
                  <a:solidFill>
                    <a:sysClr val="windowText" lastClr="000000"/>
                  </a:solidFill>
                  <a:latin typeface="Arial Narrow" panose="020B0606020202030204" pitchFamily="34" charset="0"/>
                  <a:ea typeface="+mn-ea"/>
                  <a:cs typeface="+mn-cs"/>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crossAx val="97546624"/>
        <c:crosses val="autoZero"/>
        <c:crossBetween val="between"/>
      </c:valAx>
      <c:spPr>
        <a:noFill/>
        <a:ln>
          <a:noFill/>
        </a:ln>
        <a:effectLst/>
      </c:spPr>
    </c:plotArea>
    <c:legend>
      <c:legendPos val="b"/>
      <c:layout>
        <c:manualLayout>
          <c:xMode val="edge"/>
          <c:yMode val="edge"/>
          <c:x val="0.11406116095953123"/>
          <c:y val="0.92621504174804259"/>
          <c:w val="0.46302842377260983"/>
          <c:h val="5.154720350700008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23268765620259"/>
          <c:y val="0.10262119572617111"/>
          <c:w val="0.85881867651569543"/>
          <c:h val="0.73863228876292575"/>
        </c:manualLayout>
      </c:layout>
      <c:barChart>
        <c:barDir val="col"/>
        <c:grouping val="stacked"/>
        <c:varyColors val="0"/>
        <c:ser>
          <c:idx val="0"/>
          <c:order val="0"/>
          <c:tx>
            <c:strRef>
              <c:f>'Unit costs'!$D$52</c:f>
              <c:strCache>
                <c:ptCount val="1"/>
                <c:pt idx="0">
                  <c:v>Direct costs</c:v>
                </c:pt>
              </c:strCache>
            </c:strRef>
          </c:tx>
          <c:spPr>
            <a:solidFill>
              <a:schemeClr val="accent1"/>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costs'!$E$52:$K$52</c:f>
              <c:numCache>
                <c:formatCode>_-* #,##0_-;\-* #,##0_-;_-* "-"??_-;_-@_-</c:formatCode>
                <c:ptCount val="7"/>
                <c:pt idx="0">
                  <c:v>257.58427440244964</c:v>
                </c:pt>
                <c:pt idx="1">
                  <c:v>369.93323318361706</c:v>
                </c:pt>
                <c:pt idx="2">
                  <c:v>461.91545817820895</c:v>
                </c:pt>
                <c:pt idx="3">
                  <c:v>308.21647247467331</c:v>
                </c:pt>
                <c:pt idx="4">
                  <c:v>360.14833705256581</c:v>
                </c:pt>
                <c:pt idx="5">
                  <c:v>335.39586015319588</c:v>
                </c:pt>
                <c:pt idx="6" formatCode="_(* #,##0_);_(* \(#,##0\);_(* &quot;-&quot;??_);_(@_)">
                  <c:v>272.04823510536397</c:v>
                </c:pt>
              </c:numCache>
            </c:numRef>
          </c:val>
          <c:extLst>
            <c:ext xmlns:c16="http://schemas.microsoft.com/office/drawing/2014/chart" uri="{C3380CC4-5D6E-409C-BE32-E72D297353CC}">
              <c16:uniqueId val="{00000000-6F37-48BF-AB78-E9D997140CFF}"/>
            </c:ext>
          </c:extLst>
        </c:ser>
        <c:ser>
          <c:idx val="1"/>
          <c:order val="1"/>
          <c:tx>
            <c:strRef>
              <c:f>'Unit costs'!$D$53</c:f>
              <c:strCache>
                <c:ptCount val="1"/>
                <c:pt idx="0">
                  <c:v>Indirect costs</c:v>
                </c:pt>
              </c:strCache>
            </c:strRef>
          </c:tx>
          <c:spPr>
            <a:solidFill>
              <a:schemeClr val="accent2"/>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costs'!$E$53:$K$53</c:f>
              <c:numCache>
                <c:formatCode>_-* #,##0_-;\-* #,##0_-;_-* "-"??_-;_-@_-</c:formatCode>
                <c:ptCount val="7"/>
                <c:pt idx="0">
                  <c:v>185.23044157664441</c:v>
                </c:pt>
                <c:pt idx="1">
                  <c:v>217.10291121194032</c:v>
                </c:pt>
                <c:pt idx="2">
                  <c:v>207.36185699620447</c:v>
                </c:pt>
                <c:pt idx="3">
                  <c:v>202.59060171226577</c:v>
                </c:pt>
                <c:pt idx="4">
                  <c:v>180.36116228831145</c:v>
                </c:pt>
                <c:pt idx="5">
                  <c:v>204.83966269518913</c:v>
                </c:pt>
                <c:pt idx="6">
                  <c:v>182.14679666816875</c:v>
                </c:pt>
              </c:numCache>
            </c:numRef>
          </c:val>
          <c:extLst>
            <c:ext xmlns:c16="http://schemas.microsoft.com/office/drawing/2014/chart" uri="{C3380CC4-5D6E-409C-BE32-E72D297353CC}">
              <c16:uniqueId val="{00000001-6F37-48BF-AB78-E9D997140CFF}"/>
            </c:ext>
          </c:extLst>
        </c:ser>
        <c:ser>
          <c:idx val="2"/>
          <c:order val="2"/>
          <c:tx>
            <c:strRef>
              <c:f>'Unit costs'!$D$54</c:f>
              <c:strCache>
                <c:ptCount val="1"/>
                <c:pt idx="0">
                  <c:v>Total</c:v>
                </c:pt>
              </c:strCache>
            </c:strRef>
          </c:tx>
          <c:spPr>
            <a:noFill/>
            <a:ln>
              <a:noFill/>
            </a:ln>
            <a:effectLst/>
          </c:spPr>
          <c:invertIfNegative val="0"/>
          <c:dPt>
            <c:idx val="6"/>
            <c:invertIfNegative val="0"/>
            <c:bubble3D val="0"/>
            <c:extLst>
              <c:ext xmlns:c16="http://schemas.microsoft.com/office/drawing/2014/chart" uri="{C3380CC4-5D6E-409C-BE32-E72D297353CC}">
                <c16:uniqueId val="{00000002-6F37-48BF-AB78-E9D997140CFF}"/>
              </c:ext>
            </c:extLst>
          </c:dPt>
          <c:dLbls>
            <c:dLbl>
              <c:idx val="0"/>
              <c:layout>
                <c:manualLayout>
                  <c:x val="3.0921658288505578E-4"/>
                  <c:y val="0.15539725167747889"/>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6F37-48BF-AB78-E9D997140CFF}"/>
                </c:ext>
              </c:extLst>
            </c:dLbl>
            <c:dLbl>
              <c:idx val="1"/>
              <c:layout>
                <c:manualLayout>
                  <c:x val="0"/>
                  <c:y val="0.21517855589188456"/>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6F37-48BF-AB78-E9D997140CFF}"/>
                </c:ext>
              </c:extLst>
            </c:dLbl>
            <c:dLbl>
              <c:idx val="2"/>
              <c:layout>
                <c:manualLayout>
                  <c:x val="4.1550330235428784E-3"/>
                  <c:y val="0.15538040300370423"/>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6F37-48BF-AB78-E9D997140CFF}"/>
                </c:ext>
              </c:extLst>
            </c:dLbl>
            <c:dLbl>
              <c:idx val="3"/>
              <c:layout>
                <c:manualLayout>
                  <c:x val="-3.092165828850799E-4"/>
                  <c:y val="0.18207063571703397"/>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6F37-48BF-AB78-E9D997140CFF}"/>
                </c:ext>
              </c:extLst>
            </c:dLbl>
            <c:dLbl>
              <c:idx val="4"/>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6F37-48BF-AB78-E9D997140CFF}"/>
                </c:ext>
              </c:extLst>
            </c:dLbl>
            <c:dLbl>
              <c:idx val="5"/>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6F37-48BF-AB78-E9D997140CFF}"/>
                </c:ext>
              </c:extLst>
            </c:dLbl>
            <c:dLbl>
              <c:idx val="6"/>
              <c:tx>
                <c:rich>
                  <a:bodyPr rot="0" vert="horz"/>
                  <a:lstStyle/>
                  <a:p>
                    <a:pPr>
                      <a:defRPr/>
                    </a:pPr>
                    <a:r>
                      <a:rPr lang="en-US"/>
                      <a:t>455</a:t>
                    </a:r>
                  </a:p>
                </c:rich>
              </c:tx>
              <c:spPr>
                <a:noFill/>
                <a:ln>
                  <a:noFill/>
                </a:ln>
                <a:effectLst/>
              </c:sp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6F37-48BF-AB78-E9D997140CFF}"/>
                </c:ext>
              </c:extLst>
            </c:dLbl>
            <c:dLbl>
              <c:idx val="7"/>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6F37-48BF-AB78-E9D997140CFF}"/>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costs'!$E$54:$K$54</c:f>
              <c:numCache>
                <c:formatCode>_-* #,##0_-;\-* #,##0_-;_-* "-"??_-;_-@_-</c:formatCode>
                <c:ptCount val="7"/>
                <c:pt idx="0">
                  <c:v>442.81471597909405</c:v>
                </c:pt>
                <c:pt idx="1">
                  <c:v>587.03614439555736</c:v>
                </c:pt>
                <c:pt idx="2">
                  <c:v>669.27731517441339</c:v>
                </c:pt>
                <c:pt idx="3">
                  <c:v>510.80707418693908</c:v>
                </c:pt>
                <c:pt idx="4">
                  <c:v>540.50949934087726</c:v>
                </c:pt>
                <c:pt idx="5">
                  <c:v>540.23552284838502</c:v>
                </c:pt>
                <c:pt idx="6">
                  <c:v>454.19503177353272</c:v>
                </c:pt>
              </c:numCache>
            </c:numRef>
          </c:val>
          <c:extLst>
            <c:ext xmlns:c16="http://schemas.microsoft.com/office/drawing/2014/chart" uri="{C3380CC4-5D6E-409C-BE32-E72D297353CC}">
              <c16:uniqueId val="{0000000A-6F37-48BF-AB78-E9D997140CFF}"/>
            </c:ext>
          </c:extLst>
        </c:ser>
        <c:dLbls>
          <c:showLegendKey val="0"/>
          <c:showVal val="0"/>
          <c:showCatName val="0"/>
          <c:showSerName val="0"/>
          <c:showPercent val="0"/>
          <c:showBubbleSize val="0"/>
        </c:dLbls>
        <c:gapWidth val="75"/>
        <c:overlap val="100"/>
        <c:axId val="81231232"/>
        <c:axId val="80807424"/>
      </c:barChart>
      <c:catAx>
        <c:axId val="81231232"/>
        <c:scaling>
          <c:orientation val="minMax"/>
        </c:scaling>
        <c:delete val="0"/>
        <c:axPos val="b"/>
        <c:title>
          <c:tx>
            <c:rich>
              <a:bodyPr rot="0" vert="horz"/>
              <a:lstStyle/>
              <a:p>
                <a:pPr>
                  <a:defRPr>
                    <a:solidFill>
                      <a:sysClr val="windowText" lastClr="000000"/>
                    </a:solidFill>
                  </a:defRPr>
                </a:pPr>
                <a:r>
                  <a:rPr lang="en-US">
                    <a:solidFill>
                      <a:sysClr val="windowText" lastClr="000000"/>
                    </a:solidFill>
                  </a:rPr>
                  <a:t>Processing Year</a:t>
                </a:r>
              </a:p>
            </c:rich>
          </c:tx>
          <c:layout>
            <c:manualLayout>
              <c:xMode val="edge"/>
              <c:yMode val="edge"/>
              <c:x val="0.47751495676740402"/>
              <c:y val="0.8968966500356379"/>
            </c:manualLayout>
          </c:layout>
          <c:overlay val="0"/>
          <c:spPr>
            <a:noFill/>
            <a:ln>
              <a:noFill/>
            </a:ln>
            <a:effectLst/>
          </c:sp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0"/>
          <a:lstStyle/>
          <a:p>
            <a:pPr>
              <a:defRPr/>
            </a:pPr>
            <a:endParaRPr lang="en-US"/>
          </a:p>
        </c:txPr>
        <c:crossAx val="80807424"/>
        <c:crosses val="autoZero"/>
        <c:auto val="1"/>
        <c:lblAlgn val="ctr"/>
        <c:lblOffset val="100"/>
        <c:tickLblSkip val="1"/>
        <c:tickMarkSkip val="1"/>
        <c:noMultiLvlLbl val="0"/>
      </c:catAx>
      <c:valAx>
        <c:axId val="80807424"/>
        <c:scaling>
          <c:orientation val="minMax"/>
          <c:max val="800"/>
          <c:min val="0"/>
        </c:scaling>
        <c:delete val="0"/>
        <c:axPos val="l"/>
        <c:title>
          <c:tx>
            <c:rich>
              <a:bodyPr rot="-5400000" vert="horz"/>
              <a:lstStyle/>
              <a:p>
                <a:pPr algn="ctr" rtl="0">
                  <a:defRPr b="0" i="1">
                    <a:solidFill>
                      <a:sysClr val="windowText" lastClr="000000"/>
                    </a:solidFill>
                  </a:defRPr>
                </a:pPr>
                <a:r>
                  <a:rPr lang="en-US" b="0" i="1">
                    <a:solidFill>
                      <a:sysClr val="windowText" lastClr="000000"/>
                    </a:solidFill>
                  </a:rPr>
                  <a:t>Unit Cost per New/Renewed Design</a:t>
                </a:r>
                <a:r>
                  <a:rPr lang="fr-CH" b="0" i="1">
                    <a:solidFill>
                      <a:sysClr val="windowText" lastClr="000000"/>
                    </a:solidFill>
                  </a:rPr>
                  <a:t> </a:t>
                </a:r>
                <a:r>
                  <a:rPr lang="en-US" b="0" i="1">
                    <a:solidFill>
                      <a:sysClr val="windowText" lastClr="000000"/>
                    </a:solidFill>
                  </a:rPr>
                  <a:t>(CHF)</a:t>
                </a:r>
              </a:p>
            </c:rich>
          </c:tx>
          <c:layout>
            <c:manualLayout>
              <c:xMode val="edge"/>
              <c:yMode val="edge"/>
              <c:x val="3.7803060634369855E-2"/>
              <c:y val="0.12964749198016912"/>
            </c:manualLayout>
          </c:layout>
          <c:overlay val="0"/>
          <c:spPr>
            <a:noFill/>
            <a:ln>
              <a:noFill/>
            </a:ln>
            <a:effectLst/>
          </c:sp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0"/>
          <a:lstStyle/>
          <a:p>
            <a:pPr>
              <a:defRPr/>
            </a:pPr>
            <a:endParaRPr lang="en-US"/>
          </a:p>
        </c:txPr>
        <c:crossAx val="81231232"/>
        <c:crosses val="autoZero"/>
        <c:crossBetween val="between"/>
        <c:majorUnit val="200"/>
        <c:minorUnit val="50"/>
      </c:valAx>
      <c:spPr>
        <a:noFill/>
        <a:ln>
          <a:noFill/>
        </a:ln>
        <a:effectLst/>
      </c:spPr>
    </c:plotArea>
    <c:legend>
      <c:legendPos val="b"/>
      <c:legendEntry>
        <c:idx val="2"/>
        <c:delete val="1"/>
      </c:legendEntry>
      <c:layout>
        <c:manualLayout>
          <c:xMode val="edge"/>
          <c:yMode val="edge"/>
          <c:x val="7.06824762497308E-2"/>
          <c:y val="0.92615251997011661"/>
          <c:w val="0.364516767296866"/>
          <c:h val="5.8203264180219524E-2"/>
        </c:manualLayout>
      </c:layout>
      <c:overlay val="0"/>
      <c:spPr>
        <a:noFill/>
        <a:ln>
          <a:noFill/>
        </a:ln>
        <a:effectLst/>
      </c:spPr>
      <c:txPr>
        <a:bodyPr rot="0" vert="horz"/>
        <a:lstStyle/>
        <a:p>
          <a:pPr>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84592644080508"/>
          <c:y val="9.1752984625955533E-2"/>
          <c:w val="0.86420554582647857"/>
          <c:h val="0.74950070142288638"/>
        </c:manualLayout>
      </c:layout>
      <c:barChart>
        <c:barDir val="col"/>
        <c:grouping val="stacked"/>
        <c:varyColors val="0"/>
        <c:ser>
          <c:idx val="0"/>
          <c:order val="0"/>
          <c:tx>
            <c:strRef>
              <c:f>'Unit costs'!$D$97</c:f>
              <c:strCache>
                <c:ptCount val="1"/>
                <c:pt idx="0">
                  <c:v>Direct costs</c:v>
                </c:pt>
              </c:strCache>
            </c:strRef>
          </c:tx>
          <c:spPr>
            <a:solidFill>
              <a:schemeClr val="accent1"/>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costs'!$E$97:$K$97</c:f>
              <c:numCache>
                <c:formatCode>_-* #,##0_-;\-* #,##0_-;_-* "-"??_-;_-@_-</c:formatCode>
                <c:ptCount val="7"/>
                <c:pt idx="0">
                  <c:v>681.67702162971523</c:v>
                </c:pt>
                <c:pt idx="1">
                  <c:v>957.40055657626692</c:v>
                </c:pt>
                <c:pt idx="2">
                  <c:v>1106.2991996778749</c:v>
                </c:pt>
                <c:pt idx="3">
                  <c:v>765.66614003031407</c:v>
                </c:pt>
                <c:pt idx="4">
                  <c:v>769.75735066931145</c:v>
                </c:pt>
                <c:pt idx="5">
                  <c:v>728.32030469370284</c:v>
                </c:pt>
                <c:pt idx="6" formatCode="_(* #,##0_);_(* \(#,##0\);_(* &quot;-&quot;??_);_(@_)">
                  <c:v>641.6750428820169</c:v>
                </c:pt>
              </c:numCache>
            </c:numRef>
          </c:val>
          <c:extLst>
            <c:ext xmlns:c16="http://schemas.microsoft.com/office/drawing/2014/chart" uri="{C3380CC4-5D6E-409C-BE32-E72D297353CC}">
              <c16:uniqueId val="{00000000-4F3D-4923-AD2D-770E29337B1D}"/>
            </c:ext>
          </c:extLst>
        </c:ser>
        <c:ser>
          <c:idx val="1"/>
          <c:order val="1"/>
          <c:tx>
            <c:strRef>
              <c:f>'Unit costs'!$D$98</c:f>
              <c:strCache>
                <c:ptCount val="1"/>
                <c:pt idx="0">
                  <c:v>Indirect costs</c:v>
                </c:pt>
              </c:strCache>
            </c:strRef>
          </c:tx>
          <c:spPr>
            <a:solidFill>
              <a:schemeClr val="accent2"/>
            </a:solidFill>
            <a:ln>
              <a:noFill/>
            </a:ln>
            <a:effectLst/>
          </c:spPr>
          <c:invertIfNegative val="0"/>
          <c:dLbls>
            <c:numFmt formatCode="#,##0" sourceLinked="0"/>
            <c:spPr>
              <a:noFill/>
              <a:ln>
                <a:noFill/>
              </a:ln>
              <a:effectLst/>
            </c:spPr>
            <c:txPr>
              <a:bodyPr rot="0" vert="horz"/>
              <a:lstStyle/>
              <a:p>
                <a:pPr>
                  <a:defRPr>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costs'!$E$98:$K$98</c:f>
              <c:numCache>
                <c:formatCode>_-* #,##0_-;\-* #,##0_-;_-* "-"??_-;_-@_-</c:formatCode>
                <c:ptCount val="7"/>
                <c:pt idx="0">
                  <c:v>490.19815368015776</c:v>
                </c:pt>
                <c:pt idx="1">
                  <c:v>561.87016840812078</c:v>
                </c:pt>
                <c:pt idx="2">
                  <c:v>496.63688966675323</c:v>
                </c:pt>
                <c:pt idx="3">
                  <c:v>503.27214108322994</c:v>
                </c:pt>
                <c:pt idx="4">
                  <c:v>385.49207691169943</c:v>
                </c:pt>
                <c:pt idx="5">
                  <c:v>444.81433217265044</c:v>
                </c:pt>
                <c:pt idx="6">
                  <c:v>429.62621506293567</c:v>
                </c:pt>
              </c:numCache>
            </c:numRef>
          </c:val>
          <c:extLst>
            <c:ext xmlns:c16="http://schemas.microsoft.com/office/drawing/2014/chart" uri="{C3380CC4-5D6E-409C-BE32-E72D297353CC}">
              <c16:uniqueId val="{00000001-4F3D-4923-AD2D-770E29337B1D}"/>
            </c:ext>
          </c:extLst>
        </c:ser>
        <c:ser>
          <c:idx val="2"/>
          <c:order val="2"/>
          <c:tx>
            <c:strRef>
              <c:f>'Unit costs'!$D$99</c:f>
              <c:strCache>
                <c:ptCount val="1"/>
                <c:pt idx="0">
                  <c:v>Total</c:v>
                </c:pt>
              </c:strCache>
            </c:strRef>
          </c:tx>
          <c:spPr>
            <a:noFill/>
            <a:ln>
              <a:noFill/>
            </a:ln>
            <a:effectLst/>
          </c:spPr>
          <c:invertIfNegative val="0"/>
          <c:dPt>
            <c:idx val="6"/>
            <c:invertIfNegative val="0"/>
            <c:bubble3D val="0"/>
            <c:extLst>
              <c:ext xmlns:c16="http://schemas.microsoft.com/office/drawing/2014/chart" uri="{C3380CC4-5D6E-409C-BE32-E72D297353CC}">
                <c16:uniqueId val="{00000002-4F3D-4923-AD2D-770E29337B1D}"/>
              </c:ext>
            </c:extLst>
          </c:dPt>
          <c:dLbls>
            <c:dLbl>
              <c:idx val="0"/>
              <c:layout>
                <c:manualLayout>
                  <c:x val="-1.8994265633871827E-3"/>
                  <c:y val="0.16280590170518089"/>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4F3D-4923-AD2D-770E29337B1D}"/>
                </c:ext>
              </c:extLst>
            </c:dLbl>
            <c:dLbl>
              <c:idx val="1"/>
              <c:layout>
                <c:manualLayout>
                  <c:x val="1.9856429305600935E-3"/>
                  <c:y val="0.18275065785940606"/>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4F3D-4923-AD2D-770E29337B1D}"/>
                </c:ext>
              </c:extLst>
            </c:dLbl>
            <c:dLbl>
              <c:idx val="2"/>
              <c:layout>
                <c:manualLayout>
                  <c:x val="2.2277598214663465E-3"/>
                  <c:y val="0.14793956332611849"/>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4F3D-4923-AD2D-770E29337B1D}"/>
                </c:ext>
              </c:extLst>
            </c:dLbl>
            <c:dLbl>
              <c:idx val="3"/>
              <c:layout>
                <c:manualLayout>
                  <c:x val="-8.8936182467261164E-4"/>
                  <c:y val="0.17904082781044972"/>
                </c:manualLayout>
              </c:layout>
              <c:spPr>
                <a:noFill/>
                <a:ln>
                  <a:noFill/>
                </a:ln>
                <a:effectLst/>
              </c:spPr>
              <c:txPr>
                <a:bodyPr rot="0" vert="horz"/>
                <a:lstStyle/>
                <a:p>
                  <a:pPr>
                    <a:defRPr/>
                  </a:pPr>
                  <a:endParaRPr lang="en-US"/>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4F3D-4923-AD2D-770E29337B1D}"/>
                </c:ext>
              </c:extLst>
            </c:dLbl>
            <c:dLbl>
              <c:idx val="4"/>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4F3D-4923-AD2D-770E29337B1D}"/>
                </c:ext>
              </c:extLst>
            </c:dLbl>
            <c:dLbl>
              <c:idx val="5"/>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4F3D-4923-AD2D-770E29337B1D}"/>
                </c:ext>
              </c:extLst>
            </c:dLbl>
            <c:dLbl>
              <c:idx val="6"/>
              <c:tx>
                <c:rich>
                  <a:bodyPr rot="0" vert="horz"/>
                  <a:lstStyle/>
                  <a:p>
                    <a:pPr>
                      <a:defRPr/>
                    </a:pPr>
                    <a:r>
                      <a:rPr lang="en-US"/>
                      <a:t>1,072</a:t>
                    </a:r>
                  </a:p>
                </c:rich>
              </c:tx>
              <c:spPr>
                <a:noFill/>
                <a:ln>
                  <a:noFill/>
                </a:ln>
                <a:effectLst/>
              </c:sp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4F3D-4923-AD2D-770E29337B1D}"/>
                </c:ext>
              </c:extLst>
            </c:dLbl>
            <c:dLbl>
              <c:idx val="7"/>
              <c:spPr>
                <a:noFill/>
                <a:ln>
                  <a:noFill/>
                </a:ln>
                <a:effectLst/>
              </c:spPr>
              <c:txPr>
                <a:bodyPr rot="0" vert="horz"/>
                <a:lstStyle/>
                <a:p>
                  <a:pPr>
                    <a:defRPr/>
                  </a:pPr>
                  <a:endParaRPr lang="en-U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4F3D-4923-AD2D-770E29337B1D}"/>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'Unit costs'!$E$51:$K$51</c:f>
              <c:numCache>
                <c:formatCode>0</c:formatCode>
                <c:ptCount val="7"/>
                <c:pt idx="0">
                  <c:v>2016</c:v>
                </c:pt>
                <c:pt idx="1">
                  <c:v>2017</c:v>
                </c:pt>
                <c:pt idx="2">
                  <c:v>2018</c:v>
                </c:pt>
                <c:pt idx="3">
                  <c:v>2019</c:v>
                </c:pt>
                <c:pt idx="4">
                  <c:v>2020</c:v>
                </c:pt>
                <c:pt idx="5">
                  <c:v>2021</c:v>
                </c:pt>
                <c:pt idx="6">
                  <c:v>2022</c:v>
                </c:pt>
              </c:numCache>
            </c:numRef>
          </c:cat>
          <c:val>
            <c:numRef>
              <c:f>'Unit costs'!$E$99:$K$99</c:f>
              <c:numCache>
                <c:formatCode>_-* #,##0_-;\-* #,##0_-;_-* "-"??_-;_-@_-</c:formatCode>
                <c:ptCount val="7"/>
                <c:pt idx="0">
                  <c:v>1171.8751753098729</c:v>
                </c:pt>
                <c:pt idx="1">
                  <c:v>1519.2707249843877</c:v>
                </c:pt>
                <c:pt idx="2">
                  <c:v>1602.9360893446278</c:v>
                </c:pt>
                <c:pt idx="3">
                  <c:v>1268.938281113544</c:v>
                </c:pt>
                <c:pt idx="4">
                  <c:v>1155.2494275810109</c:v>
                </c:pt>
                <c:pt idx="5">
                  <c:v>1173.1346368663533</c:v>
                </c:pt>
                <c:pt idx="6">
                  <c:v>1071.3012579449526</c:v>
                </c:pt>
              </c:numCache>
            </c:numRef>
          </c:val>
          <c:extLst>
            <c:ext xmlns:c16="http://schemas.microsoft.com/office/drawing/2014/chart" uri="{C3380CC4-5D6E-409C-BE32-E72D297353CC}">
              <c16:uniqueId val="{0000000A-4F3D-4923-AD2D-770E29337B1D}"/>
            </c:ext>
          </c:extLst>
        </c:ser>
        <c:dLbls>
          <c:showLegendKey val="0"/>
          <c:showVal val="0"/>
          <c:showCatName val="0"/>
          <c:showSerName val="0"/>
          <c:showPercent val="0"/>
          <c:showBubbleSize val="0"/>
        </c:dLbls>
        <c:gapWidth val="77"/>
        <c:overlap val="100"/>
        <c:axId val="81231232"/>
        <c:axId val="80807424"/>
      </c:barChart>
      <c:catAx>
        <c:axId val="81231232"/>
        <c:scaling>
          <c:orientation val="minMax"/>
        </c:scaling>
        <c:delete val="0"/>
        <c:axPos val="b"/>
        <c:title>
          <c:tx>
            <c:rich>
              <a:bodyPr rot="0" vert="horz"/>
              <a:lstStyle/>
              <a:p>
                <a:pPr>
                  <a:defRPr>
                    <a:solidFill>
                      <a:sysClr val="windowText" lastClr="000000"/>
                    </a:solidFill>
                  </a:defRPr>
                </a:pPr>
                <a:r>
                  <a:rPr lang="en-US">
                    <a:solidFill>
                      <a:sysClr val="windowText" lastClr="000000"/>
                    </a:solidFill>
                  </a:rPr>
                  <a:t>Processing Year</a:t>
                </a:r>
              </a:p>
            </c:rich>
          </c:tx>
          <c:layout>
            <c:manualLayout>
              <c:xMode val="edge"/>
              <c:yMode val="edge"/>
              <c:x val="0.47751495676740402"/>
              <c:y val="0.8968966500356379"/>
            </c:manualLayout>
          </c:layout>
          <c:overlay val="0"/>
          <c:spPr>
            <a:noFill/>
            <a:ln>
              <a:noFill/>
            </a:ln>
            <a:effectLst/>
          </c:spPr>
        </c:title>
        <c:numFmt formatCode="0" sourceLinked="1"/>
        <c:majorTickMark val="none"/>
        <c:minorTickMark val="none"/>
        <c:tickLblPos val="nextTo"/>
        <c:spPr>
          <a:noFill/>
          <a:ln w="9525" cap="flat" cmpd="sng" algn="ctr">
            <a:solidFill>
              <a:srgbClr xmlns:mc="http://schemas.openxmlformats.org/markup-compatibility/2006" xmlns:a14="http://schemas.microsoft.com/office/drawing/2010/main" val="000000" mc:Ignorable="a14" a14:legacySpreadsheetColorIndex="64"/>
            </a:solidFill>
            <a:round/>
          </a:ln>
          <a:effectLst/>
        </c:spPr>
        <c:txPr>
          <a:bodyPr rot="0"/>
          <a:lstStyle/>
          <a:p>
            <a:pPr>
              <a:defRPr/>
            </a:pPr>
            <a:endParaRPr lang="en-US"/>
          </a:p>
        </c:txPr>
        <c:crossAx val="80807424"/>
        <c:crosses val="autoZero"/>
        <c:auto val="1"/>
        <c:lblAlgn val="ctr"/>
        <c:lblOffset val="100"/>
        <c:tickLblSkip val="1"/>
        <c:tickMarkSkip val="1"/>
        <c:noMultiLvlLbl val="0"/>
      </c:catAx>
      <c:valAx>
        <c:axId val="80807424"/>
        <c:scaling>
          <c:orientation val="minMax"/>
          <c:max val="2000"/>
          <c:min val="0"/>
        </c:scaling>
        <c:delete val="0"/>
        <c:axPos val="l"/>
        <c:title>
          <c:tx>
            <c:rich>
              <a:bodyPr rot="-5400000" vert="horz"/>
              <a:lstStyle/>
              <a:p>
                <a:pPr>
                  <a:defRPr b="0" i="1">
                    <a:solidFill>
                      <a:sysClr val="windowText" lastClr="000000"/>
                    </a:solidFill>
                  </a:defRPr>
                </a:pPr>
                <a:r>
                  <a:rPr lang="en-US" b="0" i="1">
                    <a:solidFill>
                      <a:sysClr val="windowText" lastClr="000000"/>
                    </a:solidFill>
                  </a:rPr>
                  <a:t>Unit Cost per Recorded Documents (CHF)</a:t>
                </a:r>
              </a:p>
            </c:rich>
          </c:tx>
          <c:layout>
            <c:manualLayout>
              <c:xMode val="edge"/>
              <c:yMode val="edge"/>
              <c:x val="2.3844106351112889E-2"/>
              <c:y val="0.12124270924467775"/>
            </c:manualLayout>
          </c:layout>
          <c:overlay val="0"/>
          <c:spPr>
            <a:noFill/>
            <a:ln>
              <a:noFill/>
            </a:ln>
            <a:effectLst/>
          </c:spPr>
        </c:title>
        <c:numFmt formatCode="#,##0" sourceLinked="0"/>
        <c:majorTickMark val="none"/>
        <c:minorTickMark val="none"/>
        <c:tickLblPos val="nextTo"/>
        <c:spPr>
          <a:noFill/>
          <a:ln>
            <a:solidFill>
              <a:srgbClr xmlns:mc="http://schemas.openxmlformats.org/markup-compatibility/2006" xmlns:a14="http://schemas.microsoft.com/office/drawing/2010/main" val="000000" mc:Ignorable="a14" a14:legacySpreadsheetColorIndex="64"/>
            </a:solidFill>
          </a:ln>
          <a:effectLst/>
        </c:spPr>
        <c:txPr>
          <a:bodyPr rot="0"/>
          <a:lstStyle/>
          <a:p>
            <a:pPr>
              <a:defRPr/>
            </a:pPr>
            <a:endParaRPr lang="en-US"/>
          </a:p>
        </c:txPr>
        <c:crossAx val="81231232"/>
        <c:crosses val="autoZero"/>
        <c:crossBetween val="between"/>
        <c:majorUnit val="200"/>
        <c:minorUnit val="50"/>
      </c:valAx>
      <c:spPr>
        <a:noFill/>
        <a:ln>
          <a:noFill/>
        </a:ln>
        <a:effectLst/>
      </c:spPr>
    </c:plotArea>
    <c:legend>
      <c:legendPos val="b"/>
      <c:legendEntry>
        <c:idx val="2"/>
        <c:delete val="1"/>
      </c:legendEntry>
      <c:layout>
        <c:manualLayout>
          <c:xMode val="edge"/>
          <c:yMode val="edge"/>
          <c:x val="7.06824762497308E-2"/>
          <c:y val="0.92615251997011661"/>
          <c:w val="0.37483558130044775"/>
          <c:h val="5.8203264180219524E-2"/>
        </c:manualLayout>
      </c:layout>
      <c:overlay val="0"/>
      <c:spPr>
        <a:noFill/>
        <a:ln>
          <a:noFill/>
        </a:ln>
        <a:effectLst/>
      </c:spPr>
      <c:txPr>
        <a:bodyPr rot="0" vert="horz"/>
        <a:lstStyle/>
        <a:p>
          <a:pPr>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sz="800">
          <a:latin typeface="Arial Narrow" panose="020B0606020202030204" pitchFamily="34" charset="0"/>
        </a:defRPr>
      </a:pPr>
      <a:endParaRPr lang="en-US"/>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523868830983121"/>
          <c:y val="5.6464559140789891E-2"/>
          <c:w val="0.57974176401753308"/>
          <c:h val="0.7363567566672462"/>
        </c:manualLayout>
      </c:layout>
      <c:barChart>
        <c:barDir val="col"/>
        <c:grouping val="percentStacked"/>
        <c:varyColors val="0"/>
        <c:ser>
          <c:idx val="0"/>
          <c:order val="0"/>
          <c:tx>
            <c:strRef>
              <c:f>'Timeliness Reporting Year'!$B$10</c:f>
              <c:strCache>
                <c:ptCount val="1"/>
                <c:pt idx="0">
                  <c:v>less than 1 month</c:v>
                </c:pt>
              </c:strCache>
            </c:strRef>
          </c:tx>
          <c:spPr>
            <a:solidFill>
              <a:schemeClr val="accent1"/>
            </a:solidFill>
            <a:ln w="25400">
              <a:noFill/>
            </a:ln>
          </c:spPr>
          <c:invertIfNegative val="0"/>
          <c:cat>
            <c:numRef>
              <c:f>'Timeliness Reporting Year'!$A$17:$A$20</c:f>
              <c:numCache>
                <c:formatCode>General</c:formatCode>
                <c:ptCount val="4"/>
                <c:pt idx="0">
                  <c:v>2019</c:v>
                </c:pt>
                <c:pt idx="1">
                  <c:v>2020</c:v>
                </c:pt>
                <c:pt idx="2">
                  <c:v>2021</c:v>
                </c:pt>
                <c:pt idx="3">
                  <c:v>2022</c:v>
                </c:pt>
              </c:numCache>
            </c:numRef>
          </c:cat>
          <c:val>
            <c:numRef>
              <c:f>'Timeliness Reporting Year'!$B$17:$B$20</c:f>
              <c:numCache>
                <c:formatCode>General</c:formatCode>
                <c:ptCount val="4"/>
                <c:pt idx="0">
                  <c:v>302</c:v>
                </c:pt>
                <c:pt idx="1">
                  <c:v>2063</c:v>
                </c:pt>
                <c:pt idx="2">
                  <c:v>2459</c:v>
                </c:pt>
                <c:pt idx="3">
                  <c:v>3127</c:v>
                </c:pt>
              </c:numCache>
            </c:numRef>
          </c:val>
          <c:extLst>
            <c:ext xmlns:c16="http://schemas.microsoft.com/office/drawing/2014/chart" uri="{C3380CC4-5D6E-409C-BE32-E72D297353CC}">
              <c16:uniqueId val="{00000000-A28A-48BB-BC0A-BDB79F318436}"/>
            </c:ext>
          </c:extLst>
        </c:ser>
        <c:ser>
          <c:idx val="1"/>
          <c:order val="1"/>
          <c:tx>
            <c:strRef>
              <c:f>'Timeliness Reporting Year'!$C$10</c:f>
              <c:strCache>
                <c:ptCount val="1"/>
                <c:pt idx="0">
                  <c:v>between 1 - 2 months</c:v>
                </c:pt>
              </c:strCache>
            </c:strRef>
          </c:tx>
          <c:spPr>
            <a:solidFill>
              <a:schemeClr val="accent2"/>
            </a:solidFill>
            <a:ln w="25400">
              <a:noFill/>
            </a:ln>
          </c:spPr>
          <c:invertIfNegative val="0"/>
          <c:cat>
            <c:numRef>
              <c:f>'Timeliness Reporting Year'!$A$17:$A$20</c:f>
              <c:numCache>
                <c:formatCode>General</c:formatCode>
                <c:ptCount val="4"/>
                <c:pt idx="0">
                  <c:v>2019</c:v>
                </c:pt>
                <c:pt idx="1">
                  <c:v>2020</c:v>
                </c:pt>
                <c:pt idx="2">
                  <c:v>2021</c:v>
                </c:pt>
                <c:pt idx="3">
                  <c:v>2022</c:v>
                </c:pt>
              </c:numCache>
            </c:numRef>
          </c:cat>
          <c:val>
            <c:numRef>
              <c:f>'Timeliness Reporting Year'!$C$17:$C$20</c:f>
              <c:numCache>
                <c:formatCode>General</c:formatCode>
                <c:ptCount val="4"/>
                <c:pt idx="0">
                  <c:v>570</c:v>
                </c:pt>
                <c:pt idx="1">
                  <c:v>653</c:v>
                </c:pt>
                <c:pt idx="2">
                  <c:v>58</c:v>
                </c:pt>
                <c:pt idx="3">
                  <c:v>189</c:v>
                </c:pt>
              </c:numCache>
            </c:numRef>
          </c:val>
          <c:extLst>
            <c:ext xmlns:c16="http://schemas.microsoft.com/office/drawing/2014/chart" uri="{C3380CC4-5D6E-409C-BE32-E72D297353CC}">
              <c16:uniqueId val="{00000001-A28A-48BB-BC0A-BDB79F318436}"/>
            </c:ext>
          </c:extLst>
        </c:ser>
        <c:ser>
          <c:idx val="2"/>
          <c:order val="2"/>
          <c:tx>
            <c:strRef>
              <c:f>'Timeliness Reporting Year'!$D$10</c:f>
              <c:strCache>
                <c:ptCount val="1"/>
                <c:pt idx="0">
                  <c:v>between 2 - 3 months</c:v>
                </c:pt>
              </c:strCache>
            </c:strRef>
          </c:tx>
          <c:spPr>
            <a:solidFill>
              <a:schemeClr val="accent3"/>
            </a:solidFill>
            <a:ln w="25400">
              <a:noFill/>
            </a:ln>
          </c:spPr>
          <c:invertIfNegative val="0"/>
          <c:cat>
            <c:numRef>
              <c:f>'Timeliness Reporting Year'!$A$17:$A$20</c:f>
              <c:numCache>
                <c:formatCode>General</c:formatCode>
                <c:ptCount val="4"/>
                <c:pt idx="0">
                  <c:v>2019</c:v>
                </c:pt>
                <c:pt idx="1">
                  <c:v>2020</c:v>
                </c:pt>
                <c:pt idx="2">
                  <c:v>2021</c:v>
                </c:pt>
                <c:pt idx="3">
                  <c:v>2022</c:v>
                </c:pt>
              </c:numCache>
            </c:numRef>
          </c:cat>
          <c:val>
            <c:numRef>
              <c:f>'Timeliness Reporting Year'!$D$17:$D$20</c:f>
              <c:numCache>
                <c:formatCode>General</c:formatCode>
                <c:ptCount val="4"/>
                <c:pt idx="0">
                  <c:v>628</c:v>
                </c:pt>
                <c:pt idx="1">
                  <c:v>188</c:v>
                </c:pt>
                <c:pt idx="2">
                  <c:v>7</c:v>
                </c:pt>
                <c:pt idx="3">
                  <c:v>19</c:v>
                </c:pt>
              </c:numCache>
            </c:numRef>
          </c:val>
          <c:extLst>
            <c:ext xmlns:c16="http://schemas.microsoft.com/office/drawing/2014/chart" uri="{C3380CC4-5D6E-409C-BE32-E72D297353CC}">
              <c16:uniqueId val="{00000002-A28A-48BB-BC0A-BDB79F318436}"/>
            </c:ext>
          </c:extLst>
        </c:ser>
        <c:ser>
          <c:idx val="3"/>
          <c:order val="3"/>
          <c:tx>
            <c:strRef>
              <c:f>'Timeliness Reporting Year'!$E$10</c:f>
              <c:strCache>
                <c:ptCount val="1"/>
                <c:pt idx="0">
                  <c:v>between 3 - 4 months</c:v>
                </c:pt>
              </c:strCache>
            </c:strRef>
          </c:tx>
          <c:spPr>
            <a:solidFill>
              <a:schemeClr val="accent4"/>
            </a:solidFill>
            <a:ln w="25400">
              <a:noFill/>
            </a:ln>
          </c:spPr>
          <c:invertIfNegative val="0"/>
          <c:cat>
            <c:numRef>
              <c:f>'Timeliness Reporting Year'!$A$17:$A$20</c:f>
              <c:numCache>
                <c:formatCode>General</c:formatCode>
                <c:ptCount val="4"/>
                <c:pt idx="0">
                  <c:v>2019</c:v>
                </c:pt>
                <c:pt idx="1">
                  <c:v>2020</c:v>
                </c:pt>
                <c:pt idx="2">
                  <c:v>2021</c:v>
                </c:pt>
                <c:pt idx="3">
                  <c:v>2022</c:v>
                </c:pt>
              </c:numCache>
            </c:numRef>
          </c:cat>
          <c:val>
            <c:numRef>
              <c:f>'Timeliness Reporting Year'!$E$17:$E$20</c:f>
              <c:numCache>
                <c:formatCode>General</c:formatCode>
                <c:ptCount val="4"/>
                <c:pt idx="0">
                  <c:v>715</c:v>
                </c:pt>
                <c:pt idx="1">
                  <c:v>117</c:v>
                </c:pt>
                <c:pt idx="2">
                  <c:v>4</c:v>
                </c:pt>
                <c:pt idx="3">
                  <c:v>7</c:v>
                </c:pt>
              </c:numCache>
            </c:numRef>
          </c:val>
          <c:extLst>
            <c:ext xmlns:c16="http://schemas.microsoft.com/office/drawing/2014/chart" uri="{C3380CC4-5D6E-409C-BE32-E72D297353CC}">
              <c16:uniqueId val="{00000003-A28A-48BB-BC0A-BDB79F318436}"/>
            </c:ext>
          </c:extLst>
        </c:ser>
        <c:ser>
          <c:idx val="4"/>
          <c:order val="4"/>
          <c:tx>
            <c:strRef>
              <c:f>'Timeliness Reporting Year'!$F$10</c:f>
              <c:strCache>
                <c:ptCount val="1"/>
                <c:pt idx="0">
                  <c:v>Over 4 months</c:v>
                </c:pt>
              </c:strCache>
            </c:strRef>
          </c:tx>
          <c:spPr>
            <a:solidFill>
              <a:schemeClr val="accent5"/>
            </a:solidFill>
            <a:ln w="25400">
              <a:noFill/>
            </a:ln>
          </c:spPr>
          <c:invertIfNegative val="0"/>
          <c:cat>
            <c:numRef>
              <c:f>'Timeliness Reporting Year'!$A$17:$A$20</c:f>
              <c:numCache>
                <c:formatCode>General</c:formatCode>
                <c:ptCount val="4"/>
                <c:pt idx="0">
                  <c:v>2019</c:v>
                </c:pt>
                <c:pt idx="1">
                  <c:v>2020</c:v>
                </c:pt>
                <c:pt idx="2">
                  <c:v>2021</c:v>
                </c:pt>
                <c:pt idx="3">
                  <c:v>2022</c:v>
                </c:pt>
              </c:numCache>
            </c:numRef>
          </c:cat>
          <c:val>
            <c:numRef>
              <c:f>'Timeliness Reporting Year'!$F$17:$F$20</c:f>
              <c:numCache>
                <c:formatCode>General</c:formatCode>
                <c:ptCount val="4"/>
                <c:pt idx="0">
                  <c:v>927</c:v>
                </c:pt>
                <c:pt idx="1">
                  <c:v>183</c:v>
                </c:pt>
                <c:pt idx="3">
                  <c:v>2</c:v>
                </c:pt>
              </c:numCache>
            </c:numRef>
          </c:val>
          <c:extLst>
            <c:ext xmlns:c16="http://schemas.microsoft.com/office/drawing/2014/chart" uri="{C3380CC4-5D6E-409C-BE32-E72D297353CC}">
              <c16:uniqueId val="{00000004-A28A-48BB-BC0A-BDB79F318436}"/>
            </c:ext>
          </c:extLst>
        </c:ser>
        <c:dLbls>
          <c:showLegendKey val="0"/>
          <c:showVal val="0"/>
          <c:showCatName val="0"/>
          <c:showSerName val="0"/>
          <c:showPercent val="0"/>
          <c:showBubbleSize val="0"/>
        </c:dLbls>
        <c:gapWidth val="69"/>
        <c:overlap val="100"/>
        <c:axId val="101615872"/>
        <c:axId val="101634432"/>
      </c:barChart>
      <c:catAx>
        <c:axId val="101615872"/>
        <c:scaling>
          <c:orientation val="minMax"/>
        </c:scaling>
        <c:delete val="0"/>
        <c:axPos val="b"/>
        <c:title>
          <c:tx>
            <c:rich>
              <a:bodyPr/>
              <a:lstStyle/>
              <a:p>
                <a:pPr>
                  <a:defRPr b="1"/>
                </a:pPr>
                <a:r>
                  <a:rPr lang="en-US" b="1"/>
                  <a:t>Processing  year </a:t>
                </a:r>
              </a:p>
            </c:rich>
          </c:tx>
          <c:layout>
            <c:manualLayout>
              <c:xMode val="edge"/>
              <c:yMode val="edge"/>
              <c:x val="0.43305481366674509"/>
              <c:y val="0.8706190954617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01634432"/>
        <c:crosses val="autoZero"/>
        <c:auto val="1"/>
        <c:lblAlgn val="ctr"/>
        <c:lblOffset val="100"/>
        <c:tickLblSkip val="1"/>
        <c:tickMarkSkip val="1"/>
        <c:noMultiLvlLbl val="0"/>
      </c:catAx>
      <c:valAx>
        <c:axId val="101634432"/>
        <c:scaling>
          <c:orientation val="minMax"/>
        </c:scaling>
        <c:delete val="0"/>
        <c:axPos val="l"/>
        <c:majorGridlines>
          <c:spPr>
            <a:ln w="3175">
              <a:noFill/>
              <a:prstDash val="solid"/>
            </a:ln>
          </c:spPr>
        </c:majorGridlines>
        <c:title>
          <c:tx>
            <c:rich>
              <a:bodyPr/>
              <a:lstStyle/>
              <a:p>
                <a:pPr>
                  <a:defRPr i="1">
                    <a:solidFill>
                      <a:sysClr val="windowText" lastClr="000000"/>
                    </a:solidFill>
                  </a:defRPr>
                </a:pPr>
                <a:r>
                  <a:rPr lang="en-US" i="1">
                    <a:solidFill>
                      <a:sysClr val="windowText" lastClr="000000"/>
                    </a:solidFill>
                  </a:rPr>
                  <a:t>Distribution</a:t>
                </a:r>
              </a:p>
            </c:rich>
          </c:tx>
          <c:layout>
            <c:manualLayout>
              <c:xMode val="edge"/>
              <c:yMode val="edge"/>
              <c:x val="9.8445031805119265E-2"/>
              <c:y val="0.3306239242349899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01615872"/>
        <c:crosses val="autoZero"/>
        <c:crossBetween val="between"/>
        <c:majorUnit val="0.25"/>
      </c:valAx>
      <c:spPr>
        <a:noFill/>
        <a:ln w="12700">
          <a:noFill/>
          <a:prstDash val="solid"/>
        </a:ln>
      </c:spPr>
    </c:plotArea>
    <c:legend>
      <c:legendPos val="r"/>
      <c:layout>
        <c:manualLayout>
          <c:xMode val="edge"/>
          <c:yMode val="edge"/>
          <c:x val="0.77270802485365953"/>
          <c:y val="0.38876765033450938"/>
          <c:w val="0.21323222119203464"/>
          <c:h val="0.38468032742198027"/>
        </c:manualLayout>
      </c:layout>
      <c:overlay val="0"/>
      <c:spPr>
        <a:solidFill>
          <a:srgbClr val="FFFFFF"/>
        </a:solidFill>
        <a:ln w="25400">
          <a:noFill/>
        </a:ln>
      </c:spPr>
    </c:legend>
    <c:plotVisOnly val="1"/>
    <c:dispBlanksAs val="gap"/>
    <c:showDLblsOverMax val="0"/>
  </c:chart>
  <c:spPr>
    <a:solidFill>
      <a:sysClr val="window" lastClr="FFFFFF"/>
    </a:solidFill>
    <a:ln w="9525">
      <a:noFill/>
    </a:ln>
  </c:spPr>
  <c:txPr>
    <a:bodyPr/>
    <a:lstStyle/>
    <a:p>
      <a:pPr>
        <a:defRPr sz="8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'Tables &amp; charts'!$A$48</c:f>
              <c:strCache>
                <c:ptCount val="1"/>
                <c:pt idx="0">
                  <c:v>Paper</c:v>
                </c:pt>
              </c:strCache>
            </c:strRef>
          </c:tx>
          <c:spPr>
            <a:solidFill>
              <a:schemeClr val="tx2"/>
            </a:solidFill>
          </c:spPr>
          <c:invertIfNegative val="0"/>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charts'!$B$48:$G$48</c:f>
              <c:numCache>
                <c:formatCode>0.0%</c:formatCode>
                <c:ptCount val="6"/>
                <c:pt idx="0">
                  <c:v>2.52222E-2</c:v>
                </c:pt>
                <c:pt idx="1">
                  <c:v>2.4925699999999999E-2</c:v>
                </c:pt>
                <c:pt idx="2">
                  <c:v>2.4857600000000001E-2</c:v>
                </c:pt>
                <c:pt idx="3">
                  <c:v>2.5711899999999999E-2</c:v>
                </c:pt>
                <c:pt idx="4">
                  <c:v>2.46281E-2</c:v>
                </c:pt>
                <c:pt idx="5">
                  <c:v>2.4399899999999999E-2</c:v>
                </c:pt>
              </c:numCache>
            </c:numRef>
          </c:val>
          <c:extLst>
            <c:ext xmlns:c16="http://schemas.microsoft.com/office/drawing/2014/chart" uri="{C3380CC4-5D6E-409C-BE32-E72D297353CC}">
              <c16:uniqueId val="{00000000-5832-43BA-9F90-80E28A9E4E0E}"/>
            </c:ext>
          </c:extLst>
        </c:ser>
        <c:ser>
          <c:idx val="1"/>
          <c:order val="1"/>
          <c:tx>
            <c:strRef>
              <c:f>'Tables &amp; charts'!$A$49</c:f>
              <c:strCache>
                <c:ptCount val="1"/>
                <c:pt idx="0">
                  <c:v>PDF</c:v>
                </c:pt>
              </c:strCache>
            </c:strRef>
          </c:tx>
          <c:spPr>
            <a:solidFill>
              <a:schemeClr val="accent2">
                <a:lumMod val="60000"/>
                <a:lumOff val="40000"/>
              </a:schemeClr>
            </a:solidFill>
            <a:ln>
              <a:noFill/>
            </a:ln>
          </c:spPr>
          <c:invertIfNegative val="0"/>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charts'!$B$49:$G$49</c:f>
              <c:numCache>
                <c:formatCode>0.0%</c:formatCode>
                <c:ptCount val="6"/>
                <c:pt idx="0">
                  <c:v>0.69832139999999998</c:v>
                </c:pt>
                <c:pt idx="1">
                  <c:v>0.70644390000000001</c:v>
                </c:pt>
                <c:pt idx="2">
                  <c:v>0.70623100000000005</c:v>
                </c:pt>
                <c:pt idx="3">
                  <c:v>0.69673940000000001</c:v>
                </c:pt>
                <c:pt idx="4">
                  <c:v>0.7006367</c:v>
                </c:pt>
                <c:pt idx="5">
                  <c:v>0.70157840000000005</c:v>
                </c:pt>
              </c:numCache>
            </c:numRef>
          </c:val>
          <c:extLst>
            <c:ext xmlns:c16="http://schemas.microsoft.com/office/drawing/2014/chart" uri="{C3380CC4-5D6E-409C-BE32-E72D297353CC}">
              <c16:uniqueId val="{00000001-5832-43BA-9F90-80E28A9E4E0E}"/>
            </c:ext>
          </c:extLst>
        </c:ser>
        <c:ser>
          <c:idx val="2"/>
          <c:order val="2"/>
          <c:tx>
            <c:strRef>
              <c:f>'Tables &amp; charts'!$A$50</c:f>
              <c:strCache>
                <c:ptCount val="1"/>
                <c:pt idx="0">
                  <c:v>XML</c:v>
                </c:pt>
              </c:strCache>
            </c:strRef>
          </c:tx>
          <c:spPr>
            <a:solidFill>
              <a:srgbClr val="8B8E9F"/>
            </a:solidFill>
          </c:spPr>
          <c:invertIfNegative val="0"/>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charts'!$B$50:$G$50</c:f>
              <c:numCache>
                <c:formatCode>0.0%</c:formatCode>
                <c:ptCount val="6"/>
                <c:pt idx="0">
                  <c:v>0.27645639999999999</c:v>
                </c:pt>
                <c:pt idx="1">
                  <c:v>0.26863039999999999</c:v>
                </c:pt>
                <c:pt idx="2">
                  <c:v>0.26891130000000002</c:v>
                </c:pt>
                <c:pt idx="3">
                  <c:v>0.27754869999999998</c:v>
                </c:pt>
                <c:pt idx="4">
                  <c:v>0.27473520000000001</c:v>
                </c:pt>
                <c:pt idx="5">
                  <c:v>0.27402179999999998</c:v>
                </c:pt>
              </c:numCache>
            </c:numRef>
          </c:val>
          <c:extLst>
            <c:ext xmlns:c16="http://schemas.microsoft.com/office/drawing/2014/chart" uri="{C3380CC4-5D6E-409C-BE32-E72D297353CC}">
              <c16:uniqueId val="{00000002-5832-43BA-9F90-80E28A9E4E0E}"/>
            </c:ext>
          </c:extLst>
        </c:ser>
        <c:dLbls>
          <c:showLegendKey val="0"/>
          <c:showVal val="0"/>
          <c:showCatName val="0"/>
          <c:showSerName val="0"/>
          <c:showPercent val="0"/>
          <c:showBubbleSize val="0"/>
        </c:dLbls>
        <c:gapWidth val="150"/>
        <c:overlap val="100"/>
        <c:axId val="364924928"/>
        <c:axId val="365102208"/>
      </c:barChart>
      <c:catAx>
        <c:axId val="364924928"/>
        <c:scaling>
          <c:orientation val="minMax"/>
        </c:scaling>
        <c:delete val="0"/>
        <c:axPos val="b"/>
        <c:numFmt formatCode="General" sourceLinked="1"/>
        <c:majorTickMark val="out"/>
        <c:minorTickMark val="none"/>
        <c:tickLblPos val="nextTo"/>
        <c:txPr>
          <a:bodyPr/>
          <a:lstStyle/>
          <a:p>
            <a:pPr>
              <a:defRPr sz="800">
                <a:latin typeface="Arial Narrow" panose="020B0606020202030204" pitchFamily="34" charset="0"/>
              </a:defRPr>
            </a:pPr>
            <a:endParaRPr lang="en-US"/>
          </a:p>
        </c:txPr>
        <c:crossAx val="365102208"/>
        <c:crosses val="autoZero"/>
        <c:auto val="1"/>
        <c:lblAlgn val="ctr"/>
        <c:lblOffset val="100"/>
        <c:noMultiLvlLbl val="0"/>
      </c:catAx>
      <c:valAx>
        <c:axId val="365102208"/>
        <c:scaling>
          <c:orientation val="minMax"/>
        </c:scaling>
        <c:delete val="0"/>
        <c:axPos val="l"/>
        <c:majorGridlines/>
        <c:numFmt formatCode="0%" sourceLinked="1"/>
        <c:majorTickMark val="out"/>
        <c:minorTickMark val="none"/>
        <c:tickLblPos val="nextTo"/>
        <c:txPr>
          <a:bodyPr/>
          <a:lstStyle/>
          <a:p>
            <a:pPr>
              <a:defRPr sz="800">
                <a:latin typeface="Arial Narrow" panose="020B0606020202030204" pitchFamily="34" charset="0"/>
              </a:defRPr>
            </a:pPr>
            <a:endParaRPr lang="en-US"/>
          </a:p>
        </c:txPr>
        <c:crossAx val="364924928"/>
        <c:crosses val="autoZero"/>
        <c:crossBetween val="between"/>
      </c:valAx>
    </c:plotArea>
    <c:legend>
      <c:legendPos val="b"/>
      <c:layout>
        <c:manualLayout>
          <c:xMode val="edge"/>
          <c:yMode val="edge"/>
          <c:x val="0.36102102102102102"/>
          <c:y val="0.87167207040296435"/>
          <c:w val="0.2779577215010286"/>
          <c:h val="8.2292123970437198E-2"/>
        </c:manualLayout>
      </c:layout>
      <c:overlay val="0"/>
      <c:txPr>
        <a:bodyPr/>
        <a:lstStyle/>
        <a:p>
          <a:pPr>
            <a:defRPr sz="900">
              <a:latin typeface="Arial Narrow" panose="020B0606020202030204" pitchFamily="34" charset="0"/>
            </a:defRPr>
          </a:pPr>
          <a:endParaRPr lang="en-US"/>
        </a:p>
      </c:txPr>
    </c:legend>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4652904345880039E-2"/>
          <c:y val="3.78323108384458E-2"/>
          <c:w val="0.90104319431422653"/>
          <c:h val="0.78629856850715751"/>
        </c:manualLayout>
      </c:layout>
      <c:barChart>
        <c:barDir val="col"/>
        <c:grouping val="clustered"/>
        <c:varyColors val="0"/>
        <c:ser>
          <c:idx val="1"/>
          <c:order val="1"/>
          <c:tx>
            <c:strRef>
              <c:f>'Tables &amp; charts'!$A$82</c:f>
              <c:strCache>
                <c:ptCount val="1"/>
                <c:pt idx="0">
                  <c:v>Growth</c:v>
                </c:pt>
              </c:strCache>
            </c:strRef>
          </c:tx>
          <c:spPr>
            <a:solidFill>
              <a:schemeClr val="tx2">
                <a:lumMod val="75000"/>
              </a:schemeClr>
            </a:solidFill>
            <a:ln w="25400">
              <a:noFill/>
            </a:ln>
          </c:spPr>
          <c:invertIfNegative val="0"/>
          <c:dLbls>
            <c:dLbl>
              <c:idx val="3"/>
              <c:layout>
                <c:manualLayout>
                  <c:x val="0"/>
                  <c:y val="-4.089335458834516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2E3-4E8B-B20E-A5B2EF2F3637}"/>
                </c:ext>
              </c:extLst>
            </c:dLbl>
            <c:spPr>
              <a:noFill/>
              <a:ln w="25400">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charts'!$B$82:$G$82</c:f>
              <c:numCache>
                <c:formatCode>0.0%</c:formatCode>
                <c:ptCount val="6"/>
                <c:pt idx="0">
                  <c:v>6.0062030299415481E-2</c:v>
                </c:pt>
                <c:pt idx="1">
                  <c:v>2.225285545490352E-2</c:v>
                </c:pt>
                <c:pt idx="2">
                  <c:v>3.6519250350881993E-2</c:v>
                </c:pt>
                <c:pt idx="3">
                  <c:v>2.867459643160597E-3</c:v>
                </c:pt>
                <c:pt idx="4">
                  <c:v>3.240495605210203E-2</c:v>
                </c:pt>
                <c:pt idx="5">
                  <c:v>2.8874756385270484E-2</c:v>
                </c:pt>
              </c:numCache>
            </c:numRef>
          </c:val>
          <c:extLst>
            <c:ext xmlns:c16="http://schemas.microsoft.com/office/drawing/2014/chart" uri="{C3380CC4-5D6E-409C-BE32-E72D297353CC}">
              <c16:uniqueId val="{00000001-92E3-4E8B-B20E-A5B2EF2F3637}"/>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charts'!$A$81</c:f>
              <c:strCache>
                <c:ptCount val="1"/>
                <c:pt idx="0">
                  <c:v>Income (million CHF)</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charts'!$B$84:$G$84</c:f>
                <c:numCache>
                  <c:formatCode>General</c:formatCode>
                  <c:ptCount val="6"/>
                  <c:pt idx="2">
                    <c:v>4.84</c:v>
                  </c:pt>
                  <c:pt idx="3">
                    <c:v>15.68</c:v>
                  </c:pt>
                  <c:pt idx="4">
                    <c:v>20.69</c:v>
                  </c:pt>
                  <c:pt idx="5">
                    <c:v>24.68</c:v>
                  </c:pt>
                </c:numCache>
              </c:numRef>
            </c:plus>
            <c:minus>
              <c:numRef>
                <c:f>'Tables &amp; charts'!$B$86:$G$86</c:f>
                <c:numCache>
                  <c:formatCode>General</c:formatCode>
                  <c:ptCount val="6"/>
                  <c:pt idx="0">
                    <c:v>0</c:v>
                  </c:pt>
                  <c:pt idx="1">
                    <c:v>0</c:v>
                  </c:pt>
                  <c:pt idx="2">
                    <c:v>4.78</c:v>
                  </c:pt>
                  <c:pt idx="3">
                    <c:v>15.41</c:v>
                  </c:pt>
                  <c:pt idx="4">
                    <c:v>20.329999999999998</c:v>
                  </c:pt>
                  <c:pt idx="5">
                    <c:v>24.23</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charts'!$B$81:$G$81</c:f>
              <c:numCache>
                <c:formatCode>0.0</c:formatCode>
                <c:ptCount val="6"/>
                <c:pt idx="0">
                  <c:v>355.46000000000004</c:v>
                </c:pt>
                <c:pt idx="1">
                  <c:v>363.37</c:v>
                </c:pt>
                <c:pt idx="2">
                  <c:v>376.64</c:v>
                </c:pt>
                <c:pt idx="3">
                  <c:v>377.72</c:v>
                </c:pt>
                <c:pt idx="4">
                  <c:v>389.96</c:v>
                </c:pt>
                <c:pt idx="5">
                  <c:v>401.22</c:v>
                </c:pt>
              </c:numCache>
            </c:numRef>
          </c:val>
          <c:smooth val="0"/>
          <c:extLst>
            <c:ext xmlns:c16="http://schemas.microsoft.com/office/drawing/2014/chart" uri="{C3380CC4-5D6E-409C-BE32-E72D297353CC}">
              <c16:uniqueId val="{00000002-92E3-4E8B-B20E-A5B2EF2F3637}"/>
            </c:ext>
          </c:extLst>
        </c:ser>
        <c:dLbls>
          <c:showLegendKey val="0"/>
          <c:showVal val="0"/>
          <c:showCatName val="0"/>
          <c:showSerName val="0"/>
          <c:showPercent val="0"/>
          <c:showBubbleSize val="0"/>
        </c:dLbls>
        <c:marker val="1"/>
        <c:smooth val="0"/>
        <c:axId val="1628777248"/>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strRef>
              <c:f>'Tables &amp; charts'!$B$80:$G$80</c:f>
              <c:strCache>
                <c:ptCount val="6"/>
                <c:pt idx="0">
                  <c:v>2020</c:v>
                </c:pt>
                <c:pt idx="1">
                  <c:v>2021</c:v>
                </c:pt>
                <c:pt idx="2">
                  <c:v>2022</c:v>
                </c:pt>
                <c:pt idx="3">
                  <c:v>2023_x000d_
Estimates</c:v>
                </c:pt>
                <c:pt idx="4">
                  <c:v>2024_x000d_
Estimates</c:v>
                </c:pt>
                <c:pt idx="5">
                  <c:v>2025_x000d_
Estimates</c:v>
                </c:pt>
              </c:strCache>
            </c:strRef>
          </c:cat>
          <c:val>
            <c:numRef>
              <c:f>'Tables &amp; charts'!$B$85:$G$85</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92E3-4E8B-B20E-A5B2EF2F3637}"/>
            </c:ext>
          </c:extLst>
        </c:ser>
        <c:dLbls>
          <c:showLegendKey val="0"/>
          <c:showVal val="0"/>
          <c:showCatName val="0"/>
          <c:showSerName val="0"/>
          <c:showPercent val="0"/>
          <c:showBubbleSize val="0"/>
        </c:dLbls>
        <c:marker val="1"/>
        <c:smooth val="0"/>
        <c:axId val="3"/>
        <c:axId val="4"/>
      </c:lineChart>
      <c:catAx>
        <c:axId val="1628777248"/>
        <c:scaling>
          <c:orientation val="minMax"/>
        </c:scaling>
        <c:delete val="0"/>
        <c:axPos val="b"/>
        <c:numFmt formatCode="General" sourceLinked="1"/>
        <c:majorTickMark val="out"/>
        <c:minorTickMark val="none"/>
        <c:tickLblPos val="nextTo"/>
        <c:spPr>
          <a:ln w="9525">
            <a:noFill/>
          </a:ln>
        </c:spPr>
        <c:txPr>
          <a:bodyPr rot="0" vert="horz"/>
          <a:lstStyle/>
          <a:p>
            <a:pPr>
              <a:defRPr sz="800"/>
            </a:pPr>
            <a:endParaRPr lang="en-US"/>
          </a:p>
        </c:txPr>
        <c:crossAx val="1"/>
        <c:crosses val="autoZero"/>
        <c:auto val="1"/>
        <c:lblAlgn val="ctr"/>
        <c:lblOffset val="100"/>
        <c:tickLblSkip val="1"/>
        <c:tickMarkSkip val="1"/>
        <c:noMultiLvlLbl val="0"/>
      </c:catAx>
      <c:valAx>
        <c:axId val="1"/>
        <c:scaling>
          <c:orientation val="minMax"/>
          <c:min val="25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a:pPr>
            <a:endParaRPr lang="en-US"/>
          </a:p>
        </c:txPr>
        <c:crossAx val="162877724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35000000000000003"/>
          <c:min val="-5.000000000000001E-2"/>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2987247247413356"/>
          <c:y val="0.90716905190546326"/>
          <c:w val="0.40255031345528597"/>
          <c:h val="8.256664221822156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7925405404428369E-2"/>
          <c:y val="5.0567595459236329E-2"/>
          <c:w val="0.89328379319185058"/>
          <c:h val="0.74200206398348811"/>
        </c:manualLayout>
      </c:layout>
      <c:barChart>
        <c:barDir val="col"/>
        <c:grouping val="clustered"/>
        <c:varyColors val="0"/>
        <c:ser>
          <c:idx val="0"/>
          <c:order val="0"/>
          <c:tx>
            <c:strRef>
              <c:f>'Tables &amp; charts'!$AC$1</c:f>
              <c:strCache>
                <c:ptCount val="1"/>
                <c:pt idx="0">
                  <c:v>Total</c:v>
                </c:pt>
              </c:strCache>
            </c:strRef>
          </c:tx>
          <c:spPr>
            <a:solidFill>
              <a:schemeClr val="bg1">
                <a:lumMod val="65000"/>
              </a:schemeClr>
            </a:solidFill>
            <a:ln w="25400">
              <a:noFill/>
            </a:ln>
          </c:spPr>
          <c:invertIfNegative val="0"/>
          <c:cat>
            <c:numRef>
              <c:f>'Tables &amp; charts'!$AA$2:$AA$76</c:f>
              <c:numCache>
                <c:formatCode>General</c:formatCode>
                <c:ptCount val="75"/>
                <c:pt idx="0">
                  <c:v>2017</c:v>
                </c:pt>
                <c:pt idx="12">
                  <c:v>2018</c:v>
                </c:pt>
                <c:pt idx="24">
                  <c:v>2019</c:v>
                </c:pt>
                <c:pt idx="36">
                  <c:v>2020</c:v>
                </c:pt>
                <c:pt idx="48">
                  <c:v>2021</c:v>
                </c:pt>
                <c:pt idx="60">
                  <c:v>2022</c:v>
                </c:pt>
                <c:pt idx="72">
                  <c:v>2023</c:v>
                </c:pt>
              </c:numCache>
            </c:numRef>
          </c:cat>
          <c:val>
            <c:numRef>
              <c:f>'Tables &amp; charts'!$AC$2:$AC$76</c:f>
              <c:numCache>
                <c:formatCode>General</c:formatCode>
                <c:ptCount val="75"/>
                <c:pt idx="0">
                  <c:v>-0.1510591</c:v>
                </c:pt>
                <c:pt idx="1">
                  <c:v>-0.28331430000000002</c:v>
                </c:pt>
                <c:pt idx="2">
                  <c:v>0.1657449</c:v>
                </c:pt>
                <c:pt idx="3">
                  <c:v>4.8168700000000002E-2</c:v>
                </c:pt>
                <c:pt idx="4">
                  <c:v>0.2330295</c:v>
                </c:pt>
                <c:pt idx="5">
                  <c:v>-0.12085750000000001</c:v>
                </c:pt>
                <c:pt idx="6">
                  <c:v>-0.27278799999999997</c:v>
                </c:pt>
                <c:pt idx="7">
                  <c:v>0.25602910000000001</c:v>
                </c:pt>
                <c:pt idx="8">
                  <c:v>-2.5591599999999999E-2</c:v>
                </c:pt>
                <c:pt idx="9">
                  <c:v>0.1392593</c:v>
                </c:pt>
                <c:pt idx="10">
                  <c:v>0.65687689999999999</c:v>
                </c:pt>
                <c:pt idx="11">
                  <c:v>0.44573400000000002</c:v>
                </c:pt>
                <c:pt idx="12">
                  <c:v>0.4802903</c:v>
                </c:pt>
                <c:pt idx="13">
                  <c:v>-0.1499964</c:v>
                </c:pt>
                <c:pt idx="14">
                  <c:v>-0.17797950000000001</c:v>
                </c:pt>
                <c:pt idx="15">
                  <c:v>0.52324910000000002</c:v>
                </c:pt>
                <c:pt idx="16">
                  <c:v>0.60565060000000004</c:v>
                </c:pt>
                <c:pt idx="17">
                  <c:v>0.31216650000000001</c:v>
                </c:pt>
                <c:pt idx="18">
                  <c:v>0.45881</c:v>
                </c:pt>
                <c:pt idx="19">
                  <c:v>0.33327099999999998</c:v>
                </c:pt>
                <c:pt idx="20">
                  <c:v>-7.9946199999999995E-2</c:v>
                </c:pt>
                <c:pt idx="21">
                  <c:v>-6.6031800000000002E-2</c:v>
                </c:pt>
                <c:pt idx="22">
                  <c:v>0.37246269999999998</c:v>
                </c:pt>
                <c:pt idx="23">
                  <c:v>0.16691339999999999</c:v>
                </c:pt>
                <c:pt idx="24">
                  <c:v>0.13339490000000001</c:v>
                </c:pt>
                <c:pt idx="25">
                  <c:v>0.34947509999999998</c:v>
                </c:pt>
                <c:pt idx="26">
                  <c:v>0.36734499999999998</c:v>
                </c:pt>
                <c:pt idx="27">
                  <c:v>0.40518090000000001</c:v>
                </c:pt>
                <c:pt idx="28">
                  <c:v>0.64360099999999998</c:v>
                </c:pt>
                <c:pt idx="29">
                  <c:v>0.46205750000000001</c:v>
                </c:pt>
                <c:pt idx="30">
                  <c:v>-9.5797E-3</c:v>
                </c:pt>
                <c:pt idx="31">
                  <c:v>0.1168329</c:v>
                </c:pt>
                <c:pt idx="32">
                  <c:v>-0.106671</c:v>
                </c:pt>
                <c:pt idx="33">
                  <c:v>-0.2197974</c:v>
                </c:pt>
                <c:pt idx="34">
                  <c:v>-0.1778334</c:v>
                </c:pt>
                <c:pt idx="35">
                  <c:v>-4.2003899999999997E-2</c:v>
                </c:pt>
                <c:pt idx="36">
                  <c:v>-0.49737589999999998</c:v>
                </c:pt>
                <c:pt idx="37">
                  <c:v>-0.56065189999999998</c:v>
                </c:pt>
                <c:pt idx="38">
                  <c:v>-0.68442429999999999</c:v>
                </c:pt>
                <c:pt idx="39">
                  <c:v>-0.96113780000000004</c:v>
                </c:pt>
                <c:pt idx="40">
                  <c:v>-0.4932627</c:v>
                </c:pt>
                <c:pt idx="41">
                  <c:v>-0.49997960000000002</c:v>
                </c:pt>
                <c:pt idx="42">
                  <c:v>-0.81389449999999997</c:v>
                </c:pt>
                <c:pt idx="43">
                  <c:v>-1.0462279999999999</c:v>
                </c:pt>
                <c:pt idx="44">
                  <c:v>-1.103194</c:v>
                </c:pt>
                <c:pt idx="45">
                  <c:v>-1.0756129999999999</c:v>
                </c:pt>
                <c:pt idx="46">
                  <c:v>-0.22035489999999999</c:v>
                </c:pt>
                <c:pt idx="47">
                  <c:v>-0.1892568</c:v>
                </c:pt>
                <c:pt idx="48">
                  <c:v>-0.60187080000000004</c:v>
                </c:pt>
                <c:pt idx="49">
                  <c:v>-0.28684419999999999</c:v>
                </c:pt>
                <c:pt idx="50">
                  <c:v>3.2312500000000001E-2</c:v>
                </c:pt>
                <c:pt idx="51">
                  <c:v>0.43047629999999998</c:v>
                </c:pt>
                <c:pt idx="52">
                  <c:v>-3.3148700000000003E-2</c:v>
                </c:pt>
                <c:pt idx="53">
                  <c:v>-0.2737638</c:v>
                </c:pt>
                <c:pt idx="54">
                  <c:v>-6.7668900000000004E-2</c:v>
                </c:pt>
                <c:pt idx="55">
                  <c:v>-0.30829810000000002</c:v>
                </c:pt>
                <c:pt idx="56">
                  <c:v>-0.17193839999999999</c:v>
                </c:pt>
                <c:pt idx="57">
                  <c:v>-7.3375700000000002E-2</c:v>
                </c:pt>
                <c:pt idx="58">
                  <c:v>-0.49800939999999999</c:v>
                </c:pt>
                <c:pt idx="59">
                  <c:v>-0.46871360000000001</c:v>
                </c:pt>
                <c:pt idx="60">
                  <c:v>-0.82393289999999997</c:v>
                </c:pt>
                <c:pt idx="61">
                  <c:v>-0.1495505</c:v>
                </c:pt>
                <c:pt idx="62">
                  <c:v>-0.17727399999999999</c:v>
                </c:pt>
                <c:pt idx="63">
                  <c:v>-1.19164</c:v>
                </c:pt>
                <c:pt idx="64">
                  <c:v>-0.22993830000000001</c:v>
                </c:pt>
                <c:pt idx="65">
                  <c:v>-0.29974420000000002</c:v>
                </c:pt>
                <c:pt idx="66">
                  <c:v>-1.0649960000000001</c:v>
                </c:pt>
                <c:pt idx="67">
                  <c:v>-0.37362899999999999</c:v>
                </c:pt>
                <c:pt idx="68">
                  <c:v>-0.5033685</c:v>
                </c:pt>
                <c:pt idx="69">
                  <c:v>-0.5617451</c:v>
                </c:pt>
                <c:pt idx="70">
                  <c:v>-0.30239290000000002</c:v>
                </c:pt>
                <c:pt idx="71">
                  <c:v>-0.79141309999999998</c:v>
                </c:pt>
                <c:pt idx="72">
                  <c:v>-0.68991499999999994</c:v>
                </c:pt>
                <c:pt idx="73">
                  <c:v>-0.73310149999999996</c:v>
                </c:pt>
                <c:pt idx="74">
                  <c:v>-0.72565729999999995</c:v>
                </c:pt>
              </c:numCache>
            </c:numRef>
          </c:val>
          <c:extLst>
            <c:ext xmlns:c16="http://schemas.microsoft.com/office/drawing/2014/chart" uri="{C3380CC4-5D6E-409C-BE32-E72D297353CC}">
              <c16:uniqueId val="{00000000-42FF-4191-B43A-A93AF11AFA4E}"/>
            </c:ext>
          </c:extLst>
        </c:ser>
        <c:dLbls>
          <c:showLegendKey val="0"/>
          <c:showVal val="0"/>
          <c:showCatName val="0"/>
          <c:showSerName val="0"/>
          <c:showPercent val="0"/>
          <c:showBubbleSize val="0"/>
        </c:dLbls>
        <c:gapWidth val="30"/>
        <c:axId val="250530511"/>
        <c:axId val="1"/>
      </c:barChart>
      <c:lineChart>
        <c:grouping val="standard"/>
        <c:varyColors val="0"/>
        <c:ser>
          <c:idx val="1"/>
          <c:order val="1"/>
          <c:tx>
            <c:strRef>
              <c:f>'Tables &amp; charts'!$AE$1</c:f>
              <c:strCache>
                <c:ptCount val="1"/>
                <c:pt idx="0">
                  <c:v>USD</c:v>
                </c:pt>
              </c:strCache>
            </c:strRef>
          </c:tx>
          <c:spPr>
            <a:ln w="25400">
              <a:solidFill>
                <a:srgbClr val="993300"/>
              </a:solidFill>
              <a:prstDash val="solid"/>
            </a:ln>
          </c:spPr>
          <c:marker>
            <c:symbol val="none"/>
          </c:marker>
          <c:val>
            <c:numRef>
              <c:f>'Tables &amp; charts'!$AE$2:$AE$76</c:f>
              <c:numCache>
                <c:formatCode>General</c:formatCode>
                <c:ptCount val="75"/>
                <c:pt idx="0">
                  <c:v>0.43899359999999998</c:v>
                </c:pt>
                <c:pt idx="1">
                  <c:v>0.18432080000000001</c:v>
                </c:pt>
                <c:pt idx="2">
                  <c:v>0.2358421</c:v>
                </c:pt>
                <c:pt idx="3">
                  <c:v>0.25754300000000002</c:v>
                </c:pt>
                <c:pt idx="4">
                  <c:v>0.1901882</c:v>
                </c:pt>
                <c:pt idx="5">
                  <c:v>9.3769999999999999E-3</c:v>
                </c:pt>
                <c:pt idx="6">
                  <c:v>-0.1277633</c:v>
                </c:pt>
                <c:pt idx="7">
                  <c:v>-3.9931700000000001E-2</c:v>
                </c:pt>
                <c:pt idx="8">
                  <c:v>-0.2327322</c:v>
                </c:pt>
                <c:pt idx="9">
                  <c:v>-7.2291999999999999E-3</c:v>
                </c:pt>
                <c:pt idx="10">
                  <c:v>0.22853670000000001</c:v>
                </c:pt>
                <c:pt idx="11">
                  <c:v>8.9654300000000006E-2</c:v>
                </c:pt>
                <c:pt idx="12">
                  <c:v>4.4144000000000003E-2</c:v>
                </c:pt>
                <c:pt idx="13">
                  <c:v>-0.3247003</c:v>
                </c:pt>
                <c:pt idx="14">
                  <c:v>-0.25974550000000002</c:v>
                </c:pt>
                <c:pt idx="15">
                  <c:v>-0.17539669999999999</c:v>
                </c:pt>
                <c:pt idx="16">
                  <c:v>0.13865769999999999</c:v>
                </c:pt>
                <c:pt idx="17">
                  <c:v>0.1294717</c:v>
                </c:pt>
                <c:pt idx="18">
                  <c:v>0.2134953</c:v>
                </c:pt>
                <c:pt idx="19">
                  <c:v>0.13296640000000001</c:v>
                </c:pt>
                <c:pt idx="20">
                  <c:v>-2.2257300000000001E-2</c:v>
                </c:pt>
                <c:pt idx="21">
                  <c:v>7.2379000000000002E-3</c:v>
                </c:pt>
                <c:pt idx="22">
                  <c:v>0.27208110000000002</c:v>
                </c:pt>
                <c:pt idx="23">
                  <c:v>0.1866264</c:v>
                </c:pt>
                <c:pt idx="24">
                  <c:v>8.1610299999999997E-2</c:v>
                </c:pt>
                <c:pt idx="25">
                  <c:v>0.11355700000000001</c:v>
                </c:pt>
                <c:pt idx="26">
                  <c:v>0.1177875</c:v>
                </c:pt>
                <c:pt idx="27">
                  <c:v>0.1165654</c:v>
                </c:pt>
                <c:pt idx="28">
                  <c:v>0.3392059</c:v>
                </c:pt>
                <c:pt idx="29">
                  <c:v>0.23151640000000001</c:v>
                </c:pt>
                <c:pt idx="30">
                  <c:v>-5.9549199999999997E-2</c:v>
                </c:pt>
                <c:pt idx="31">
                  <c:v>7.5650000000000001E-4</c:v>
                </c:pt>
                <c:pt idx="32">
                  <c:v>8.7025099999999994E-2</c:v>
                </c:pt>
                <c:pt idx="33">
                  <c:v>7.1064799999999997E-2</c:v>
                </c:pt>
                <c:pt idx="34">
                  <c:v>8.0429500000000001E-2</c:v>
                </c:pt>
                <c:pt idx="35">
                  <c:v>0.12819240000000001</c:v>
                </c:pt>
                <c:pt idx="36">
                  <c:v>-8.4562899999999996E-2</c:v>
                </c:pt>
                <c:pt idx="37">
                  <c:v>-0.1934699</c:v>
                </c:pt>
                <c:pt idx="38">
                  <c:v>-0.21676309999999999</c:v>
                </c:pt>
                <c:pt idx="39">
                  <c:v>-0.2813272</c:v>
                </c:pt>
                <c:pt idx="40">
                  <c:v>-0.19475190000000001</c:v>
                </c:pt>
                <c:pt idx="41">
                  <c:v>-0.23892720000000001</c:v>
                </c:pt>
                <c:pt idx="42">
                  <c:v>-0.42274600000000001</c:v>
                </c:pt>
                <c:pt idx="43">
                  <c:v>-0.66542230000000002</c:v>
                </c:pt>
                <c:pt idx="44">
                  <c:v>-0.69916769999999995</c:v>
                </c:pt>
                <c:pt idx="45">
                  <c:v>-0.66298869999999999</c:v>
                </c:pt>
                <c:pt idx="46">
                  <c:v>-8.5374599999999995E-2</c:v>
                </c:pt>
                <c:pt idx="47">
                  <c:v>-0.12727949999999999</c:v>
                </c:pt>
                <c:pt idx="48">
                  <c:v>-0.39378210000000002</c:v>
                </c:pt>
                <c:pt idx="49">
                  <c:v>-0.23532420000000001</c:v>
                </c:pt>
                <c:pt idx="50">
                  <c:v>-8.5947999999999997E-2</c:v>
                </c:pt>
                <c:pt idx="51">
                  <c:v>0.29833959999999998</c:v>
                </c:pt>
                <c:pt idx="52">
                  <c:v>-4.7204400000000001E-2</c:v>
                </c:pt>
                <c:pt idx="53">
                  <c:v>-0.16301850000000001</c:v>
                </c:pt>
                <c:pt idx="54">
                  <c:v>3.7873200000000003E-2</c:v>
                </c:pt>
                <c:pt idx="55">
                  <c:v>-7.5719099999999998E-2</c:v>
                </c:pt>
                <c:pt idx="56">
                  <c:v>1.8307199999999999E-2</c:v>
                </c:pt>
                <c:pt idx="57">
                  <c:v>0.15152640000000001</c:v>
                </c:pt>
                <c:pt idx="58">
                  <c:v>-9.5969999999999996E-4</c:v>
                </c:pt>
                <c:pt idx="59">
                  <c:v>8.7469400000000003E-2</c:v>
                </c:pt>
                <c:pt idx="60">
                  <c:v>-4.1555999999999997E-3</c:v>
                </c:pt>
                <c:pt idx="61">
                  <c:v>5.23075E-2</c:v>
                </c:pt>
                <c:pt idx="62">
                  <c:v>2.3016200000000001E-2</c:v>
                </c:pt>
                <c:pt idx="63">
                  <c:v>-1.3805400000000001E-2</c:v>
                </c:pt>
                <c:pt idx="64">
                  <c:v>0.46515719999999999</c:v>
                </c:pt>
                <c:pt idx="65">
                  <c:v>0.32406439999999997</c:v>
                </c:pt>
                <c:pt idx="66">
                  <c:v>0.33088810000000002</c:v>
                </c:pt>
                <c:pt idx="67">
                  <c:v>0.27286189999999999</c:v>
                </c:pt>
                <c:pt idx="68">
                  <c:v>0.43905650000000002</c:v>
                </c:pt>
                <c:pt idx="69">
                  <c:v>0.54601149999999998</c:v>
                </c:pt>
                <c:pt idx="70">
                  <c:v>0.64022789999999996</c:v>
                </c:pt>
                <c:pt idx="71">
                  <c:v>0.26493309999999998</c:v>
                </c:pt>
                <c:pt idx="72">
                  <c:v>-3.2247699999999997E-2</c:v>
                </c:pt>
                <c:pt idx="73">
                  <c:v>-0.44921440000000001</c:v>
                </c:pt>
                <c:pt idx="74">
                  <c:v>-0.36544850000000001</c:v>
                </c:pt>
              </c:numCache>
            </c:numRef>
          </c:val>
          <c:smooth val="0"/>
          <c:extLst>
            <c:ext xmlns:c16="http://schemas.microsoft.com/office/drawing/2014/chart" uri="{C3380CC4-5D6E-409C-BE32-E72D297353CC}">
              <c16:uniqueId val="{00000001-42FF-4191-B43A-A93AF11AFA4E}"/>
            </c:ext>
          </c:extLst>
        </c:ser>
        <c:ser>
          <c:idx val="2"/>
          <c:order val="2"/>
          <c:tx>
            <c:strRef>
              <c:f>'Tables &amp; charts'!$AD$1</c:f>
              <c:strCache>
                <c:ptCount val="1"/>
                <c:pt idx="0">
                  <c:v>EUR</c:v>
                </c:pt>
              </c:strCache>
            </c:strRef>
          </c:tx>
          <c:spPr>
            <a:ln w="25400">
              <a:solidFill>
                <a:schemeClr val="accent5">
                  <a:lumMod val="75000"/>
                </a:schemeClr>
              </a:solidFill>
              <a:prstDash val="solid"/>
            </a:ln>
          </c:spPr>
          <c:marker>
            <c:symbol val="none"/>
          </c:marker>
          <c:val>
            <c:numRef>
              <c:f>'Tables &amp; charts'!$AD$2:$AD$76</c:f>
              <c:numCache>
                <c:formatCode>General</c:formatCode>
                <c:ptCount val="75"/>
                <c:pt idx="0">
                  <c:v>-0.10826429999999999</c:v>
                </c:pt>
                <c:pt idx="1">
                  <c:v>-9.5969200000000005E-2</c:v>
                </c:pt>
                <c:pt idx="2">
                  <c:v>-6.9956299999999999E-2</c:v>
                </c:pt>
                <c:pt idx="3">
                  <c:v>-0.11122609999999999</c:v>
                </c:pt>
                <c:pt idx="4">
                  <c:v>-4.1949300000000002E-2</c:v>
                </c:pt>
                <c:pt idx="5">
                  <c:v>-1.8366000000000001E-3</c:v>
                </c:pt>
                <c:pt idx="6">
                  <c:v>-2.2149999999999999E-4</c:v>
                </c:pt>
                <c:pt idx="7">
                  <c:v>0.22272</c:v>
                </c:pt>
                <c:pt idx="8">
                  <c:v>0.20884430000000001</c:v>
                </c:pt>
                <c:pt idx="9">
                  <c:v>0.25192249999999999</c:v>
                </c:pt>
                <c:pt idx="10">
                  <c:v>0.34301589999999998</c:v>
                </c:pt>
                <c:pt idx="11">
                  <c:v>0.3680871</c:v>
                </c:pt>
                <c:pt idx="12">
                  <c:v>0.44661319999999999</c:v>
                </c:pt>
                <c:pt idx="13">
                  <c:v>0.1489597</c:v>
                </c:pt>
                <c:pt idx="14">
                  <c:v>3.9801099999999999E-2</c:v>
                </c:pt>
                <c:pt idx="15">
                  <c:v>0.1682592</c:v>
                </c:pt>
                <c:pt idx="16">
                  <c:v>0.2287198</c:v>
                </c:pt>
                <c:pt idx="17">
                  <c:v>2.9396200000000001E-2</c:v>
                </c:pt>
                <c:pt idx="18">
                  <c:v>5.2005999999999997E-2</c:v>
                </c:pt>
                <c:pt idx="19">
                  <c:v>7.1010500000000004E-2</c:v>
                </c:pt>
                <c:pt idx="20">
                  <c:v>-5.0212699999999999E-2</c:v>
                </c:pt>
                <c:pt idx="21">
                  <c:v>-1.6813100000000001E-2</c:v>
                </c:pt>
                <c:pt idx="22">
                  <c:v>-1.9222199999999998E-2</c:v>
                </c:pt>
                <c:pt idx="23">
                  <c:v>-5.1785100000000001E-2</c:v>
                </c:pt>
                <c:pt idx="24">
                  <c:v>-8.71286E-2</c:v>
                </c:pt>
                <c:pt idx="25">
                  <c:v>-2.4843999999999999E-3</c:v>
                </c:pt>
                <c:pt idx="26">
                  <c:v>-5.7232000000000003E-3</c:v>
                </c:pt>
                <c:pt idx="27">
                  <c:v>-3.6058300000000001E-2</c:v>
                </c:pt>
                <c:pt idx="28">
                  <c:v>2.2943999999999998E-3</c:v>
                </c:pt>
                <c:pt idx="29">
                  <c:v>-6.8789699999999995E-2</c:v>
                </c:pt>
                <c:pt idx="30">
                  <c:v>-0.13557159999999999</c:v>
                </c:pt>
                <c:pt idx="31">
                  <c:v>-0.1517474</c:v>
                </c:pt>
                <c:pt idx="32">
                  <c:v>-0.195853</c:v>
                </c:pt>
                <c:pt idx="33">
                  <c:v>-0.2327465</c:v>
                </c:pt>
                <c:pt idx="34">
                  <c:v>-0.18319840000000001</c:v>
                </c:pt>
                <c:pt idx="35">
                  <c:v>-0.17505290000000001</c:v>
                </c:pt>
                <c:pt idx="36">
                  <c:v>-0.27729900000000002</c:v>
                </c:pt>
                <c:pt idx="37">
                  <c:v>-0.17447660000000001</c:v>
                </c:pt>
                <c:pt idx="38">
                  <c:v>-0.16452559999999999</c:v>
                </c:pt>
                <c:pt idx="39">
                  <c:v>-0.201875</c:v>
                </c:pt>
                <c:pt idx="40">
                  <c:v>-0.17317179999999999</c:v>
                </c:pt>
                <c:pt idx="41">
                  <c:v>-0.1036184</c:v>
                </c:pt>
                <c:pt idx="42">
                  <c:v>-0.1225894</c:v>
                </c:pt>
                <c:pt idx="43">
                  <c:v>-8.2517099999999996E-2</c:v>
                </c:pt>
                <c:pt idx="44">
                  <c:v>-6.0955500000000003E-2</c:v>
                </c:pt>
                <c:pt idx="45">
                  <c:v>-5.9924400000000003E-2</c:v>
                </c:pt>
                <c:pt idx="46">
                  <c:v>-0.1160982</c:v>
                </c:pt>
                <c:pt idx="47">
                  <c:v>-5.2243299999999999E-2</c:v>
                </c:pt>
                <c:pt idx="48">
                  <c:v>-7.1510199999999996E-2</c:v>
                </c:pt>
                <c:pt idx="49">
                  <c:v>-1.6373599999999999E-2</c:v>
                </c:pt>
                <c:pt idx="50">
                  <c:v>0.1199152</c:v>
                </c:pt>
                <c:pt idx="51">
                  <c:v>0.1504761</c:v>
                </c:pt>
                <c:pt idx="52">
                  <c:v>0.1153265</c:v>
                </c:pt>
                <c:pt idx="53">
                  <c:v>8.25848E-2</c:v>
                </c:pt>
                <c:pt idx="54">
                  <c:v>0.1015679</c:v>
                </c:pt>
                <c:pt idx="55">
                  <c:v>-1.0250999999999999E-3</c:v>
                </c:pt>
                <c:pt idx="56">
                  <c:v>1.3781099999999999E-2</c:v>
                </c:pt>
                <c:pt idx="57">
                  <c:v>1.7352599999999999E-2</c:v>
                </c:pt>
                <c:pt idx="58">
                  <c:v>-0.105582</c:v>
                </c:pt>
                <c:pt idx="59">
                  <c:v>-0.19931979999999999</c:v>
                </c:pt>
                <c:pt idx="60">
                  <c:v>-0.25490879999999999</c:v>
                </c:pt>
                <c:pt idx="61">
                  <c:v>-0.16112570000000001</c:v>
                </c:pt>
                <c:pt idx="62">
                  <c:v>-0.1550763</c:v>
                </c:pt>
                <c:pt idx="63">
                  <c:v>-5.3157799999999998E-2</c:v>
                </c:pt>
                <c:pt idx="64">
                  <c:v>-0.40430569999999999</c:v>
                </c:pt>
                <c:pt idx="65">
                  <c:v>-0.24452270000000001</c:v>
                </c:pt>
                <c:pt idx="66">
                  <c:v>-0.4761975</c:v>
                </c:pt>
                <c:pt idx="67">
                  <c:v>-0.3071352</c:v>
                </c:pt>
                <c:pt idx="68">
                  <c:v>-0.28060689999999999</c:v>
                </c:pt>
                <c:pt idx="69">
                  <c:v>-0.27048499999999998</c:v>
                </c:pt>
                <c:pt idx="70">
                  <c:v>-0.20542379999999999</c:v>
                </c:pt>
                <c:pt idx="71">
                  <c:v>-0.19202379999999999</c:v>
                </c:pt>
                <c:pt idx="72">
                  <c:v>-0.1276844</c:v>
                </c:pt>
                <c:pt idx="73">
                  <c:v>4.2085200000000003E-2</c:v>
                </c:pt>
                <c:pt idx="74">
                  <c:v>4.5424399999999997E-2</c:v>
                </c:pt>
              </c:numCache>
            </c:numRef>
          </c:val>
          <c:smooth val="0"/>
          <c:extLst>
            <c:ext xmlns:c16="http://schemas.microsoft.com/office/drawing/2014/chart" uri="{C3380CC4-5D6E-409C-BE32-E72D297353CC}">
              <c16:uniqueId val="{00000002-42FF-4191-B43A-A93AF11AFA4E}"/>
            </c:ext>
          </c:extLst>
        </c:ser>
        <c:ser>
          <c:idx val="3"/>
          <c:order val="3"/>
          <c:tx>
            <c:strRef>
              <c:f>'Tables &amp; charts'!$AF$1</c:f>
              <c:strCache>
                <c:ptCount val="1"/>
                <c:pt idx="0">
                  <c:v>JPY</c:v>
                </c:pt>
              </c:strCache>
            </c:strRef>
          </c:tx>
          <c:spPr>
            <a:ln w="25400">
              <a:solidFill>
                <a:schemeClr val="accent1">
                  <a:lumMod val="40000"/>
                  <a:lumOff val="60000"/>
                </a:schemeClr>
              </a:solidFill>
              <a:prstDash val="solid"/>
            </a:ln>
          </c:spPr>
          <c:marker>
            <c:symbol val="none"/>
          </c:marker>
          <c:val>
            <c:numRef>
              <c:f>'Tables &amp; charts'!$AF$2:$AF$76</c:f>
              <c:numCache>
                <c:formatCode>General</c:formatCode>
                <c:ptCount val="75"/>
                <c:pt idx="0">
                  <c:v>-0.47459030000000002</c:v>
                </c:pt>
                <c:pt idx="1">
                  <c:v>-0.37218669999999998</c:v>
                </c:pt>
                <c:pt idx="2">
                  <c:v>0</c:v>
                </c:pt>
                <c:pt idx="3">
                  <c:v>-0.1090318</c:v>
                </c:pt>
                <c:pt idx="4">
                  <c:v>8.1337699999999999E-2</c:v>
                </c:pt>
                <c:pt idx="5">
                  <c:v>-0.1066666</c:v>
                </c:pt>
                <c:pt idx="6">
                  <c:v>-0.1237839</c:v>
                </c:pt>
                <c:pt idx="7">
                  <c:v>3.1407999999999998E-2</c:v>
                </c:pt>
                <c:pt idx="8">
                  <c:v>0</c:v>
                </c:pt>
                <c:pt idx="9">
                  <c:v>-0.14559320000000001</c:v>
                </c:pt>
                <c:pt idx="10">
                  <c:v>2.46532E-2</c:v>
                </c:pt>
                <c:pt idx="11">
                  <c:v>-5.6116100000000002E-2</c:v>
                </c:pt>
                <c:pt idx="12">
                  <c:v>-6.2639500000000001E-2</c:v>
                </c:pt>
                <c:pt idx="13">
                  <c:v>0</c:v>
                </c:pt>
                <c:pt idx="14">
                  <c:v>4.9334000000000003E-2</c:v>
                </c:pt>
                <c:pt idx="15">
                  <c:v>0.52913900000000003</c:v>
                </c:pt>
                <c:pt idx="16">
                  <c:v>0.22723289999999999</c:v>
                </c:pt>
                <c:pt idx="17">
                  <c:v>0.16209299999999999</c:v>
                </c:pt>
                <c:pt idx="18">
                  <c:v>0.22673209999999999</c:v>
                </c:pt>
                <c:pt idx="19">
                  <c:v>0.15904779999999999</c:v>
                </c:pt>
                <c:pt idx="20">
                  <c:v>4.2985200000000001E-2</c:v>
                </c:pt>
                <c:pt idx="21">
                  <c:v>-2.0573299999999999E-2</c:v>
                </c:pt>
                <c:pt idx="22">
                  <c:v>0.1555376</c:v>
                </c:pt>
                <c:pt idx="23">
                  <c:v>7.8758099999999998E-2</c:v>
                </c:pt>
                <c:pt idx="24">
                  <c:v>0.17208670000000001</c:v>
                </c:pt>
                <c:pt idx="25">
                  <c:v>0.24778810000000001</c:v>
                </c:pt>
                <c:pt idx="26">
                  <c:v>0.2462551</c:v>
                </c:pt>
                <c:pt idx="27">
                  <c:v>0.33674939999999998</c:v>
                </c:pt>
                <c:pt idx="28">
                  <c:v>0.28937020000000002</c:v>
                </c:pt>
                <c:pt idx="29">
                  <c:v>0.31489800000000001</c:v>
                </c:pt>
                <c:pt idx="30">
                  <c:v>0.262739</c:v>
                </c:pt>
                <c:pt idx="31">
                  <c:v>0.31608520000000001</c:v>
                </c:pt>
                <c:pt idx="32">
                  <c:v>6.7682400000000004E-2</c:v>
                </c:pt>
                <c:pt idx="33">
                  <c:v>5.9088999999999999E-3</c:v>
                </c:pt>
                <c:pt idx="34">
                  <c:v>-3.5966900000000003E-2</c:v>
                </c:pt>
                <c:pt idx="35">
                  <c:v>-1.6851600000000001E-2</c:v>
                </c:pt>
                <c:pt idx="36">
                  <c:v>-0.1762425</c:v>
                </c:pt>
                <c:pt idx="37">
                  <c:v>-0.20069039999999999</c:v>
                </c:pt>
                <c:pt idx="38">
                  <c:v>-0.2173949</c:v>
                </c:pt>
                <c:pt idx="39">
                  <c:v>-0.37803320000000001</c:v>
                </c:pt>
                <c:pt idx="40">
                  <c:v>-7.7899099999999999E-2</c:v>
                </c:pt>
                <c:pt idx="41">
                  <c:v>-0.12997040000000001</c:v>
                </c:pt>
                <c:pt idx="42">
                  <c:v>-0.26736300000000002</c:v>
                </c:pt>
                <c:pt idx="43">
                  <c:v>-0.30559500000000001</c:v>
                </c:pt>
                <c:pt idx="44">
                  <c:v>-0.3466341</c:v>
                </c:pt>
                <c:pt idx="45">
                  <c:v>-0.34852359999999999</c:v>
                </c:pt>
                <c:pt idx="46">
                  <c:v>-2.6054600000000001E-2</c:v>
                </c:pt>
                <c:pt idx="47">
                  <c:v>-2.11702E-2</c:v>
                </c:pt>
                <c:pt idx="48">
                  <c:v>-0.15119440000000001</c:v>
                </c:pt>
                <c:pt idx="49">
                  <c:v>-8.0004599999999995E-2</c:v>
                </c:pt>
                <c:pt idx="50">
                  <c:v>-8.61455E-2</c:v>
                </c:pt>
                <c:pt idx="51">
                  <c:v>-0.1158749</c:v>
                </c:pt>
                <c:pt idx="52">
                  <c:v>-0.16204160000000001</c:v>
                </c:pt>
                <c:pt idx="53">
                  <c:v>-0.2319976</c:v>
                </c:pt>
                <c:pt idx="54">
                  <c:v>-0.22327420000000001</c:v>
                </c:pt>
                <c:pt idx="55">
                  <c:v>-0.2103727</c:v>
                </c:pt>
                <c:pt idx="56">
                  <c:v>-0.17275019999999999</c:v>
                </c:pt>
                <c:pt idx="57">
                  <c:v>-0.20587469999999999</c:v>
                </c:pt>
                <c:pt idx="58">
                  <c:v>-0.35648809999999997</c:v>
                </c:pt>
                <c:pt idx="59">
                  <c:v>-0.31111090000000002</c:v>
                </c:pt>
                <c:pt idx="60">
                  <c:v>-0.52145459999999999</c:v>
                </c:pt>
                <c:pt idx="61">
                  <c:v>-0.18009230000000001</c:v>
                </c:pt>
                <c:pt idx="62">
                  <c:v>-0.2253638</c:v>
                </c:pt>
                <c:pt idx="63">
                  <c:v>-1.177141</c:v>
                </c:pt>
                <c:pt idx="64">
                  <c:v>-0.42724190000000001</c:v>
                </c:pt>
                <c:pt idx="65">
                  <c:v>-0.36537380000000003</c:v>
                </c:pt>
                <c:pt idx="66">
                  <c:v>-0.86246250000000002</c:v>
                </c:pt>
                <c:pt idx="67">
                  <c:v>-0.2244845</c:v>
                </c:pt>
                <c:pt idx="68">
                  <c:v>-0.48483349999999997</c:v>
                </c:pt>
                <c:pt idx="69">
                  <c:v>-0.45490459999999999</c:v>
                </c:pt>
                <c:pt idx="70">
                  <c:v>-0.4330891</c:v>
                </c:pt>
                <c:pt idx="71">
                  <c:v>-0.11634360000000001</c:v>
                </c:pt>
                <c:pt idx="72">
                  <c:v>1.5892099999999999E-2</c:v>
                </c:pt>
                <c:pt idx="73">
                  <c:v>6.8040299999999998E-2</c:v>
                </c:pt>
                <c:pt idx="74">
                  <c:v>8.2547999999999996E-3</c:v>
                </c:pt>
              </c:numCache>
            </c:numRef>
          </c:val>
          <c:smooth val="0"/>
          <c:extLst>
            <c:ext xmlns:c16="http://schemas.microsoft.com/office/drawing/2014/chart" uri="{C3380CC4-5D6E-409C-BE32-E72D297353CC}">
              <c16:uniqueId val="{00000003-42FF-4191-B43A-A93AF11AFA4E}"/>
            </c:ext>
          </c:extLst>
        </c:ser>
        <c:ser>
          <c:idx val="4"/>
          <c:order val="4"/>
          <c:tx>
            <c:strRef>
              <c:f>'Tables &amp; charts'!$AG$1</c:f>
              <c:strCache>
                <c:ptCount val="1"/>
                <c:pt idx="0">
                  <c:v>CNY</c:v>
                </c:pt>
              </c:strCache>
            </c:strRef>
          </c:tx>
          <c:spPr>
            <a:ln>
              <a:solidFill>
                <a:schemeClr val="accent6"/>
              </a:solidFill>
            </a:ln>
          </c:spPr>
          <c:marker>
            <c:symbol val="none"/>
          </c:marker>
          <c:val>
            <c:numRef>
              <c:f>'Tables &amp; charts'!$AG$2:$AG$76</c:f>
              <c:numCache>
                <c:formatCode>General</c:formatCode>
                <c:ptCount val="7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0.1596419</c:v>
                </c:pt>
                <c:pt idx="62">
                  <c:v>0.20833360000000001</c:v>
                </c:pt>
                <c:pt idx="63">
                  <c:v>7.37622E-2</c:v>
                </c:pt>
                <c:pt idx="64">
                  <c:v>0.14845610000000001</c:v>
                </c:pt>
                <c:pt idx="65">
                  <c:v>-2.2610000000000002E-2</c:v>
                </c:pt>
                <c:pt idx="66">
                  <c:v>-2.7340900000000001E-2</c:v>
                </c:pt>
                <c:pt idx="67">
                  <c:v>-6.6241400000000006E-2</c:v>
                </c:pt>
                <c:pt idx="68">
                  <c:v>-0.1304604</c:v>
                </c:pt>
                <c:pt idx="69">
                  <c:v>-0.3160174</c:v>
                </c:pt>
                <c:pt idx="70">
                  <c:v>-0.26319740000000003</c:v>
                </c:pt>
                <c:pt idx="71">
                  <c:v>-0.71153429999999995</c:v>
                </c:pt>
                <c:pt idx="72">
                  <c:v>-0.48238799999999998</c:v>
                </c:pt>
                <c:pt idx="73">
                  <c:v>-0.38697100000000001</c:v>
                </c:pt>
                <c:pt idx="74">
                  <c:v>-0.39482070000000002</c:v>
                </c:pt>
              </c:numCache>
            </c:numRef>
          </c:val>
          <c:smooth val="0"/>
          <c:extLst>
            <c:ext xmlns:c16="http://schemas.microsoft.com/office/drawing/2014/chart" uri="{C3380CC4-5D6E-409C-BE32-E72D297353CC}">
              <c16:uniqueId val="{00000004-42FF-4191-B43A-A93AF11AFA4E}"/>
            </c:ext>
          </c:extLst>
        </c:ser>
        <c:dLbls>
          <c:showLegendKey val="0"/>
          <c:showVal val="0"/>
          <c:showCatName val="0"/>
          <c:showSerName val="0"/>
          <c:showPercent val="0"/>
          <c:showBubbleSize val="0"/>
        </c:dLbls>
        <c:marker val="1"/>
        <c:smooth val="0"/>
        <c:axId val="250530511"/>
        <c:axId val="1"/>
      </c:lineChart>
      <c:catAx>
        <c:axId val="250530511"/>
        <c:scaling>
          <c:orientation val="minMax"/>
        </c:scaling>
        <c:delete val="0"/>
        <c:axPos val="b"/>
        <c:majorGridlines>
          <c:spPr>
            <a:ln w="3175">
              <a:solidFill>
                <a:srgbClr val="808080"/>
              </a:solidFill>
              <a:prstDash val="solid"/>
            </a:ln>
          </c:spPr>
        </c:majorGridlines>
        <c:numFmt formatCode="General" sourceLinked="1"/>
        <c:majorTickMark val="out"/>
        <c:minorTickMark val="none"/>
        <c:tickLblPos val="low"/>
        <c:spPr>
          <a:ln w="3175">
            <a:solidFill>
              <a:srgbClr val="000000"/>
            </a:solidFill>
            <a:prstDash val="solid"/>
          </a:ln>
        </c:spPr>
        <c:txPr>
          <a:bodyPr rot="0" vert="horz"/>
          <a:lstStyle/>
          <a:p>
            <a:pPr>
              <a:defRPr sz="830"/>
            </a:pPr>
            <a:endParaRPr lang="en-US"/>
          </a:p>
        </c:txPr>
        <c:crossAx val="1"/>
        <c:crosses val="autoZero"/>
        <c:auto val="1"/>
        <c:lblAlgn val="ctr"/>
        <c:lblOffset val="100"/>
        <c:tickLblSkip val="12"/>
        <c:tickMarkSkip val="12"/>
        <c:noMultiLvlLbl val="0"/>
      </c:catAx>
      <c:valAx>
        <c:axId val="1"/>
        <c:scaling>
          <c:orientation val="minMax"/>
        </c:scaling>
        <c:delete val="0"/>
        <c:axPos val="l"/>
        <c:title>
          <c:tx>
            <c:rich>
              <a:bodyPr/>
              <a:lstStyle/>
              <a:p>
                <a:pPr>
                  <a:defRPr sz="830"/>
                </a:pPr>
                <a:r>
                  <a:rPr lang="en-US" sz="830"/>
                  <a:t>Million CHF</a:t>
                </a:r>
              </a:p>
            </c:rich>
          </c:tx>
          <c:layout>
            <c:manualLayout>
              <c:xMode val="edge"/>
              <c:yMode val="edge"/>
              <c:x val="1.6895459345300949E-2"/>
              <c:y val="0.37770897832817335"/>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0530511"/>
        <c:crosses val="autoZero"/>
        <c:crossBetween val="between"/>
        <c:majorUnit val="1"/>
      </c:valAx>
      <c:spPr>
        <a:solidFill>
          <a:srgbClr val="FFFFFF"/>
        </a:solidFill>
        <a:ln w="12700">
          <a:noFill/>
          <a:prstDash val="solid"/>
        </a:ln>
      </c:spPr>
    </c:plotArea>
    <c:legend>
      <c:legendPos val="b"/>
      <c:layout>
        <c:manualLayout>
          <c:xMode val="edge"/>
          <c:yMode val="edge"/>
          <c:x val="0.20933593700787401"/>
          <c:y val="0.90092879256965941"/>
          <c:w val="0.56707966169971713"/>
          <c:h val="7.5926160544739912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875"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52001574010214"/>
          <c:y val="2.24267379421609E-2"/>
          <c:w val="0.8752173784267514"/>
          <c:h val="0.79510896000385289"/>
        </c:manualLayout>
      </c:layout>
      <c:barChart>
        <c:barDir val="col"/>
        <c:grouping val="clustered"/>
        <c:varyColors val="0"/>
        <c:ser>
          <c:idx val="1"/>
          <c:order val="1"/>
          <c:tx>
            <c:strRef>
              <c:f>'Tables &amp; charts'!$A$128</c:f>
              <c:strCache>
                <c:ptCount val="1"/>
                <c:pt idx="0">
                  <c:v>Growth</c:v>
                </c:pt>
              </c:strCache>
            </c:strRef>
          </c:tx>
          <c:spPr>
            <a:solidFill>
              <a:schemeClr val="tx2">
                <a:lumMod val="75000"/>
              </a:schemeClr>
            </a:solidFill>
            <a:ln w="25400">
              <a:noFill/>
            </a:ln>
          </c:spPr>
          <c:invertIfNegative val="0"/>
          <c:dLbls>
            <c:dLbl>
              <c:idx val="2"/>
              <c:layout>
                <c:manualLayout>
                  <c:x val="-6.2946340077420743E-17"/>
                  <c:y val="1.7396346767178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D10-4500-B2E9-C2A931B7592C}"/>
                </c:ext>
              </c:extLst>
            </c:dLbl>
            <c:spPr>
              <a:noFill/>
              <a:ln w="25400">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charts'!$B$128:$G$128</c:f>
              <c:numCache>
                <c:formatCode>0.0%</c:formatCode>
                <c:ptCount val="6"/>
                <c:pt idx="0">
                  <c:v>-4.0000000000000001E-3</c:v>
                </c:pt>
                <c:pt idx="1">
                  <c:v>0.15</c:v>
                </c:pt>
                <c:pt idx="2">
                  <c:v>-6.0999999999999999E-2</c:v>
                </c:pt>
                <c:pt idx="3">
                  <c:v>7.0000000000000001E-3</c:v>
                </c:pt>
                <c:pt idx="4">
                  <c:v>4.9000000000000002E-2</c:v>
                </c:pt>
                <c:pt idx="5">
                  <c:v>2.9000000000000001E-2</c:v>
                </c:pt>
              </c:numCache>
            </c:numRef>
          </c:val>
          <c:extLst>
            <c:ext xmlns:c16="http://schemas.microsoft.com/office/drawing/2014/chart" uri="{C3380CC4-5D6E-409C-BE32-E72D297353CC}">
              <c16:uniqueId val="{00000000-ED10-4500-B2E9-C2A931B7592C}"/>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charts'!$A$127</c:f>
              <c:strCache>
                <c:ptCount val="1"/>
                <c:pt idx="0">
                  <c:v>Applications</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charts'!$B$130:$G$130</c:f>
                <c:numCache>
                  <c:formatCode>General</c:formatCode>
                  <c:ptCount val="6"/>
                  <c:pt idx="2">
                    <c:v>300</c:v>
                  </c:pt>
                  <c:pt idx="3">
                    <c:v>3100</c:v>
                  </c:pt>
                  <c:pt idx="4">
                    <c:v>4400</c:v>
                  </c:pt>
                  <c:pt idx="5">
                    <c:v>5400</c:v>
                  </c:pt>
                </c:numCache>
              </c:numRef>
            </c:plus>
            <c:minus>
              <c:numRef>
                <c:f>'Tables &amp; charts'!$B$132:$G$132</c:f>
                <c:numCache>
                  <c:formatCode>General</c:formatCode>
                  <c:ptCount val="6"/>
                  <c:pt idx="0">
                    <c:v>0</c:v>
                  </c:pt>
                  <c:pt idx="2">
                    <c:v>300</c:v>
                  </c:pt>
                  <c:pt idx="3">
                    <c:v>3100</c:v>
                  </c:pt>
                  <c:pt idx="4">
                    <c:v>4400</c:v>
                  </c:pt>
                  <c:pt idx="5">
                    <c:v>5400</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charts'!$B$127:$G$127</c:f>
              <c:numCache>
                <c:formatCode>#,##0</c:formatCode>
                <c:ptCount val="6"/>
                <c:pt idx="0">
                  <c:v>63906</c:v>
                </c:pt>
                <c:pt idx="1">
                  <c:v>73507</c:v>
                </c:pt>
                <c:pt idx="2">
                  <c:v>69000</c:v>
                </c:pt>
                <c:pt idx="3">
                  <c:v>69500</c:v>
                </c:pt>
                <c:pt idx="4">
                  <c:v>72900</c:v>
                </c:pt>
                <c:pt idx="5">
                  <c:v>75000</c:v>
                </c:pt>
              </c:numCache>
            </c:numRef>
          </c:val>
          <c:smooth val="0"/>
          <c:extLst>
            <c:ext xmlns:c16="http://schemas.microsoft.com/office/drawing/2014/chart" uri="{C3380CC4-5D6E-409C-BE32-E72D297353CC}">
              <c16:uniqueId val="{00000001-ED10-4500-B2E9-C2A931B7592C}"/>
            </c:ext>
          </c:extLst>
        </c:ser>
        <c:dLbls>
          <c:showLegendKey val="0"/>
          <c:showVal val="0"/>
          <c:showCatName val="0"/>
          <c:showSerName val="0"/>
          <c:showPercent val="0"/>
          <c:showBubbleSize val="0"/>
        </c:dLbls>
        <c:marker val="1"/>
        <c:smooth val="0"/>
        <c:axId val="80716655"/>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strRef>
              <c:f>'Tables &amp; charts'!$B$126:$G$126</c:f>
              <c:strCache>
                <c:ptCount val="6"/>
                <c:pt idx="0">
                  <c:v>2020</c:v>
                </c:pt>
                <c:pt idx="1">
                  <c:v>2021</c:v>
                </c:pt>
                <c:pt idx="2">
                  <c:v>2022</c:v>
                </c:pt>
                <c:pt idx="3">
                  <c:v>2023_x000d_
Estimates</c:v>
                </c:pt>
                <c:pt idx="4">
                  <c:v>2024_x000d_
Estimates</c:v>
                </c:pt>
                <c:pt idx="5">
                  <c:v>2025_x000d_
Estimates</c:v>
                </c:pt>
              </c:strCache>
            </c:strRef>
          </c:cat>
          <c:val>
            <c:numRef>
              <c:f>'Tables &amp; charts'!$B$131:$G$131</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2-ED10-4500-B2E9-C2A931B7592C}"/>
            </c:ext>
          </c:extLst>
        </c:ser>
        <c:dLbls>
          <c:showLegendKey val="0"/>
          <c:showVal val="0"/>
          <c:showCatName val="0"/>
          <c:showSerName val="0"/>
          <c:showPercent val="0"/>
          <c:showBubbleSize val="0"/>
        </c:dLbls>
        <c:marker val="1"/>
        <c:smooth val="0"/>
        <c:axId val="3"/>
        <c:axId val="4"/>
      </c:lineChart>
      <c:catAx>
        <c:axId val="80716655"/>
        <c:scaling>
          <c:orientation val="minMax"/>
        </c:scaling>
        <c:delete val="0"/>
        <c:axPos val="b"/>
        <c:numFmt formatCode="General" sourceLinked="1"/>
        <c:majorTickMark val="out"/>
        <c:minorTickMark val="none"/>
        <c:tickLblPos val="nextTo"/>
        <c:spPr>
          <a:ln w="9525">
            <a:noFill/>
          </a:ln>
        </c:spPr>
        <c:txPr>
          <a:bodyPr rot="0" vert="horz"/>
          <a:lstStyle/>
          <a:p>
            <a:pPr>
              <a:defRPr sz="800"/>
            </a:pPr>
            <a:endParaRPr lang="en-US"/>
          </a:p>
        </c:txPr>
        <c:crossAx val="1"/>
        <c:crosses val="autoZero"/>
        <c:auto val="1"/>
        <c:lblAlgn val="ctr"/>
        <c:lblOffset val="100"/>
        <c:tickLblSkip val="1"/>
        <c:tickMarkSkip val="1"/>
        <c:noMultiLvlLbl val="0"/>
      </c:catAx>
      <c:valAx>
        <c:axId val="1"/>
        <c:scaling>
          <c:orientation val="minMax"/>
          <c:max val="90000"/>
          <c:min val="4000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a:pPr>
            <a:endParaRPr lang="en-US"/>
          </a:p>
        </c:txPr>
        <c:crossAx val="80716655"/>
        <c:crosses val="autoZero"/>
        <c:crossBetween val="between"/>
        <c:majorUnit val="100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4"/>
          <c:min val="-0.1"/>
        </c:scaling>
        <c:delete val="0"/>
        <c:axPos val="r"/>
        <c:numFmt formatCode="0.0%" sourceLinked="1"/>
        <c:majorTickMark val="none"/>
        <c:minorTickMark val="none"/>
        <c:tickLblPos val="none"/>
        <c:crossAx val="3"/>
        <c:crosses val="max"/>
        <c:crossBetween val="between"/>
      </c:valAx>
      <c:spPr>
        <a:solidFill>
          <a:srgbClr val="FFFFFF"/>
        </a:solidFill>
        <a:ln w="25400">
          <a:noFill/>
        </a:ln>
      </c:spPr>
    </c:plotArea>
    <c:legend>
      <c:legendPos val="b"/>
      <c:legendEntry>
        <c:idx val="2"/>
        <c:delete val="1"/>
      </c:legendEntry>
      <c:legendEntry>
        <c:idx val="3"/>
        <c:delete val="1"/>
      </c:legendEntry>
      <c:layout>
        <c:manualLayout>
          <c:xMode val="edge"/>
          <c:yMode val="edge"/>
          <c:x val="0.34516143034491142"/>
          <c:y val="0.91442494555201881"/>
          <c:w val="0.30967689127061981"/>
          <c:h val="8.5575054447981233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Narrow" panose="020B0606020202030204" pitchFamily="34" charset="0"/>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52001574010214"/>
          <c:y val="3.1601049868766405E-2"/>
          <c:w val="0.8752173784267514"/>
          <c:h val="0.78593464807724733"/>
        </c:manualLayout>
      </c:layout>
      <c:barChart>
        <c:barDir val="col"/>
        <c:grouping val="clustered"/>
        <c:varyColors val="0"/>
        <c:ser>
          <c:idx val="1"/>
          <c:order val="1"/>
          <c:tx>
            <c:strRef>
              <c:f>'Tables &amp; charts'!$A$156</c:f>
              <c:strCache>
                <c:ptCount val="1"/>
                <c:pt idx="0">
                  <c:v>Growth</c:v>
                </c:pt>
              </c:strCache>
            </c:strRef>
          </c:tx>
          <c:spPr>
            <a:solidFill>
              <a:schemeClr val="tx2">
                <a:lumMod val="75000"/>
              </a:schemeClr>
            </a:solidFill>
            <a:ln w="25400">
              <a:noFill/>
            </a:ln>
          </c:spPr>
          <c:invertIfNegative val="0"/>
          <c:dLbls>
            <c:dLbl>
              <c:idx val="3"/>
              <c:layout>
                <c:manualLayout>
                  <c:x val="2.3278901030576258E-3"/>
                  <c:y val="1.1874209791003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373-4D85-AC5C-BCC3127AFE71}"/>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Arial Narrow" panose="020B0606020202030204" pitchFamily="34" charset="0"/>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#REF!</c:f>
            </c:multiLvlStrRef>
          </c:cat>
          <c:val>
            <c:numRef>
              <c:f>'Tables &amp; charts'!$B$156:$G$156</c:f>
              <c:numCache>
                <c:formatCode>0.0%</c:formatCode>
                <c:ptCount val="6"/>
                <c:pt idx="0">
                  <c:v>0.127</c:v>
                </c:pt>
                <c:pt idx="1">
                  <c:v>4.2000000000000003E-2</c:v>
                </c:pt>
                <c:pt idx="2">
                  <c:v>0.11799999999999999</c:v>
                </c:pt>
                <c:pt idx="3">
                  <c:v>-8.7999999999999995E-2</c:v>
                </c:pt>
                <c:pt idx="4">
                  <c:v>0.1</c:v>
                </c:pt>
                <c:pt idx="5">
                  <c:v>5.1999999999999998E-2</c:v>
                </c:pt>
              </c:numCache>
            </c:numRef>
          </c:val>
          <c:extLst>
            <c:ext xmlns:c16="http://schemas.microsoft.com/office/drawing/2014/chart" uri="{C3380CC4-5D6E-409C-BE32-E72D297353CC}">
              <c16:uniqueId val="{00000001-D373-4D85-AC5C-BCC3127AFE71}"/>
            </c:ext>
          </c:extLst>
        </c:ser>
        <c:dLbls>
          <c:showLegendKey val="0"/>
          <c:showVal val="0"/>
          <c:showCatName val="0"/>
          <c:showSerName val="0"/>
          <c:showPercent val="0"/>
          <c:showBubbleSize val="0"/>
        </c:dLbls>
        <c:gapWidth val="280"/>
        <c:axId val="3"/>
        <c:axId val="4"/>
      </c:barChart>
      <c:lineChart>
        <c:grouping val="standard"/>
        <c:varyColors val="0"/>
        <c:ser>
          <c:idx val="0"/>
          <c:order val="0"/>
          <c:tx>
            <c:strRef>
              <c:f>'Tables &amp; charts'!$A$155</c:f>
              <c:strCache>
                <c:ptCount val="1"/>
                <c:pt idx="0">
                  <c:v>Renewal</c:v>
                </c:pt>
              </c:strCache>
            </c:strRef>
          </c:tx>
          <c:spPr>
            <a:ln w="28575">
              <a:noFill/>
            </a:ln>
          </c:spPr>
          <c:marker>
            <c:symbol val="diamond"/>
            <c:size val="8"/>
            <c:spPr>
              <a:solidFill>
                <a:schemeClr val="tx2">
                  <a:lumMod val="75000"/>
                </a:schemeClr>
              </a:solidFill>
              <a:ln>
                <a:solidFill>
                  <a:srgbClr val="000000"/>
                </a:solidFill>
                <a:prstDash val="solid"/>
              </a:ln>
            </c:spPr>
          </c:marker>
          <c:errBars>
            <c:errDir val="y"/>
            <c:errBarType val="both"/>
            <c:errValType val="cust"/>
            <c:noEndCap val="0"/>
            <c:plus>
              <c:numRef>
                <c:f>'Tables &amp; charts'!$B$158:$G$158</c:f>
                <c:numCache>
                  <c:formatCode>General</c:formatCode>
                  <c:ptCount val="6"/>
                  <c:pt idx="3">
                    <c:v>1600</c:v>
                  </c:pt>
                  <c:pt idx="4">
                    <c:v>2300</c:v>
                  </c:pt>
                  <c:pt idx="5">
                    <c:v>2900</c:v>
                  </c:pt>
                </c:numCache>
              </c:numRef>
            </c:plus>
            <c:minus>
              <c:numRef>
                <c:f>'Tables &amp; charts'!$B$160:$G$160</c:f>
                <c:numCache>
                  <c:formatCode>General</c:formatCode>
                  <c:ptCount val="6"/>
                  <c:pt idx="0">
                    <c:v>0</c:v>
                  </c:pt>
                  <c:pt idx="1">
                    <c:v>0</c:v>
                  </c:pt>
                  <c:pt idx="2">
                    <c:v>0</c:v>
                  </c:pt>
                  <c:pt idx="3">
                    <c:v>1600</c:v>
                  </c:pt>
                  <c:pt idx="4">
                    <c:v>2300</c:v>
                  </c:pt>
                  <c:pt idx="5">
                    <c:v>2900</c:v>
                  </c:pt>
                </c:numCache>
              </c:numRef>
            </c:minus>
            <c:spPr>
              <a:ln w="12700">
                <a:solidFill>
                  <a:srgbClr val="000000"/>
                </a:solidFill>
                <a:prstDash val="solid"/>
              </a:ln>
            </c:spPr>
          </c:errBars>
          <c:cat>
            <c:numRef>
              <c:f>'Tables &amp; charts'!$B$3:$G$3</c:f>
              <c:numCache>
                <c:formatCode>General</c:formatCode>
                <c:ptCount val="6"/>
                <c:pt idx="0">
                  <c:v>2020</c:v>
                </c:pt>
                <c:pt idx="1">
                  <c:v>2021</c:v>
                </c:pt>
                <c:pt idx="2">
                  <c:v>2022</c:v>
                </c:pt>
                <c:pt idx="3">
                  <c:v>2023</c:v>
                </c:pt>
                <c:pt idx="4">
                  <c:v>2024</c:v>
                </c:pt>
                <c:pt idx="5">
                  <c:v>2025</c:v>
                </c:pt>
              </c:numCache>
            </c:numRef>
          </c:cat>
          <c:val>
            <c:numRef>
              <c:f>'Tables &amp; charts'!$B$155:$G$155</c:f>
              <c:numCache>
                <c:formatCode>#,##0</c:formatCode>
                <c:ptCount val="6"/>
                <c:pt idx="0">
                  <c:v>32831</c:v>
                </c:pt>
                <c:pt idx="1">
                  <c:v>34218</c:v>
                </c:pt>
                <c:pt idx="2">
                  <c:v>38265</c:v>
                </c:pt>
                <c:pt idx="3">
                  <c:v>34900</c:v>
                </c:pt>
                <c:pt idx="4">
                  <c:v>38400</c:v>
                </c:pt>
                <c:pt idx="5">
                  <c:v>40400</c:v>
                </c:pt>
              </c:numCache>
            </c:numRef>
          </c:val>
          <c:smooth val="0"/>
          <c:extLst>
            <c:ext xmlns:c16="http://schemas.microsoft.com/office/drawing/2014/chart" uri="{C3380CC4-5D6E-409C-BE32-E72D297353CC}">
              <c16:uniqueId val="{00000002-D373-4D85-AC5C-BCC3127AFE71}"/>
            </c:ext>
          </c:extLst>
        </c:ser>
        <c:dLbls>
          <c:showLegendKey val="0"/>
          <c:showVal val="0"/>
          <c:showCatName val="0"/>
          <c:showSerName val="0"/>
          <c:showPercent val="0"/>
          <c:showBubbleSize val="0"/>
        </c:dLbls>
        <c:marker val="1"/>
        <c:smooth val="0"/>
        <c:axId val="80699183"/>
        <c:axId val="1"/>
      </c:lineChart>
      <c:lineChart>
        <c:grouping val="standard"/>
        <c:varyColors val="0"/>
        <c:ser>
          <c:idx val="2"/>
          <c:order val="2"/>
          <c:spPr>
            <a:ln w="12700">
              <a:solidFill>
                <a:srgbClr val="000000"/>
              </a:solidFill>
              <a:prstDash val="solid"/>
            </a:ln>
          </c:spPr>
          <c:marker>
            <c:symbol val="none"/>
          </c:marker>
          <c:trendline>
            <c:spPr>
              <a:ln w="12700">
                <a:solidFill>
                  <a:srgbClr val="000000"/>
                </a:solidFill>
                <a:prstDash val="solid"/>
              </a:ln>
            </c:spPr>
            <c:trendlineType val="linear"/>
            <c:forward val="0.5"/>
            <c:backward val="0.5"/>
            <c:dispRSqr val="0"/>
            <c:dispEq val="0"/>
          </c:trendline>
          <c:cat>
            <c:strRef>
              <c:f>'Tables &amp; charts'!$B$154:$G$154</c:f>
              <c:strCache>
                <c:ptCount val="6"/>
                <c:pt idx="0">
                  <c:v>2020</c:v>
                </c:pt>
                <c:pt idx="1">
                  <c:v>2021</c:v>
                </c:pt>
                <c:pt idx="2">
                  <c:v>2022</c:v>
                </c:pt>
                <c:pt idx="3">
                  <c:v>2023_x000d_
Estimates</c:v>
                </c:pt>
                <c:pt idx="4">
                  <c:v>2024_x000d_
Estimates</c:v>
                </c:pt>
                <c:pt idx="5">
                  <c:v>2025_x000d_
Estimates</c:v>
                </c:pt>
              </c:strCache>
            </c:strRef>
          </c:cat>
          <c:val>
            <c:numRef>
              <c:f>'Tables &amp; charts'!$B$159:$G$159</c:f>
              <c:numCache>
                <c:formatCode>General</c:formatCode>
                <c:ptCount val="6"/>
                <c:pt idx="2">
                  <c:v>0</c:v>
                </c:pt>
                <c:pt idx="3">
                  <c:v>0</c:v>
                </c:pt>
                <c:pt idx="4">
                  <c:v>0</c:v>
                </c:pt>
                <c:pt idx="5">
                  <c:v>0</c:v>
                </c:pt>
              </c:numCache>
            </c:numRef>
          </c:val>
          <c:smooth val="0"/>
          <c:extLst>
            <c:ext xmlns:c16="http://schemas.microsoft.com/office/drawing/2014/chart" uri="{C3380CC4-5D6E-409C-BE32-E72D297353CC}">
              <c16:uniqueId val="{00000003-D373-4D85-AC5C-BCC3127AFE71}"/>
            </c:ext>
          </c:extLst>
        </c:ser>
        <c:dLbls>
          <c:showLegendKey val="0"/>
          <c:showVal val="0"/>
          <c:showCatName val="0"/>
          <c:showSerName val="0"/>
          <c:showPercent val="0"/>
          <c:showBubbleSize val="0"/>
        </c:dLbls>
        <c:marker val="1"/>
        <c:smooth val="0"/>
        <c:axId val="3"/>
        <c:axId val="4"/>
      </c:lineChart>
      <c:catAx>
        <c:axId val="80699183"/>
        <c:scaling>
          <c:orientation val="minMax"/>
        </c:scaling>
        <c:delete val="0"/>
        <c:axPos val="b"/>
        <c:numFmt formatCode="General" sourceLinked="1"/>
        <c:majorTickMark val="out"/>
        <c:minorTickMark val="none"/>
        <c:tickLblPos val="nextTo"/>
        <c:spPr>
          <a:ln w="9525">
            <a:noFill/>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1"/>
        <c:crosses val="autoZero"/>
        <c:auto val="1"/>
        <c:lblAlgn val="ctr"/>
        <c:lblOffset val="100"/>
        <c:tickLblSkip val="1"/>
        <c:tickMarkSkip val="1"/>
        <c:noMultiLvlLbl val="0"/>
      </c:catAx>
      <c:valAx>
        <c:axId val="1"/>
        <c:scaling>
          <c:orientation val="minMax"/>
          <c:min val="20000"/>
        </c:scaling>
        <c:delete val="0"/>
        <c:axPos val="l"/>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Narrow" panose="020B0606020202030204" pitchFamily="34" charset="0"/>
                <a:ea typeface="Arial"/>
                <a:cs typeface="Arial"/>
              </a:defRPr>
            </a:pPr>
            <a:endParaRPr lang="en-US"/>
          </a:p>
        </c:txPr>
        <c:crossAx val="80699183"/>
        <c:crosses val="autoZero"/>
        <c:crossBetween val="between"/>
        <c:majorUnit val="50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60000000000000009"/>
          <c:min val="-0.15000000000000002"/>
        </c:scaling>
        <c:delete val="0"/>
        <c:axPos val="r"/>
        <c:numFmt formatCode="0.0%" sourceLinked="1"/>
        <c:majorTickMark val="none"/>
        <c:minorTickMark val="none"/>
        <c:tickLblPos val="none"/>
        <c:spPr>
          <a:ln w="6350">
            <a:solidFill>
              <a:srgbClr val="000000"/>
            </a:solidFill>
          </a:ln>
        </c:spPr>
        <c:crossAx val="3"/>
        <c:crosses val="max"/>
        <c:crossBetween val="between"/>
        <c:majorUnit val="0.1"/>
      </c:valAx>
      <c:spPr>
        <a:solidFill>
          <a:srgbClr val="FFFFFF"/>
        </a:solidFill>
        <a:ln w="25400">
          <a:noFill/>
        </a:ln>
      </c:spPr>
    </c:plotArea>
    <c:legend>
      <c:legendPos val="b"/>
      <c:legendEntry>
        <c:idx val="2"/>
        <c:delete val="1"/>
      </c:legendEntry>
      <c:legendEntry>
        <c:idx val="3"/>
        <c:delete val="1"/>
      </c:legendEntry>
      <c:layout>
        <c:manualLayout>
          <c:xMode val="edge"/>
          <c:yMode val="edge"/>
          <c:x val="0.32987150345847649"/>
          <c:y val="0.90637201315494498"/>
          <c:w val="0.34025699308304697"/>
          <c:h val="9.3627986845054995E-2"/>
        </c:manualLayout>
      </c:layout>
      <c:overlay val="0"/>
      <c:spPr>
        <a:solidFill>
          <a:srgbClr val="FFFFFF"/>
        </a:solidFill>
        <a:ln w="25400">
          <a:noFill/>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0.51818</cdr:x>
      <cdr:y>0.0386</cdr:y>
    </cdr:from>
    <cdr:to>
      <cdr:x>0.51954</cdr:x>
      <cdr:y>0.80212</cdr:y>
    </cdr:to>
    <cdr:cxnSp macro="">
      <cdr:nvCxnSpPr>
        <cdr:cNvPr id="4" name="Straight Connector 3"/>
        <cdr:cNvCxnSpPr/>
      </cdr:nvCxnSpPr>
      <cdr:spPr>
        <a:xfrm xmlns:a="http://schemas.openxmlformats.org/drawingml/2006/main">
          <a:off x="3249348" y="143139"/>
          <a:ext cx="8528" cy="2831153"/>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0.32435</cdr:x>
      <cdr:y>0.60069</cdr:y>
    </cdr:from>
    <cdr:to>
      <cdr:x>0.52187</cdr:x>
      <cdr:y>0.69063</cdr:y>
    </cdr:to>
    <cdr:sp macro="" textlink="">
      <cdr:nvSpPr>
        <cdr:cNvPr id="11" name="TextBox 10"/>
        <cdr:cNvSpPr txBox="1"/>
      </cdr:nvSpPr>
      <cdr:spPr>
        <a:xfrm xmlns:a="http://schemas.openxmlformats.org/drawingml/2006/main">
          <a:off x="1791479" y="2409545"/>
          <a:ext cx="1090930" cy="3607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700" b="1"/>
            <a:t>Budgetary  basis</a:t>
          </a:r>
          <a:r>
            <a:rPr lang="en-US" sz="700" b="1" baseline="0"/>
            <a:t> </a:t>
          </a:r>
        </a:p>
        <a:p xmlns:a="http://schemas.openxmlformats.org/drawingml/2006/main">
          <a:r>
            <a:rPr lang="en-US" sz="700" b="1" baseline="0"/>
            <a:t>(up to 2014/15)</a:t>
          </a:r>
          <a:endParaRPr lang="en-US" sz="700" b="1"/>
        </a:p>
      </cdr:txBody>
    </cdr:sp>
  </cdr:relSizeAnchor>
  <cdr:relSizeAnchor xmlns:cdr="http://schemas.openxmlformats.org/drawingml/2006/chartDrawing">
    <cdr:from>
      <cdr:x>0.53915</cdr:x>
      <cdr:y>0.59805</cdr:y>
    </cdr:from>
    <cdr:to>
      <cdr:x>0.75464</cdr:x>
      <cdr:y>0.69942</cdr:y>
    </cdr:to>
    <cdr:sp macro="" textlink="">
      <cdr:nvSpPr>
        <cdr:cNvPr id="12" name="TextBox 1"/>
        <cdr:cNvSpPr txBox="1"/>
      </cdr:nvSpPr>
      <cdr:spPr>
        <a:xfrm xmlns:a="http://schemas.openxmlformats.org/drawingml/2006/main">
          <a:off x="2977872" y="2398955"/>
          <a:ext cx="1190201" cy="4066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b="1"/>
            <a:t>Accrual</a:t>
          </a:r>
          <a:r>
            <a:rPr lang="en-US" sz="700" b="1" baseline="0"/>
            <a:t> ba</a:t>
          </a:r>
          <a:r>
            <a:rPr lang="en-US" sz="700" b="1"/>
            <a:t>sis</a:t>
          </a:r>
          <a:r>
            <a:rPr lang="en-US" sz="700" b="1" baseline="0"/>
            <a:t> </a:t>
          </a:r>
        </a:p>
        <a:p xmlns:a="http://schemas.openxmlformats.org/drawingml/2006/main">
          <a:r>
            <a:rPr lang="en-US" sz="700" b="1" baseline="0"/>
            <a:t>(from 2016/17 onwards)</a:t>
          </a:r>
          <a:endParaRPr lang="en-US" sz="700" b="1"/>
        </a:p>
      </cdr:txBody>
    </cdr:sp>
  </cdr:relSizeAnchor>
</c:userShapes>
</file>

<file path=word/drawings/drawing2.xml><?xml version="1.0" encoding="utf-8"?>
<c:userShapes xmlns:c="http://schemas.openxmlformats.org/drawingml/2006/chart">
  <cdr:relSizeAnchor xmlns:cdr="http://schemas.openxmlformats.org/drawingml/2006/chartDrawing">
    <cdr:from>
      <cdr:x>0.78651</cdr:x>
      <cdr:y>0.01145</cdr:y>
    </cdr:from>
    <cdr:to>
      <cdr:x>0.95265</cdr:x>
      <cdr:y>0.09903</cdr:y>
    </cdr:to>
    <cdr:sp macro="" textlink="">
      <cdr:nvSpPr>
        <cdr:cNvPr id="2" name="TextBox 1"/>
        <cdr:cNvSpPr txBox="1"/>
      </cdr:nvSpPr>
      <cdr:spPr>
        <a:xfrm xmlns:a="http://schemas.openxmlformats.org/drawingml/2006/main">
          <a:off x="4802026" y="34636"/>
          <a:ext cx="1014372" cy="26489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latin typeface="+mn-lt"/>
              <a:cs typeface="Arial" panose="020B0604020202020204" pitchFamily="34" charset="0"/>
            </a:rPr>
            <a:t>Annual growth rate (%)</a:t>
          </a:r>
        </a:p>
      </cdr:txBody>
    </cdr:sp>
  </cdr:relSizeAnchor>
</c:userShapes>
</file>

<file path=word/drawings/drawing3.xml><?xml version="1.0" encoding="utf-8"?>
<c:userShapes xmlns:c="http://schemas.openxmlformats.org/drawingml/2006/chart">
  <cdr:relSizeAnchor xmlns:cdr="http://schemas.openxmlformats.org/drawingml/2006/chartDrawing">
    <cdr:from>
      <cdr:x>0.20043</cdr:x>
      <cdr:y>0.07422</cdr:y>
    </cdr:from>
    <cdr:to>
      <cdr:x>0.30802</cdr:x>
      <cdr:y>0.16629</cdr:y>
    </cdr:to>
    <cdr:sp macro="" textlink="">
      <cdr:nvSpPr>
        <cdr:cNvPr id="2" name="TextBox 1"/>
        <cdr:cNvSpPr txBox="1"/>
      </cdr:nvSpPr>
      <cdr:spPr>
        <a:xfrm xmlns:a="http://schemas.openxmlformats.org/drawingml/2006/main">
          <a:off x="1552575" y="316706"/>
          <a:ext cx="833438" cy="39290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userShapes>
</file>

<file path=word/drawings/drawing4.xml><?xml version="1.0" encoding="utf-8"?>
<c:userShapes xmlns:c="http://schemas.openxmlformats.org/drawingml/2006/chart">
  <cdr:relSizeAnchor xmlns:cdr="http://schemas.openxmlformats.org/drawingml/2006/chartDrawing">
    <cdr:from>
      <cdr:x>0.80048</cdr:x>
      <cdr:y>0.04302</cdr:y>
    </cdr:from>
    <cdr:to>
      <cdr:x>0.96584</cdr:x>
      <cdr:y>0.13004</cdr:y>
    </cdr:to>
    <cdr:sp macro="" textlink="">
      <cdr:nvSpPr>
        <cdr:cNvPr id="2" name="TextBox 1"/>
        <cdr:cNvSpPr txBox="1"/>
      </cdr:nvSpPr>
      <cdr:spPr>
        <a:xfrm xmlns:a="http://schemas.openxmlformats.org/drawingml/2006/main">
          <a:off x="4910215" y="127017"/>
          <a:ext cx="1014336" cy="25694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latin typeface="+mn-lt"/>
              <a:cs typeface="Arial" panose="020B0604020202020204" pitchFamily="34" charset="0"/>
            </a:rPr>
            <a:t>Annual growth rate</a:t>
          </a:r>
        </a:p>
      </cdr:txBody>
    </cdr:sp>
  </cdr:relSizeAnchor>
</c:userShapes>
</file>

<file path=word/drawings/drawing5.xml><?xml version="1.0" encoding="utf-8"?>
<c:userShapes xmlns:c="http://schemas.openxmlformats.org/drawingml/2006/chart">
  <cdr:relSizeAnchor xmlns:cdr="http://schemas.openxmlformats.org/drawingml/2006/chartDrawing">
    <cdr:from>
      <cdr:x>0.31408</cdr:x>
      <cdr:y>0.14286</cdr:y>
    </cdr:from>
    <cdr:to>
      <cdr:x>0.48736</cdr:x>
      <cdr:y>0.22857</cdr:y>
    </cdr:to>
    <cdr:sp macro="" textlink="">
      <cdr:nvSpPr>
        <cdr:cNvPr id="2" name="TextBox 1"/>
        <cdr:cNvSpPr txBox="1"/>
      </cdr:nvSpPr>
      <cdr:spPr>
        <a:xfrm xmlns:a="http://schemas.openxmlformats.org/drawingml/2006/main">
          <a:off x="1657350" y="428626"/>
          <a:ext cx="914400" cy="2571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0.41143</cdr:x>
      <cdr:y>0.29677</cdr:y>
    </cdr:from>
    <cdr:to>
      <cdr:x>0.72975</cdr:x>
      <cdr:y>0.37931</cdr:y>
    </cdr:to>
    <cdr:sp macro="" textlink="">
      <cdr:nvSpPr>
        <cdr:cNvPr id="3" name="TextBox 2"/>
        <cdr:cNvSpPr txBox="1"/>
      </cdr:nvSpPr>
      <cdr:spPr>
        <a:xfrm xmlns:a="http://schemas.openxmlformats.org/drawingml/2006/main">
          <a:off x="1967271" y="876287"/>
          <a:ext cx="1522064" cy="24372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800" b="0">
              <a:solidFill>
                <a:schemeClr val="accent2">
                  <a:lumMod val="50000"/>
                </a:schemeClr>
              </a:solidFill>
            </a:rPr>
            <a:t>Acceptable Quality Level: 90%</a:t>
          </a:r>
        </a:p>
      </cdr:txBody>
    </cdr:sp>
  </cdr:relSizeAnchor>
</c:userShapes>
</file>

<file path=word/theme/theme1.xml><?xml version="1.0" encoding="utf-8"?>
<a:theme xmlns:a="http://schemas.openxmlformats.org/drawingml/2006/main" name="Office Theme">
  <a:themeElements>
    <a:clrScheme name="WIPO charts">
      <a:dk1>
        <a:srgbClr val="000000"/>
      </a:dk1>
      <a:lt1>
        <a:srgbClr val="FFFFFF"/>
      </a:lt1>
      <a:dk2>
        <a:srgbClr val="005172"/>
      </a:dk2>
      <a:lt2>
        <a:srgbClr val="EAF3F5"/>
      </a:lt2>
      <a:accent1>
        <a:srgbClr val="005172"/>
      </a:accent1>
      <a:accent2>
        <a:srgbClr val="86C2EB"/>
      </a:accent2>
      <a:accent3>
        <a:srgbClr val="72899D"/>
      </a:accent3>
      <a:accent4>
        <a:srgbClr val="AAB8C4"/>
      </a:accent4>
      <a:accent5>
        <a:srgbClr val="2A2760"/>
      </a:accent5>
      <a:accent6>
        <a:srgbClr val="9B7CB7"/>
      </a:accent6>
      <a:hlink>
        <a:srgbClr val="005694"/>
      </a:hlink>
      <a:folHlink>
        <a:srgbClr val="9B7CB7"/>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IPO charts">
    <a:dk1>
      <a:srgbClr val="000000"/>
    </a:dk1>
    <a:lt1>
      <a:srgbClr val="FFFFFF"/>
    </a:lt1>
    <a:dk2>
      <a:srgbClr val="005172"/>
    </a:dk2>
    <a:lt2>
      <a:srgbClr val="EAF3F5"/>
    </a:lt2>
    <a:accent1>
      <a:srgbClr val="005694"/>
    </a:accent1>
    <a:accent2>
      <a:srgbClr val="86C2EB"/>
    </a:accent2>
    <a:accent3>
      <a:srgbClr val="72899D"/>
    </a:accent3>
    <a:accent4>
      <a:srgbClr val="AAB8C4"/>
    </a:accent4>
    <a:accent5>
      <a:srgbClr val="2A2760"/>
    </a:accent5>
    <a:accent6>
      <a:srgbClr val="9B7CB7"/>
    </a:accent6>
    <a:hlink>
      <a:srgbClr val="005694"/>
    </a:hlink>
    <a:folHlink>
      <a:srgbClr val="9B7CB7"/>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0C0DFC-D005-445E-B620-6B7A43D81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35</Pages>
  <Words>52613</Words>
  <Characters>265696</Characters>
  <Application>Microsoft Office Word</Application>
  <DocSecurity>0</DocSecurity>
  <Lines>26569</Lines>
  <Paragraphs>18724</Paragraphs>
  <ScaleCrop>false</ScaleCrop>
  <HeadingPairs>
    <vt:vector size="2" baseType="variant">
      <vt:variant>
        <vt:lpstr>Title</vt:lpstr>
      </vt:variant>
      <vt:variant>
        <vt:i4>1</vt:i4>
      </vt:variant>
    </vt:vector>
  </HeadingPairs>
  <TitlesOfParts>
    <vt:vector size="1" baseType="lpstr">
      <vt:lpstr>WO/PBC/36/8</vt:lpstr>
    </vt:vector>
  </TitlesOfParts>
  <Company>HP</Company>
  <LinksUpToDate>false</LinksUpToDate>
  <CharactersWithSpaces>299585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WO/PBC/36/8</dc:title>
  <dc:creator>TARIQ Minahil</dc:creator>
  <cp:keywords>FOR OFFICIAL USE ONLY</cp:keywords>
  <cp:lastModifiedBy>HÄFLIGER Patience</cp:lastModifiedBy>
  <cp:revision>12</cp:revision>
  <cp:lastPrinted>2023-06-27T08:46:00Z</cp:lastPrinted>
  <dcterms:created xsi:type="dcterms:W3CDTF">2023-06-27T10:17:00Z</dcterms:created>
  <dcterms:modified xsi:type="dcterms:W3CDTF">2023-06-29T10:09:00Z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0d944760-2ed9-46bc-9a5c-5add1d8fd672</vt:lpwstr>
  </property>
  <property fmtid="{D5CDD505-2E9C-101B-9397-08002B2CF9AE}" pid="3" name="TCSClassification">
    <vt:lpwstr>FOR OFFICIAL USE ONLY</vt:lpwstr>
  </property>
  <property fmtid="{D5CDD505-2E9C-101B-9397-08002B2CF9AE}" pid="4" name="Classification">
    <vt:lpwstr>For Official Use Only</vt:lpwstr>
  </property>
  <property fmtid="{D5CDD505-2E9C-101B-9397-08002B2CF9AE}" pid="5" name="VisualMarkings">
    <vt:lpwstr>Footer</vt:lpwstr>
  </property>
  <property fmtid="{D5CDD505-2E9C-101B-9397-08002B2CF9AE}" pid="6" name="Alignment">
    <vt:lpwstr>Centre</vt:lpwstr>
  </property>
  <property fmtid="{D5CDD505-2E9C-101B-9397-08002B2CF9AE}" pid="7" name="Language">
    <vt:lpwstr>English</vt:lpwstr>
  </property>
  <property fmtid="{D5CDD505-2E9C-101B-9397-08002B2CF9AE}" pid="8" name="MSIP_Label_20773ee6-353b-4fb9-a59d-0b94c8c67bea_Enabled">
    <vt:lpwstr>true</vt:lpwstr>
  </property>
  <property fmtid="{D5CDD505-2E9C-101B-9397-08002B2CF9AE}" pid="9" name="MSIP_Label_20773ee6-353b-4fb9-a59d-0b94c8c67bea_SetDate">
    <vt:lpwstr>2023-06-07T07:20:01Z</vt:lpwstr>
  </property>
  <property fmtid="{D5CDD505-2E9C-101B-9397-08002B2CF9AE}" pid="10" name="MSIP_Label_20773ee6-353b-4fb9-a59d-0b94c8c67bea_Method">
    <vt:lpwstr>Privileged</vt:lpwstr>
  </property>
  <property fmtid="{D5CDD505-2E9C-101B-9397-08002B2CF9AE}" pid="11" name="MSIP_Label_20773ee6-353b-4fb9-a59d-0b94c8c67bea_Name">
    <vt:lpwstr>No markings</vt:lpwstr>
  </property>
  <property fmtid="{D5CDD505-2E9C-101B-9397-08002B2CF9AE}" pid="12" name="MSIP_Label_20773ee6-353b-4fb9-a59d-0b94c8c67bea_SiteId">
    <vt:lpwstr>faa31b06-8ccc-48c9-867f-f7510dd11c02</vt:lpwstr>
  </property>
  <property fmtid="{D5CDD505-2E9C-101B-9397-08002B2CF9AE}" pid="13" name="MSIP_Label_20773ee6-353b-4fb9-a59d-0b94c8c67bea_ActionId">
    <vt:lpwstr>19c622b7-f30f-41d2-998b-60ce97f5d194</vt:lpwstr>
  </property>
  <property fmtid="{D5CDD505-2E9C-101B-9397-08002B2CF9AE}" pid="14" name="MSIP_Label_20773ee6-353b-4fb9-a59d-0b94c8c67bea_ContentBits">
    <vt:lpwstr>0</vt:lpwstr>
  </property>
</Properties>
</file>