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803C4" w14:textId="77777777" w:rsidR="008B2CC1" w:rsidRPr="008B2CC1" w:rsidRDefault="00873EE5" w:rsidP="00F11D94">
      <w:pPr>
        <w:spacing w:after="120"/>
        <w:jc w:val="right"/>
      </w:pPr>
      <w:r>
        <w:rPr>
          <w:noProof/>
          <w:sz w:val="28"/>
          <w:szCs w:val="28"/>
          <w:lang w:eastAsia="en-US"/>
        </w:rPr>
        <w:drawing>
          <wp:inline distT="0" distB="0" distL="0" distR="0" wp14:anchorId="40A6DB55" wp14:editId="5C393201">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940404F" wp14:editId="50EFD86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69C6AF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945409B" w14:textId="77777777" w:rsidR="008B2CC1" w:rsidRPr="001024FE" w:rsidRDefault="00B276BD" w:rsidP="001024FE">
      <w:pPr>
        <w:jc w:val="right"/>
        <w:rPr>
          <w:rFonts w:ascii="Arial Black" w:hAnsi="Arial Black"/>
          <w:caps/>
          <w:sz w:val="15"/>
          <w:szCs w:val="15"/>
        </w:rPr>
      </w:pPr>
      <w:r>
        <w:rPr>
          <w:rFonts w:ascii="Arial Black" w:hAnsi="Arial Black"/>
          <w:caps/>
          <w:sz w:val="15"/>
          <w:szCs w:val="15"/>
        </w:rPr>
        <w:t>A/62/</w:t>
      </w:r>
      <w:bookmarkStart w:id="0" w:name="Code"/>
      <w:bookmarkEnd w:id="0"/>
      <w:r w:rsidR="00142B2B">
        <w:rPr>
          <w:rFonts w:ascii="Arial Black" w:hAnsi="Arial Black"/>
          <w:caps/>
          <w:sz w:val="15"/>
          <w:szCs w:val="15"/>
        </w:rPr>
        <w:t>4</w:t>
      </w:r>
      <w:r w:rsidR="00FE440A">
        <w:rPr>
          <w:rFonts w:ascii="Arial Black" w:hAnsi="Arial Black"/>
          <w:caps/>
          <w:sz w:val="15"/>
          <w:szCs w:val="15"/>
        </w:rPr>
        <w:t xml:space="preserve"> Rev</w:t>
      </w:r>
    </w:p>
    <w:p w14:paraId="70CC624E"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142B2B">
        <w:rPr>
          <w:rFonts w:ascii="Arial Black" w:hAnsi="Arial Black"/>
          <w:caps/>
          <w:sz w:val="15"/>
          <w:szCs w:val="15"/>
        </w:rPr>
        <w:t>ENGLISH</w:t>
      </w:r>
    </w:p>
    <w:bookmarkEnd w:id="1"/>
    <w:p w14:paraId="6BE44F08" w14:textId="536AB17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987F77">
        <w:rPr>
          <w:rFonts w:ascii="Arial Black" w:hAnsi="Arial Black"/>
          <w:caps/>
          <w:sz w:val="15"/>
          <w:szCs w:val="15"/>
        </w:rPr>
        <w:t>September 20</w:t>
      </w:r>
      <w:r w:rsidR="00142B2B">
        <w:rPr>
          <w:rFonts w:ascii="Arial Black" w:hAnsi="Arial Black"/>
          <w:caps/>
          <w:sz w:val="15"/>
          <w:szCs w:val="15"/>
        </w:rPr>
        <w:t xml:space="preserve"> 2021</w:t>
      </w:r>
    </w:p>
    <w:bookmarkEnd w:id="2"/>
    <w:p w14:paraId="30B8DA1F" w14:textId="77777777" w:rsidR="00A85B8E" w:rsidRPr="00A85B8E" w:rsidRDefault="00B276BD" w:rsidP="00AF5C73">
      <w:pPr>
        <w:spacing w:after="720"/>
        <w:rPr>
          <w:b/>
          <w:sz w:val="28"/>
          <w:szCs w:val="28"/>
        </w:rPr>
      </w:pPr>
      <w:r w:rsidRPr="00B276BD">
        <w:rPr>
          <w:b/>
          <w:sz w:val="28"/>
          <w:szCs w:val="28"/>
        </w:rPr>
        <w:t>Assemblies of the Member States of WIPO</w:t>
      </w:r>
    </w:p>
    <w:p w14:paraId="3E94A69C" w14:textId="77777777" w:rsidR="008B2CC1" w:rsidRPr="003845C1" w:rsidRDefault="00B276BD" w:rsidP="008B2CC1">
      <w:pPr>
        <w:rPr>
          <w:b/>
          <w:sz w:val="24"/>
          <w:szCs w:val="24"/>
        </w:rPr>
      </w:pPr>
      <w:r>
        <w:rPr>
          <w:b/>
          <w:sz w:val="24"/>
        </w:rPr>
        <w:t>Sixty</w:t>
      </w:r>
      <w:r w:rsidRPr="009C127D">
        <w:rPr>
          <w:b/>
          <w:sz w:val="24"/>
        </w:rPr>
        <w:t>-</w:t>
      </w:r>
      <w:r>
        <w:rPr>
          <w:b/>
          <w:sz w:val="24"/>
        </w:rPr>
        <w:t>Second</w:t>
      </w:r>
      <w:r w:rsidRPr="0083486E">
        <w:rPr>
          <w:b/>
          <w:sz w:val="24"/>
        </w:rPr>
        <w:t xml:space="preserve"> </w:t>
      </w:r>
      <w:r w:rsidRPr="009C127D">
        <w:rPr>
          <w:b/>
          <w:sz w:val="24"/>
        </w:rPr>
        <w:t>Series of Meetings</w:t>
      </w:r>
    </w:p>
    <w:p w14:paraId="67C89638" w14:textId="77777777" w:rsidR="008B2CC1" w:rsidRPr="009F3BF9" w:rsidRDefault="00B276BD" w:rsidP="00CE65D4">
      <w:pPr>
        <w:spacing w:after="720"/>
      </w:pPr>
      <w:r w:rsidRPr="009C127D">
        <w:rPr>
          <w:b/>
          <w:sz w:val="24"/>
        </w:rPr>
        <w:t xml:space="preserve">Geneva, </w:t>
      </w:r>
      <w:r>
        <w:rPr>
          <w:b/>
          <w:sz w:val="24"/>
        </w:rPr>
        <w:t>October 4 to 8, 2021</w:t>
      </w:r>
    </w:p>
    <w:p w14:paraId="1537E399" w14:textId="77777777" w:rsidR="008B2CC1" w:rsidRPr="009F3BF9" w:rsidRDefault="00142B2B" w:rsidP="00CE65D4">
      <w:pPr>
        <w:spacing w:after="360"/>
        <w:rPr>
          <w:caps/>
          <w:sz w:val="24"/>
        </w:rPr>
      </w:pPr>
      <w:bookmarkStart w:id="3" w:name="TitleOfDoc"/>
      <w:r>
        <w:rPr>
          <w:caps/>
          <w:sz w:val="24"/>
        </w:rPr>
        <w:t>UPDATE OF THE LIST OF THE NON-GOVERNMENTAL ORGANIZATIONS ADMITTED AS OBSERVERS AT WIPO</w:t>
      </w:r>
    </w:p>
    <w:p w14:paraId="1C2324B9" w14:textId="77777777" w:rsidR="008B2CC1" w:rsidRPr="004D39C4" w:rsidRDefault="00A02945" w:rsidP="00CE65D4">
      <w:pPr>
        <w:spacing w:after="960"/>
        <w:rPr>
          <w:i/>
        </w:rPr>
      </w:pPr>
      <w:bookmarkStart w:id="4" w:name="Prepared"/>
      <w:bookmarkEnd w:id="3"/>
      <w:r>
        <w:rPr>
          <w:i/>
        </w:rPr>
        <w:t xml:space="preserve">Document </w:t>
      </w:r>
      <w:r w:rsidR="00142B2B">
        <w:rPr>
          <w:i/>
        </w:rPr>
        <w:t>prepared by the Secretariat</w:t>
      </w:r>
      <w:bookmarkStart w:id="5" w:name="_GoBack"/>
      <w:bookmarkEnd w:id="5"/>
    </w:p>
    <w:bookmarkEnd w:id="4"/>
    <w:p w14:paraId="0B449345" w14:textId="77777777" w:rsidR="00142B2B" w:rsidRPr="00D758D0" w:rsidRDefault="00142B2B" w:rsidP="00142B2B">
      <w:pPr>
        <w:pStyle w:val="Heading2"/>
        <w:spacing w:after="240"/>
      </w:pPr>
      <w:r>
        <w:t>i</w:t>
      </w:r>
      <w:r w:rsidRPr="00F014E9">
        <w:t>ntroduction</w:t>
      </w:r>
    </w:p>
    <w:p w14:paraId="60D26B2C" w14:textId="77777777" w:rsidR="00142B2B" w:rsidRDefault="00142B2B" w:rsidP="00142B2B">
      <w:pPr>
        <w:spacing w:after="240"/>
      </w:pPr>
      <w:r>
        <w:fldChar w:fldCharType="begin"/>
      </w:r>
      <w:r>
        <w:instrText xml:space="preserve"> AUTONUM  </w:instrText>
      </w:r>
      <w:r>
        <w:fldChar w:fldCharType="end"/>
      </w:r>
      <w:r>
        <w:tab/>
      </w:r>
      <w:proofErr w:type="gramStart"/>
      <w:r>
        <w:t xml:space="preserve">At the Fifty-Eighth </w:t>
      </w:r>
      <w:r w:rsidR="00CD41CB">
        <w:t>S</w:t>
      </w:r>
      <w:r>
        <w:t xml:space="preserve">eries of </w:t>
      </w:r>
      <w:r w:rsidR="00CD41CB">
        <w:t>M</w:t>
      </w:r>
      <w:r>
        <w:t>eeting</w:t>
      </w:r>
      <w:r w:rsidR="00180526">
        <w:t>s</w:t>
      </w:r>
      <w:r>
        <w:t xml:space="preserve"> of the Assemblies of the Member States of the World Intellectual Property Organization (WIPO) and of the Unions administered by WIPO (the</w:t>
      </w:r>
      <w:r w:rsidR="009E61EA">
        <w:t> </w:t>
      </w:r>
      <w:r>
        <w:t>Assemblies), from September 24 to October 2, 2018, the Assemblies considered favorably the approach contained in document A/58/8 entitled</w:t>
      </w:r>
      <w:r w:rsidR="009E61EA">
        <w:t xml:space="preserve"> “Update of the List of the Non</w:t>
      </w:r>
      <w:r w:rsidR="009E61EA">
        <w:noBreakHyphen/>
      </w:r>
      <w:r>
        <w:t>Governmental Organizations Admitted as Observers at WIPO.</w:t>
      </w:r>
      <w:r w:rsidR="00B50AE2">
        <w:t>”</w:t>
      </w:r>
      <w:proofErr w:type="gramEnd"/>
      <w:r>
        <w:t xml:space="preserve">  </w:t>
      </w:r>
      <w:proofErr w:type="gramStart"/>
      <w:r>
        <w:t xml:space="preserve">The said document provided an analysis of the increase in the number of non-governmental organizations (NGOs) admitted as observers by the Assemblies over the last two decades, as well as the respective participation rates of observers in meetings of the </w:t>
      </w:r>
      <w:r w:rsidR="00CC4137">
        <w:t>Assemblies and WIPO Committees</w:t>
      </w:r>
      <w:r w:rsidR="00B50AE2">
        <w:t>;</w:t>
      </w:r>
      <w:r w:rsidR="00CC4137">
        <w:t xml:space="preserve"> it further</w:t>
      </w:r>
      <w:r>
        <w:t xml:space="preserve"> introduced a process to update the list of NGO observers in order to mitigate challenges associated with the increase (see documents A/58/8 and A/58/11 paragraphs 25 and 26).</w:t>
      </w:r>
      <w:proofErr w:type="gramEnd"/>
      <w:r>
        <w:t xml:space="preserve">  The</w:t>
      </w:r>
      <w:r w:rsidR="009E61EA">
        <w:t> </w:t>
      </w:r>
      <w:r>
        <w:t xml:space="preserve">Secretariat would thereafter </w:t>
      </w:r>
      <w:proofErr w:type="gramStart"/>
      <w:r>
        <w:t>report back</w:t>
      </w:r>
      <w:proofErr w:type="gramEnd"/>
      <w:r>
        <w:t xml:space="preserve"> to the Assemblies about the outcome of the updates of the list of NGO observers,</w:t>
      </w:r>
      <w:r w:rsidRPr="003C2552">
        <w:t xml:space="preserve"> </w:t>
      </w:r>
      <w:r>
        <w:t>i.e. the results of the survey, as well as any revisions made, which is the purpose of the present document.</w:t>
      </w:r>
    </w:p>
    <w:p w14:paraId="03665E2A" w14:textId="77777777" w:rsidR="00142B2B" w:rsidRDefault="00142B2B" w:rsidP="00142B2B">
      <w:pPr>
        <w:pStyle w:val="Heading2"/>
        <w:spacing w:before="480" w:after="240"/>
      </w:pPr>
      <w:r w:rsidRPr="003D2090">
        <w:t>Update Process</w:t>
      </w:r>
    </w:p>
    <w:p w14:paraId="0937294F" w14:textId="77777777" w:rsidR="00142B2B" w:rsidRDefault="00142B2B" w:rsidP="00B81C0F">
      <w:pPr>
        <w:spacing w:after="240"/>
      </w:pPr>
      <w:r>
        <w:fldChar w:fldCharType="begin"/>
      </w:r>
      <w:r>
        <w:instrText xml:space="preserve"> AUTONUM  </w:instrText>
      </w:r>
      <w:r>
        <w:fldChar w:fldCharType="end"/>
      </w:r>
      <w:r>
        <w:tab/>
        <w:t xml:space="preserve">Based on </w:t>
      </w:r>
      <w:r w:rsidR="00CC4137">
        <w:t xml:space="preserve">the </w:t>
      </w:r>
      <w:r>
        <w:t>aforementioned decision, the Secretariat undertook several steps</w:t>
      </w:r>
      <w:r w:rsidR="00B50AE2">
        <w:t>,</w:t>
      </w:r>
      <w:r>
        <w:t xml:space="preserve"> as specified in document A/58/8 paragraph 10, to identify those NGOs that are defunct or no longer interested in participating in the </w:t>
      </w:r>
      <w:r w:rsidR="00CC4137">
        <w:t xml:space="preserve">sessions of the </w:t>
      </w:r>
      <w:r>
        <w:t>Assemblies and WIPO Committee</w:t>
      </w:r>
      <w:r w:rsidR="00CC4137">
        <w:t>s</w:t>
      </w:r>
      <w:r>
        <w:t>.</w:t>
      </w:r>
      <w:r>
        <w:br w:type="page"/>
      </w:r>
    </w:p>
    <w:p w14:paraId="24386A15" w14:textId="77777777" w:rsidR="00142B2B" w:rsidRDefault="00142B2B" w:rsidP="00142B2B">
      <w:pPr>
        <w:spacing w:after="240"/>
        <w:rPr>
          <w:u w:val="single"/>
        </w:rPr>
      </w:pPr>
      <w:r>
        <w:lastRenderedPageBreak/>
        <w:fldChar w:fldCharType="begin"/>
      </w:r>
      <w:r>
        <w:instrText xml:space="preserve"> AUTONUM  </w:instrText>
      </w:r>
      <w:r>
        <w:fldChar w:fldCharType="end"/>
      </w:r>
      <w:r>
        <w:tab/>
      </w:r>
      <w:proofErr w:type="gramStart"/>
      <w:r>
        <w:t xml:space="preserve">In May 2019, the Secretariat distributed an initial survey through Note </w:t>
      </w:r>
      <w:r w:rsidR="00CC4137">
        <w:t xml:space="preserve">C. N </w:t>
      </w:r>
      <w:r>
        <w:t xml:space="preserve">3904, </w:t>
      </w:r>
      <w:r w:rsidRPr="003C54DC">
        <w:t>requesting all NGOs</w:t>
      </w:r>
      <w:r>
        <w:t xml:space="preserve"> admitted as Observers at WIPO, </w:t>
      </w:r>
      <w:r w:rsidRPr="003C54DC">
        <w:t xml:space="preserve">listed in the Annex </w:t>
      </w:r>
      <w:r w:rsidR="00BD3337">
        <w:t>to</w:t>
      </w:r>
      <w:r w:rsidR="00BD3337" w:rsidRPr="003C54DC">
        <w:t xml:space="preserve"> </w:t>
      </w:r>
      <w:r w:rsidRPr="003C54DC">
        <w:t>document</w:t>
      </w:r>
      <w:r w:rsidR="00180526">
        <w:t> </w:t>
      </w:r>
      <w:r w:rsidRPr="003C54DC">
        <w:t>A/58/INF/1</w:t>
      </w:r>
      <w:r>
        <w:t>Rev.,</w:t>
      </w:r>
      <w:r w:rsidRPr="003C54DC">
        <w:t xml:space="preserve"> but did not participate in the Assembl</w:t>
      </w:r>
      <w:r>
        <w:t>ies or WIPO Committees</w:t>
      </w:r>
      <w:r>
        <w:rPr>
          <w:rStyle w:val="FootnoteReference"/>
        </w:rPr>
        <w:footnoteReference w:id="2"/>
      </w:r>
      <w:r>
        <w:t xml:space="preserve"> </w:t>
      </w:r>
      <w:r w:rsidRPr="003C54DC">
        <w:t xml:space="preserve">during the </w:t>
      </w:r>
      <w:r>
        <w:t>period between 2013 and 2017,</w:t>
      </w:r>
      <w:r w:rsidRPr="003C54DC">
        <w:t xml:space="preserve"> to confirm that they remain interested in the work at WIPO and wish to retain their status as observers</w:t>
      </w:r>
      <w:r>
        <w:rPr>
          <w:rStyle w:val="FootnoteReference"/>
        </w:rPr>
        <w:footnoteReference w:id="3"/>
      </w:r>
      <w:r>
        <w:t>.</w:t>
      </w:r>
      <w:proofErr w:type="gramEnd"/>
    </w:p>
    <w:p w14:paraId="234A6BD1" w14:textId="77777777" w:rsidR="00142B2B" w:rsidRDefault="00142B2B" w:rsidP="00142B2B">
      <w:pPr>
        <w:spacing w:after="240"/>
      </w:pPr>
      <w:r>
        <w:fldChar w:fldCharType="begin"/>
      </w:r>
      <w:r>
        <w:instrText xml:space="preserve"> AUTONUM  </w:instrText>
      </w:r>
      <w:r>
        <w:fldChar w:fldCharType="end"/>
      </w:r>
      <w:r>
        <w:tab/>
        <w:t xml:space="preserve">This initial communication was followed by two reminders, Notes </w:t>
      </w:r>
      <w:r w:rsidR="00CC4137">
        <w:t xml:space="preserve">C. N </w:t>
      </w:r>
      <w:r>
        <w:t xml:space="preserve">3925 and 4045, dispatched in December 2019 and November 2020 respectively, addressed to NGOs that had not </w:t>
      </w:r>
      <w:r w:rsidR="00CC4137">
        <w:t xml:space="preserve">yet </w:t>
      </w:r>
      <w:r>
        <w:t xml:space="preserve">replied. </w:t>
      </w:r>
      <w:r w:rsidR="009E61EA">
        <w:t xml:space="preserve"> </w:t>
      </w:r>
      <w:r>
        <w:t xml:space="preserve">An additional third reminder </w:t>
      </w:r>
      <w:proofErr w:type="gramStart"/>
      <w:r>
        <w:t>was sent</w:t>
      </w:r>
      <w:proofErr w:type="gramEnd"/>
      <w:r>
        <w:t xml:space="preserve"> in March 2021 to a remaining group of NGOs that had not replied to any of the three </w:t>
      </w:r>
      <w:r w:rsidR="00CC4137">
        <w:t xml:space="preserve">previous </w:t>
      </w:r>
      <w:r>
        <w:t xml:space="preserve">Notes and for which the Secretariat had found new </w:t>
      </w:r>
      <w:r w:rsidR="00CC4137">
        <w:t xml:space="preserve">or </w:t>
      </w:r>
      <w:r>
        <w:t>additional contact details.</w:t>
      </w:r>
    </w:p>
    <w:p w14:paraId="7916EFA3" w14:textId="77777777" w:rsidR="00142B2B" w:rsidRDefault="00142B2B" w:rsidP="00142B2B">
      <w:pPr>
        <w:spacing w:after="240"/>
      </w:pPr>
      <w:r>
        <w:fldChar w:fldCharType="begin"/>
      </w:r>
      <w:r>
        <w:instrText xml:space="preserve"> AUTONUM  </w:instrText>
      </w:r>
      <w:r>
        <w:fldChar w:fldCharType="end"/>
      </w:r>
      <w:r>
        <w:tab/>
      </w:r>
      <w:proofErr w:type="gramStart"/>
      <w:r>
        <w:t xml:space="preserve">Finally, the Secretariat informed the NGOs concerned, i.e. those that did not reply to any of the aforementioned communications, through Note </w:t>
      </w:r>
      <w:r w:rsidR="00CC4137">
        <w:t xml:space="preserve">C. N </w:t>
      </w:r>
      <w:r>
        <w:t>4067, dated April 19, 2021, that in accordance with the above-mentioned decision adopted by the Assemblies in 2018, the absence of any response to the survey and follow-up communication</w:t>
      </w:r>
      <w:r w:rsidR="00CC4137">
        <w:t>s</w:t>
      </w:r>
      <w:r>
        <w:t>, had been considered as indication that the NGO did not wish to be retained as an observer at WIPO.</w:t>
      </w:r>
      <w:proofErr w:type="gramEnd"/>
      <w:r>
        <w:t xml:space="preserve"> </w:t>
      </w:r>
      <w:r w:rsidR="009E61EA">
        <w:t xml:space="preserve"> </w:t>
      </w:r>
      <w:r>
        <w:t xml:space="preserve">Consequently, the NGOs concerned </w:t>
      </w:r>
      <w:proofErr w:type="gramStart"/>
      <w:r>
        <w:t>were removed</w:t>
      </w:r>
      <w:proofErr w:type="gramEnd"/>
      <w:r>
        <w:t xml:space="preserve"> from the list of organizations admitted as observer</w:t>
      </w:r>
      <w:r w:rsidR="00CC4137">
        <w:t>s</w:t>
      </w:r>
      <w:r>
        <w:t xml:space="preserve"> at WIPO on April 16, 2021. </w:t>
      </w:r>
    </w:p>
    <w:p w14:paraId="7FF441B0" w14:textId="77777777" w:rsidR="00142B2B" w:rsidRDefault="00142B2B" w:rsidP="00142B2B">
      <w:pPr>
        <w:spacing w:after="480"/>
        <w:rPr>
          <w:u w:val="single"/>
        </w:rPr>
      </w:pPr>
      <w:r>
        <w:fldChar w:fldCharType="begin"/>
      </w:r>
      <w:r>
        <w:instrText xml:space="preserve"> AUTONUM  </w:instrText>
      </w:r>
      <w:r>
        <w:fldChar w:fldCharType="end"/>
      </w:r>
      <w:r>
        <w:tab/>
      </w:r>
      <w:proofErr w:type="gramStart"/>
      <w:r>
        <w:t xml:space="preserve">The NGOs concerned were also informed that this removal did not affect an organization’s status as </w:t>
      </w:r>
      <w:r w:rsidRPr="00136529">
        <w:rPr>
          <w:i/>
        </w:rPr>
        <w:t>ad hoc</w:t>
      </w:r>
      <w:r>
        <w:t xml:space="preserve"> observer in any WIPO </w:t>
      </w:r>
      <w:r w:rsidR="00CC4137">
        <w:t xml:space="preserve">Committee </w:t>
      </w:r>
      <w:r>
        <w:t>and that a “restoration principle” had been put in place, according to which NGOs concerned may petition to resume their observer status at WIPO, without a new observer status application, within a period of one year after their removal from the list, i.e. until April 16, 2022.</w:t>
      </w:r>
      <w:proofErr w:type="gramEnd"/>
    </w:p>
    <w:p w14:paraId="5888F858" w14:textId="77777777" w:rsidR="00142B2B" w:rsidRDefault="00142B2B" w:rsidP="00142B2B">
      <w:pPr>
        <w:pStyle w:val="Heading2"/>
        <w:spacing w:after="240"/>
      </w:pPr>
      <w:r w:rsidRPr="00136529">
        <w:t>Results</w:t>
      </w:r>
    </w:p>
    <w:p w14:paraId="19AC281B" w14:textId="1546C132" w:rsidR="00142B2B" w:rsidRDefault="00142B2B" w:rsidP="00142B2B">
      <w:r>
        <w:fldChar w:fldCharType="begin"/>
      </w:r>
      <w:r>
        <w:instrText xml:space="preserve"> AUTONUM  </w:instrText>
      </w:r>
      <w:r>
        <w:fldChar w:fldCharType="end"/>
      </w:r>
      <w:r>
        <w:tab/>
        <w:t xml:space="preserve">In line with the update procedure described above, the Secretariat identified 168 NGOs, out of </w:t>
      </w:r>
      <w:proofErr w:type="gramStart"/>
      <w:r>
        <w:t>a total of 341</w:t>
      </w:r>
      <w:proofErr w:type="gramEnd"/>
      <w:r>
        <w:t xml:space="preserve"> NGOs admitted as observers at WIPO </w:t>
      </w:r>
      <w:r w:rsidR="00CC4137">
        <w:t xml:space="preserve">as </w:t>
      </w:r>
      <w:r w:rsidR="00BD3337">
        <w:t>of</w:t>
      </w:r>
      <w:r>
        <w:t xml:space="preserve"> 2017, that did not participate </w:t>
      </w:r>
      <w:r w:rsidRPr="00E41474">
        <w:t>in th</w:t>
      </w:r>
      <w:r>
        <w:t>e Assemblies or WIPO Committee sessions</w:t>
      </w:r>
      <w:r w:rsidRPr="00E41474">
        <w:t xml:space="preserve"> during the period between 2013 and 2017</w:t>
      </w:r>
      <w:r>
        <w:t>.</w:t>
      </w:r>
      <w:r w:rsidR="009E61EA">
        <w:t xml:space="preserve"> </w:t>
      </w:r>
      <w:r>
        <w:t xml:space="preserve"> </w:t>
      </w:r>
      <w:r w:rsidR="00CC4137">
        <w:t xml:space="preserve">By </w:t>
      </w:r>
      <w:r>
        <w:t xml:space="preserve">the conclusion of the update process, </w:t>
      </w:r>
      <w:proofErr w:type="gramStart"/>
      <w:r>
        <w:t>a total of 64</w:t>
      </w:r>
      <w:proofErr w:type="gramEnd"/>
      <w:r>
        <w:t xml:space="preserve"> NGOs (38</w:t>
      </w:r>
      <w:r w:rsidR="00180526">
        <w:t xml:space="preserve"> per cent</w:t>
      </w:r>
      <w:r>
        <w:t xml:space="preserve">) from the target group of 168 NGOs, had replied to the survey and provided the Secretariat with up-to-date contact information. </w:t>
      </w:r>
      <w:r w:rsidR="009E61EA">
        <w:t xml:space="preserve"> </w:t>
      </w:r>
      <w:r>
        <w:t xml:space="preserve">This information </w:t>
      </w:r>
      <w:proofErr w:type="gramStart"/>
      <w:r>
        <w:t>was used</w:t>
      </w:r>
      <w:proofErr w:type="gramEnd"/>
      <w:r>
        <w:t xml:space="preserve"> to update relevant documents and databases regarding observers at WIPO. </w:t>
      </w:r>
      <w:r w:rsidR="009E61EA">
        <w:t xml:space="preserve"> </w:t>
      </w:r>
      <w:r>
        <w:t>The vast majority, roughly 95</w:t>
      </w:r>
      <w:r w:rsidR="00180526">
        <w:t xml:space="preserve"> per cent, </w:t>
      </w:r>
      <w:r>
        <w:t>of NGOs that replied to the survey requested to keep their observer status, whereas only about 5</w:t>
      </w:r>
      <w:r w:rsidR="00180526">
        <w:t xml:space="preserve"> per cent</w:t>
      </w:r>
      <w:r>
        <w:t xml:space="preserve"> of the NGOs asked explicitly for a removal from the list of observers. </w:t>
      </w:r>
      <w:r w:rsidR="009E61EA">
        <w:t xml:space="preserve"> </w:t>
      </w:r>
      <w:r>
        <w:t>Consequently, the latter, as well as all those NGOs that did not reply to any of the communications sent, were removed from the list of observers – a total of 107 NGOs (roughly 64</w:t>
      </w:r>
      <w:r w:rsidR="00180526">
        <w:t xml:space="preserve"> per cent</w:t>
      </w:r>
      <w:r>
        <w:t>) out of the target group of 168 NGOs.</w:t>
      </w:r>
      <w:r>
        <w:rPr>
          <w:rStyle w:val="FootnoteReference"/>
        </w:rPr>
        <w:footnoteReference w:id="4"/>
      </w:r>
      <w:r>
        <w:t xml:space="preserve">  So far</w:t>
      </w:r>
      <w:r w:rsidR="00B50AE2">
        <w:t>,</w:t>
      </w:r>
      <w:r>
        <w:t xml:space="preserve"> </w:t>
      </w:r>
      <w:r w:rsidR="00FE440A">
        <w:t xml:space="preserve">three </w:t>
      </w:r>
      <w:r>
        <w:t xml:space="preserve">NGOs out of the 107 NGOs that </w:t>
      </w:r>
      <w:proofErr w:type="gramStart"/>
      <w:r>
        <w:t>were deleted</w:t>
      </w:r>
      <w:proofErr w:type="gramEnd"/>
      <w:r>
        <w:t xml:space="preserve"> requested to resume their observer status by invoking the “restoration principle” and were consequently re-included </w:t>
      </w:r>
      <w:r w:rsidR="00BD3337">
        <w:t xml:space="preserve">in </w:t>
      </w:r>
      <w:r>
        <w:t>the list of observers.</w:t>
      </w:r>
      <w:r>
        <w:rPr>
          <w:rStyle w:val="FootnoteReference"/>
        </w:rPr>
        <w:footnoteReference w:id="5"/>
      </w:r>
      <w:r>
        <w:t xml:space="preserve"> Together with the newly admitted NGO observ</w:t>
      </w:r>
      <w:r w:rsidR="00AF49D1">
        <w:t>ers in the years 2018, 2019 and </w:t>
      </w:r>
      <w:r>
        <w:t xml:space="preserve">2020, this results in </w:t>
      </w:r>
      <w:r w:rsidR="00CC4137">
        <w:t xml:space="preserve">a </w:t>
      </w:r>
      <w:r>
        <w:t>total number of 26</w:t>
      </w:r>
      <w:r w:rsidR="00FE440A">
        <w:t>8</w:t>
      </w:r>
      <w:r>
        <w:t xml:space="preserve"> NGOs, consisting of 189 international and 7</w:t>
      </w:r>
      <w:r w:rsidR="00FE440A">
        <w:t>9</w:t>
      </w:r>
      <w:r>
        <w:t xml:space="preserve"> national, currently admitted as observers at WIPO by the Assemblies.</w:t>
      </w:r>
      <w:r>
        <w:br w:type="page"/>
      </w:r>
    </w:p>
    <w:p w14:paraId="7C8B4901" w14:textId="77777777" w:rsidR="002928D3" w:rsidRPr="00142B2B" w:rsidRDefault="00142B2B" w:rsidP="00142B2B">
      <w:pPr>
        <w:pStyle w:val="Endofdocument-Annex"/>
        <w:spacing w:after="840"/>
        <w:ind w:left="5530"/>
        <w:rPr>
          <w:i/>
        </w:rPr>
      </w:pPr>
      <w:r w:rsidRPr="00142B2B">
        <w:rPr>
          <w:i/>
        </w:rPr>
        <w:lastRenderedPageBreak/>
        <w:fldChar w:fldCharType="begin"/>
      </w:r>
      <w:r w:rsidRPr="00142B2B">
        <w:rPr>
          <w:i/>
        </w:rPr>
        <w:instrText xml:space="preserve"> AUTONUM  </w:instrText>
      </w:r>
      <w:r w:rsidRPr="00142B2B">
        <w:rPr>
          <w:i/>
        </w:rPr>
        <w:fldChar w:fldCharType="end"/>
      </w:r>
      <w:r w:rsidRPr="00142B2B">
        <w:rPr>
          <w:i/>
        </w:rPr>
        <w:tab/>
        <w:t xml:space="preserve">The Assemblies of WIPO, each </w:t>
      </w:r>
      <w:r w:rsidR="00180526">
        <w:rPr>
          <w:i/>
        </w:rPr>
        <w:t>as</w:t>
      </w:r>
      <w:r w:rsidR="00180526" w:rsidRPr="00142B2B">
        <w:rPr>
          <w:i/>
        </w:rPr>
        <w:t xml:space="preserve"> </w:t>
      </w:r>
      <w:r w:rsidRPr="00142B2B">
        <w:rPr>
          <w:i/>
        </w:rPr>
        <w:t xml:space="preserve">far as it is concerned, </w:t>
      </w:r>
      <w:proofErr w:type="gramStart"/>
      <w:r w:rsidRPr="00142B2B">
        <w:rPr>
          <w:i/>
        </w:rPr>
        <w:t>are invited</w:t>
      </w:r>
      <w:proofErr w:type="gramEnd"/>
      <w:r w:rsidRPr="00142B2B">
        <w:rPr>
          <w:i/>
        </w:rPr>
        <w:t xml:space="preserve"> to take note of the document entitled “Update of the list of the non</w:t>
      </w:r>
      <w:r w:rsidRPr="00142B2B">
        <w:rPr>
          <w:i/>
        </w:rPr>
        <w:noBreakHyphen/>
        <w:t>governmental organizations admitted as observers at WIPO” (document A/62/4</w:t>
      </w:r>
      <w:r w:rsidR="00FE440A">
        <w:rPr>
          <w:i/>
        </w:rPr>
        <w:t xml:space="preserve"> Rev</w:t>
      </w:r>
      <w:r w:rsidRPr="00142B2B">
        <w:rPr>
          <w:i/>
        </w:rPr>
        <w:t>).</w:t>
      </w:r>
    </w:p>
    <w:p w14:paraId="067CAA39" w14:textId="77777777" w:rsidR="00142B2B" w:rsidRDefault="00142B2B" w:rsidP="00142B2B">
      <w:pPr>
        <w:pStyle w:val="Endofdocument-Annex"/>
        <w:sectPr w:rsidR="00142B2B" w:rsidSect="00142B2B">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14:paraId="779AEDBF" w14:textId="6A5BBF9F" w:rsidR="00142B2B" w:rsidRDefault="00142B2B" w:rsidP="00142B2B">
      <w:pPr>
        <w:jc w:val="right"/>
      </w:pPr>
      <w:r>
        <w:lastRenderedPageBreak/>
        <w:t>A/62/4</w:t>
      </w:r>
      <w:r w:rsidR="0016115E">
        <w:t xml:space="preserve"> Rev.</w:t>
      </w:r>
    </w:p>
    <w:p w14:paraId="0D9FBC90" w14:textId="77777777" w:rsidR="00142B2B" w:rsidRDefault="00142B2B" w:rsidP="00142B2B">
      <w:pPr>
        <w:spacing w:after="240"/>
        <w:jc w:val="right"/>
      </w:pPr>
      <w:r>
        <w:t>ANNEX</w:t>
      </w:r>
    </w:p>
    <w:p w14:paraId="4411A3AC" w14:textId="6201CD7F" w:rsidR="00142B2B" w:rsidRPr="00F014E9" w:rsidRDefault="00142B2B" w:rsidP="00142B2B">
      <w:pPr>
        <w:pStyle w:val="Heading3"/>
        <w:spacing w:after="480"/>
        <w:rPr>
          <w:u w:val="none"/>
        </w:rPr>
      </w:pPr>
      <w:r w:rsidRPr="00F014E9">
        <w:rPr>
          <w:u w:val="none"/>
        </w:rPr>
        <w:t>Chart:  Share of NGO observers targeted in the update process and eventually retained, respectively not retained, as observers (</w:t>
      </w:r>
      <w:r w:rsidR="000F467E">
        <w:rPr>
          <w:u w:val="none"/>
        </w:rPr>
        <w:t>figures take into account</w:t>
      </w:r>
      <w:r w:rsidRPr="00F014E9">
        <w:rPr>
          <w:u w:val="none"/>
        </w:rPr>
        <w:t xml:space="preserve"> those NGO that resumed observer status)</w:t>
      </w:r>
    </w:p>
    <w:p w14:paraId="73C0E2A2" w14:textId="77777777" w:rsidR="00142B2B" w:rsidRDefault="00414F3C" w:rsidP="00142B2B">
      <w:pPr>
        <w:pStyle w:val="Endofdocument-Annex"/>
        <w:spacing w:after="480"/>
        <w:ind w:left="0"/>
      </w:pPr>
      <w:r>
        <w:rPr>
          <w:noProof/>
          <w:lang w:eastAsia="en-US"/>
        </w:rPr>
        <w:drawing>
          <wp:inline distT="0" distB="0" distL="0" distR="0" wp14:anchorId="1C4E1973" wp14:editId="7B331A6E">
            <wp:extent cx="5940425" cy="3093720"/>
            <wp:effectExtent l="0" t="0" r="3175" b="11430"/>
            <wp:docPr id="1" name="Chart 1" descr="Showing the number of  NGOs" title="Two Char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C3694C" w14:textId="77777777" w:rsidR="00142B2B" w:rsidRDefault="00142B2B" w:rsidP="00142B2B">
      <w:pPr>
        <w:rPr>
          <w:u w:val="single"/>
        </w:rPr>
      </w:pPr>
      <w:r>
        <w:rPr>
          <w:u w:val="single"/>
        </w:rPr>
        <w:br w:type="page"/>
      </w:r>
    </w:p>
    <w:p w14:paraId="68AB599B" w14:textId="77777777" w:rsidR="00142B2B" w:rsidRDefault="00142B2B" w:rsidP="00142B2B">
      <w:pPr>
        <w:pStyle w:val="Heading3"/>
        <w:spacing w:after="240"/>
      </w:pPr>
      <w:r w:rsidRPr="000C3CAA">
        <w:lastRenderedPageBreak/>
        <w:t>Table A</w:t>
      </w:r>
      <w:r>
        <w:t>:</w:t>
      </w:r>
      <w:r w:rsidRPr="005C0C1E">
        <w:rPr>
          <w:u w:val="none"/>
        </w:rPr>
        <w:t>  International NGOs removed from the list of observers</w:t>
      </w:r>
      <w:r>
        <w:t xml:space="preserve">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ternational NGOs"/>
        <w:tblDescription w:val="Names of the International NGOs"/>
      </w:tblPr>
      <w:tblGrid>
        <w:gridCol w:w="9355"/>
      </w:tblGrid>
      <w:tr w:rsidR="00142B2B" w:rsidRPr="00E83349" w14:paraId="6A6BF111" w14:textId="77777777" w:rsidTr="004F61B2">
        <w:trPr>
          <w:trHeight w:val="260"/>
          <w:tblHeader/>
        </w:trPr>
        <w:tc>
          <w:tcPr>
            <w:tcW w:w="9355" w:type="dxa"/>
            <w:shd w:val="clear" w:color="auto" w:fill="BFBFBF" w:themeFill="background1" w:themeFillShade="BF"/>
            <w:noWrap/>
          </w:tcPr>
          <w:p w14:paraId="109976B6" w14:textId="77777777" w:rsidR="00142B2B" w:rsidRPr="001F3C01" w:rsidRDefault="00142B2B" w:rsidP="004F61B2">
            <w:pPr>
              <w:rPr>
                <w:rFonts w:eastAsia="Times New Roman"/>
                <w:b/>
                <w:color w:val="000000"/>
                <w:szCs w:val="22"/>
                <w:lang w:eastAsia="en-US"/>
              </w:rPr>
            </w:pPr>
            <w:r w:rsidRPr="001F3C01">
              <w:rPr>
                <w:rFonts w:eastAsia="Times New Roman"/>
                <w:b/>
                <w:color w:val="000000"/>
                <w:szCs w:val="22"/>
                <w:lang w:eastAsia="en-US"/>
              </w:rPr>
              <w:t xml:space="preserve">Name of </w:t>
            </w:r>
            <w:r>
              <w:rPr>
                <w:rFonts w:eastAsia="Times New Roman"/>
                <w:b/>
                <w:color w:val="000000"/>
                <w:szCs w:val="22"/>
                <w:lang w:eastAsia="en-US"/>
              </w:rPr>
              <w:t xml:space="preserve">international </w:t>
            </w:r>
            <w:r w:rsidRPr="001F3C01">
              <w:rPr>
                <w:rFonts w:eastAsia="Times New Roman"/>
                <w:b/>
                <w:color w:val="000000"/>
                <w:szCs w:val="22"/>
                <w:lang w:eastAsia="en-US"/>
              </w:rPr>
              <w:t>NGO</w:t>
            </w:r>
          </w:p>
        </w:tc>
      </w:tr>
      <w:tr w:rsidR="00142B2B" w:rsidRPr="00E83349" w14:paraId="4A98AE0B" w14:textId="77777777" w:rsidTr="004F61B2">
        <w:trPr>
          <w:trHeight w:val="260"/>
          <w:tblHeader/>
        </w:trPr>
        <w:tc>
          <w:tcPr>
            <w:tcW w:w="9355" w:type="dxa"/>
            <w:shd w:val="clear" w:color="auto" w:fill="auto"/>
            <w:noWrap/>
          </w:tcPr>
          <w:p w14:paraId="4A0C07EB" w14:textId="77777777" w:rsidR="00142B2B" w:rsidRPr="001F3C01" w:rsidRDefault="00142B2B" w:rsidP="004F61B2">
            <w:pPr>
              <w:rPr>
                <w:rFonts w:eastAsia="Times New Roman"/>
                <w:b/>
                <w:color w:val="000000"/>
                <w:szCs w:val="22"/>
                <w:lang w:eastAsia="en-US"/>
              </w:rPr>
            </w:pPr>
          </w:p>
        </w:tc>
      </w:tr>
      <w:tr w:rsidR="00142B2B" w:rsidRPr="00E83349" w14:paraId="32BB8340" w14:textId="77777777" w:rsidTr="004F61B2">
        <w:trPr>
          <w:trHeight w:val="260"/>
        </w:trPr>
        <w:tc>
          <w:tcPr>
            <w:tcW w:w="9355" w:type="dxa"/>
            <w:noWrap/>
            <w:hideMark/>
          </w:tcPr>
          <w:p w14:paraId="5E59B682"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ActionAid</w:t>
            </w:r>
          </w:p>
        </w:tc>
      </w:tr>
      <w:tr w:rsidR="00142B2B" w:rsidRPr="00E83349" w14:paraId="490DCA9B" w14:textId="77777777" w:rsidTr="004F61B2">
        <w:trPr>
          <w:trHeight w:val="260"/>
        </w:trPr>
        <w:tc>
          <w:tcPr>
            <w:tcW w:w="9355" w:type="dxa"/>
            <w:noWrap/>
            <w:hideMark/>
          </w:tcPr>
          <w:p w14:paraId="5EA708E9"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Afro-Asian Book Council</w:t>
            </w:r>
          </w:p>
        </w:tc>
      </w:tr>
      <w:tr w:rsidR="00142B2B" w:rsidRPr="00E83349" w14:paraId="10FECE48" w14:textId="77777777" w:rsidTr="004F61B2">
        <w:trPr>
          <w:trHeight w:val="260"/>
        </w:trPr>
        <w:tc>
          <w:tcPr>
            <w:tcW w:w="9355" w:type="dxa"/>
            <w:noWrap/>
            <w:hideMark/>
          </w:tcPr>
          <w:p w14:paraId="31226EBB"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Alfa-</w:t>
            </w:r>
            <w:proofErr w:type="spellStart"/>
            <w:r w:rsidRPr="00E83349">
              <w:rPr>
                <w:rFonts w:eastAsia="Times New Roman"/>
                <w:color w:val="000000"/>
                <w:szCs w:val="22"/>
                <w:lang w:eastAsia="en-US"/>
              </w:rPr>
              <w:t>Redi</w:t>
            </w:r>
            <w:proofErr w:type="spellEnd"/>
          </w:p>
        </w:tc>
      </w:tr>
      <w:tr w:rsidR="00142B2B" w:rsidRPr="00E83349" w14:paraId="1AF63645" w14:textId="77777777" w:rsidTr="004F61B2">
        <w:trPr>
          <w:trHeight w:val="260"/>
        </w:trPr>
        <w:tc>
          <w:tcPr>
            <w:tcW w:w="9355" w:type="dxa"/>
            <w:noWrap/>
            <w:hideMark/>
          </w:tcPr>
          <w:p w14:paraId="1A3C6B89"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Arab Federation for the Protection of Intellectual Property Rights</w:t>
            </w:r>
          </w:p>
        </w:tc>
      </w:tr>
      <w:tr w:rsidR="00142B2B" w:rsidRPr="00E83349" w14:paraId="1D4F5E73" w14:textId="77777777" w:rsidTr="004F61B2">
        <w:trPr>
          <w:trHeight w:val="260"/>
        </w:trPr>
        <w:tc>
          <w:tcPr>
            <w:tcW w:w="9355" w:type="dxa"/>
            <w:noWrap/>
            <w:hideMark/>
          </w:tcPr>
          <w:p w14:paraId="728CC430"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Arab Society for Intellectual Property</w:t>
            </w:r>
            <w:r>
              <w:rPr>
                <w:rFonts w:eastAsia="Times New Roman"/>
                <w:color w:val="000000"/>
                <w:szCs w:val="22"/>
                <w:lang w:eastAsia="en-US"/>
              </w:rPr>
              <w:t xml:space="preserve"> (observer status has been restored, see “Table C”)</w:t>
            </w:r>
          </w:p>
        </w:tc>
      </w:tr>
      <w:tr w:rsidR="00142B2B" w:rsidRPr="00E83349" w14:paraId="262C9902" w14:textId="77777777" w:rsidTr="004F61B2">
        <w:trPr>
          <w:trHeight w:val="260"/>
        </w:trPr>
        <w:tc>
          <w:tcPr>
            <w:tcW w:w="9355" w:type="dxa"/>
            <w:noWrap/>
            <w:hideMark/>
          </w:tcPr>
          <w:p w14:paraId="08E722BE"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Asia &amp; Pacific Internet Association</w:t>
            </w:r>
          </w:p>
        </w:tc>
      </w:tr>
      <w:tr w:rsidR="00142B2B" w:rsidRPr="00E83349" w14:paraId="6D86D25D" w14:textId="77777777" w:rsidTr="004F61B2">
        <w:trPr>
          <w:trHeight w:val="260"/>
        </w:trPr>
        <w:tc>
          <w:tcPr>
            <w:tcW w:w="9355" w:type="dxa"/>
            <w:noWrap/>
            <w:hideMark/>
          </w:tcPr>
          <w:p w14:paraId="17F6AE3B"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Association for the Protection of Industrial Property in the Arab World</w:t>
            </w:r>
          </w:p>
        </w:tc>
      </w:tr>
      <w:tr w:rsidR="00142B2B" w:rsidRPr="00E83349" w14:paraId="29FB696B" w14:textId="77777777" w:rsidTr="004F61B2">
        <w:trPr>
          <w:trHeight w:val="260"/>
        </w:trPr>
        <w:tc>
          <w:tcPr>
            <w:tcW w:w="9355" w:type="dxa"/>
            <w:noWrap/>
            <w:hideMark/>
          </w:tcPr>
          <w:p w14:paraId="68413E2E"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 xml:space="preserve">Association </w:t>
            </w:r>
            <w:proofErr w:type="spellStart"/>
            <w:r w:rsidRPr="00E83349">
              <w:rPr>
                <w:rFonts w:eastAsia="Times New Roman"/>
                <w:color w:val="000000"/>
                <w:szCs w:val="22"/>
                <w:lang w:eastAsia="en-US"/>
              </w:rPr>
              <w:t>IQSensato</w:t>
            </w:r>
            <w:proofErr w:type="spellEnd"/>
          </w:p>
        </w:tc>
      </w:tr>
      <w:tr w:rsidR="00142B2B" w:rsidRPr="00E83349" w14:paraId="233FFACA" w14:textId="77777777" w:rsidTr="004F61B2">
        <w:trPr>
          <w:trHeight w:val="260"/>
        </w:trPr>
        <w:tc>
          <w:tcPr>
            <w:tcW w:w="9355" w:type="dxa"/>
            <w:noWrap/>
            <w:hideMark/>
          </w:tcPr>
          <w:p w14:paraId="2D07E745"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Association of European Radios</w:t>
            </w:r>
          </w:p>
        </w:tc>
      </w:tr>
      <w:tr w:rsidR="00142B2B" w:rsidRPr="008E4D8E" w14:paraId="4C49EA5B" w14:textId="77777777" w:rsidTr="004F61B2">
        <w:trPr>
          <w:trHeight w:val="260"/>
        </w:trPr>
        <w:tc>
          <w:tcPr>
            <w:tcW w:w="9355" w:type="dxa"/>
            <w:noWrap/>
            <w:hideMark/>
          </w:tcPr>
          <w:p w14:paraId="6884DE1D" w14:textId="77777777" w:rsidR="00142B2B" w:rsidRPr="00E83349" w:rsidRDefault="00142B2B" w:rsidP="004F61B2">
            <w:pPr>
              <w:rPr>
                <w:rFonts w:eastAsia="Times New Roman"/>
                <w:color w:val="000000"/>
                <w:szCs w:val="22"/>
                <w:lang w:val="fr-CA" w:eastAsia="en-US"/>
              </w:rPr>
            </w:pPr>
            <w:r w:rsidRPr="00E83349">
              <w:rPr>
                <w:rFonts w:eastAsia="Times New Roman"/>
                <w:color w:val="000000"/>
                <w:szCs w:val="22"/>
                <w:lang w:val="fr-CA" w:eastAsia="en-US"/>
              </w:rPr>
              <w:t>Association pour la promotion de la propriété intellectuelle en Afrique</w:t>
            </w:r>
          </w:p>
        </w:tc>
      </w:tr>
      <w:tr w:rsidR="00142B2B" w:rsidRPr="00E83349" w14:paraId="72319601" w14:textId="77777777" w:rsidTr="004F61B2">
        <w:trPr>
          <w:trHeight w:val="260"/>
        </w:trPr>
        <w:tc>
          <w:tcPr>
            <w:tcW w:w="9355" w:type="dxa"/>
            <w:noWrap/>
            <w:hideMark/>
          </w:tcPr>
          <w:p w14:paraId="4AB08D82"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Caribbean Broadcasting Union</w:t>
            </w:r>
          </w:p>
        </w:tc>
      </w:tr>
      <w:tr w:rsidR="00142B2B" w:rsidRPr="00E83349" w14:paraId="11767DA3" w14:textId="77777777" w:rsidTr="004F61B2">
        <w:trPr>
          <w:trHeight w:val="260"/>
        </w:trPr>
        <w:tc>
          <w:tcPr>
            <w:tcW w:w="9355" w:type="dxa"/>
            <w:noWrap/>
            <w:hideMark/>
          </w:tcPr>
          <w:p w14:paraId="7354A623"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Centre for Innovation Law and Policy</w:t>
            </w:r>
          </w:p>
        </w:tc>
      </w:tr>
      <w:tr w:rsidR="00142B2B" w:rsidRPr="00E83349" w14:paraId="6C2E2E8F" w14:textId="77777777" w:rsidTr="004F61B2">
        <w:trPr>
          <w:trHeight w:val="260"/>
        </w:trPr>
        <w:tc>
          <w:tcPr>
            <w:tcW w:w="9355" w:type="dxa"/>
            <w:noWrap/>
            <w:hideMark/>
          </w:tcPr>
          <w:p w14:paraId="09BE7F81"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Coalition for Intellectual Property Rights</w:t>
            </w:r>
          </w:p>
        </w:tc>
      </w:tr>
      <w:tr w:rsidR="00142B2B" w:rsidRPr="00E83349" w14:paraId="6AD0988E" w14:textId="77777777" w:rsidTr="004F61B2">
        <w:trPr>
          <w:trHeight w:val="260"/>
        </w:trPr>
        <w:tc>
          <w:tcPr>
            <w:tcW w:w="9355" w:type="dxa"/>
            <w:noWrap/>
            <w:hideMark/>
          </w:tcPr>
          <w:p w14:paraId="42BD14B7"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Committee of National Institutes of Intellectual Property Attorneys</w:t>
            </w:r>
          </w:p>
        </w:tc>
      </w:tr>
      <w:tr w:rsidR="00142B2B" w:rsidRPr="00E83349" w14:paraId="4F20487B" w14:textId="77777777" w:rsidTr="004F61B2">
        <w:trPr>
          <w:trHeight w:val="260"/>
        </w:trPr>
        <w:tc>
          <w:tcPr>
            <w:tcW w:w="9355" w:type="dxa"/>
            <w:noWrap/>
            <w:hideMark/>
          </w:tcPr>
          <w:p w14:paraId="5F7964E3"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Computer Professionals for Social Responsibility</w:t>
            </w:r>
          </w:p>
        </w:tc>
      </w:tr>
      <w:tr w:rsidR="00142B2B" w:rsidRPr="008E4D8E" w14:paraId="4ADC11C1" w14:textId="77777777" w:rsidTr="004F61B2">
        <w:trPr>
          <w:trHeight w:val="260"/>
        </w:trPr>
        <w:tc>
          <w:tcPr>
            <w:tcW w:w="9355" w:type="dxa"/>
            <w:noWrap/>
            <w:hideMark/>
          </w:tcPr>
          <w:p w14:paraId="248985BB" w14:textId="77777777" w:rsidR="00142B2B" w:rsidRPr="00E83349" w:rsidRDefault="00142B2B" w:rsidP="004F61B2">
            <w:pPr>
              <w:rPr>
                <w:rFonts w:eastAsia="Times New Roman"/>
                <w:color w:val="000000"/>
                <w:szCs w:val="22"/>
                <w:lang w:val="fr-CA" w:eastAsia="en-US"/>
              </w:rPr>
            </w:pPr>
            <w:r w:rsidRPr="00E83349">
              <w:rPr>
                <w:rFonts w:eastAsia="Times New Roman"/>
                <w:color w:val="000000"/>
                <w:szCs w:val="22"/>
                <w:lang w:val="fr-CA" w:eastAsia="en-US"/>
              </w:rPr>
              <w:t>Conseil francophone de la chanson</w:t>
            </w:r>
          </w:p>
        </w:tc>
      </w:tr>
      <w:tr w:rsidR="00142B2B" w:rsidRPr="00E83349" w14:paraId="1893C79A" w14:textId="77777777" w:rsidTr="004F61B2">
        <w:trPr>
          <w:trHeight w:val="260"/>
        </w:trPr>
        <w:tc>
          <w:tcPr>
            <w:tcW w:w="9355" w:type="dxa"/>
            <w:noWrap/>
            <w:hideMark/>
          </w:tcPr>
          <w:p w14:paraId="77A1E324"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Consumers International</w:t>
            </w:r>
          </w:p>
        </w:tc>
      </w:tr>
      <w:tr w:rsidR="00142B2B" w:rsidRPr="008E4D8E" w14:paraId="295E5F74" w14:textId="77777777" w:rsidTr="004F61B2">
        <w:trPr>
          <w:trHeight w:val="260"/>
        </w:trPr>
        <w:tc>
          <w:tcPr>
            <w:tcW w:w="9355" w:type="dxa"/>
            <w:noWrap/>
            <w:hideMark/>
          </w:tcPr>
          <w:p w14:paraId="785D2B98" w14:textId="77777777" w:rsidR="00142B2B" w:rsidRPr="00E83349" w:rsidRDefault="00142B2B" w:rsidP="004F61B2">
            <w:pPr>
              <w:rPr>
                <w:rFonts w:eastAsia="Times New Roman"/>
                <w:color w:val="000000"/>
                <w:szCs w:val="22"/>
                <w:lang w:val="fr-CA" w:eastAsia="en-US"/>
              </w:rPr>
            </w:pPr>
            <w:proofErr w:type="spellStart"/>
            <w:r w:rsidRPr="00E83349">
              <w:rPr>
                <w:rFonts w:eastAsia="Times New Roman"/>
                <w:color w:val="000000"/>
                <w:szCs w:val="22"/>
                <w:lang w:val="fr-CA" w:eastAsia="en-US"/>
              </w:rPr>
              <w:t>Entidad</w:t>
            </w:r>
            <w:proofErr w:type="spellEnd"/>
            <w:r w:rsidRPr="00E83349">
              <w:rPr>
                <w:rFonts w:eastAsia="Times New Roman"/>
                <w:color w:val="000000"/>
                <w:szCs w:val="22"/>
                <w:lang w:val="fr-CA" w:eastAsia="en-US"/>
              </w:rPr>
              <w:t xml:space="preserve"> de </w:t>
            </w:r>
            <w:proofErr w:type="spellStart"/>
            <w:r w:rsidRPr="00E83349">
              <w:rPr>
                <w:rFonts w:eastAsia="Times New Roman"/>
                <w:color w:val="000000"/>
                <w:szCs w:val="22"/>
                <w:lang w:val="fr-CA" w:eastAsia="en-US"/>
              </w:rPr>
              <w:t>Gestión</w:t>
            </w:r>
            <w:proofErr w:type="spellEnd"/>
            <w:r w:rsidRPr="00E83349">
              <w:rPr>
                <w:rFonts w:eastAsia="Times New Roman"/>
                <w:color w:val="000000"/>
                <w:szCs w:val="22"/>
                <w:lang w:val="fr-CA" w:eastAsia="en-US"/>
              </w:rPr>
              <w:t xml:space="preserve"> de </w:t>
            </w:r>
            <w:proofErr w:type="spellStart"/>
            <w:r w:rsidRPr="00E83349">
              <w:rPr>
                <w:rFonts w:eastAsia="Times New Roman"/>
                <w:color w:val="000000"/>
                <w:szCs w:val="22"/>
                <w:lang w:val="fr-CA" w:eastAsia="en-US"/>
              </w:rPr>
              <w:t>Derechos</w:t>
            </w:r>
            <w:proofErr w:type="spellEnd"/>
            <w:r w:rsidRPr="00E83349">
              <w:rPr>
                <w:rFonts w:eastAsia="Times New Roman"/>
                <w:color w:val="000000"/>
                <w:szCs w:val="22"/>
                <w:lang w:val="fr-CA" w:eastAsia="en-US"/>
              </w:rPr>
              <w:t xml:space="preserve"> de los </w:t>
            </w:r>
            <w:proofErr w:type="spellStart"/>
            <w:r w:rsidRPr="00E83349">
              <w:rPr>
                <w:rFonts w:eastAsia="Times New Roman"/>
                <w:color w:val="000000"/>
                <w:szCs w:val="22"/>
                <w:lang w:val="fr-CA" w:eastAsia="en-US"/>
              </w:rPr>
              <w:t>Productores</w:t>
            </w:r>
            <w:proofErr w:type="spellEnd"/>
            <w:r w:rsidRPr="00E83349">
              <w:rPr>
                <w:rFonts w:eastAsia="Times New Roman"/>
                <w:color w:val="000000"/>
                <w:szCs w:val="22"/>
                <w:lang w:val="fr-CA" w:eastAsia="en-US"/>
              </w:rPr>
              <w:t xml:space="preserve"> </w:t>
            </w:r>
            <w:proofErr w:type="spellStart"/>
            <w:r w:rsidRPr="00E83349">
              <w:rPr>
                <w:rFonts w:eastAsia="Times New Roman"/>
                <w:color w:val="000000"/>
                <w:szCs w:val="22"/>
                <w:lang w:val="fr-CA" w:eastAsia="en-US"/>
              </w:rPr>
              <w:t>Audiovisuales</w:t>
            </w:r>
            <w:proofErr w:type="spellEnd"/>
          </w:p>
        </w:tc>
      </w:tr>
      <w:tr w:rsidR="00142B2B" w:rsidRPr="00E83349" w14:paraId="7995FB94" w14:textId="77777777" w:rsidTr="004F61B2">
        <w:trPr>
          <w:trHeight w:val="260"/>
        </w:trPr>
        <w:tc>
          <w:tcPr>
            <w:tcW w:w="9355" w:type="dxa"/>
            <w:noWrap/>
            <w:hideMark/>
          </w:tcPr>
          <w:p w14:paraId="2480BB16"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Alliance of Press Agencies</w:t>
            </w:r>
          </w:p>
        </w:tc>
      </w:tr>
      <w:tr w:rsidR="00142B2B" w:rsidRPr="00E83349" w14:paraId="2345C409" w14:textId="77777777" w:rsidTr="004F61B2">
        <w:trPr>
          <w:trHeight w:val="260"/>
        </w:trPr>
        <w:tc>
          <w:tcPr>
            <w:tcW w:w="9355" w:type="dxa"/>
            <w:noWrap/>
            <w:hideMark/>
          </w:tcPr>
          <w:p w14:paraId="09E14CA3"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Cable Communications Association</w:t>
            </w:r>
          </w:p>
        </w:tc>
      </w:tr>
      <w:tr w:rsidR="00142B2B" w:rsidRPr="00E83349" w14:paraId="77E7EA21" w14:textId="77777777" w:rsidTr="004F61B2">
        <w:trPr>
          <w:trHeight w:val="260"/>
        </w:trPr>
        <w:tc>
          <w:tcPr>
            <w:tcW w:w="9355" w:type="dxa"/>
            <w:noWrap/>
            <w:hideMark/>
          </w:tcPr>
          <w:p w14:paraId="467E574C"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Composer and Songwriter Alliance</w:t>
            </w:r>
          </w:p>
        </w:tc>
      </w:tr>
      <w:tr w:rsidR="00142B2B" w:rsidRPr="00E83349" w14:paraId="0B610484" w14:textId="77777777" w:rsidTr="004F61B2">
        <w:trPr>
          <w:trHeight w:val="260"/>
        </w:trPr>
        <w:tc>
          <w:tcPr>
            <w:tcW w:w="9355" w:type="dxa"/>
            <w:noWrap/>
            <w:hideMark/>
          </w:tcPr>
          <w:p w14:paraId="170DE6EE"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Consumers' Organization</w:t>
            </w:r>
          </w:p>
        </w:tc>
      </w:tr>
      <w:tr w:rsidR="00142B2B" w:rsidRPr="00E83349" w14:paraId="5565A873" w14:textId="77777777" w:rsidTr="004F61B2">
        <w:trPr>
          <w:trHeight w:val="260"/>
        </w:trPr>
        <w:tc>
          <w:tcPr>
            <w:tcW w:w="9355" w:type="dxa"/>
            <w:noWrap/>
            <w:hideMark/>
          </w:tcPr>
          <w:p w14:paraId="23F6FD71"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Council of American Chambers of Commerce</w:t>
            </w:r>
          </w:p>
        </w:tc>
      </w:tr>
      <w:tr w:rsidR="00142B2B" w:rsidRPr="00E83349" w14:paraId="5D766EAA" w14:textId="77777777" w:rsidTr="004F61B2">
        <w:trPr>
          <w:trHeight w:val="260"/>
        </w:trPr>
        <w:tc>
          <w:tcPr>
            <w:tcW w:w="9355" w:type="dxa"/>
            <w:noWrap/>
            <w:hideMark/>
          </w:tcPr>
          <w:p w14:paraId="37FC19CC"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Crop Protection Association</w:t>
            </w:r>
          </w:p>
        </w:tc>
      </w:tr>
      <w:tr w:rsidR="00142B2B" w:rsidRPr="00E83349" w14:paraId="0E434559" w14:textId="77777777" w:rsidTr="004F61B2">
        <w:trPr>
          <w:trHeight w:val="260"/>
        </w:trPr>
        <w:tc>
          <w:tcPr>
            <w:tcW w:w="9355" w:type="dxa"/>
            <w:noWrap/>
            <w:hideMark/>
          </w:tcPr>
          <w:p w14:paraId="23805B82"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Federation of Agents of Industry in Industrial Property</w:t>
            </w:r>
          </w:p>
        </w:tc>
      </w:tr>
      <w:tr w:rsidR="00142B2B" w:rsidRPr="00E83349" w14:paraId="2A88140D" w14:textId="77777777" w:rsidTr="004F61B2">
        <w:trPr>
          <w:trHeight w:val="260"/>
        </w:trPr>
        <w:tc>
          <w:tcPr>
            <w:tcW w:w="9355" w:type="dxa"/>
            <w:noWrap/>
            <w:hideMark/>
          </w:tcPr>
          <w:p w14:paraId="45C826DF"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Film Companies Alliance</w:t>
            </w:r>
          </w:p>
        </w:tc>
      </w:tr>
      <w:tr w:rsidR="00142B2B" w:rsidRPr="00E83349" w14:paraId="67A2EA49" w14:textId="77777777" w:rsidTr="004F61B2">
        <w:trPr>
          <w:trHeight w:val="275"/>
        </w:trPr>
        <w:tc>
          <w:tcPr>
            <w:tcW w:w="9355" w:type="dxa"/>
            <w:noWrap/>
            <w:hideMark/>
          </w:tcPr>
          <w:p w14:paraId="417604CC"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Generic medicines Association</w:t>
            </w:r>
          </w:p>
        </w:tc>
      </w:tr>
      <w:tr w:rsidR="00142B2B" w:rsidRPr="00E83349" w14:paraId="3B4EDE94" w14:textId="77777777" w:rsidTr="004F61B2">
        <w:trPr>
          <w:trHeight w:val="260"/>
        </w:trPr>
        <w:tc>
          <w:tcPr>
            <w:tcW w:w="9355" w:type="dxa"/>
            <w:noWrap/>
            <w:hideMark/>
          </w:tcPr>
          <w:p w14:paraId="7002ED19"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Industrial Research Management Association</w:t>
            </w:r>
          </w:p>
        </w:tc>
      </w:tr>
      <w:tr w:rsidR="00142B2B" w:rsidRPr="00E83349" w14:paraId="16FEE1E1" w14:textId="77777777" w:rsidTr="004F61B2">
        <w:trPr>
          <w:trHeight w:val="260"/>
        </w:trPr>
        <w:tc>
          <w:tcPr>
            <w:tcW w:w="9355" w:type="dxa"/>
            <w:noWrap/>
            <w:hideMark/>
          </w:tcPr>
          <w:p w14:paraId="5BBDAF67"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Information and Communications Technology Industry Association</w:t>
            </w:r>
          </w:p>
        </w:tc>
      </w:tr>
      <w:tr w:rsidR="00142B2B" w:rsidRPr="00E83349" w14:paraId="7A6B3C7E" w14:textId="77777777" w:rsidTr="004F61B2">
        <w:trPr>
          <w:trHeight w:val="260"/>
        </w:trPr>
        <w:tc>
          <w:tcPr>
            <w:tcW w:w="9355" w:type="dxa"/>
            <w:noWrap/>
            <w:hideMark/>
          </w:tcPr>
          <w:p w14:paraId="4B2C37F3"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European Tape Industry Council</w:t>
            </w:r>
          </w:p>
        </w:tc>
      </w:tr>
      <w:tr w:rsidR="00142B2B" w:rsidRPr="00E83349" w14:paraId="3B63C755" w14:textId="77777777" w:rsidTr="004F61B2">
        <w:trPr>
          <w:trHeight w:val="260"/>
        </w:trPr>
        <w:tc>
          <w:tcPr>
            <w:tcW w:w="9355" w:type="dxa"/>
            <w:noWrap/>
            <w:hideMark/>
          </w:tcPr>
          <w:p w14:paraId="7EFC9818"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Federation of European Audiovisual Directors</w:t>
            </w:r>
          </w:p>
        </w:tc>
      </w:tr>
      <w:tr w:rsidR="00142B2B" w:rsidRPr="00E83349" w14:paraId="0153C00A" w14:textId="77777777" w:rsidTr="004F61B2">
        <w:trPr>
          <w:trHeight w:val="260"/>
        </w:trPr>
        <w:tc>
          <w:tcPr>
            <w:tcW w:w="9355" w:type="dxa"/>
            <w:noWrap/>
            <w:hideMark/>
          </w:tcPr>
          <w:p w14:paraId="7DE2D008"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Federation of Scriptwriters in Europe</w:t>
            </w:r>
          </w:p>
        </w:tc>
      </w:tr>
      <w:tr w:rsidR="00142B2B" w:rsidRPr="00E83349" w14:paraId="2C473416" w14:textId="77777777" w:rsidTr="004F61B2">
        <w:trPr>
          <w:trHeight w:val="260"/>
        </w:trPr>
        <w:tc>
          <w:tcPr>
            <w:tcW w:w="9355" w:type="dxa"/>
            <w:noWrap/>
            <w:hideMark/>
          </w:tcPr>
          <w:p w14:paraId="04FB004D"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Foundation for a Free Information Infrastructure</w:t>
            </w:r>
          </w:p>
        </w:tc>
      </w:tr>
      <w:tr w:rsidR="00142B2B" w:rsidRPr="00E83349" w14:paraId="73460CF9" w14:textId="77777777" w:rsidTr="004F61B2">
        <w:trPr>
          <w:trHeight w:val="260"/>
        </w:trPr>
        <w:tc>
          <w:tcPr>
            <w:tcW w:w="9355" w:type="dxa"/>
            <w:noWrap/>
            <w:hideMark/>
          </w:tcPr>
          <w:p w14:paraId="42A5F21D" w14:textId="77777777" w:rsidR="00142B2B" w:rsidRPr="00E83349" w:rsidRDefault="00142B2B" w:rsidP="004F61B2">
            <w:pPr>
              <w:rPr>
                <w:rFonts w:eastAsia="Times New Roman"/>
                <w:color w:val="000000"/>
                <w:szCs w:val="22"/>
                <w:lang w:eastAsia="en-US"/>
              </w:rPr>
            </w:pPr>
            <w:proofErr w:type="spellStart"/>
            <w:r w:rsidRPr="00E83349">
              <w:rPr>
                <w:rFonts w:eastAsia="Times New Roman"/>
                <w:color w:val="000000"/>
                <w:szCs w:val="22"/>
                <w:lang w:eastAsia="en-US"/>
              </w:rPr>
              <w:t>Hipatia</w:t>
            </w:r>
            <w:proofErr w:type="spellEnd"/>
            <w:r w:rsidRPr="00E83349">
              <w:rPr>
                <w:rFonts w:eastAsia="Times New Roman"/>
                <w:color w:val="000000"/>
                <w:szCs w:val="22"/>
                <w:lang w:eastAsia="en-US"/>
              </w:rPr>
              <w:t xml:space="preserve"> Cultural Association</w:t>
            </w:r>
          </w:p>
        </w:tc>
      </w:tr>
      <w:tr w:rsidR="00142B2B" w:rsidRPr="00E83349" w14:paraId="20EC43EF" w14:textId="77777777" w:rsidTr="004F61B2">
        <w:trPr>
          <w:trHeight w:val="260"/>
        </w:trPr>
        <w:tc>
          <w:tcPr>
            <w:tcW w:w="9355" w:type="dxa"/>
            <w:noWrap/>
            <w:hideMark/>
          </w:tcPr>
          <w:p w14:paraId="616CAB16" w14:textId="77777777" w:rsidR="00142B2B" w:rsidRPr="00E83349" w:rsidRDefault="00142B2B" w:rsidP="004F61B2">
            <w:pPr>
              <w:rPr>
                <w:rFonts w:eastAsia="Times New Roman"/>
                <w:color w:val="000000"/>
                <w:szCs w:val="22"/>
                <w:lang w:eastAsia="en-US"/>
              </w:rPr>
            </w:pPr>
            <w:proofErr w:type="spellStart"/>
            <w:r w:rsidRPr="00E83349">
              <w:rPr>
                <w:rFonts w:eastAsia="Times New Roman"/>
                <w:color w:val="000000"/>
                <w:szCs w:val="22"/>
                <w:lang w:eastAsia="en-US"/>
              </w:rPr>
              <w:t>Ibero</w:t>
            </w:r>
            <w:proofErr w:type="spellEnd"/>
            <w:r w:rsidRPr="00E83349">
              <w:rPr>
                <w:rFonts w:eastAsia="Times New Roman"/>
                <w:color w:val="000000"/>
                <w:szCs w:val="22"/>
                <w:lang w:eastAsia="en-US"/>
              </w:rPr>
              <w:t>-American Television Organization</w:t>
            </w:r>
          </w:p>
        </w:tc>
      </w:tr>
      <w:tr w:rsidR="00142B2B" w:rsidRPr="00E83349" w14:paraId="76C5E26C" w14:textId="77777777" w:rsidTr="004F61B2">
        <w:trPr>
          <w:trHeight w:val="260"/>
        </w:trPr>
        <w:tc>
          <w:tcPr>
            <w:tcW w:w="9355" w:type="dxa"/>
            <w:noWrap/>
            <w:hideMark/>
          </w:tcPr>
          <w:p w14:paraId="22F6F29B"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Independent Film Producers International Association</w:t>
            </w:r>
          </w:p>
        </w:tc>
      </w:tr>
      <w:tr w:rsidR="00142B2B" w:rsidRPr="00E83349" w14:paraId="3E801B2A" w14:textId="77777777" w:rsidTr="004F61B2">
        <w:trPr>
          <w:trHeight w:val="260"/>
        </w:trPr>
        <w:tc>
          <w:tcPr>
            <w:tcW w:w="9355" w:type="dxa"/>
            <w:noWrap/>
            <w:hideMark/>
          </w:tcPr>
          <w:p w14:paraId="208C3954" w14:textId="77777777" w:rsidR="00142B2B" w:rsidRPr="00E83349" w:rsidRDefault="00142B2B" w:rsidP="004F61B2">
            <w:pPr>
              <w:rPr>
                <w:rFonts w:eastAsia="Times New Roman"/>
                <w:color w:val="000000"/>
                <w:szCs w:val="22"/>
                <w:lang w:eastAsia="en-US"/>
              </w:rPr>
            </w:pPr>
            <w:proofErr w:type="spellStart"/>
            <w:r w:rsidRPr="00E83349">
              <w:rPr>
                <w:rFonts w:eastAsia="Times New Roman"/>
                <w:color w:val="000000"/>
                <w:szCs w:val="22"/>
                <w:lang w:eastAsia="en-US"/>
              </w:rPr>
              <w:t>Institut</w:t>
            </w:r>
            <w:proofErr w:type="spellEnd"/>
            <w:r w:rsidRPr="00E83349">
              <w:rPr>
                <w:rFonts w:eastAsia="Times New Roman"/>
                <w:color w:val="000000"/>
                <w:szCs w:val="22"/>
                <w:lang w:eastAsia="en-US"/>
              </w:rPr>
              <w:t xml:space="preserve"> de droit </w:t>
            </w:r>
            <w:proofErr w:type="spellStart"/>
            <w:r w:rsidRPr="00E83349">
              <w:rPr>
                <w:rFonts w:eastAsia="Times New Roman"/>
                <w:color w:val="000000"/>
                <w:szCs w:val="22"/>
                <w:lang w:eastAsia="en-US"/>
              </w:rPr>
              <w:t>communautaire</w:t>
            </w:r>
            <w:proofErr w:type="spellEnd"/>
          </w:p>
        </w:tc>
      </w:tr>
      <w:tr w:rsidR="00142B2B" w:rsidRPr="00E83349" w14:paraId="1482CF32" w14:textId="77777777" w:rsidTr="004F61B2">
        <w:trPr>
          <w:trHeight w:val="275"/>
        </w:trPr>
        <w:tc>
          <w:tcPr>
            <w:tcW w:w="9355" w:type="dxa"/>
            <w:noWrap/>
            <w:hideMark/>
          </w:tcPr>
          <w:p w14:paraId="539EF751"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Advertising Association</w:t>
            </w:r>
          </w:p>
        </w:tc>
      </w:tr>
      <w:tr w:rsidR="00142B2B" w:rsidRPr="00E83349" w14:paraId="116800D0" w14:textId="77777777" w:rsidTr="004F61B2">
        <w:trPr>
          <w:trHeight w:val="260"/>
        </w:trPr>
        <w:tc>
          <w:tcPr>
            <w:tcW w:w="9355" w:type="dxa"/>
            <w:noWrap/>
            <w:hideMark/>
          </w:tcPr>
          <w:p w14:paraId="795372CC"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Air Transport Association</w:t>
            </w:r>
          </w:p>
        </w:tc>
      </w:tr>
      <w:tr w:rsidR="00142B2B" w:rsidRPr="00E83349" w14:paraId="6DF468FF" w14:textId="77777777" w:rsidTr="004F61B2">
        <w:trPr>
          <w:trHeight w:val="260"/>
        </w:trPr>
        <w:tc>
          <w:tcPr>
            <w:tcW w:w="9355" w:type="dxa"/>
            <w:noWrap/>
            <w:hideMark/>
          </w:tcPr>
          <w:p w14:paraId="5DF3D30C"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Alliance of Orchestra Associations</w:t>
            </w:r>
          </w:p>
        </w:tc>
      </w:tr>
      <w:tr w:rsidR="00142B2B" w:rsidRPr="00E83349" w14:paraId="6FBC466D" w14:textId="77777777" w:rsidTr="004F61B2">
        <w:trPr>
          <w:trHeight w:val="260"/>
        </w:trPr>
        <w:tc>
          <w:tcPr>
            <w:tcW w:w="9355" w:type="dxa"/>
            <w:noWrap/>
            <w:hideMark/>
          </w:tcPr>
          <w:p w14:paraId="546CDF38"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 xml:space="preserve">International </w:t>
            </w:r>
            <w:proofErr w:type="spellStart"/>
            <w:r w:rsidRPr="00E83349">
              <w:rPr>
                <w:rFonts w:eastAsia="Times New Roman"/>
                <w:color w:val="000000"/>
                <w:szCs w:val="22"/>
                <w:lang w:eastAsia="en-US"/>
              </w:rPr>
              <w:t>Anticounterfeiting</w:t>
            </w:r>
            <w:proofErr w:type="spellEnd"/>
            <w:r w:rsidRPr="00E83349">
              <w:rPr>
                <w:rFonts w:eastAsia="Times New Roman"/>
                <w:color w:val="000000"/>
                <w:szCs w:val="22"/>
                <w:lang w:eastAsia="en-US"/>
              </w:rPr>
              <w:t xml:space="preserve"> Coalition, Inc.</w:t>
            </w:r>
          </w:p>
        </w:tc>
      </w:tr>
      <w:tr w:rsidR="00142B2B" w:rsidRPr="00E83349" w14:paraId="4115621F" w14:textId="77777777" w:rsidTr="004F61B2">
        <w:trPr>
          <w:trHeight w:val="260"/>
        </w:trPr>
        <w:tc>
          <w:tcPr>
            <w:tcW w:w="9355" w:type="dxa"/>
            <w:noWrap/>
            <w:hideMark/>
          </w:tcPr>
          <w:p w14:paraId="24E6B0B2"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Association for Mass Communication Research</w:t>
            </w:r>
          </w:p>
        </w:tc>
      </w:tr>
      <w:tr w:rsidR="00142B2B" w:rsidRPr="00E83349" w14:paraId="0C9A52E7" w14:textId="77777777" w:rsidTr="004F61B2">
        <w:trPr>
          <w:trHeight w:val="260"/>
        </w:trPr>
        <w:tc>
          <w:tcPr>
            <w:tcW w:w="9355" w:type="dxa"/>
            <w:noWrap/>
            <w:hideMark/>
          </w:tcPr>
          <w:p w14:paraId="6C6227B6"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Association of Art</w:t>
            </w:r>
          </w:p>
        </w:tc>
      </w:tr>
      <w:tr w:rsidR="00142B2B" w:rsidRPr="00E83349" w14:paraId="03460086" w14:textId="77777777" w:rsidTr="004F61B2">
        <w:trPr>
          <w:trHeight w:val="260"/>
        </w:trPr>
        <w:tc>
          <w:tcPr>
            <w:tcW w:w="9355" w:type="dxa"/>
            <w:noWrap/>
            <w:hideMark/>
          </w:tcPr>
          <w:p w14:paraId="176B1D0C"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Association of Authors of Comics and Cartoons</w:t>
            </w:r>
          </w:p>
        </w:tc>
      </w:tr>
      <w:tr w:rsidR="00142B2B" w:rsidRPr="00E83349" w14:paraId="1179910A" w14:textId="77777777" w:rsidTr="004F61B2">
        <w:trPr>
          <w:trHeight w:val="260"/>
        </w:trPr>
        <w:tc>
          <w:tcPr>
            <w:tcW w:w="9355" w:type="dxa"/>
            <w:noWrap/>
            <w:hideMark/>
          </w:tcPr>
          <w:p w14:paraId="2F8EB9C5"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Association of Conference Interpreters</w:t>
            </w:r>
          </w:p>
        </w:tc>
      </w:tr>
      <w:tr w:rsidR="00142B2B" w:rsidRPr="00E83349" w14:paraId="3384B5C0" w14:textId="77777777" w:rsidTr="004F61B2">
        <w:trPr>
          <w:trHeight w:val="260"/>
        </w:trPr>
        <w:tc>
          <w:tcPr>
            <w:tcW w:w="9355" w:type="dxa"/>
            <w:noWrap/>
            <w:hideMark/>
          </w:tcPr>
          <w:p w14:paraId="7FBDE846"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Association of Entertainment Lawyers</w:t>
            </w:r>
          </w:p>
        </w:tc>
      </w:tr>
      <w:tr w:rsidR="00142B2B" w:rsidRPr="00E83349" w14:paraId="1A8D821F" w14:textId="77777777" w:rsidTr="004F61B2">
        <w:trPr>
          <w:trHeight w:val="260"/>
        </w:trPr>
        <w:tc>
          <w:tcPr>
            <w:tcW w:w="9355" w:type="dxa"/>
            <w:noWrap/>
            <w:hideMark/>
          </w:tcPr>
          <w:p w14:paraId="053D4505"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Association of IT Lawyers</w:t>
            </w:r>
          </w:p>
        </w:tc>
      </w:tr>
      <w:tr w:rsidR="00142B2B" w:rsidRPr="00E83349" w14:paraId="5697CBEE" w14:textId="77777777" w:rsidTr="004F61B2">
        <w:trPr>
          <w:trHeight w:val="260"/>
        </w:trPr>
        <w:tc>
          <w:tcPr>
            <w:tcW w:w="9355" w:type="dxa"/>
            <w:noWrap/>
            <w:hideMark/>
          </w:tcPr>
          <w:p w14:paraId="41C5A6AB"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Association of Lawyers</w:t>
            </w:r>
          </w:p>
        </w:tc>
      </w:tr>
      <w:tr w:rsidR="00142B2B" w:rsidRPr="00E83349" w14:paraId="34BF173A" w14:textId="77777777" w:rsidTr="004F61B2">
        <w:trPr>
          <w:trHeight w:val="260"/>
        </w:trPr>
        <w:tc>
          <w:tcPr>
            <w:tcW w:w="9355" w:type="dxa"/>
            <w:noWrap/>
            <w:hideMark/>
          </w:tcPr>
          <w:p w14:paraId="18775330"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Commission of Jurists</w:t>
            </w:r>
          </w:p>
        </w:tc>
      </w:tr>
      <w:tr w:rsidR="00142B2B" w:rsidRPr="00E83349" w14:paraId="4CBF1F17" w14:textId="77777777" w:rsidTr="004F61B2">
        <w:trPr>
          <w:trHeight w:val="260"/>
        </w:trPr>
        <w:tc>
          <w:tcPr>
            <w:tcW w:w="9355" w:type="dxa"/>
            <w:noWrap/>
            <w:hideMark/>
          </w:tcPr>
          <w:p w14:paraId="21EAEE27"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lastRenderedPageBreak/>
              <w:t>International Communications Round Table</w:t>
            </w:r>
          </w:p>
        </w:tc>
      </w:tr>
      <w:tr w:rsidR="00142B2B" w:rsidRPr="00E83349" w14:paraId="59373774" w14:textId="77777777" w:rsidTr="004F61B2">
        <w:trPr>
          <w:trHeight w:val="260"/>
        </w:trPr>
        <w:tc>
          <w:tcPr>
            <w:tcW w:w="9355" w:type="dxa"/>
            <w:noWrap/>
            <w:hideMark/>
          </w:tcPr>
          <w:p w14:paraId="5B1895C9"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Confederation of Professional and Intellectual Workers</w:t>
            </w:r>
          </w:p>
        </w:tc>
      </w:tr>
      <w:tr w:rsidR="00142B2B" w:rsidRPr="00E83349" w14:paraId="4DF8A96B" w14:textId="77777777" w:rsidTr="004F61B2">
        <w:trPr>
          <w:trHeight w:val="260"/>
        </w:trPr>
        <w:tc>
          <w:tcPr>
            <w:tcW w:w="9355" w:type="dxa"/>
            <w:noWrap/>
            <w:hideMark/>
          </w:tcPr>
          <w:p w14:paraId="36574B83"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Copyright Society</w:t>
            </w:r>
          </w:p>
        </w:tc>
      </w:tr>
      <w:tr w:rsidR="00142B2B" w:rsidRPr="00E83349" w14:paraId="25643E10" w14:textId="77777777" w:rsidTr="004F61B2">
        <w:trPr>
          <w:trHeight w:val="260"/>
        </w:trPr>
        <w:tc>
          <w:tcPr>
            <w:tcW w:w="9355" w:type="dxa"/>
            <w:noWrap/>
            <w:hideMark/>
          </w:tcPr>
          <w:p w14:paraId="57885CFD"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Dance Council</w:t>
            </w:r>
          </w:p>
        </w:tc>
      </w:tr>
      <w:tr w:rsidR="00142B2B" w:rsidRPr="00E83349" w14:paraId="4F87CBBD" w14:textId="77777777" w:rsidTr="004F61B2">
        <w:trPr>
          <w:trHeight w:val="260"/>
        </w:trPr>
        <w:tc>
          <w:tcPr>
            <w:tcW w:w="9355" w:type="dxa"/>
            <w:noWrap/>
            <w:hideMark/>
          </w:tcPr>
          <w:p w14:paraId="11ADB1B9"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Federation of Associations of Film Distributors</w:t>
            </w:r>
          </w:p>
        </w:tc>
      </w:tr>
      <w:tr w:rsidR="00142B2B" w:rsidRPr="00E83349" w14:paraId="405639ED" w14:textId="77777777" w:rsidTr="004F61B2">
        <w:trPr>
          <w:trHeight w:val="260"/>
        </w:trPr>
        <w:tc>
          <w:tcPr>
            <w:tcW w:w="9355" w:type="dxa"/>
            <w:noWrap/>
            <w:hideMark/>
          </w:tcPr>
          <w:p w14:paraId="27A00115"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Federation of Interior Architects/Interior Designers</w:t>
            </w:r>
          </w:p>
        </w:tc>
      </w:tr>
      <w:tr w:rsidR="00142B2B" w:rsidRPr="00E83349" w14:paraId="5CA30F7F" w14:textId="77777777" w:rsidTr="004F61B2">
        <w:trPr>
          <w:trHeight w:val="260"/>
        </w:trPr>
        <w:tc>
          <w:tcPr>
            <w:tcW w:w="9355" w:type="dxa"/>
            <w:noWrap/>
            <w:hideMark/>
          </w:tcPr>
          <w:p w14:paraId="46F914E2"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Federation of Press Clipping and Media Monitor Bureaus</w:t>
            </w:r>
          </w:p>
        </w:tc>
      </w:tr>
      <w:tr w:rsidR="00142B2B" w:rsidRPr="00E83349" w14:paraId="01663F90" w14:textId="77777777" w:rsidTr="004F61B2">
        <w:trPr>
          <w:trHeight w:val="260"/>
        </w:trPr>
        <w:tc>
          <w:tcPr>
            <w:tcW w:w="9355" w:type="dxa"/>
            <w:noWrap/>
            <w:hideMark/>
          </w:tcPr>
          <w:p w14:paraId="76965C77"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Franchise Association</w:t>
            </w:r>
          </w:p>
        </w:tc>
      </w:tr>
      <w:tr w:rsidR="00142B2B" w:rsidRPr="00E83349" w14:paraId="25634881" w14:textId="77777777" w:rsidTr="004F61B2">
        <w:trPr>
          <w:trHeight w:val="260"/>
        </w:trPr>
        <w:tc>
          <w:tcPr>
            <w:tcW w:w="9355" w:type="dxa"/>
            <w:noWrap/>
            <w:hideMark/>
          </w:tcPr>
          <w:p w14:paraId="4AA13461"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Hotel and Restaurant Association</w:t>
            </w:r>
          </w:p>
        </w:tc>
      </w:tr>
      <w:tr w:rsidR="00142B2B" w:rsidRPr="00E83349" w14:paraId="191EC7B7" w14:textId="77777777" w:rsidTr="004F61B2">
        <w:trPr>
          <w:trHeight w:val="260"/>
        </w:trPr>
        <w:tc>
          <w:tcPr>
            <w:tcW w:w="9355" w:type="dxa"/>
            <w:noWrap/>
            <w:hideMark/>
          </w:tcPr>
          <w:p w14:paraId="6CE144F1"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Institute of Communications</w:t>
            </w:r>
          </w:p>
        </w:tc>
      </w:tr>
      <w:tr w:rsidR="00142B2B" w:rsidRPr="00E83349" w14:paraId="5B092CEE" w14:textId="77777777" w:rsidTr="004F61B2">
        <w:trPr>
          <w:trHeight w:val="260"/>
        </w:trPr>
        <w:tc>
          <w:tcPr>
            <w:tcW w:w="9355" w:type="dxa"/>
            <w:noWrap/>
            <w:hideMark/>
          </w:tcPr>
          <w:p w14:paraId="4CE07C30"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Intellectual Property Alliance</w:t>
            </w:r>
          </w:p>
        </w:tc>
      </w:tr>
      <w:tr w:rsidR="00142B2B" w:rsidRPr="00E83349" w14:paraId="449DC906" w14:textId="77777777" w:rsidTr="004F61B2">
        <w:trPr>
          <w:trHeight w:val="260"/>
        </w:trPr>
        <w:tc>
          <w:tcPr>
            <w:tcW w:w="9355" w:type="dxa"/>
            <w:noWrap/>
            <w:hideMark/>
          </w:tcPr>
          <w:p w14:paraId="0A0D8B18"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Law Association</w:t>
            </w:r>
          </w:p>
        </w:tc>
      </w:tr>
      <w:tr w:rsidR="00142B2B" w:rsidRPr="00E83349" w14:paraId="4B11024D" w14:textId="77777777" w:rsidTr="004F61B2">
        <w:trPr>
          <w:trHeight w:val="260"/>
        </w:trPr>
        <w:tc>
          <w:tcPr>
            <w:tcW w:w="9355" w:type="dxa"/>
            <w:noWrap/>
            <w:hideMark/>
          </w:tcPr>
          <w:p w14:paraId="7435B295"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Music Managers Forum</w:t>
            </w:r>
          </w:p>
        </w:tc>
      </w:tr>
      <w:tr w:rsidR="00142B2B" w:rsidRPr="00E83349" w14:paraId="10EFEAD2" w14:textId="77777777" w:rsidTr="004F61B2">
        <w:trPr>
          <w:trHeight w:val="260"/>
        </w:trPr>
        <w:tc>
          <w:tcPr>
            <w:tcW w:w="9355" w:type="dxa"/>
            <w:noWrap/>
            <w:hideMark/>
          </w:tcPr>
          <w:p w14:paraId="66922DB2"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Organization of Hotel and Restaurant Associations</w:t>
            </w:r>
          </w:p>
        </w:tc>
      </w:tr>
      <w:tr w:rsidR="00142B2B" w:rsidRPr="00E83349" w14:paraId="0BF4BBA7" w14:textId="77777777" w:rsidTr="004F61B2">
        <w:trPr>
          <w:trHeight w:val="260"/>
        </w:trPr>
        <w:tc>
          <w:tcPr>
            <w:tcW w:w="9355" w:type="dxa"/>
            <w:noWrap/>
            <w:hideMark/>
          </w:tcPr>
          <w:p w14:paraId="5F103601"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Organization of Journalists</w:t>
            </w:r>
          </w:p>
        </w:tc>
      </w:tr>
      <w:tr w:rsidR="00142B2B" w:rsidRPr="00E83349" w14:paraId="2895B6BC" w14:textId="77777777" w:rsidTr="004F61B2">
        <w:trPr>
          <w:trHeight w:val="260"/>
        </w:trPr>
        <w:tc>
          <w:tcPr>
            <w:tcW w:w="9355" w:type="dxa"/>
            <w:noWrap/>
            <w:hideMark/>
          </w:tcPr>
          <w:p w14:paraId="46CFAFBD"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Organization of Performing Artists</w:t>
            </w:r>
          </w:p>
        </w:tc>
      </w:tr>
      <w:tr w:rsidR="00142B2B" w:rsidRPr="00E83349" w14:paraId="3C1B032B" w14:textId="77777777" w:rsidTr="004F61B2">
        <w:trPr>
          <w:trHeight w:val="260"/>
        </w:trPr>
        <w:tc>
          <w:tcPr>
            <w:tcW w:w="9355" w:type="dxa"/>
            <w:noWrap/>
            <w:hideMark/>
          </w:tcPr>
          <w:p w14:paraId="1290124E"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Poetry for Peace Association</w:t>
            </w:r>
          </w:p>
        </w:tc>
      </w:tr>
      <w:tr w:rsidR="00142B2B" w:rsidRPr="00E83349" w14:paraId="2B1FB807" w14:textId="77777777" w:rsidTr="004F61B2">
        <w:trPr>
          <w:trHeight w:val="260"/>
        </w:trPr>
        <w:tc>
          <w:tcPr>
            <w:tcW w:w="9355" w:type="dxa"/>
            <w:noWrap/>
            <w:hideMark/>
          </w:tcPr>
          <w:p w14:paraId="73555160"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Policy Network</w:t>
            </w:r>
          </w:p>
        </w:tc>
      </w:tr>
      <w:tr w:rsidR="00142B2B" w:rsidRPr="00E83349" w14:paraId="0B14A96B" w14:textId="77777777" w:rsidTr="004F61B2">
        <w:trPr>
          <w:trHeight w:val="260"/>
        </w:trPr>
        <w:tc>
          <w:tcPr>
            <w:tcW w:w="9355" w:type="dxa"/>
            <w:noWrap/>
            <w:hideMark/>
          </w:tcPr>
          <w:p w14:paraId="7AE3AA99"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International Writers Guild</w:t>
            </w:r>
          </w:p>
        </w:tc>
      </w:tr>
      <w:tr w:rsidR="00142B2B" w:rsidRPr="00E83349" w14:paraId="45758DBA" w14:textId="77777777" w:rsidTr="004F61B2">
        <w:trPr>
          <w:trHeight w:val="260"/>
        </w:trPr>
        <w:tc>
          <w:tcPr>
            <w:tcW w:w="9355" w:type="dxa"/>
            <w:noWrap/>
            <w:hideMark/>
          </w:tcPr>
          <w:p w14:paraId="32B42ED6"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Latin American Federation of Music Publishers</w:t>
            </w:r>
          </w:p>
        </w:tc>
      </w:tr>
      <w:tr w:rsidR="00142B2B" w:rsidRPr="00E83349" w14:paraId="07C2CED7" w14:textId="77777777" w:rsidTr="004F61B2">
        <w:trPr>
          <w:trHeight w:val="260"/>
        </w:trPr>
        <w:tc>
          <w:tcPr>
            <w:tcW w:w="9355" w:type="dxa"/>
            <w:noWrap/>
            <w:hideMark/>
          </w:tcPr>
          <w:p w14:paraId="49CAE512"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Latin American Institute for Advanced Technology, Computer Science and Law</w:t>
            </w:r>
          </w:p>
        </w:tc>
      </w:tr>
      <w:tr w:rsidR="00142B2B" w:rsidRPr="00E83349" w14:paraId="42013B8F" w14:textId="77777777" w:rsidTr="004F61B2">
        <w:trPr>
          <w:trHeight w:val="260"/>
        </w:trPr>
        <w:tc>
          <w:tcPr>
            <w:tcW w:w="9355" w:type="dxa"/>
            <w:noWrap/>
            <w:hideMark/>
          </w:tcPr>
          <w:p w14:paraId="5785C5C7"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Licensing Executives Society (International)</w:t>
            </w:r>
          </w:p>
        </w:tc>
      </w:tr>
      <w:tr w:rsidR="00142B2B" w:rsidRPr="00E83349" w14:paraId="4D86F6DD" w14:textId="77777777" w:rsidTr="004F61B2">
        <w:trPr>
          <w:trHeight w:val="260"/>
        </w:trPr>
        <w:tc>
          <w:tcPr>
            <w:tcW w:w="9355" w:type="dxa"/>
            <w:noWrap/>
            <w:hideMark/>
          </w:tcPr>
          <w:p w14:paraId="4456B5BD" w14:textId="77777777" w:rsidR="00142B2B" w:rsidRPr="00E83349" w:rsidRDefault="00142B2B" w:rsidP="004F61B2">
            <w:pPr>
              <w:rPr>
                <w:rFonts w:eastAsia="Times New Roman"/>
                <w:color w:val="000000"/>
                <w:szCs w:val="22"/>
                <w:lang w:val="fr-CA" w:eastAsia="en-US"/>
              </w:rPr>
            </w:pPr>
            <w:r w:rsidRPr="00E83349">
              <w:rPr>
                <w:rFonts w:eastAsia="Times New Roman"/>
                <w:color w:val="000000"/>
                <w:szCs w:val="22"/>
                <w:lang w:val="fr-CA" w:eastAsia="en-US"/>
              </w:rPr>
              <w:t>Organisation ibéro-américaine des droits d'auteur-</w:t>
            </w:r>
            <w:proofErr w:type="spellStart"/>
            <w:r w:rsidRPr="00E83349">
              <w:rPr>
                <w:rFonts w:eastAsia="Times New Roman"/>
                <w:color w:val="000000"/>
                <w:szCs w:val="22"/>
                <w:lang w:val="fr-CA" w:eastAsia="en-US"/>
              </w:rPr>
              <w:t>Latinautor</w:t>
            </w:r>
            <w:proofErr w:type="spellEnd"/>
            <w:r w:rsidRPr="00E83349">
              <w:rPr>
                <w:rFonts w:eastAsia="Times New Roman"/>
                <w:color w:val="000000"/>
                <w:szCs w:val="22"/>
                <w:lang w:val="fr-CA" w:eastAsia="en-US"/>
              </w:rPr>
              <w:t xml:space="preserve"> Inc.</w:t>
            </w:r>
            <w:r>
              <w:rPr>
                <w:rFonts w:eastAsia="Times New Roman"/>
                <w:color w:val="000000"/>
                <w:szCs w:val="22"/>
                <w:lang w:val="fr-CA" w:eastAsia="en-US"/>
              </w:rPr>
              <w:t xml:space="preserve"> </w:t>
            </w:r>
            <w:r>
              <w:rPr>
                <w:rFonts w:eastAsia="Times New Roman"/>
                <w:color w:val="000000"/>
                <w:szCs w:val="22"/>
                <w:lang w:eastAsia="en-US"/>
              </w:rPr>
              <w:t>(observer status has been restored, see “Table C”)</w:t>
            </w:r>
          </w:p>
        </w:tc>
      </w:tr>
      <w:tr w:rsidR="00142B2B" w:rsidRPr="00E83349" w14:paraId="5CFE3AB5" w14:textId="77777777" w:rsidTr="004F61B2">
        <w:trPr>
          <w:trHeight w:val="260"/>
        </w:trPr>
        <w:tc>
          <w:tcPr>
            <w:tcW w:w="9355" w:type="dxa"/>
            <w:noWrap/>
            <w:hideMark/>
          </w:tcPr>
          <w:p w14:paraId="4DB96901"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Public Interest Intellectual Property Advisors</w:t>
            </w:r>
          </w:p>
        </w:tc>
      </w:tr>
      <w:tr w:rsidR="00142B2B" w:rsidRPr="00E83349" w14:paraId="6193DD52" w14:textId="77777777" w:rsidTr="004F61B2">
        <w:trPr>
          <w:trHeight w:val="260"/>
        </w:trPr>
        <w:tc>
          <w:tcPr>
            <w:tcW w:w="9355" w:type="dxa"/>
            <w:noWrap/>
            <w:hideMark/>
          </w:tcPr>
          <w:p w14:paraId="201F0873"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Rights &amp; Democracy</w:t>
            </w:r>
          </w:p>
        </w:tc>
      </w:tr>
      <w:tr w:rsidR="00142B2B" w:rsidRPr="00E83349" w14:paraId="5B9A0D0D" w14:textId="77777777" w:rsidTr="004F61B2">
        <w:trPr>
          <w:trHeight w:val="260"/>
        </w:trPr>
        <w:tc>
          <w:tcPr>
            <w:tcW w:w="9355" w:type="dxa"/>
            <w:noWrap/>
            <w:hideMark/>
          </w:tcPr>
          <w:p w14:paraId="009E7FD0"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Royal Institute of International Affairs (Chatham House)</w:t>
            </w:r>
          </w:p>
        </w:tc>
      </w:tr>
      <w:tr w:rsidR="00142B2B" w:rsidRPr="00E83349" w14:paraId="7F26621D" w14:textId="77777777" w:rsidTr="004F61B2">
        <w:trPr>
          <w:trHeight w:val="260"/>
        </w:trPr>
        <w:tc>
          <w:tcPr>
            <w:tcW w:w="9355" w:type="dxa"/>
            <w:noWrap/>
            <w:hideMark/>
          </w:tcPr>
          <w:p w14:paraId="3FF3984C"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Scandinavian Patent Attorney Society</w:t>
            </w:r>
          </w:p>
        </w:tc>
      </w:tr>
      <w:tr w:rsidR="00142B2B" w:rsidRPr="00E83349" w14:paraId="4C92F360" w14:textId="77777777" w:rsidTr="004F61B2">
        <w:trPr>
          <w:trHeight w:val="260"/>
        </w:trPr>
        <w:tc>
          <w:tcPr>
            <w:tcW w:w="9355" w:type="dxa"/>
            <w:noWrap/>
            <w:hideMark/>
          </w:tcPr>
          <w:p w14:paraId="7E8EEFD0"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Southern and Eastern Africa Copyright Network</w:t>
            </w:r>
          </w:p>
        </w:tc>
      </w:tr>
      <w:tr w:rsidR="00142B2B" w:rsidRPr="00E83349" w14:paraId="69C54941" w14:textId="77777777" w:rsidTr="004F61B2">
        <w:trPr>
          <w:trHeight w:val="260"/>
        </w:trPr>
        <w:tc>
          <w:tcPr>
            <w:tcW w:w="9355" w:type="dxa"/>
            <w:noWrap/>
            <w:hideMark/>
          </w:tcPr>
          <w:p w14:paraId="3C8F8A9C"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Special Libraries Association</w:t>
            </w:r>
          </w:p>
        </w:tc>
      </w:tr>
      <w:tr w:rsidR="00142B2B" w:rsidRPr="00E83349" w14:paraId="772398D3" w14:textId="77777777" w:rsidTr="004F61B2">
        <w:trPr>
          <w:trHeight w:val="260"/>
        </w:trPr>
        <w:tc>
          <w:tcPr>
            <w:tcW w:w="9355" w:type="dxa"/>
            <w:noWrap/>
            <w:hideMark/>
          </w:tcPr>
          <w:p w14:paraId="5098207F"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The Royal Society for Encouragement of Arts, Manufactures and Commerce</w:t>
            </w:r>
          </w:p>
        </w:tc>
      </w:tr>
      <w:tr w:rsidR="00142B2B" w:rsidRPr="00E83349" w14:paraId="551554E4" w14:textId="77777777" w:rsidTr="004F61B2">
        <w:trPr>
          <w:trHeight w:val="260"/>
        </w:trPr>
        <w:tc>
          <w:tcPr>
            <w:tcW w:w="9355" w:type="dxa"/>
            <w:noWrap/>
            <w:hideMark/>
          </w:tcPr>
          <w:p w14:paraId="2BAADE0D"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The Scholarly Publishing and Academic Resources Coalition</w:t>
            </w:r>
          </w:p>
        </w:tc>
      </w:tr>
      <w:tr w:rsidR="00142B2B" w:rsidRPr="00E83349" w14:paraId="2DC4033C" w14:textId="77777777" w:rsidTr="004F61B2">
        <w:trPr>
          <w:trHeight w:val="260"/>
        </w:trPr>
        <w:tc>
          <w:tcPr>
            <w:tcW w:w="9355" w:type="dxa"/>
            <w:noWrap/>
            <w:hideMark/>
          </w:tcPr>
          <w:p w14:paraId="2E668333"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Union of African Journalists</w:t>
            </w:r>
          </w:p>
        </w:tc>
      </w:tr>
      <w:tr w:rsidR="00142B2B" w:rsidRPr="00E83349" w14:paraId="1121A024" w14:textId="77777777" w:rsidTr="004F61B2">
        <w:trPr>
          <w:trHeight w:val="260"/>
        </w:trPr>
        <w:tc>
          <w:tcPr>
            <w:tcW w:w="9355" w:type="dxa"/>
            <w:noWrap/>
            <w:hideMark/>
          </w:tcPr>
          <w:p w14:paraId="53BCE81E"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World Federation of Advertisers</w:t>
            </w:r>
          </w:p>
        </w:tc>
      </w:tr>
      <w:tr w:rsidR="00142B2B" w:rsidRPr="00E83349" w14:paraId="48B6FB25" w14:textId="77777777" w:rsidTr="004F61B2">
        <w:trPr>
          <w:trHeight w:val="260"/>
        </w:trPr>
        <w:tc>
          <w:tcPr>
            <w:tcW w:w="9355" w:type="dxa"/>
            <w:noWrap/>
            <w:hideMark/>
          </w:tcPr>
          <w:p w14:paraId="5209455E"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3 → Trade – Human Rights – Equitable Economy</w:t>
            </w:r>
          </w:p>
        </w:tc>
      </w:tr>
    </w:tbl>
    <w:p w14:paraId="2ECD85AC" w14:textId="77777777" w:rsidR="00142B2B" w:rsidRDefault="00142B2B" w:rsidP="00142B2B">
      <w:pPr>
        <w:rPr>
          <w:u w:val="single"/>
        </w:rPr>
      </w:pPr>
      <w:r>
        <w:rPr>
          <w:u w:val="single"/>
        </w:rPr>
        <w:br w:type="page"/>
      </w:r>
    </w:p>
    <w:p w14:paraId="1D8DD90D" w14:textId="77777777" w:rsidR="00142B2B" w:rsidRDefault="00142B2B" w:rsidP="00142B2B">
      <w:pPr>
        <w:pStyle w:val="Heading3"/>
        <w:spacing w:after="240"/>
      </w:pPr>
      <w:r w:rsidRPr="000C3CAA">
        <w:lastRenderedPageBreak/>
        <w:t>Table B</w:t>
      </w:r>
      <w:r>
        <w:t xml:space="preserve">:  National NGOs removed from the list of observers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tional NGOs"/>
        <w:tblDescription w:val="Names of National NGOs"/>
      </w:tblPr>
      <w:tblGrid>
        <w:gridCol w:w="9355"/>
      </w:tblGrid>
      <w:tr w:rsidR="00142B2B" w:rsidRPr="000C3CAA" w14:paraId="70404977" w14:textId="77777777" w:rsidTr="004D523B">
        <w:trPr>
          <w:trHeight w:val="260"/>
          <w:tblHeader/>
        </w:trPr>
        <w:tc>
          <w:tcPr>
            <w:tcW w:w="9355" w:type="dxa"/>
            <w:shd w:val="clear" w:color="auto" w:fill="BFBFBF" w:themeFill="background1" w:themeFillShade="BF"/>
            <w:noWrap/>
          </w:tcPr>
          <w:p w14:paraId="65CC78B9" w14:textId="77777777" w:rsidR="00142B2B" w:rsidRPr="000C3CAA" w:rsidRDefault="00142B2B" w:rsidP="004F61B2">
            <w:pPr>
              <w:rPr>
                <w:rFonts w:eastAsia="Times New Roman"/>
                <w:b/>
                <w:color w:val="000000"/>
                <w:szCs w:val="22"/>
                <w:lang w:eastAsia="en-US"/>
              </w:rPr>
            </w:pPr>
            <w:r w:rsidRPr="000C3CAA">
              <w:rPr>
                <w:rFonts w:eastAsia="Times New Roman"/>
                <w:b/>
                <w:color w:val="000000"/>
                <w:szCs w:val="22"/>
                <w:lang w:eastAsia="en-US"/>
              </w:rPr>
              <w:t>Name of national NGO</w:t>
            </w:r>
          </w:p>
        </w:tc>
      </w:tr>
      <w:tr w:rsidR="00142B2B" w:rsidRPr="000C3CAA" w14:paraId="159E24E8" w14:textId="77777777" w:rsidTr="004F61B2">
        <w:trPr>
          <w:trHeight w:val="260"/>
        </w:trPr>
        <w:tc>
          <w:tcPr>
            <w:tcW w:w="9355" w:type="dxa"/>
            <w:shd w:val="clear" w:color="auto" w:fill="auto"/>
            <w:noWrap/>
          </w:tcPr>
          <w:p w14:paraId="6D4F4886" w14:textId="77777777" w:rsidR="00142B2B" w:rsidRPr="000C3CAA" w:rsidRDefault="00142B2B" w:rsidP="004F61B2">
            <w:pPr>
              <w:rPr>
                <w:rFonts w:eastAsia="Times New Roman"/>
                <w:b/>
                <w:color w:val="000000"/>
                <w:szCs w:val="22"/>
                <w:lang w:eastAsia="en-US"/>
              </w:rPr>
            </w:pPr>
          </w:p>
        </w:tc>
      </w:tr>
      <w:tr w:rsidR="00142B2B" w:rsidRPr="00E83349" w14:paraId="20A1B72E" w14:textId="77777777" w:rsidTr="004F61B2">
        <w:trPr>
          <w:trHeight w:val="260"/>
        </w:trPr>
        <w:tc>
          <w:tcPr>
            <w:tcW w:w="9355" w:type="dxa"/>
            <w:noWrap/>
            <w:hideMark/>
          </w:tcPr>
          <w:p w14:paraId="6EFAA53B"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Alliance Towards Harnessing Global Opportunities Corporation</w:t>
            </w:r>
          </w:p>
        </w:tc>
      </w:tr>
      <w:tr w:rsidR="00142B2B" w:rsidRPr="00E83349" w14:paraId="6887CB12" w14:textId="77777777" w:rsidTr="004F61B2">
        <w:trPr>
          <w:trHeight w:val="260"/>
        </w:trPr>
        <w:tc>
          <w:tcPr>
            <w:tcW w:w="9355" w:type="dxa"/>
            <w:noWrap/>
            <w:hideMark/>
          </w:tcPr>
          <w:p w14:paraId="76FD252B"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 xml:space="preserve">American </w:t>
            </w:r>
            <w:proofErr w:type="spellStart"/>
            <w:r w:rsidRPr="00E83349">
              <w:rPr>
                <w:rFonts w:eastAsia="Times New Roman"/>
                <w:color w:val="000000"/>
                <w:szCs w:val="22"/>
                <w:lang w:eastAsia="en-US"/>
              </w:rPr>
              <w:t>BioIndustry</w:t>
            </w:r>
            <w:proofErr w:type="spellEnd"/>
            <w:r w:rsidRPr="00E83349">
              <w:rPr>
                <w:rFonts w:eastAsia="Times New Roman"/>
                <w:color w:val="000000"/>
                <w:szCs w:val="22"/>
                <w:lang w:eastAsia="en-US"/>
              </w:rPr>
              <w:t xml:space="preserve"> Alliance</w:t>
            </w:r>
          </w:p>
        </w:tc>
      </w:tr>
      <w:tr w:rsidR="00142B2B" w:rsidRPr="00E83349" w14:paraId="083D0BF2" w14:textId="77777777" w:rsidTr="004F61B2">
        <w:trPr>
          <w:trHeight w:val="260"/>
        </w:trPr>
        <w:tc>
          <w:tcPr>
            <w:tcW w:w="9355" w:type="dxa"/>
            <w:noWrap/>
            <w:hideMark/>
          </w:tcPr>
          <w:p w14:paraId="3C865379"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 xml:space="preserve">Association </w:t>
            </w:r>
            <w:proofErr w:type="spellStart"/>
            <w:r w:rsidRPr="00E83349">
              <w:rPr>
                <w:rFonts w:eastAsia="Times New Roman"/>
                <w:color w:val="000000"/>
                <w:szCs w:val="22"/>
                <w:lang w:eastAsia="en-US"/>
              </w:rPr>
              <w:t>Bouregreg</w:t>
            </w:r>
            <w:proofErr w:type="spellEnd"/>
          </w:p>
        </w:tc>
      </w:tr>
      <w:tr w:rsidR="00142B2B" w:rsidRPr="00E83349" w14:paraId="00D55266" w14:textId="77777777" w:rsidTr="004F61B2">
        <w:trPr>
          <w:trHeight w:val="260"/>
        </w:trPr>
        <w:tc>
          <w:tcPr>
            <w:tcW w:w="9355" w:type="dxa"/>
            <w:noWrap/>
            <w:hideMark/>
          </w:tcPr>
          <w:p w14:paraId="2900053A"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Association for the Promotion of Scientific Innovation</w:t>
            </w:r>
          </w:p>
        </w:tc>
      </w:tr>
      <w:tr w:rsidR="00142B2B" w:rsidRPr="008E4D8E" w14:paraId="6D1D33B3" w14:textId="77777777" w:rsidTr="004F61B2">
        <w:trPr>
          <w:trHeight w:val="260"/>
        </w:trPr>
        <w:tc>
          <w:tcPr>
            <w:tcW w:w="9355" w:type="dxa"/>
            <w:noWrap/>
            <w:hideMark/>
          </w:tcPr>
          <w:p w14:paraId="12C6BBBE" w14:textId="77777777" w:rsidR="00142B2B" w:rsidRPr="00E83349" w:rsidRDefault="00142B2B" w:rsidP="004F61B2">
            <w:pPr>
              <w:rPr>
                <w:rFonts w:eastAsia="Times New Roman"/>
                <w:color w:val="000000"/>
                <w:szCs w:val="22"/>
                <w:lang w:val="fr-CA" w:eastAsia="en-US"/>
              </w:rPr>
            </w:pPr>
            <w:r w:rsidRPr="00E83349">
              <w:rPr>
                <w:rFonts w:eastAsia="Times New Roman"/>
                <w:color w:val="000000"/>
                <w:szCs w:val="22"/>
                <w:lang w:val="fr-CA" w:eastAsia="en-US"/>
              </w:rPr>
              <w:t>Association nationale des artistes interprètes</w:t>
            </w:r>
          </w:p>
        </w:tc>
      </w:tr>
      <w:tr w:rsidR="00142B2B" w:rsidRPr="00E83349" w14:paraId="280D7B52" w14:textId="77777777" w:rsidTr="004F61B2">
        <w:trPr>
          <w:trHeight w:val="260"/>
        </w:trPr>
        <w:tc>
          <w:tcPr>
            <w:tcW w:w="9355" w:type="dxa"/>
            <w:noWrap/>
            <w:hideMark/>
          </w:tcPr>
          <w:p w14:paraId="145550E7"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Brazilian Center for International Relations</w:t>
            </w:r>
          </w:p>
        </w:tc>
      </w:tr>
      <w:tr w:rsidR="00142B2B" w:rsidRPr="00E83349" w14:paraId="57C3B458" w14:textId="77777777" w:rsidTr="004F61B2">
        <w:trPr>
          <w:trHeight w:val="260"/>
        </w:trPr>
        <w:tc>
          <w:tcPr>
            <w:tcW w:w="9355" w:type="dxa"/>
            <w:noWrap/>
            <w:hideMark/>
          </w:tcPr>
          <w:p w14:paraId="2840C49E"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Center for Information Society and Intellectual Property</w:t>
            </w:r>
          </w:p>
        </w:tc>
      </w:tr>
      <w:tr w:rsidR="00142B2B" w:rsidRPr="00E83349" w14:paraId="01F38AD5" w14:textId="77777777" w:rsidTr="004F61B2">
        <w:trPr>
          <w:trHeight w:val="260"/>
        </w:trPr>
        <w:tc>
          <w:tcPr>
            <w:tcW w:w="9355" w:type="dxa"/>
            <w:noWrap/>
            <w:hideMark/>
          </w:tcPr>
          <w:p w14:paraId="09EA70BC"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Creators' Rights Alliance</w:t>
            </w:r>
          </w:p>
        </w:tc>
      </w:tr>
      <w:tr w:rsidR="00142B2B" w:rsidRPr="00E83349" w14:paraId="63C8508D" w14:textId="77777777" w:rsidTr="004F61B2">
        <w:trPr>
          <w:trHeight w:val="260"/>
        </w:trPr>
        <w:tc>
          <w:tcPr>
            <w:tcW w:w="9355" w:type="dxa"/>
            <w:noWrap/>
            <w:hideMark/>
          </w:tcPr>
          <w:p w14:paraId="7721B922"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EXIT Centre – Information Technology Business Support Centre</w:t>
            </w:r>
          </w:p>
        </w:tc>
      </w:tr>
      <w:tr w:rsidR="00142B2B" w:rsidRPr="00E83349" w14:paraId="70C04B49" w14:textId="77777777" w:rsidTr="004F61B2">
        <w:trPr>
          <w:trHeight w:val="260"/>
        </w:trPr>
        <w:tc>
          <w:tcPr>
            <w:tcW w:w="9355" w:type="dxa"/>
            <w:noWrap/>
            <w:hideMark/>
          </w:tcPr>
          <w:p w14:paraId="16C72417" w14:textId="77777777" w:rsidR="00142B2B" w:rsidRPr="00E83349" w:rsidRDefault="00142B2B" w:rsidP="004F61B2">
            <w:pPr>
              <w:rPr>
                <w:rFonts w:eastAsia="Times New Roman"/>
                <w:color w:val="000000"/>
                <w:szCs w:val="22"/>
                <w:lang w:eastAsia="en-US"/>
              </w:rPr>
            </w:pPr>
            <w:proofErr w:type="spellStart"/>
            <w:r w:rsidRPr="00E83349">
              <w:rPr>
                <w:rFonts w:eastAsia="Times New Roman"/>
                <w:color w:val="000000"/>
                <w:szCs w:val="22"/>
                <w:lang w:eastAsia="en-US"/>
              </w:rPr>
              <w:t>Fundaçao</w:t>
            </w:r>
            <w:proofErr w:type="spellEnd"/>
            <w:r w:rsidRPr="00E83349">
              <w:rPr>
                <w:rFonts w:eastAsia="Times New Roman"/>
                <w:color w:val="000000"/>
                <w:szCs w:val="22"/>
                <w:lang w:eastAsia="en-US"/>
              </w:rPr>
              <w:t xml:space="preserve"> </w:t>
            </w:r>
            <w:proofErr w:type="spellStart"/>
            <w:r w:rsidRPr="00E83349">
              <w:rPr>
                <w:rFonts w:eastAsia="Times New Roman"/>
                <w:color w:val="000000"/>
                <w:szCs w:val="22"/>
                <w:lang w:eastAsia="en-US"/>
              </w:rPr>
              <w:t>Getulio</w:t>
            </w:r>
            <w:proofErr w:type="spellEnd"/>
            <w:r w:rsidRPr="00E83349">
              <w:rPr>
                <w:rFonts w:eastAsia="Times New Roman"/>
                <w:color w:val="000000"/>
                <w:szCs w:val="22"/>
                <w:lang w:eastAsia="en-US"/>
              </w:rPr>
              <w:t xml:space="preserve"> Vargas</w:t>
            </w:r>
          </w:p>
        </w:tc>
      </w:tr>
      <w:tr w:rsidR="00142B2B" w:rsidRPr="008E4D8E" w14:paraId="747596B5" w14:textId="77777777" w:rsidTr="004F61B2">
        <w:trPr>
          <w:trHeight w:val="260"/>
        </w:trPr>
        <w:tc>
          <w:tcPr>
            <w:tcW w:w="9355" w:type="dxa"/>
            <w:noWrap/>
            <w:hideMark/>
          </w:tcPr>
          <w:p w14:paraId="1C1533EC" w14:textId="77777777" w:rsidR="00142B2B" w:rsidRPr="00E83349" w:rsidRDefault="00142B2B" w:rsidP="004F61B2">
            <w:pPr>
              <w:rPr>
                <w:rFonts w:eastAsia="Times New Roman"/>
                <w:color w:val="000000"/>
                <w:szCs w:val="22"/>
                <w:lang w:val="fr-CA" w:eastAsia="en-US"/>
              </w:rPr>
            </w:pPr>
            <w:proofErr w:type="spellStart"/>
            <w:r w:rsidRPr="00E83349">
              <w:rPr>
                <w:rFonts w:eastAsia="Times New Roman"/>
                <w:color w:val="000000"/>
                <w:szCs w:val="22"/>
                <w:lang w:val="fr-CA" w:eastAsia="en-US"/>
              </w:rPr>
              <w:t>Fundación</w:t>
            </w:r>
            <w:proofErr w:type="spellEnd"/>
            <w:r w:rsidRPr="00E83349">
              <w:rPr>
                <w:rFonts w:eastAsia="Times New Roman"/>
                <w:color w:val="000000"/>
                <w:szCs w:val="22"/>
                <w:lang w:val="fr-CA" w:eastAsia="en-US"/>
              </w:rPr>
              <w:t xml:space="preserve"> para la </w:t>
            </w:r>
            <w:proofErr w:type="spellStart"/>
            <w:r w:rsidRPr="00E83349">
              <w:rPr>
                <w:rFonts w:eastAsia="Times New Roman"/>
                <w:color w:val="000000"/>
                <w:szCs w:val="22"/>
                <w:lang w:val="fr-CA" w:eastAsia="en-US"/>
              </w:rPr>
              <w:t>Difusión</w:t>
            </w:r>
            <w:proofErr w:type="spellEnd"/>
            <w:r w:rsidRPr="00E83349">
              <w:rPr>
                <w:rFonts w:eastAsia="Times New Roman"/>
                <w:color w:val="000000"/>
                <w:szCs w:val="22"/>
                <w:lang w:val="fr-CA" w:eastAsia="en-US"/>
              </w:rPr>
              <w:t xml:space="preserve"> </w:t>
            </w:r>
            <w:proofErr w:type="spellStart"/>
            <w:r w:rsidRPr="00E83349">
              <w:rPr>
                <w:rFonts w:eastAsia="Times New Roman"/>
                <w:color w:val="000000"/>
                <w:szCs w:val="22"/>
                <w:lang w:val="fr-CA" w:eastAsia="en-US"/>
              </w:rPr>
              <w:t>del</w:t>
            </w:r>
            <w:proofErr w:type="spellEnd"/>
            <w:r w:rsidRPr="00E83349">
              <w:rPr>
                <w:rFonts w:eastAsia="Times New Roman"/>
                <w:color w:val="000000"/>
                <w:szCs w:val="22"/>
                <w:lang w:val="fr-CA" w:eastAsia="en-US"/>
              </w:rPr>
              <w:t xml:space="preserve"> </w:t>
            </w:r>
            <w:proofErr w:type="spellStart"/>
            <w:r w:rsidRPr="00E83349">
              <w:rPr>
                <w:rFonts w:eastAsia="Times New Roman"/>
                <w:color w:val="000000"/>
                <w:szCs w:val="22"/>
                <w:lang w:val="fr-CA" w:eastAsia="en-US"/>
              </w:rPr>
              <w:t>Conocimiento</w:t>
            </w:r>
            <w:proofErr w:type="spellEnd"/>
            <w:r w:rsidRPr="00E83349">
              <w:rPr>
                <w:rFonts w:eastAsia="Times New Roman"/>
                <w:color w:val="000000"/>
                <w:szCs w:val="22"/>
                <w:lang w:val="fr-CA" w:eastAsia="en-US"/>
              </w:rPr>
              <w:t xml:space="preserve"> y el </w:t>
            </w:r>
            <w:proofErr w:type="spellStart"/>
            <w:r w:rsidRPr="00E83349">
              <w:rPr>
                <w:rFonts w:eastAsia="Times New Roman"/>
                <w:color w:val="000000"/>
                <w:szCs w:val="22"/>
                <w:lang w:val="fr-CA" w:eastAsia="en-US"/>
              </w:rPr>
              <w:t>Desarrollo</w:t>
            </w:r>
            <w:proofErr w:type="spellEnd"/>
            <w:r w:rsidRPr="00E83349">
              <w:rPr>
                <w:rFonts w:eastAsia="Times New Roman"/>
                <w:color w:val="000000"/>
                <w:szCs w:val="22"/>
                <w:lang w:val="fr-CA" w:eastAsia="en-US"/>
              </w:rPr>
              <w:t xml:space="preserve"> </w:t>
            </w:r>
            <w:proofErr w:type="spellStart"/>
            <w:r w:rsidRPr="00E83349">
              <w:rPr>
                <w:rFonts w:eastAsia="Times New Roman"/>
                <w:color w:val="000000"/>
                <w:szCs w:val="22"/>
                <w:lang w:val="fr-CA" w:eastAsia="en-US"/>
              </w:rPr>
              <w:t>Sustentable</w:t>
            </w:r>
            <w:proofErr w:type="spellEnd"/>
            <w:r w:rsidRPr="00E83349">
              <w:rPr>
                <w:rFonts w:eastAsia="Times New Roman"/>
                <w:color w:val="000000"/>
                <w:szCs w:val="22"/>
                <w:lang w:val="fr-CA" w:eastAsia="en-US"/>
              </w:rPr>
              <w:t xml:space="preserve"> </w:t>
            </w:r>
            <w:proofErr w:type="spellStart"/>
            <w:r w:rsidRPr="00E83349">
              <w:rPr>
                <w:rFonts w:eastAsia="Times New Roman"/>
                <w:color w:val="000000"/>
                <w:szCs w:val="22"/>
                <w:lang w:val="fr-CA" w:eastAsia="en-US"/>
              </w:rPr>
              <w:t>Vía</w:t>
            </w:r>
            <w:proofErr w:type="spellEnd"/>
            <w:r w:rsidRPr="00E83349">
              <w:rPr>
                <w:rFonts w:eastAsia="Times New Roman"/>
                <w:color w:val="000000"/>
                <w:szCs w:val="22"/>
                <w:lang w:val="fr-CA" w:eastAsia="en-US"/>
              </w:rPr>
              <w:t xml:space="preserve"> Libre</w:t>
            </w:r>
          </w:p>
        </w:tc>
      </w:tr>
      <w:tr w:rsidR="00142B2B" w:rsidRPr="00E83349" w14:paraId="1852A79D" w14:textId="77777777" w:rsidTr="004F61B2">
        <w:trPr>
          <w:trHeight w:val="260"/>
        </w:trPr>
        <w:tc>
          <w:tcPr>
            <w:tcW w:w="9355" w:type="dxa"/>
            <w:noWrap/>
            <w:hideMark/>
          </w:tcPr>
          <w:p w14:paraId="5E23A3E0" w14:textId="77777777" w:rsidR="00142B2B" w:rsidRPr="00E83349" w:rsidRDefault="00142B2B" w:rsidP="004F61B2">
            <w:pPr>
              <w:rPr>
                <w:rFonts w:eastAsia="Times New Roman"/>
                <w:color w:val="000000"/>
                <w:szCs w:val="22"/>
                <w:lang w:eastAsia="en-US"/>
              </w:rPr>
            </w:pPr>
            <w:proofErr w:type="spellStart"/>
            <w:r w:rsidRPr="00E83349">
              <w:rPr>
                <w:rFonts w:eastAsia="Times New Roman"/>
                <w:color w:val="000000"/>
                <w:szCs w:val="22"/>
                <w:lang w:eastAsia="en-US"/>
              </w:rPr>
              <w:t>Healthcheck</w:t>
            </w:r>
            <w:proofErr w:type="spellEnd"/>
          </w:p>
        </w:tc>
      </w:tr>
      <w:tr w:rsidR="00142B2B" w:rsidRPr="00E83349" w14:paraId="0E4F4D30" w14:textId="77777777" w:rsidTr="004F61B2">
        <w:trPr>
          <w:trHeight w:val="260"/>
        </w:trPr>
        <w:tc>
          <w:tcPr>
            <w:tcW w:w="9355" w:type="dxa"/>
            <w:noWrap/>
            <w:hideMark/>
          </w:tcPr>
          <w:p w14:paraId="35F4E057"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Innovation Business Club</w:t>
            </w:r>
          </w:p>
        </w:tc>
      </w:tr>
      <w:tr w:rsidR="00142B2B" w:rsidRPr="00E83349" w14:paraId="22AB712C" w14:textId="77777777" w:rsidTr="004F61B2">
        <w:trPr>
          <w:trHeight w:val="260"/>
        </w:trPr>
        <w:tc>
          <w:tcPr>
            <w:tcW w:w="9355" w:type="dxa"/>
            <w:noWrap/>
            <w:hideMark/>
          </w:tcPr>
          <w:p w14:paraId="1350ED47"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Institute of International Trade Law and Development</w:t>
            </w:r>
          </w:p>
        </w:tc>
      </w:tr>
      <w:tr w:rsidR="00142B2B" w:rsidRPr="00E83349" w14:paraId="681A9ABC" w14:textId="77777777" w:rsidTr="004F61B2">
        <w:trPr>
          <w:trHeight w:val="260"/>
        </w:trPr>
        <w:tc>
          <w:tcPr>
            <w:tcW w:w="9355" w:type="dxa"/>
            <w:noWrap/>
            <w:hideMark/>
          </w:tcPr>
          <w:p w14:paraId="26215730"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Intellectual Property Left</w:t>
            </w:r>
          </w:p>
        </w:tc>
      </w:tr>
      <w:tr w:rsidR="00142B2B" w:rsidRPr="00E83349" w14:paraId="5B20D275" w14:textId="77777777" w:rsidTr="004F61B2">
        <w:trPr>
          <w:trHeight w:val="260"/>
        </w:trPr>
        <w:tc>
          <w:tcPr>
            <w:tcW w:w="9355" w:type="dxa"/>
            <w:noWrap/>
            <w:hideMark/>
          </w:tcPr>
          <w:p w14:paraId="5FAF1761"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Korean Progressive Network</w:t>
            </w:r>
          </w:p>
        </w:tc>
      </w:tr>
      <w:tr w:rsidR="00142B2B" w:rsidRPr="00E83349" w14:paraId="6E9B10D6" w14:textId="77777777" w:rsidTr="004F61B2">
        <w:trPr>
          <w:trHeight w:val="260"/>
        </w:trPr>
        <w:tc>
          <w:tcPr>
            <w:tcW w:w="9355" w:type="dxa"/>
            <w:noWrap/>
            <w:hideMark/>
          </w:tcPr>
          <w:p w14:paraId="1536B3C4"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Mexican National Association of Pharmaceutical Manufacturers</w:t>
            </w:r>
          </w:p>
        </w:tc>
      </w:tr>
      <w:tr w:rsidR="00142B2B" w:rsidRPr="00E83349" w14:paraId="69EE5D64" w14:textId="77777777" w:rsidTr="004F61B2">
        <w:trPr>
          <w:trHeight w:val="260"/>
        </w:trPr>
        <w:tc>
          <w:tcPr>
            <w:tcW w:w="9355" w:type="dxa"/>
            <w:noWrap/>
            <w:hideMark/>
          </w:tcPr>
          <w:p w14:paraId="4DE1C925"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Picture Archive Council of America</w:t>
            </w:r>
          </w:p>
        </w:tc>
      </w:tr>
      <w:tr w:rsidR="00142B2B" w:rsidRPr="00E83349" w14:paraId="22E60237" w14:textId="77777777" w:rsidTr="004F61B2">
        <w:trPr>
          <w:trHeight w:val="260"/>
        </w:trPr>
        <w:tc>
          <w:tcPr>
            <w:tcW w:w="9355" w:type="dxa"/>
            <w:noWrap/>
            <w:hideMark/>
          </w:tcPr>
          <w:p w14:paraId="7881B412"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South African Institute of Intellectual Property Law</w:t>
            </w:r>
          </w:p>
        </w:tc>
      </w:tr>
      <w:tr w:rsidR="00142B2B" w:rsidRPr="00E83349" w14:paraId="41AE37E2" w14:textId="77777777" w:rsidTr="004F61B2">
        <w:trPr>
          <w:trHeight w:val="260"/>
        </w:trPr>
        <w:tc>
          <w:tcPr>
            <w:tcW w:w="9355" w:type="dxa"/>
            <w:noWrap/>
            <w:hideMark/>
          </w:tcPr>
          <w:p w14:paraId="6CEFAC34"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Syrian Intellectual Property Association</w:t>
            </w:r>
          </w:p>
        </w:tc>
      </w:tr>
      <w:tr w:rsidR="00142B2B" w:rsidRPr="00E83349" w14:paraId="23391EEA" w14:textId="77777777" w:rsidTr="004F61B2">
        <w:trPr>
          <w:trHeight w:val="260"/>
        </w:trPr>
        <w:tc>
          <w:tcPr>
            <w:tcW w:w="9355" w:type="dxa"/>
            <w:noWrap/>
            <w:hideMark/>
          </w:tcPr>
          <w:p w14:paraId="53A2AFA5"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The International Intellectual Property Society</w:t>
            </w:r>
          </w:p>
        </w:tc>
      </w:tr>
      <w:tr w:rsidR="00142B2B" w:rsidRPr="00E83349" w14:paraId="4BAC3963" w14:textId="77777777" w:rsidTr="004F61B2">
        <w:trPr>
          <w:trHeight w:val="260"/>
        </w:trPr>
        <w:tc>
          <w:tcPr>
            <w:tcW w:w="9355" w:type="dxa"/>
            <w:noWrap/>
            <w:hideMark/>
          </w:tcPr>
          <w:p w14:paraId="6163C5E8"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The Italian Library Association</w:t>
            </w:r>
          </w:p>
        </w:tc>
      </w:tr>
      <w:tr w:rsidR="00142B2B" w:rsidRPr="00E83349" w14:paraId="259F1A3D" w14:textId="77777777" w:rsidTr="004F61B2">
        <w:trPr>
          <w:trHeight w:val="260"/>
        </w:trPr>
        <w:tc>
          <w:tcPr>
            <w:tcW w:w="9355" w:type="dxa"/>
            <w:noWrap/>
            <w:hideMark/>
          </w:tcPr>
          <w:p w14:paraId="29225838" w14:textId="77777777" w:rsidR="00142B2B" w:rsidRPr="00E83349" w:rsidRDefault="00142B2B" w:rsidP="00FF0BB0">
            <w:pPr>
              <w:rPr>
                <w:rFonts w:eastAsia="Times New Roman"/>
                <w:color w:val="000000"/>
                <w:szCs w:val="22"/>
                <w:lang w:eastAsia="en-US"/>
              </w:rPr>
            </w:pPr>
            <w:r w:rsidRPr="00E83349">
              <w:rPr>
                <w:rFonts w:eastAsia="Times New Roman"/>
                <w:color w:val="000000"/>
                <w:szCs w:val="22"/>
                <w:lang w:eastAsia="en-US"/>
              </w:rPr>
              <w:t>The Korean Patent Attorneys Association</w:t>
            </w:r>
            <w:r w:rsidR="00E57B3F">
              <w:rPr>
                <w:rFonts w:eastAsia="Times New Roman"/>
                <w:color w:val="000000"/>
                <w:szCs w:val="22"/>
                <w:lang w:eastAsia="en-US"/>
              </w:rPr>
              <w:t xml:space="preserve"> (</w:t>
            </w:r>
            <w:r w:rsidR="00E57B3F" w:rsidRPr="00E57B3F">
              <w:rPr>
                <w:rFonts w:eastAsia="Times New Roman"/>
                <w:color w:val="000000"/>
                <w:szCs w:val="22"/>
                <w:lang w:eastAsia="en-US"/>
              </w:rPr>
              <w:t xml:space="preserve">observer status has been restored, see “Table </w:t>
            </w:r>
            <w:r w:rsidR="00FF0BB0">
              <w:rPr>
                <w:rFonts w:eastAsia="Times New Roman"/>
                <w:color w:val="000000"/>
                <w:szCs w:val="22"/>
                <w:lang w:eastAsia="en-US"/>
              </w:rPr>
              <w:t>D</w:t>
            </w:r>
            <w:r w:rsidR="00E57B3F" w:rsidRPr="00E57B3F">
              <w:rPr>
                <w:rFonts w:eastAsia="Times New Roman"/>
                <w:color w:val="000000"/>
                <w:szCs w:val="22"/>
                <w:lang w:eastAsia="en-US"/>
              </w:rPr>
              <w:t>”</w:t>
            </w:r>
            <w:r w:rsidR="00E57B3F">
              <w:rPr>
                <w:rFonts w:eastAsia="Times New Roman"/>
                <w:color w:val="000000"/>
                <w:szCs w:val="22"/>
                <w:lang w:eastAsia="en-US"/>
              </w:rPr>
              <w:t>)</w:t>
            </w:r>
          </w:p>
        </w:tc>
      </w:tr>
      <w:tr w:rsidR="00142B2B" w:rsidRPr="00E83349" w14:paraId="164F8190" w14:textId="77777777" w:rsidTr="004F61B2">
        <w:trPr>
          <w:trHeight w:val="260"/>
        </w:trPr>
        <w:tc>
          <w:tcPr>
            <w:tcW w:w="9355" w:type="dxa"/>
            <w:noWrap/>
            <w:hideMark/>
          </w:tcPr>
          <w:p w14:paraId="63BE4AFC" w14:textId="77777777" w:rsidR="00142B2B" w:rsidRPr="00E83349" w:rsidRDefault="00142B2B" w:rsidP="004F61B2">
            <w:pPr>
              <w:rPr>
                <w:rFonts w:eastAsia="Times New Roman"/>
                <w:color w:val="000000"/>
                <w:szCs w:val="22"/>
                <w:lang w:eastAsia="en-US"/>
              </w:rPr>
            </w:pPr>
            <w:r w:rsidRPr="00E83349">
              <w:rPr>
                <w:rFonts w:eastAsia="Times New Roman"/>
                <w:color w:val="000000"/>
                <w:szCs w:val="22"/>
                <w:lang w:eastAsia="en-US"/>
              </w:rPr>
              <w:t>United States Telecommunications Association</w:t>
            </w:r>
          </w:p>
        </w:tc>
      </w:tr>
    </w:tbl>
    <w:p w14:paraId="032A26E4" w14:textId="77777777" w:rsidR="00142B2B" w:rsidRDefault="00142B2B" w:rsidP="00142B2B">
      <w:pPr>
        <w:pStyle w:val="Heading3"/>
        <w:spacing w:before="480" w:after="240"/>
      </w:pPr>
      <w:r w:rsidRPr="000C3CAA">
        <w:t xml:space="preserve">Table </w:t>
      </w:r>
      <w:r>
        <w:t>C</w:t>
      </w:r>
      <w:r w:rsidRPr="005C0C1E">
        <w:t>:</w:t>
      </w:r>
      <w:r w:rsidRPr="005C0C1E">
        <w:rPr>
          <w:u w:val="none"/>
        </w:rPr>
        <w:t>  International NGOs for which observer status has been restored upon request</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tional NGOs 2"/>
        <w:tblDescription w:val="Names of National NGOs"/>
      </w:tblPr>
      <w:tblGrid>
        <w:gridCol w:w="9355"/>
      </w:tblGrid>
      <w:tr w:rsidR="00142B2B" w:rsidRPr="00E83349" w14:paraId="637E266A" w14:textId="77777777" w:rsidTr="004D523B">
        <w:trPr>
          <w:trHeight w:val="260"/>
          <w:tblHeader/>
        </w:trPr>
        <w:tc>
          <w:tcPr>
            <w:tcW w:w="9355" w:type="dxa"/>
            <w:shd w:val="clear" w:color="auto" w:fill="BFBFBF" w:themeFill="background1" w:themeFillShade="BF"/>
            <w:noWrap/>
          </w:tcPr>
          <w:p w14:paraId="0322A770" w14:textId="77777777" w:rsidR="00142B2B" w:rsidRPr="00E83349" w:rsidRDefault="00142B2B" w:rsidP="004F61B2">
            <w:pPr>
              <w:rPr>
                <w:rFonts w:eastAsia="Times New Roman"/>
                <w:b/>
                <w:color w:val="000000"/>
                <w:szCs w:val="22"/>
                <w:lang w:eastAsia="en-US"/>
              </w:rPr>
            </w:pPr>
            <w:r w:rsidRPr="006F1C1E">
              <w:rPr>
                <w:rFonts w:eastAsia="Times New Roman"/>
                <w:b/>
                <w:color w:val="000000"/>
                <w:szCs w:val="22"/>
                <w:lang w:eastAsia="en-US"/>
              </w:rPr>
              <w:t xml:space="preserve">Name of </w:t>
            </w:r>
            <w:r>
              <w:rPr>
                <w:rFonts w:eastAsia="Times New Roman"/>
                <w:b/>
                <w:color w:val="000000"/>
                <w:szCs w:val="22"/>
                <w:lang w:eastAsia="en-US"/>
              </w:rPr>
              <w:t xml:space="preserve">international </w:t>
            </w:r>
            <w:r w:rsidRPr="006F1C1E">
              <w:rPr>
                <w:rFonts w:eastAsia="Times New Roman"/>
                <w:b/>
                <w:color w:val="000000"/>
                <w:szCs w:val="22"/>
                <w:lang w:eastAsia="en-US"/>
              </w:rPr>
              <w:t>NGO</w:t>
            </w:r>
          </w:p>
        </w:tc>
      </w:tr>
      <w:tr w:rsidR="00142B2B" w:rsidRPr="00E83349" w14:paraId="55D3763C" w14:textId="77777777" w:rsidTr="004D523B">
        <w:trPr>
          <w:trHeight w:val="260"/>
          <w:tblHeader/>
        </w:trPr>
        <w:tc>
          <w:tcPr>
            <w:tcW w:w="9355" w:type="dxa"/>
            <w:shd w:val="clear" w:color="auto" w:fill="auto"/>
            <w:noWrap/>
          </w:tcPr>
          <w:p w14:paraId="7994A038" w14:textId="77777777" w:rsidR="00142B2B" w:rsidRPr="006F1C1E" w:rsidRDefault="00142B2B" w:rsidP="004F61B2">
            <w:pPr>
              <w:rPr>
                <w:rFonts w:eastAsia="Times New Roman"/>
                <w:b/>
                <w:color w:val="000000"/>
                <w:szCs w:val="22"/>
                <w:lang w:eastAsia="en-US"/>
              </w:rPr>
            </w:pPr>
          </w:p>
        </w:tc>
      </w:tr>
      <w:tr w:rsidR="00142B2B" w:rsidRPr="006F1C1E" w14:paraId="3BADF9AE" w14:textId="77777777" w:rsidTr="004D523B">
        <w:trPr>
          <w:trHeight w:val="260"/>
          <w:tblHeader/>
        </w:trPr>
        <w:tc>
          <w:tcPr>
            <w:tcW w:w="9355" w:type="dxa"/>
            <w:shd w:val="clear" w:color="auto" w:fill="auto"/>
            <w:noWrap/>
            <w:hideMark/>
          </w:tcPr>
          <w:p w14:paraId="2C6BB93C" w14:textId="77777777" w:rsidR="00142B2B" w:rsidRPr="006F1C1E" w:rsidRDefault="00142B2B" w:rsidP="004F61B2">
            <w:pPr>
              <w:rPr>
                <w:rFonts w:eastAsia="Times New Roman"/>
                <w:color w:val="000000"/>
                <w:szCs w:val="22"/>
                <w:lang w:eastAsia="en-US"/>
              </w:rPr>
            </w:pPr>
            <w:r w:rsidRPr="006F1C1E">
              <w:rPr>
                <w:rFonts w:eastAsia="Times New Roman"/>
                <w:color w:val="000000"/>
                <w:szCs w:val="22"/>
                <w:lang w:eastAsia="en-US"/>
              </w:rPr>
              <w:t>Arab Society for Intellectual Property</w:t>
            </w:r>
          </w:p>
        </w:tc>
      </w:tr>
      <w:tr w:rsidR="00142B2B" w:rsidRPr="008E4D8E" w14:paraId="51D72984" w14:textId="77777777" w:rsidTr="004D523B">
        <w:trPr>
          <w:trHeight w:val="260"/>
          <w:tblHeader/>
        </w:trPr>
        <w:tc>
          <w:tcPr>
            <w:tcW w:w="9355" w:type="dxa"/>
            <w:shd w:val="clear" w:color="auto" w:fill="auto"/>
            <w:noWrap/>
            <w:hideMark/>
          </w:tcPr>
          <w:p w14:paraId="1C505B9C" w14:textId="77777777" w:rsidR="00142B2B" w:rsidRPr="006F1C1E" w:rsidRDefault="00142B2B" w:rsidP="004F61B2">
            <w:pPr>
              <w:rPr>
                <w:rFonts w:eastAsia="Times New Roman"/>
                <w:color w:val="000000"/>
                <w:szCs w:val="22"/>
                <w:lang w:val="fr-CA" w:eastAsia="en-US"/>
              </w:rPr>
            </w:pPr>
            <w:r w:rsidRPr="006F1C1E">
              <w:rPr>
                <w:rFonts w:eastAsia="Times New Roman"/>
                <w:color w:val="000000"/>
                <w:szCs w:val="22"/>
                <w:lang w:val="fr-CA" w:eastAsia="en-US"/>
              </w:rPr>
              <w:t>Organisation ibéro-américaine des droits d'auteur-</w:t>
            </w:r>
            <w:proofErr w:type="spellStart"/>
            <w:r w:rsidRPr="006F1C1E">
              <w:rPr>
                <w:rFonts w:eastAsia="Times New Roman"/>
                <w:color w:val="000000"/>
                <w:szCs w:val="22"/>
                <w:lang w:val="fr-CA" w:eastAsia="en-US"/>
              </w:rPr>
              <w:t>Latinautor</w:t>
            </w:r>
            <w:proofErr w:type="spellEnd"/>
            <w:r w:rsidRPr="006F1C1E">
              <w:rPr>
                <w:rFonts w:eastAsia="Times New Roman"/>
                <w:color w:val="000000"/>
                <w:szCs w:val="22"/>
                <w:lang w:val="fr-CA" w:eastAsia="en-US"/>
              </w:rPr>
              <w:t xml:space="preserve"> Inc.</w:t>
            </w:r>
          </w:p>
        </w:tc>
      </w:tr>
    </w:tbl>
    <w:p w14:paraId="46608F7C" w14:textId="008D036F" w:rsidR="00B54E73" w:rsidRDefault="00B54E73" w:rsidP="00B54E73">
      <w:pPr>
        <w:pStyle w:val="Heading3"/>
        <w:spacing w:before="480" w:after="240"/>
      </w:pPr>
      <w:r w:rsidRPr="000C3CAA">
        <w:t xml:space="preserve">Table </w:t>
      </w:r>
      <w:r>
        <w:t>D</w:t>
      </w:r>
      <w:r w:rsidRPr="005C0C1E">
        <w:t>:</w:t>
      </w:r>
      <w:r w:rsidRPr="005C0C1E">
        <w:rPr>
          <w:u w:val="none"/>
        </w:rPr>
        <w:t>  </w:t>
      </w:r>
      <w:r>
        <w:rPr>
          <w:u w:val="none"/>
        </w:rPr>
        <w:t>National</w:t>
      </w:r>
      <w:r w:rsidRPr="005C0C1E">
        <w:rPr>
          <w:u w:val="none"/>
        </w:rPr>
        <w:t xml:space="preserve"> NGOs for which observer status has been restored upon request</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tional NGOs 2"/>
        <w:tblDescription w:val="Names of National NGOs"/>
      </w:tblPr>
      <w:tblGrid>
        <w:gridCol w:w="9355"/>
      </w:tblGrid>
      <w:tr w:rsidR="00B54E73" w:rsidRPr="00E83349" w14:paraId="5B7F3C93" w14:textId="77777777" w:rsidTr="008275E0">
        <w:trPr>
          <w:trHeight w:val="260"/>
          <w:tblHeader/>
        </w:trPr>
        <w:tc>
          <w:tcPr>
            <w:tcW w:w="9355" w:type="dxa"/>
            <w:shd w:val="clear" w:color="auto" w:fill="BFBFBF" w:themeFill="background1" w:themeFillShade="BF"/>
            <w:noWrap/>
          </w:tcPr>
          <w:p w14:paraId="016D5C6C" w14:textId="77777777" w:rsidR="00B54E73" w:rsidRPr="00E83349" w:rsidRDefault="00B54E73" w:rsidP="008275E0">
            <w:pPr>
              <w:rPr>
                <w:rFonts w:eastAsia="Times New Roman"/>
                <w:b/>
                <w:color w:val="000000"/>
                <w:szCs w:val="22"/>
                <w:lang w:eastAsia="en-US"/>
              </w:rPr>
            </w:pPr>
            <w:r w:rsidRPr="006F1C1E">
              <w:rPr>
                <w:rFonts w:eastAsia="Times New Roman"/>
                <w:b/>
                <w:color w:val="000000"/>
                <w:szCs w:val="22"/>
                <w:lang w:eastAsia="en-US"/>
              </w:rPr>
              <w:t xml:space="preserve">Name of </w:t>
            </w:r>
            <w:r>
              <w:rPr>
                <w:rFonts w:eastAsia="Times New Roman"/>
                <w:b/>
                <w:color w:val="000000"/>
                <w:szCs w:val="22"/>
                <w:lang w:eastAsia="en-US"/>
              </w:rPr>
              <w:t xml:space="preserve">national </w:t>
            </w:r>
            <w:r w:rsidRPr="006F1C1E">
              <w:rPr>
                <w:rFonts w:eastAsia="Times New Roman"/>
                <w:b/>
                <w:color w:val="000000"/>
                <w:szCs w:val="22"/>
                <w:lang w:eastAsia="en-US"/>
              </w:rPr>
              <w:t>NGO</w:t>
            </w:r>
          </w:p>
        </w:tc>
      </w:tr>
      <w:tr w:rsidR="00B54E73" w:rsidRPr="00E83349" w14:paraId="331FA9B2" w14:textId="77777777" w:rsidTr="008275E0">
        <w:trPr>
          <w:trHeight w:val="260"/>
          <w:tblHeader/>
        </w:trPr>
        <w:tc>
          <w:tcPr>
            <w:tcW w:w="9355" w:type="dxa"/>
            <w:shd w:val="clear" w:color="auto" w:fill="auto"/>
            <w:noWrap/>
          </w:tcPr>
          <w:p w14:paraId="3B43CD16" w14:textId="77777777" w:rsidR="00B54E73" w:rsidRPr="006F1C1E" w:rsidRDefault="00B54E73" w:rsidP="008275E0">
            <w:pPr>
              <w:rPr>
                <w:rFonts w:eastAsia="Times New Roman"/>
                <w:b/>
                <w:color w:val="000000"/>
                <w:szCs w:val="22"/>
                <w:lang w:eastAsia="en-US"/>
              </w:rPr>
            </w:pPr>
          </w:p>
        </w:tc>
      </w:tr>
      <w:tr w:rsidR="00B54E73" w:rsidRPr="006F1C1E" w14:paraId="71B87D41" w14:textId="77777777" w:rsidTr="00B54E73">
        <w:trPr>
          <w:trHeight w:val="260"/>
          <w:tblHeader/>
        </w:trPr>
        <w:tc>
          <w:tcPr>
            <w:tcW w:w="9355" w:type="dxa"/>
            <w:shd w:val="clear" w:color="auto" w:fill="auto"/>
            <w:noWrap/>
          </w:tcPr>
          <w:p w14:paraId="60BDF04C" w14:textId="77777777" w:rsidR="00B54E73" w:rsidRPr="006F1C1E" w:rsidRDefault="00B54E73" w:rsidP="008275E0">
            <w:pPr>
              <w:rPr>
                <w:rFonts w:eastAsia="Times New Roman"/>
                <w:color w:val="000000"/>
                <w:szCs w:val="22"/>
                <w:lang w:eastAsia="en-US"/>
              </w:rPr>
            </w:pPr>
            <w:r w:rsidRPr="00E83349">
              <w:rPr>
                <w:rFonts w:eastAsia="Times New Roman"/>
                <w:color w:val="000000"/>
                <w:szCs w:val="22"/>
                <w:lang w:eastAsia="en-US"/>
              </w:rPr>
              <w:t>The Korean Patent Attorneys Association</w:t>
            </w:r>
          </w:p>
        </w:tc>
      </w:tr>
      <w:tr w:rsidR="00B54E73" w:rsidRPr="00B54E73" w14:paraId="1446AA2D" w14:textId="77777777" w:rsidTr="00B54E73">
        <w:trPr>
          <w:trHeight w:val="260"/>
          <w:tblHeader/>
        </w:trPr>
        <w:tc>
          <w:tcPr>
            <w:tcW w:w="9355" w:type="dxa"/>
            <w:shd w:val="clear" w:color="auto" w:fill="auto"/>
            <w:noWrap/>
          </w:tcPr>
          <w:p w14:paraId="4DAA2B29" w14:textId="77777777" w:rsidR="00B54E73" w:rsidRPr="00B54E73" w:rsidRDefault="00B54E73" w:rsidP="008275E0">
            <w:pPr>
              <w:rPr>
                <w:rFonts w:eastAsia="Times New Roman"/>
                <w:color w:val="000000"/>
                <w:szCs w:val="22"/>
                <w:lang w:eastAsia="en-US"/>
              </w:rPr>
            </w:pPr>
          </w:p>
        </w:tc>
      </w:tr>
    </w:tbl>
    <w:p w14:paraId="75FB317F" w14:textId="77777777" w:rsidR="00142B2B" w:rsidRDefault="00142B2B" w:rsidP="00142B2B">
      <w:pPr>
        <w:tabs>
          <w:tab w:val="left" w:pos="6096"/>
        </w:tabs>
        <w:spacing w:before="840" w:after="720"/>
        <w:jc w:val="right"/>
      </w:pPr>
      <w:r>
        <w:t>[End of Annex and of document]</w:t>
      </w:r>
    </w:p>
    <w:sectPr w:rsidR="00142B2B" w:rsidSect="00142B2B">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81CA6" w14:textId="77777777" w:rsidR="00142466" w:rsidRDefault="00142466">
      <w:r>
        <w:separator/>
      </w:r>
    </w:p>
  </w:endnote>
  <w:endnote w:type="continuationSeparator" w:id="0">
    <w:p w14:paraId="145BBC72" w14:textId="77777777" w:rsidR="00142466" w:rsidRDefault="00142466" w:rsidP="003B38C1">
      <w:r>
        <w:separator/>
      </w:r>
    </w:p>
    <w:p w14:paraId="1E592394" w14:textId="77777777" w:rsidR="00142466" w:rsidRPr="003B38C1" w:rsidRDefault="00142466" w:rsidP="003B38C1">
      <w:pPr>
        <w:spacing w:after="60"/>
        <w:rPr>
          <w:sz w:val="17"/>
        </w:rPr>
      </w:pPr>
      <w:r>
        <w:rPr>
          <w:sz w:val="17"/>
        </w:rPr>
        <w:t>[Endnote continued from previous page]</w:t>
      </w:r>
    </w:p>
  </w:endnote>
  <w:endnote w:type="continuationNotice" w:id="1">
    <w:p w14:paraId="66375A75" w14:textId="77777777" w:rsidR="00142466" w:rsidRPr="003B38C1" w:rsidRDefault="001424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3160" w14:textId="77777777" w:rsidR="00142B2B" w:rsidRDefault="00142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CF04" w14:textId="77777777" w:rsidR="00142466" w:rsidRDefault="00142466">
      <w:r>
        <w:separator/>
      </w:r>
    </w:p>
  </w:footnote>
  <w:footnote w:type="continuationSeparator" w:id="0">
    <w:p w14:paraId="3A6A9C33" w14:textId="77777777" w:rsidR="00142466" w:rsidRDefault="00142466" w:rsidP="008B60B2">
      <w:r>
        <w:separator/>
      </w:r>
    </w:p>
    <w:p w14:paraId="26F7231A" w14:textId="77777777" w:rsidR="00142466" w:rsidRPr="00ED77FB" w:rsidRDefault="00142466" w:rsidP="008B60B2">
      <w:pPr>
        <w:spacing w:after="60"/>
        <w:rPr>
          <w:sz w:val="17"/>
          <w:szCs w:val="17"/>
        </w:rPr>
      </w:pPr>
      <w:r w:rsidRPr="00ED77FB">
        <w:rPr>
          <w:sz w:val="17"/>
          <w:szCs w:val="17"/>
        </w:rPr>
        <w:t>[Footnote continued from previous page]</w:t>
      </w:r>
    </w:p>
  </w:footnote>
  <w:footnote w:type="continuationNotice" w:id="1">
    <w:p w14:paraId="11A0174A" w14:textId="77777777" w:rsidR="00142466" w:rsidRPr="00ED77FB" w:rsidRDefault="00142466" w:rsidP="008B60B2">
      <w:pPr>
        <w:spacing w:before="60"/>
        <w:jc w:val="right"/>
        <w:rPr>
          <w:sz w:val="17"/>
          <w:szCs w:val="17"/>
        </w:rPr>
      </w:pPr>
      <w:r w:rsidRPr="00ED77FB">
        <w:rPr>
          <w:sz w:val="17"/>
          <w:szCs w:val="17"/>
        </w:rPr>
        <w:t>[Footnote continued on next page]</w:t>
      </w:r>
    </w:p>
  </w:footnote>
  <w:footnote w:id="2">
    <w:p w14:paraId="6B6D2819" w14:textId="77777777" w:rsidR="00142B2B" w:rsidRPr="003C54DC" w:rsidRDefault="00142B2B" w:rsidP="00142B2B">
      <w:pPr>
        <w:pStyle w:val="FootnoteText"/>
      </w:pPr>
      <w:r>
        <w:rPr>
          <w:rStyle w:val="FootnoteReference"/>
        </w:rPr>
        <w:footnoteRef/>
      </w:r>
      <w:r>
        <w:t xml:space="preserve"> </w:t>
      </w:r>
      <w:proofErr w:type="gramStart"/>
      <w:r>
        <w:t xml:space="preserve">The term “Committees” includes:  </w:t>
      </w:r>
      <w:r w:rsidRPr="006853BD">
        <w:t>Advisory Committee on Enforcement</w:t>
      </w:r>
      <w:r>
        <w:t xml:space="preserve"> (ACE), </w:t>
      </w:r>
      <w:r w:rsidRPr="006853BD">
        <w:t>Committee on Development and Intellectual Property</w:t>
      </w:r>
      <w:r>
        <w:t xml:space="preserve"> (CDIP),</w:t>
      </w:r>
      <w:r w:rsidRPr="006853BD">
        <w:t xml:space="preserve"> Committee on WIPO Standards</w:t>
      </w:r>
      <w:r>
        <w:t xml:space="preserve"> (CWS), </w:t>
      </w:r>
      <w:r w:rsidRPr="006853BD">
        <w:t>Intergovernmental Committee on Intellectual Property and Genetic Resources, Traditional Knowledge and Folklore</w:t>
      </w:r>
      <w:r>
        <w:t xml:space="preserve"> (IGC), </w:t>
      </w:r>
      <w:r w:rsidRPr="006853BD">
        <w:t>Standing Committee on Copyright and Related Rights</w:t>
      </w:r>
      <w:r>
        <w:t xml:space="preserve"> (SCCR), </w:t>
      </w:r>
      <w:r w:rsidRPr="006853BD">
        <w:t>Standing Committee on the Law of Patents</w:t>
      </w:r>
      <w:r>
        <w:t xml:space="preserve"> (SCP) and </w:t>
      </w:r>
      <w:r w:rsidRPr="006853BD">
        <w:t>Standing Committee on the Law of Trademarks, Industrial Designs and Geographical Indications</w:t>
      </w:r>
      <w:r>
        <w:t xml:space="preserve"> (SCT).</w:t>
      </w:r>
      <w:proofErr w:type="gramEnd"/>
    </w:p>
  </w:footnote>
  <w:footnote w:id="3">
    <w:p w14:paraId="55A83D3E" w14:textId="77777777" w:rsidR="00142B2B" w:rsidRPr="003C54DC" w:rsidRDefault="00142B2B" w:rsidP="00142B2B">
      <w:pPr>
        <w:pStyle w:val="FootnoteText"/>
      </w:pPr>
      <w:r>
        <w:rPr>
          <w:rStyle w:val="FootnoteReference"/>
        </w:rPr>
        <w:footnoteRef/>
      </w:r>
      <w:r>
        <w:t xml:space="preserve"> The update process only concerned the observer status granted by the Assemblies. Any </w:t>
      </w:r>
      <w:r w:rsidRPr="00540C7E">
        <w:rPr>
          <w:i/>
        </w:rPr>
        <w:t>a</w:t>
      </w:r>
      <w:r w:rsidRPr="009D6A49">
        <w:rPr>
          <w:i/>
        </w:rPr>
        <w:t>d hoc</w:t>
      </w:r>
      <w:r>
        <w:t xml:space="preserve"> observer status, granted by a WIPO subsidiary body, </w:t>
      </w:r>
      <w:proofErr w:type="gramStart"/>
      <w:r>
        <w:t>was not affected</w:t>
      </w:r>
      <w:proofErr w:type="gramEnd"/>
      <w:r>
        <w:t>.</w:t>
      </w:r>
    </w:p>
  </w:footnote>
  <w:footnote w:id="4">
    <w:p w14:paraId="32425E99" w14:textId="77777777" w:rsidR="00142B2B" w:rsidRPr="0052505A" w:rsidRDefault="00142B2B" w:rsidP="00142B2B">
      <w:pPr>
        <w:pStyle w:val="FootnoteText"/>
      </w:pPr>
      <w:r>
        <w:rPr>
          <w:rStyle w:val="FootnoteReference"/>
        </w:rPr>
        <w:footnoteRef/>
      </w:r>
      <w:r>
        <w:t xml:space="preserve"> For a detailed list of the NGO observers that were removed from the list of observers at WIPO, please refer to “Table A” (international NGOs) and “Table B” (national NGOs) in the Annex to this document.</w:t>
      </w:r>
    </w:p>
  </w:footnote>
  <w:footnote w:id="5">
    <w:p w14:paraId="3733DCB7" w14:textId="77777777" w:rsidR="00142B2B" w:rsidRPr="00C069C5" w:rsidRDefault="00142B2B" w:rsidP="00142B2B">
      <w:pPr>
        <w:pStyle w:val="FootnoteText"/>
      </w:pPr>
      <w:r>
        <w:rPr>
          <w:rStyle w:val="FootnoteReference"/>
        </w:rPr>
        <w:footnoteRef/>
      </w:r>
      <w:r>
        <w:t xml:space="preserve"> For a detailed list of the NGO observers concerned</w:t>
      </w:r>
      <w:r w:rsidRPr="00C069C5">
        <w:t xml:space="preserve">, please see </w:t>
      </w:r>
      <w:r>
        <w:t>“</w:t>
      </w:r>
      <w:r w:rsidRPr="00C069C5">
        <w:t>Table C</w:t>
      </w:r>
      <w:r>
        <w:t>”</w:t>
      </w:r>
      <w:r w:rsidR="00B54E73">
        <w:t xml:space="preserve"> and “Table D”</w:t>
      </w:r>
      <w:r w:rsidRPr="00C069C5">
        <w:t xml:space="preserve"> in the Annex to this document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AFD29" w14:textId="503DE2B5" w:rsidR="00EC4E49" w:rsidRDefault="00142B2B" w:rsidP="00477D6B">
    <w:pPr>
      <w:jc w:val="right"/>
    </w:pPr>
    <w:bookmarkStart w:id="6" w:name="Code2"/>
    <w:bookmarkEnd w:id="6"/>
    <w:r>
      <w:t>A/62/4</w:t>
    </w:r>
    <w:r w:rsidR="0016115E">
      <w:t xml:space="preserve"> Rev.</w:t>
    </w:r>
  </w:p>
  <w:p w14:paraId="666EF5D1" w14:textId="198940F1" w:rsidR="00B50B99" w:rsidRDefault="00EC4E49" w:rsidP="009E61EA">
    <w:pPr>
      <w:spacing w:after="480"/>
      <w:jc w:val="right"/>
    </w:pPr>
    <w:proofErr w:type="gramStart"/>
    <w:r>
      <w:t>page</w:t>
    </w:r>
    <w:proofErr w:type="gramEnd"/>
    <w:r>
      <w:t xml:space="preserve"> </w:t>
    </w:r>
    <w:r>
      <w:fldChar w:fldCharType="begin"/>
    </w:r>
    <w:r>
      <w:instrText xml:space="preserve"> PAGE  \* MERGEFORMAT </w:instrText>
    </w:r>
    <w:r>
      <w:fldChar w:fldCharType="separate"/>
    </w:r>
    <w:r w:rsidR="00457771">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0EEE" w14:textId="4AFCA48A" w:rsidR="00142B2B" w:rsidRDefault="00142B2B" w:rsidP="00477D6B">
    <w:pPr>
      <w:jc w:val="right"/>
    </w:pPr>
    <w:r>
      <w:t>A/62/4</w:t>
    </w:r>
    <w:r w:rsidR="0016115E">
      <w:t xml:space="preserve"> Rev.</w:t>
    </w:r>
  </w:p>
  <w:p w14:paraId="37618865" w14:textId="2248AD49" w:rsidR="00142B2B" w:rsidRDefault="00142B2B" w:rsidP="009E61EA">
    <w:pPr>
      <w:spacing w:after="480"/>
      <w:jc w:val="right"/>
    </w:pPr>
    <w:r>
      <w:t xml:space="preserve">Annex, page </w:t>
    </w:r>
    <w:r>
      <w:fldChar w:fldCharType="begin"/>
    </w:r>
    <w:r>
      <w:instrText xml:space="preserve"> PAGE  \* MERGEFORMAT </w:instrText>
    </w:r>
    <w:r>
      <w:fldChar w:fldCharType="separate"/>
    </w:r>
    <w:r w:rsidR="00457771">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7B077" w14:textId="77777777" w:rsidR="00142B2B" w:rsidRDefault="00142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2B"/>
    <w:rsid w:val="0001647B"/>
    <w:rsid w:val="00043CAA"/>
    <w:rsid w:val="00075432"/>
    <w:rsid w:val="000968ED"/>
    <w:rsid w:val="000F467E"/>
    <w:rsid w:val="000F5E56"/>
    <w:rsid w:val="001024FE"/>
    <w:rsid w:val="001362EE"/>
    <w:rsid w:val="00142466"/>
    <w:rsid w:val="00142868"/>
    <w:rsid w:val="00142B2B"/>
    <w:rsid w:val="0016115E"/>
    <w:rsid w:val="00180526"/>
    <w:rsid w:val="001832A6"/>
    <w:rsid w:val="001C6808"/>
    <w:rsid w:val="002121FA"/>
    <w:rsid w:val="002634C4"/>
    <w:rsid w:val="002928D3"/>
    <w:rsid w:val="002B0127"/>
    <w:rsid w:val="002F1FE6"/>
    <w:rsid w:val="002F4E68"/>
    <w:rsid w:val="00300BCD"/>
    <w:rsid w:val="00312F7F"/>
    <w:rsid w:val="003228B7"/>
    <w:rsid w:val="00323767"/>
    <w:rsid w:val="003508A3"/>
    <w:rsid w:val="003673CF"/>
    <w:rsid w:val="003845C1"/>
    <w:rsid w:val="003A6F89"/>
    <w:rsid w:val="003B38C1"/>
    <w:rsid w:val="003D413B"/>
    <w:rsid w:val="003E1EEC"/>
    <w:rsid w:val="00414F3C"/>
    <w:rsid w:val="00423E3E"/>
    <w:rsid w:val="00427AF4"/>
    <w:rsid w:val="004400E2"/>
    <w:rsid w:val="00457771"/>
    <w:rsid w:val="00461632"/>
    <w:rsid w:val="004647DA"/>
    <w:rsid w:val="00474062"/>
    <w:rsid w:val="00477D6B"/>
    <w:rsid w:val="004D39C4"/>
    <w:rsid w:val="004D523B"/>
    <w:rsid w:val="004D55B4"/>
    <w:rsid w:val="0053057A"/>
    <w:rsid w:val="00560A29"/>
    <w:rsid w:val="00576503"/>
    <w:rsid w:val="00594D27"/>
    <w:rsid w:val="005B6BD8"/>
    <w:rsid w:val="00601760"/>
    <w:rsid w:val="00605827"/>
    <w:rsid w:val="00606604"/>
    <w:rsid w:val="00646050"/>
    <w:rsid w:val="006713CA"/>
    <w:rsid w:val="00676C5C"/>
    <w:rsid w:val="00695558"/>
    <w:rsid w:val="006D5E0F"/>
    <w:rsid w:val="007058FB"/>
    <w:rsid w:val="0079688F"/>
    <w:rsid w:val="007B6A58"/>
    <w:rsid w:val="007C2D1B"/>
    <w:rsid w:val="007D1613"/>
    <w:rsid w:val="008037B9"/>
    <w:rsid w:val="00855D4A"/>
    <w:rsid w:val="00873EE5"/>
    <w:rsid w:val="008B2CC1"/>
    <w:rsid w:val="008B4B5E"/>
    <w:rsid w:val="008B60B2"/>
    <w:rsid w:val="008E4D8E"/>
    <w:rsid w:val="0090731E"/>
    <w:rsid w:val="00916EE2"/>
    <w:rsid w:val="00966A22"/>
    <w:rsid w:val="0096722F"/>
    <w:rsid w:val="0097381A"/>
    <w:rsid w:val="00980843"/>
    <w:rsid w:val="00987F77"/>
    <w:rsid w:val="009E2791"/>
    <w:rsid w:val="009E3F6F"/>
    <w:rsid w:val="009E61EA"/>
    <w:rsid w:val="009F3BF9"/>
    <w:rsid w:val="009F499F"/>
    <w:rsid w:val="00A02945"/>
    <w:rsid w:val="00A07B00"/>
    <w:rsid w:val="00A42DAF"/>
    <w:rsid w:val="00A45BD8"/>
    <w:rsid w:val="00A778BF"/>
    <w:rsid w:val="00A85B8E"/>
    <w:rsid w:val="00AC205C"/>
    <w:rsid w:val="00AF0BA8"/>
    <w:rsid w:val="00AF49D1"/>
    <w:rsid w:val="00AF5C73"/>
    <w:rsid w:val="00B05A69"/>
    <w:rsid w:val="00B276BD"/>
    <w:rsid w:val="00B40598"/>
    <w:rsid w:val="00B50AE2"/>
    <w:rsid w:val="00B50B99"/>
    <w:rsid w:val="00B54E73"/>
    <w:rsid w:val="00B62CD9"/>
    <w:rsid w:val="00B81C0F"/>
    <w:rsid w:val="00B9734B"/>
    <w:rsid w:val="00BC14D0"/>
    <w:rsid w:val="00BD3337"/>
    <w:rsid w:val="00C11BFE"/>
    <w:rsid w:val="00C90C9F"/>
    <w:rsid w:val="00C94629"/>
    <w:rsid w:val="00CB728F"/>
    <w:rsid w:val="00CC4137"/>
    <w:rsid w:val="00CD41CB"/>
    <w:rsid w:val="00CE65D4"/>
    <w:rsid w:val="00D45252"/>
    <w:rsid w:val="00D71B4D"/>
    <w:rsid w:val="00D81857"/>
    <w:rsid w:val="00D93D55"/>
    <w:rsid w:val="00E161A2"/>
    <w:rsid w:val="00E24292"/>
    <w:rsid w:val="00E335FE"/>
    <w:rsid w:val="00E5021F"/>
    <w:rsid w:val="00E57B3F"/>
    <w:rsid w:val="00E671A6"/>
    <w:rsid w:val="00E67C9F"/>
    <w:rsid w:val="00EA3655"/>
    <w:rsid w:val="00EC4E49"/>
    <w:rsid w:val="00ED77FB"/>
    <w:rsid w:val="00F021A6"/>
    <w:rsid w:val="00F11D94"/>
    <w:rsid w:val="00F66152"/>
    <w:rsid w:val="00FB2F5A"/>
    <w:rsid w:val="00FE440A"/>
    <w:rsid w:val="00FF0BB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272269"/>
  <w15:docId w15:val="{6FF42120-B91D-4EAF-89F9-424FAC41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142B2B"/>
    <w:rPr>
      <w:vertAlign w:val="superscript"/>
    </w:rPr>
  </w:style>
  <w:style w:type="table" w:styleId="TableGrid">
    <w:name w:val="Table Grid"/>
    <w:basedOn w:val="TableNormal"/>
    <w:rsid w:val="00142B2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50AE2"/>
    <w:rPr>
      <w:rFonts w:ascii="Segoe UI" w:hAnsi="Segoe UI" w:cs="Segoe UI"/>
      <w:sz w:val="18"/>
      <w:szCs w:val="18"/>
    </w:rPr>
  </w:style>
  <w:style w:type="character" w:customStyle="1" w:styleId="BalloonTextChar">
    <w:name w:val="Balloon Text Char"/>
    <w:basedOn w:val="DefaultParagraphFont"/>
    <w:link w:val="BalloonText"/>
    <w:semiHidden/>
    <w:rsid w:val="00B50AE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BC14D0"/>
    <w:rPr>
      <w:sz w:val="16"/>
      <w:szCs w:val="16"/>
    </w:rPr>
  </w:style>
  <w:style w:type="paragraph" w:styleId="CommentSubject">
    <w:name w:val="annotation subject"/>
    <w:basedOn w:val="CommentText"/>
    <w:next w:val="CommentText"/>
    <w:link w:val="CommentSubjectChar"/>
    <w:semiHidden/>
    <w:unhideWhenUsed/>
    <w:rsid w:val="00BC14D0"/>
    <w:rPr>
      <w:b/>
      <w:bCs/>
      <w:sz w:val="20"/>
    </w:rPr>
  </w:style>
  <w:style w:type="character" w:customStyle="1" w:styleId="CommentTextChar">
    <w:name w:val="Comment Text Char"/>
    <w:basedOn w:val="DefaultParagraphFont"/>
    <w:link w:val="CommentText"/>
    <w:semiHidden/>
    <w:rsid w:val="00BC14D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C14D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16741226427398E-2"/>
          <c:y val="0.10765583181412668"/>
          <c:w val="0.82796651754714523"/>
          <c:h val="0.78468833637174662"/>
        </c:manualLayout>
      </c:layout>
      <c:ofPieChart>
        <c:ofPieType val="pie"/>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FF-4D8B-BF91-5FD3B68065F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EFF-4D8B-BF91-5FD3B68065F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7EFF-4D8B-BF91-5FD3B68065F0}"/>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7EFF-4D8B-BF91-5FD3B68065F0}"/>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7EFF-4D8B-BF91-5FD3B68065F0}"/>
              </c:ext>
            </c:extLst>
          </c:dPt>
          <c:dLbls>
            <c:dLbl>
              <c:idx val="0"/>
              <c:layout>
                <c:manualLayout>
                  <c:x val="7.5090245023312716E-3"/>
                  <c:y val="0.42534326046924564"/>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EFF-4D8B-BF91-5FD3B68065F0}"/>
                </c:ext>
              </c:extLst>
            </c:dLbl>
            <c:dLbl>
              <c:idx val="2"/>
              <c:layout>
                <c:manualLayout>
                  <c:x val="-2.4404329632576702E-2"/>
                  <c:y val="9.4834574225322377E-2"/>
                </c:manualLayout>
              </c:layout>
              <c:tx>
                <c:rich>
                  <a:bodyPr/>
                  <a:lstStyle/>
                  <a:p>
                    <a:fld id="{3CAB0C5E-AE6A-4363-8C29-2F19E1C574DB}" type="CATEGORYNAME">
                      <a:rPr lang="en-US"/>
                      <a:pPr/>
                      <a:t>[CATEGORY NAME]</a:t>
                    </a:fld>
                    <a:r>
                      <a:rPr lang="en-US" baseline="0"/>
                      <a:t>, 64</a:t>
                    </a:r>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7EFF-4D8B-BF91-5FD3B68065F0}"/>
                </c:ext>
              </c:extLst>
            </c:dLbl>
            <c:dLbl>
              <c:idx val="3"/>
              <c:layout>
                <c:manualLayout>
                  <c:x val="-9.3862806279142261E-3"/>
                  <c:y val="-0.27898215068266097"/>
                </c:manualLayout>
              </c:layout>
              <c:tx>
                <c:rich>
                  <a:bodyPr/>
                  <a:lstStyle/>
                  <a:p>
                    <a:fld id="{0B516767-5869-404E-9019-BA12CE03412D}" type="CATEGORYNAME">
                      <a:rPr lang="en-US"/>
                      <a:pPr/>
                      <a:t>[CATEGORY NAME]</a:t>
                    </a:fld>
                    <a:r>
                      <a:rPr lang="en-US" baseline="0"/>
                      <a:t>, 104</a:t>
                    </a:r>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7EFF-4D8B-BF91-5FD3B68065F0}"/>
                </c:ext>
              </c:extLst>
            </c:dLbl>
            <c:dLbl>
              <c:idx val="4"/>
              <c:layout>
                <c:manualLayout>
                  <c:x val="1.8772561255828109E-2"/>
                  <c:y val="-0.23069464974603152"/>
                </c:manualLayout>
              </c:layout>
              <c:tx>
                <c:rich>
                  <a:bodyPr/>
                  <a:lstStyle/>
                  <a:p>
                    <a:r>
                      <a:rPr lang="en-US" baseline="0"/>
                      <a:t>NGO observers in target group, </a:t>
                    </a:r>
                    <a:fld id="{315B8516-DAED-42E5-BECD-436D47649440}"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7EFF-4D8B-BF91-5FD3B68065F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Sheet1!$A$6:$A$9</c:f>
              <c:strCache>
                <c:ptCount val="4"/>
                <c:pt idx="0">
                  <c:v>NGO observer not in traget group</c:v>
                </c:pt>
                <c:pt idx="1">
                  <c:v>NGO obsever in target group</c:v>
                </c:pt>
                <c:pt idx="2">
                  <c:v>NGO observer retained</c:v>
                </c:pt>
                <c:pt idx="3">
                  <c:v>NGO observers deleted</c:v>
                </c:pt>
              </c:strCache>
            </c:strRef>
          </c:cat>
          <c:val>
            <c:numRef>
              <c:f>Sheet1!$B$6:$B$9</c:f>
              <c:numCache>
                <c:formatCode>General</c:formatCode>
                <c:ptCount val="4"/>
                <c:pt idx="0">
                  <c:v>173</c:v>
                </c:pt>
                <c:pt idx="2">
                  <c:v>63</c:v>
                </c:pt>
                <c:pt idx="3">
                  <c:v>105</c:v>
                </c:pt>
              </c:numCache>
            </c:numRef>
          </c:val>
          <c:extLst>
            <c:ext xmlns:c16="http://schemas.microsoft.com/office/drawing/2014/chart" uri="{C3380CC4-5D6E-409C-BE32-E72D297353CC}">
              <c16:uniqueId val="{0000000A-7EFF-4D8B-BF91-5FD3B68065F0}"/>
            </c:ext>
          </c:extLst>
        </c:ser>
        <c:dLbls>
          <c:dLblPos val="outEnd"/>
          <c:showLegendKey val="0"/>
          <c:showVal val="1"/>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E75C-7430-4281-8971-C8DCD8B2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4</TotalTime>
  <Pages>7</Pages>
  <Words>1524</Words>
  <Characters>9205</Characters>
  <Application>Microsoft Office Word</Application>
  <DocSecurity>0</DocSecurity>
  <Lines>210</Lines>
  <Paragraphs>142</Paragraphs>
  <ScaleCrop>false</ScaleCrop>
  <HeadingPairs>
    <vt:vector size="2" baseType="variant">
      <vt:variant>
        <vt:lpstr>Title</vt:lpstr>
      </vt:variant>
      <vt:variant>
        <vt:i4>1</vt:i4>
      </vt:variant>
    </vt:vector>
  </HeadingPairs>
  <TitlesOfParts>
    <vt:vector size="1" baseType="lpstr">
      <vt:lpstr>A/62/4 Rev.</vt:lpstr>
    </vt:vector>
  </TitlesOfParts>
  <Manager/>
  <Company>WIPO</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A/62/4 Rev.</dc:title>
  <dc:subject>Sixty-Second Series of Meetings</dc:subject>
  <dc:creator>WIPO</dc:creator>
  <cp:keywords>PUBLIC</cp:keywords>
  <cp:lastModifiedBy>HÄFLIGER Patience</cp:lastModifiedBy>
  <cp:revision>8</cp:revision>
  <cp:lastPrinted>2011-02-15T11:56:00Z</cp:lastPrinted>
  <dcterms:created xsi:type="dcterms:W3CDTF">2021-09-16T13:32:00Z</dcterms:created>
  <dcterms:modified xsi:type="dcterms:W3CDTF">2021-09-20T16:05:00Z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5b69e9a7-2112-4fcb-b8cd-5490d4e66112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