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27B7E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1" w:name="Code"/>
      <w:bookmarkEnd w:id="1"/>
      <w:r w:rsidR="003654F1">
        <w:rPr>
          <w:rFonts w:ascii="Arial Black" w:hAnsi="Arial Black"/>
          <w:caps/>
          <w:sz w:val="15"/>
          <w:szCs w:val="15"/>
        </w:rPr>
        <w:t>10</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3952E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3654F1">
        <w:rPr>
          <w:rFonts w:ascii="Arial Black" w:hAnsi="Arial Black"/>
          <w:caps/>
          <w:sz w:val="15"/>
          <w:szCs w:val="15"/>
        </w:rPr>
        <w:t xml:space="preserve">July </w:t>
      </w:r>
      <w:r w:rsidR="00386C08">
        <w:rPr>
          <w:rFonts w:ascii="Arial Black" w:hAnsi="Arial Black"/>
          <w:caps/>
          <w:sz w:val="15"/>
          <w:szCs w:val="15"/>
        </w:rPr>
        <w:t>8</w:t>
      </w:r>
      <w:r w:rsidR="003952ED">
        <w:rPr>
          <w:rFonts w:ascii="Arial Black" w:hAnsi="Arial Black"/>
          <w:caps/>
          <w:sz w:val="15"/>
          <w:szCs w:val="15"/>
        </w:rPr>
        <w:t>, 2021</w:t>
      </w:r>
    </w:p>
    <w:bookmarkEnd w:id="3"/>
    <w:p w:rsidR="00A85B8E" w:rsidRPr="00A85B8E" w:rsidRDefault="00B276BD" w:rsidP="00AF5C73">
      <w:pPr>
        <w:spacing w:after="720"/>
        <w:rPr>
          <w:b/>
          <w:sz w:val="28"/>
          <w:szCs w:val="28"/>
        </w:rPr>
      </w:pPr>
      <w:r w:rsidRPr="00B276BD">
        <w:rPr>
          <w:b/>
          <w:sz w:val="28"/>
          <w:szCs w:val="28"/>
        </w:rPr>
        <w:t>Assemblies of the Member States of WIPO</w:t>
      </w:r>
    </w:p>
    <w:p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rsidR="008B2CC1" w:rsidRPr="009F3BF9" w:rsidRDefault="00B276BD" w:rsidP="00CE65D4">
      <w:pPr>
        <w:spacing w:after="720"/>
      </w:pPr>
      <w:r w:rsidRPr="009C127D">
        <w:rPr>
          <w:b/>
          <w:sz w:val="24"/>
        </w:rPr>
        <w:t xml:space="preserve">Geneva, </w:t>
      </w:r>
      <w:r>
        <w:rPr>
          <w:b/>
          <w:sz w:val="24"/>
        </w:rPr>
        <w:t>October 4 to 8, 2021</w:t>
      </w:r>
    </w:p>
    <w:p w:rsidR="008B2CC1" w:rsidRPr="003952ED" w:rsidRDefault="003952ED" w:rsidP="003952ED">
      <w:pPr>
        <w:spacing w:after="360"/>
        <w:rPr>
          <w:caps/>
          <w:sz w:val="24"/>
        </w:rPr>
      </w:pPr>
      <w:bookmarkStart w:id="4" w:name="TitleOfDoc"/>
      <w:r w:rsidRPr="003952ED">
        <w:rPr>
          <w:caps/>
          <w:sz w:val="24"/>
        </w:rPr>
        <w:t>Joint-Proposal on behalf of the Group of Central Asian Caucasian and Eastern European Countries, the Group of the Central European and Baltic States, Group B and the Group of Latin American and Caribbean Countries on the allocation of the vacant seats for the election of the composition of the WIPO Coordination Committee</w:t>
      </w:r>
    </w:p>
    <w:p w:rsidR="008B2CC1" w:rsidRPr="004D39C4" w:rsidRDefault="003952ED" w:rsidP="00CE65D4">
      <w:pPr>
        <w:spacing w:after="960"/>
        <w:rPr>
          <w:i/>
        </w:rPr>
      </w:pPr>
      <w:bookmarkStart w:id="5" w:name="Prepared"/>
      <w:bookmarkEnd w:id="4"/>
      <w:r>
        <w:rPr>
          <w:i/>
        </w:rPr>
        <w:t xml:space="preserve">submitted by the </w:t>
      </w:r>
      <w:r w:rsidRPr="003952ED">
        <w:rPr>
          <w:i/>
        </w:rPr>
        <w:t>Group of Central Asian Caucasian and Eastern European Countries,</w:t>
      </w:r>
      <w:r>
        <w:rPr>
          <w:i/>
        </w:rPr>
        <w:t xml:space="preserve"> the</w:t>
      </w:r>
      <w:r w:rsidRPr="003952ED">
        <w:rPr>
          <w:i/>
        </w:rPr>
        <w:t xml:space="preserve"> Group of the Central European and Baltic States, Group B and </w:t>
      </w:r>
      <w:r>
        <w:rPr>
          <w:i/>
        </w:rPr>
        <w:t xml:space="preserve">the </w:t>
      </w:r>
      <w:r w:rsidRPr="003952ED">
        <w:rPr>
          <w:i/>
        </w:rPr>
        <w:t>Group of Latin American and Caribbean Countries</w:t>
      </w:r>
    </w:p>
    <w:bookmarkEnd w:id="5"/>
    <w:p w:rsidR="003952ED" w:rsidRPr="003952ED" w:rsidRDefault="003952ED" w:rsidP="003952ED">
      <w:pPr>
        <w:spacing w:after="720"/>
      </w:pPr>
      <w:r w:rsidRPr="003952ED">
        <w:t xml:space="preserve">In a communication to the Secretariat received on </w:t>
      </w:r>
      <w:r w:rsidR="003654F1">
        <w:t>July 2</w:t>
      </w:r>
      <w:r>
        <w:t>, 2021</w:t>
      </w:r>
      <w:r w:rsidRPr="003952ED">
        <w:t xml:space="preserve">, the Group of Central Asian Caucasian and Eastern European Countries, </w:t>
      </w:r>
      <w:r>
        <w:t xml:space="preserve">the </w:t>
      </w:r>
      <w:r w:rsidRPr="003952ED">
        <w:t xml:space="preserve">Group of the Central European and Baltic States, Group B and the Group of Latin American and Caribbean Countries, submitted the enclosed </w:t>
      </w:r>
      <w:r>
        <w:t>joint-</w:t>
      </w:r>
      <w:r w:rsidRPr="003952ED">
        <w:t>proposal in the framework of Agenda Item</w:t>
      </w:r>
      <w:r>
        <w:t xml:space="preserve"> 8</w:t>
      </w:r>
      <w:r w:rsidRPr="003952ED">
        <w:t xml:space="preserve">, “Composition of the </w:t>
      </w:r>
      <w:r w:rsidRPr="003952ED">
        <w:rPr>
          <w:lang w:val="en"/>
        </w:rPr>
        <w:t>WIPO Coordination Committee, and of the Executive Committees of the Paris and Berne Unions</w:t>
      </w:r>
      <w:r w:rsidRPr="003952ED">
        <w:t>”.</w:t>
      </w:r>
    </w:p>
    <w:p w:rsidR="00C370DB" w:rsidRDefault="003952ED" w:rsidP="003952ED">
      <w:pPr>
        <w:ind w:left="5533"/>
        <w:sectPr w:rsidR="00C370DB" w:rsidSect="003952ED">
          <w:headerReference w:type="default" r:id="rId9"/>
          <w:endnotePr>
            <w:numFmt w:val="decimal"/>
          </w:endnotePr>
          <w:pgSz w:w="11907" w:h="16840" w:code="9"/>
          <w:pgMar w:top="567" w:right="1134" w:bottom="1418" w:left="1418" w:header="510" w:footer="1021" w:gutter="0"/>
          <w:cols w:space="720"/>
          <w:titlePg/>
          <w:docGrid w:linePitch="299"/>
        </w:sectPr>
      </w:pPr>
      <w:r w:rsidRPr="003952ED">
        <w:t>[Annex follows]</w:t>
      </w:r>
    </w:p>
    <w:p w:rsidR="00967073" w:rsidRPr="00967073" w:rsidRDefault="00967073" w:rsidP="00967073">
      <w:pPr>
        <w:spacing w:after="160" w:line="259" w:lineRule="auto"/>
        <w:jc w:val="center"/>
        <w:rPr>
          <w:rFonts w:ascii="Calibri" w:eastAsia="Calibri" w:hAnsi="Calibri"/>
          <w:sz w:val="32"/>
          <w:szCs w:val="32"/>
          <w:u w:val="single"/>
          <w:lang w:eastAsia="en-US"/>
        </w:rPr>
      </w:pPr>
      <w:r w:rsidRPr="00967073">
        <w:rPr>
          <w:rFonts w:ascii="Calibri" w:eastAsia="Calibri" w:hAnsi="Calibri"/>
          <w:sz w:val="32"/>
          <w:szCs w:val="32"/>
          <w:u w:val="single"/>
          <w:lang w:eastAsia="en-US"/>
        </w:rPr>
        <w:lastRenderedPageBreak/>
        <w:t xml:space="preserve">Joint-Proposal </w:t>
      </w:r>
    </w:p>
    <w:p w:rsidR="00967073" w:rsidRPr="00967073" w:rsidRDefault="00967073" w:rsidP="00967073">
      <w:pPr>
        <w:spacing w:after="160" w:line="259" w:lineRule="auto"/>
        <w:jc w:val="center"/>
        <w:rPr>
          <w:rFonts w:ascii="Calibri" w:eastAsia="Calibri" w:hAnsi="Calibri"/>
          <w:sz w:val="32"/>
          <w:szCs w:val="32"/>
          <w:u w:val="single"/>
          <w:lang w:eastAsia="en-US"/>
        </w:rPr>
      </w:pPr>
      <w:r w:rsidRPr="00967073">
        <w:rPr>
          <w:rFonts w:ascii="Calibri" w:eastAsia="Calibri" w:hAnsi="Calibri"/>
          <w:sz w:val="32"/>
          <w:szCs w:val="32"/>
          <w:u w:val="single"/>
          <w:lang w:eastAsia="en-US"/>
        </w:rPr>
        <w:t xml:space="preserve">on behalf of the Group of Central Asian Caucasian and Eastern European Countries, the Group of the Central European and Baltic States, Group B and the Group of Latin American and Caribbean Countries on the allocation of the vacant seats for the election </w:t>
      </w:r>
      <w:r w:rsidRPr="00967073">
        <w:rPr>
          <w:rFonts w:ascii="Calibri" w:eastAsia="Calibri" w:hAnsi="Calibri"/>
          <w:sz w:val="32"/>
          <w:szCs w:val="32"/>
          <w:u w:val="single"/>
          <w:lang w:eastAsia="en-US"/>
        </w:rPr>
        <w:br/>
        <w:t xml:space="preserve">of the composition of the WIPO Coordination Committee </w:t>
      </w:r>
    </w:p>
    <w:p w:rsidR="00967073" w:rsidRPr="00967073" w:rsidRDefault="00967073" w:rsidP="00967073">
      <w:pPr>
        <w:spacing w:after="160" w:line="259" w:lineRule="auto"/>
        <w:jc w:val="both"/>
        <w:rPr>
          <w:rFonts w:ascii="Calibri" w:eastAsia="Calibri" w:hAnsi="Calibri"/>
          <w:b/>
          <w:bCs/>
          <w:sz w:val="24"/>
          <w:szCs w:val="24"/>
          <w:lang w:eastAsia="en-US"/>
        </w:rPr>
      </w:pPr>
    </w:p>
    <w:p w:rsidR="00967073" w:rsidRPr="00967073" w:rsidRDefault="00967073" w:rsidP="00967073">
      <w:pPr>
        <w:spacing w:after="160" w:line="259" w:lineRule="auto"/>
        <w:jc w:val="both"/>
        <w:rPr>
          <w:rFonts w:ascii="Calibri" w:eastAsia="Calibri" w:hAnsi="Calibri"/>
          <w:b/>
          <w:bCs/>
          <w:sz w:val="24"/>
          <w:szCs w:val="24"/>
          <w:u w:val="single"/>
          <w:lang w:eastAsia="en-US"/>
        </w:rPr>
      </w:pPr>
      <w:r w:rsidRPr="00967073">
        <w:rPr>
          <w:rFonts w:ascii="Calibri" w:eastAsia="Calibri" w:hAnsi="Calibri"/>
          <w:b/>
          <w:bCs/>
          <w:sz w:val="24"/>
          <w:szCs w:val="24"/>
          <w:u w:val="single"/>
          <w:lang w:eastAsia="en-US"/>
        </w:rPr>
        <w:t>Context</w:t>
      </w: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This Joint Proposal is put forward by four Regional Groups of the World Intellectual Property Organization (WIPO), namely CACEEC, CEBS, Group B and GRULAC to propose a path towards a consensual decision on the allocation of additional seats of the WIPO Coordination Committee. </w:t>
      </w:r>
    </w:p>
    <w:p w:rsidR="00967073" w:rsidRPr="00967073" w:rsidRDefault="00967073" w:rsidP="00967073">
      <w:pPr>
        <w:spacing w:after="160" w:line="259" w:lineRule="auto"/>
        <w:ind w:left="720"/>
        <w:contextualSpacing/>
        <w:jc w:val="both"/>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This Joint Proposal takes into account the results of several rounds of consultations of WIPO member States and views expressed.</w:t>
      </w:r>
    </w:p>
    <w:p w:rsidR="00967073" w:rsidRPr="00967073" w:rsidRDefault="00967073" w:rsidP="00967073">
      <w:pPr>
        <w:spacing w:after="160" w:line="259" w:lineRule="auto"/>
        <w:ind w:left="720"/>
        <w:contextualSpacing/>
        <w:jc w:val="both"/>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The composition of the Coordination Committee has remained the same since 2007, despite having additional seats to be allocated since 2013: one available in 2013, two available in 2015, four available in 2017, and six available now. </w:t>
      </w:r>
    </w:p>
    <w:p w:rsidR="00967073" w:rsidRPr="00967073" w:rsidRDefault="00967073" w:rsidP="00967073">
      <w:pPr>
        <w:spacing w:after="160" w:line="259" w:lineRule="auto"/>
        <w:ind w:left="720"/>
        <w:contextualSpacing/>
        <w:jc w:val="both"/>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In 2003, 2005 and 2007, four additional seats were allocated as follows: African Group received one additional seat in 2003 and one in 2007, Asia and the Pacific Group and Group B received one additional seat each in 2005.</w:t>
      </w:r>
    </w:p>
    <w:p w:rsidR="00967073" w:rsidRPr="00967073" w:rsidRDefault="00967073" w:rsidP="00967073">
      <w:pPr>
        <w:spacing w:after="160" w:line="259" w:lineRule="auto"/>
        <w:ind w:left="720"/>
        <w:contextualSpacing/>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In 2001, 7 additional seats were available. Member States agreed on a solution where all Regional Groups, except China and </w:t>
      </w:r>
      <w:r w:rsidR="00E05374">
        <w:rPr>
          <w:rFonts w:ascii="Calibri" w:eastAsia="Calibri" w:hAnsi="Calibri"/>
          <w:sz w:val="24"/>
          <w:szCs w:val="24"/>
          <w:lang w:eastAsia="en-US"/>
        </w:rPr>
        <w:t xml:space="preserve">the </w:t>
      </w:r>
      <w:r w:rsidRPr="00967073">
        <w:rPr>
          <w:rFonts w:ascii="Calibri" w:eastAsia="Calibri" w:hAnsi="Calibri"/>
          <w:sz w:val="24"/>
          <w:szCs w:val="24"/>
          <w:lang w:eastAsia="en-US"/>
        </w:rPr>
        <w:t>Asia and the Pacific Group, received one additional seat, and the Asia and the Pacific Group received two additional seats.</w:t>
      </w:r>
    </w:p>
    <w:p w:rsidR="00967073" w:rsidRPr="00967073" w:rsidRDefault="00967073" w:rsidP="00967073">
      <w:pPr>
        <w:spacing w:after="160" w:line="259" w:lineRule="auto"/>
        <w:ind w:left="720"/>
        <w:contextualSpacing/>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Before 2001, WIPO Member States were unable to find consensus on allocation of </w:t>
      </w:r>
      <w:r w:rsidR="00E05374">
        <w:rPr>
          <w:rFonts w:ascii="Calibri" w:eastAsia="Calibri" w:hAnsi="Calibri"/>
          <w:sz w:val="24"/>
          <w:szCs w:val="24"/>
          <w:lang w:eastAsia="en-US"/>
        </w:rPr>
        <w:t xml:space="preserve">the </w:t>
      </w:r>
      <w:r w:rsidRPr="00967073">
        <w:rPr>
          <w:rFonts w:ascii="Calibri" w:eastAsia="Calibri" w:hAnsi="Calibri"/>
          <w:sz w:val="24"/>
          <w:szCs w:val="24"/>
          <w:lang w:eastAsia="en-US"/>
        </w:rPr>
        <w:t>growing number of vacant seats.</w:t>
      </w:r>
    </w:p>
    <w:p w:rsidR="00967073" w:rsidRPr="00967073" w:rsidRDefault="00967073" w:rsidP="00967073">
      <w:pPr>
        <w:spacing w:after="160" w:line="259" w:lineRule="auto"/>
        <w:ind w:left="720"/>
        <w:contextualSpacing/>
        <w:jc w:val="both"/>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Therefore, from the above, </w:t>
      </w:r>
      <w:r w:rsidR="00E05374">
        <w:rPr>
          <w:rFonts w:ascii="Calibri" w:eastAsia="Calibri" w:hAnsi="Calibri"/>
          <w:sz w:val="24"/>
          <w:szCs w:val="24"/>
          <w:lang w:eastAsia="en-US"/>
        </w:rPr>
        <w:t xml:space="preserve">a </w:t>
      </w:r>
      <w:r w:rsidRPr="00967073">
        <w:rPr>
          <w:rFonts w:ascii="Calibri" w:eastAsia="Calibri" w:hAnsi="Calibri"/>
          <w:b/>
          <w:sz w:val="24"/>
          <w:szCs w:val="24"/>
          <w:lang w:eastAsia="en-US"/>
        </w:rPr>
        <w:t xml:space="preserve">total of eleven seats were allocated in the last two decades as follows:  Asia and the Pacific Group 3, African Group 3, Group B 2, </w:t>
      </w:r>
      <w:r w:rsidRPr="00967073">
        <w:rPr>
          <w:rFonts w:ascii="Calibri" w:eastAsia="Calibri" w:hAnsi="Calibri"/>
          <w:b/>
          <w:sz w:val="24"/>
          <w:szCs w:val="24"/>
          <w:lang w:eastAsia="en-US"/>
        </w:rPr>
        <w:br/>
        <w:t>CACEEC 1, CEBS 1, GRULAC 1</w:t>
      </w:r>
      <w:r w:rsidRPr="00967073">
        <w:rPr>
          <w:rFonts w:ascii="Calibri" w:eastAsia="Calibri" w:hAnsi="Calibri"/>
          <w:sz w:val="24"/>
          <w:szCs w:val="24"/>
          <w:lang w:eastAsia="en-US"/>
        </w:rPr>
        <w:t>.</w:t>
      </w:r>
    </w:p>
    <w:p w:rsidR="00967073" w:rsidRPr="00967073" w:rsidRDefault="00967073" w:rsidP="00967073">
      <w:pPr>
        <w:spacing w:after="160" w:line="259" w:lineRule="auto"/>
        <w:ind w:left="720"/>
        <w:contextualSpacing/>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We also note that </w:t>
      </w:r>
      <w:r w:rsidRPr="00967073">
        <w:rPr>
          <w:rFonts w:ascii="Calibri" w:eastAsia="Calibri" w:hAnsi="Calibri"/>
          <w:b/>
          <w:sz w:val="24"/>
          <w:szCs w:val="24"/>
          <w:lang w:eastAsia="en-US"/>
        </w:rPr>
        <w:t>three WIPO regional groups</w:t>
      </w:r>
      <w:r w:rsidRPr="00967073">
        <w:rPr>
          <w:rFonts w:ascii="Calibri" w:eastAsia="Calibri" w:hAnsi="Calibri"/>
          <w:sz w:val="24"/>
          <w:szCs w:val="24"/>
          <w:lang w:eastAsia="en-US"/>
        </w:rPr>
        <w:t xml:space="preserve">, namely the Group of Central Asian Caucasian and Eastern European Countries, the Group of the Central European and Baltic States, the Group of Latin American and Caribbean Countries, </w:t>
      </w:r>
      <w:r w:rsidRPr="00967073">
        <w:rPr>
          <w:rFonts w:ascii="Calibri" w:eastAsia="Calibri" w:hAnsi="Calibri"/>
          <w:b/>
          <w:sz w:val="24"/>
          <w:szCs w:val="24"/>
          <w:lang w:eastAsia="en-US"/>
        </w:rPr>
        <w:t>have not received an additional seat at the WIPO Coordination Committee since 2001</w:t>
      </w:r>
      <w:r w:rsidRPr="00967073">
        <w:rPr>
          <w:rFonts w:ascii="Calibri" w:eastAsia="Calibri" w:hAnsi="Calibri"/>
          <w:sz w:val="24"/>
          <w:szCs w:val="24"/>
          <w:lang w:eastAsia="en-US"/>
        </w:rPr>
        <w:t>.</w:t>
      </w:r>
    </w:p>
    <w:p w:rsidR="00967073" w:rsidRDefault="00967073" w:rsidP="00967073">
      <w:pPr>
        <w:spacing w:after="160" w:line="259" w:lineRule="auto"/>
        <w:ind w:left="720"/>
        <w:contextualSpacing/>
        <w:jc w:val="both"/>
        <w:rPr>
          <w:rFonts w:ascii="Calibri" w:eastAsia="Calibri" w:hAnsi="Calibri"/>
          <w:sz w:val="24"/>
          <w:szCs w:val="24"/>
          <w:lang w:eastAsia="en-US"/>
        </w:rPr>
        <w:sectPr w:rsidR="00967073" w:rsidSect="003A27D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lastRenderedPageBreak/>
        <w:t xml:space="preserve">We once again reiterate that </w:t>
      </w:r>
      <w:r w:rsidRPr="00967073">
        <w:rPr>
          <w:rFonts w:ascii="Calibri" w:eastAsia="Calibri" w:hAnsi="Calibri"/>
          <w:b/>
          <w:sz w:val="24"/>
          <w:szCs w:val="24"/>
          <w:lang w:eastAsia="en-US"/>
        </w:rPr>
        <w:t>multiple principles</w:t>
      </w:r>
      <w:r w:rsidRPr="00967073">
        <w:rPr>
          <w:rFonts w:ascii="Calibri" w:eastAsia="Calibri" w:hAnsi="Calibri"/>
          <w:sz w:val="24"/>
          <w:szCs w:val="24"/>
          <w:lang w:eastAsia="en-US"/>
        </w:rPr>
        <w:t xml:space="preserve"> regarding the election of the memberships of the Paris and Berne Executive Committees had been envisaged in Article 14 of the Paris Convention</w:t>
      </w:r>
      <w:r w:rsidRPr="00967073">
        <w:rPr>
          <w:rFonts w:ascii="Calibri" w:eastAsia="Calibri" w:hAnsi="Calibri"/>
          <w:sz w:val="24"/>
          <w:szCs w:val="24"/>
          <w:vertAlign w:val="superscript"/>
          <w:lang w:eastAsia="en-US"/>
        </w:rPr>
        <w:footnoteReference w:id="2"/>
      </w:r>
      <w:r w:rsidRPr="00967073">
        <w:rPr>
          <w:rFonts w:ascii="Calibri" w:eastAsia="Calibri" w:hAnsi="Calibri"/>
          <w:sz w:val="24"/>
          <w:szCs w:val="24"/>
          <w:lang w:eastAsia="en-US"/>
        </w:rPr>
        <w:t xml:space="preserve"> and Article 23 of the Berne Convention</w:t>
      </w:r>
      <w:r w:rsidRPr="00967073">
        <w:rPr>
          <w:rFonts w:ascii="Calibri" w:eastAsia="Calibri" w:hAnsi="Calibri"/>
          <w:sz w:val="24"/>
          <w:szCs w:val="24"/>
          <w:vertAlign w:val="superscript"/>
          <w:lang w:eastAsia="en-US"/>
        </w:rPr>
        <w:footnoteReference w:id="3"/>
      </w:r>
      <w:r w:rsidRPr="00967073">
        <w:rPr>
          <w:rFonts w:ascii="Calibri" w:eastAsia="Calibri" w:hAnsi="Calibri"/>
          <w:sz w:val="24"/>
          <w:szCs w:val="24"/>
          <w:lang w:eastAsia="en-US"/>
        </w:rPr>
        <w:t xml:space="preserve"> as well as in subsequent discussions among WIPO Member States. </w:t>
      </w:r>
    </w:p>
    <w:p w:rsidR="00967073" w:rsidRPr="00967073" w:rsidRDefault="00967073" w:rsidP="00967073">
      <w:pPr>
        <w:spacing w:after="160" w:line="259" w:lineRule="auto"/>
        <w:ind w:left="720"/>
        <w:contextualSpacing/>
        <w:rPr>
          <w:rFonts w:ascii="Calibri" w:eastAsia="Calibri" w:hAnsi="Calibri"/>
          <w:sz w:val="24"/>
          <w:szCs w:val="24"/>
          <w:lang w:eastAsia="en-US"/>
        </w:rPr>
      </w:pPr>
    </w:p>
    <w:p w:rsidR="00967073" w:rsidRPr="00967073" w:rsidRDefault="00967073" w:rsidP="00967073">
      <w:pPr>
        <w:numPr>
          <w:ilvl w:val="0"/>
          <w:numId w:val="7"/>
        </w:numPr>
        <w:spacing w:after="160" w:line="259" w:lineRule="auto"/>
        <w:contextualSpacing/>
        <w:jc w:val="both"/>
        <w:rPr>
          <w:rFonts w:ascii="Calibri" w:eastAsia="Calibri" w:hAnsi="Calibri"/>
          <w:sz w:val="24"/>
          <w:szCs w:val="24"/>
          <w:lang w:eastAsia="en-US"/>
        </w:rPr>
      </w:pPr>
      <w:r w:rsidRPr="00967073">
        <w:rPr>
          <w:rFonts w:ascii="Calibri" w:eastAsia="Calibri" w:hAnsi="Calibri"/>
          <w:sz w:val="24"/>
          <w:szCs w:val="24"/>
          <w:lang w:eastAsia="en-US"/>
        </w:rPr>
        <w:t xml:space="preserve">We further reiterate that the </w:t>
      </w:r>
      <w:r w:rsidRPr="00967073">
        <w:rPr>
          <w:rFonts w:ascii="Calibri" w:eastAsia="Calibri" w:hAnsi="Calibri"/>
          <w:b/>
          <w:sz w:val="24"/>
          <w:szCs w:val="24"/>
          <w:lang w:eastAsia="en-US"/>
        </w:rPr>
        <w:t>WIPO Coordination Committee is</w:t>
      </w:r>
      <w:r w:rsidRPr="00967073">
        <w:rPr>
          <w:rFonts w:ascii="Calibri" w:eastAsia="Calibri" w:hAnsi="Calibri"/>
          <w:sz w:val="24"/>
          <w:szCs w:val="24"/>
          <w:lang w:eastAsia="en-US"/>
        </w:rPr>
        <w:t>, in accordance with Article 8 of the WIPO Convention</w:t>
      </w:r>
      <w:r w:rsidRPr="00967073">
        <w:rPr>
          <w:rFonts w:ascii="Calibri" w:eastAsia="Calibri" w:hAnsi="Calibri"/>
          <w:sz w:val="24"/>
          <w:szCs w:val="24"/>
          <w:vertAlign w:val="superscript"/>
          <w:lang w:eastAsia="en-US"/>
        </w:rPr>
        <w:footnoteReference w:id="4"/>
      </w:r>
      <w:r w:rsidRPr="00967073">
        <w:rPr>
          <w:rFonts w:ascii="Calibri" w:eastAsia="Calibri" w:hAnsi="Calibri"/>
          <w:sz w:val="24"/>
          <w:szCs w:val="24"/>
          <w:lang w:eastAsia="en-US"/>
        </w:rPr>
        <w:t xml:space="preserve">, </w:t>
      </w:r>
      <w:r w:rsidRPr="00967073">
        <w:rPr>
          <w:rFonts w:ascii="Calibri" w:eastAsia="Calibri" w:hAnsi="Calibri"/>
          <w:b/>
          <w:sz w:val="24"/>
          <w:szCs w:val="24"/>
          <w:lang w:eastAsia="en-US"/>
        </w:rPr>
        <w:t>tasked with coordinating the Unions</w:t>
      </w:r>
      <w:r w:rsidRPr="00967073">
        <w:rPr>
          <w:rFonts w:ascii="Calibri" w:eastAsia="Calibri" w:hAnsi="Calibri"/>
          <w:sz w:val="24"/>
          <w:szCs w:val="24"/>
          <w:lang w:eastAsia="en-US"/>
        </w:rPr>
        <w:t xml:space="preserve"> administered by WIPO, including Unions of the Special Agreements envisaged by the Paris and Berne Convention, as opposed to coordinating the WIPO Membership.</w:t>
      </w:r>
    </w:p>
    <w:p w:rsidR="00967073" w:rsidRPr="00967073" w:rsidRDefault="00967073" w:rsidP="00967073">
      <w:pPr>
        <w:spacing w:after="160" w:line="259" w:lineRule="auto"/>
        <w:ind w:left="720"/>
        <w:contextualSpacing/>
        <w:rPr>
          <w:rFonts w:ascii="Calibri" w:eastAsia="Calibri" w:hAnsi="Calibri"/>
          <w:sz w:val="24"/>
          <w:szCs w:val="24"/>
          <w:lang w:eastAsia="en-US"/>
        </w:rPr>
      </w:pPr>
    </w:p>
    <w:p w:rsidR="00967073" w:rsidRPr="00E05374" w:rsidRDefault="00967073" w:rsidP="00967073">
      <w:pPr>
        <w:spacing w:after="160" w:line="259" w:lineRule="auto"/>
        <w:jc w:val="both"/>
        <w:rPr>
          <w:rFonts w:ascii="Calibri" w:eastAsia="Calibri" w:hAnsi="Calibri"/>
          <w:sz w:val="24"/>
          <w:szCs w:val="24"/>
          <w:u w:val="single"/>
          <w:lang w:eastAsia="en-US"/>
        </w:rPr>
      </w:pPr>
      <w:r w:rsidRPr="00816D4F">
        <w:rPr>
          <w:rFonts w:ascii="Calibri" w:eastAsia="Calibri" w:hAnsi="Calibri"/>
          <w:b/>
          <w:sz w:val="24"/>
          <w:szCs w:val="24"/>
          <w:lang w:eastAsia="en-US"/>
        </w:rPr>
        <w:t>Proposed draft Decision</w:t>
      </w:r>
      <w:r w:rsidR="00E05374" w:rsidRPr="00816D4F">
        <w:rPr>
          <w:rFonts w:ascii="Calibri" w:eastAsia="Calibri" w:hAnsi="Calibri"/>
          <w:b/>
          <w:sz w:val="24"/>
          <w:szCs w:val="24"/>
          <w:lang w:eastAsia="en-US"/>
        </w:rPr>
        <w:t xml:space="preserve"> for the </w:t>
      </w:r>
      <w:r w:rsidR="00E05374" w:rsidRPr="00E05374">
        <w:rPr>
          <w:b/>
        </w:rPr>
        <w:t>Assemblies of the Paris and Berne Unions, and the WIPO Conference, each in so far as it is concerned</w:t>
      </w:r>
      <w:r w:rsidR="00E05374" w:rsidRPr="00E05374">
        <w:t>.</w:t>
      </w:r>
    </w:p>
    <w:p w:rsidR="00967073" w:rsidRPr="00967073" w:rsidRDefault="00967073" w:rsidP="00967073">
      <w:pPr>
        <w:spacing w:after="160" w:line="259" w:lineRule="auto"/>
        <w:jc w:val="both"/>
        <w:rPr>
          <w:rFonts w:ascii="Calibri" w:eastAsia="Calibri" w:hAnsi="Calibri"/>
          <w:sz w:val="30"/>
          <w:szCs w:val="30"/>
          <w:lang w:eastAsia="en-US"/>
        </w:rPr>
      </w:pPr>
      <w:r w:rsidRPr="00967073">
        <w:rPr>
          <w:rFonts w:ascii="Calibri" w:eastAsia="Calibri" w:hAnsi="Calibri"/>
          <w:i/>
          <w:sz w:val="24"/>
          <w:szCs w:val="24"/>
          <w:lang w:eastAsia="en-US"/>
        </w:rPr>
        <w:t>Listed in the Annex (follows).</w:t>
      </w:r>
    </w:p>
    <w:p w:rsidR="00967073" w:rsidRPr="00967073" w:rsidRDefault="00967073" w:rsidP="00967073">
      <w:pPr>
        <w:spacing w:after="160" w:line="259" w:lineRule="auto"/>
        <w:rPr>
          <w:rFonts w:ascii="Calibri" w:eastAsia="Calibri" w:hAnsi="Calibri"/>
          <w:sz w:val="30"/>
          <w:szCs w:val="30"/>
          <w:lang w:eastAsia="en-US"/>
        </w:rPr>
      </w:pPr>
      <w:r w:rsidRPr="00967073">
        <w:rPr>
          <w:rFonts w:ascii="Calibri" w:eastAsia="Calibri" w:hAnsi="Calibri"/>
          <w:sz w:val="30"/>
          <w:szCs w:val="30"/>
          <w:lang w:eastAsia="en-US"/>
        </w:rPr>
        <w:br w:type="page"/>
      </w:r>
    </w:p>
    <w:p w:rsidR="00967073" w:rsidRPr="00967073" w:rsidRDefault="00967073" w:rsidP="00967073">
      <w:pPr>
        <w:spacing w:before="360" w:after="240" w:line="259" w:lineRule="auto"/>
        <w:jc w:val="right"/>
        <w:rPr>
          <w:rFonts w:ascii="Calibri" w:eastAsia="Calibri" w:hAnsi="Calibri"/>
          <w:b/>
          <w:sz w:val="32"/>
          <w:szCs w:val="40"/>
          <w:lang w:val="en-GB" w:eastAsia="en-US"/>
        </w:rPr>
      </w:pPr>
      <w:r w:rsidRPr="00967073">
        <w:rPr>
          <w:rFonts w:ascii="Calibri" w:eastAsia="Calibri" w:hAnsi="Calibri"/>
          <w:noProof/>
          <w:sz w:val="28"/>
          <w:szCs w:val="28"/>
          <w:lang w:eastAsia="en-US"/>
        </w:rPr>
        <w:lastRenderedPageBreak/>
        <w:drawing>
          <wp:inline distT="0" distB="0" distL="0" distR="0" wp14:anchorId="391ACF52" wp14:editId="549054E7">
            <wp:extent cx="3043149" cy="1308100"/>
            <wp:effectExtent l="0" t="0" r="5080" b="6350"/>
            <wp:docPr id="6" name="Picture 6"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16">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967073" w:rsidRPr="00967073" w:rsidRDefault="00967073" w:rsidP="00967073">
      <w:pPr>
        <w:pBdr>
          <w:top w:val="single" w:sz="4" w:space="16" w:color="auto"/>
        </w:pBdr>
        <w:spacing w:after="160" w:line="259" w:lineRule="auto"/>
        <w:jc w:val="right"/>
        <w:rPr>
          <w:rFonts w:ascii="Arial Black" w:eastAsia="Calibri" w:hAnsi="Arial Black"/>
          <w:caps/>
          <w:sz w:val="15"/>
          <w:szCs w:val="15"/>
          <w:lang w:val="en-GB" w:eastAsia="en-US"/>
        </w:rPr>
      </w:pPr>
      <w:r w:rsidRPr="00967073">
        <w:rPr>
          <w:rFonts w:ascii="Arial Black" w:eastAsia="Calibri" w:hAnsi="Arial Black"/>
          <w:caps/>
          <w:sz w:val="15"/>
          <w:szCs w:val="15"/>
          <w:lang w:val="en-GB" w:eastAsia="en-US"/>
        </w:rPr>
        <w:t>A/62/[X]</w:t>
      </w:r>
    </w:p>
    <w:p w:rsidR="00967073" w:rsidRPr="00967073" w:rsidRDefault="00967073" w:rsidP="00967073">
      <w:pPr>
        <w:spacing w:after="160" w:line="259" w:lineRule="auto"/>
        <w:jc w:val="right"/>
        <w:rPr>
          <w:rFonts w:ascii="Arial Black" w:eastAsia="Calibri" w:hAnsi="Arial Black"/>
          <w:caps/>
          <w:sz w:val="15"/>
          <w:szCs w:val="15"/>
          <w:lang w:val="en-GB" w:eastAsia="en-US"/>
        </w:rPr>
      </w:pPr>
      <w:r w:rsidRPr="00967073">
        <w:rPr>
          <w:rFonts w:ascii="Arial Black" w:eastAsia="Calibri" w:hAnsi="Arial Black"/>
          <w:caps/>
          <w:sz w:val="15"/>
          <w:szCs w:val="15"/>
          <w:lang w:val="en-GB" w:eastAsia="en-US"/>
        </w:rPr>
        <w:t>ORIGINAL: English</w:t>
      </w:r>
    </w:p>
    <w:p w:rsidR="00967073" w:rsidRPr="00967073" w:rsidRDefault="00967073" w:rsidP="00967073">
      <w:pPr>
        <w:spacing w:after="1200" w:line="259" w:lineRule="auto"/>
        <w:jc w:val="right"/>
        <w:rPr>
          <w:rFonts w:ascii="Arial Black" w:eastAsia="Calibri" w:hAnsi="Arial Black"/>
          <w:caps/>
          <w:sz w:val="15"/>
          <w:szCs w:val="15"/>
          <w:lang w:val="en-GB" w:eastAsia="en-US"/>
        </w:rPr>
      </w:pPr>
      <w:r w:rsidRPr="00967073">
        <w:rPr>
          <w:rFonts w:ascii="Arial Black" w:eastAsia="Calibri" w:hAnsi="Arial Black"/>
          <w:caps/>
          <w:sz w:val="15"/>
          <w:szCs w:val="15"/>
          <w:lang w:val="en-GB" w:eastAsia="en-US"/>
        </w:rPr>
        <w:t>DATE: OCTOBER [X], 2021</w:t>
      </w:r>
    </w:p>
    <w:p w:rsidR="00967073" w:rsidRPr="00967073" w:rsidRDefault="00967073" w:rsidP="00967073">
      <w:pPr>
        <w:keepNext/>
        <w:spacing w:after="600"/>
        <w:outlineLvl w:val="0"/>
        <w:rPr>
          <w:b/>
          <w:bCs/>
          <w:kern w:val="32"/>
          <w:sz w:val="28"/>
          <w:szCs w:val="28"/>
        </w:rPr>
      </w:pPr>
      <w:r w:rsidRPr="00967073">
        <w:rPr>
          <w:b/>
          <w:bCs/>
          <w:kern w:val="32"/>
          <w:sz w:val="28"/>
          <w:szCs w:val="28"/>
        </w:rPr>
        <w:t>Assemblies of the Member States of WIPO</w:t>
      </w:r>
    </w:p>
    <w:p w:rsidR="00967073" w:rsidRPr="00967073" w:rsidRDefault="00967073" w:rsidP="00967073">
      <w:pPr>
        <w:spacing w:after="160" w:line="259" w:lineRule="auto"/>
        <w:outlineLvl w:val="1"/>
        <w:rPr>
          <w:rFonts w:ascii="Calibri" w:eastAsia="Calibri" w:hAnsi="Calibri"/>
          <w:b/>
          <w:sz w:val="24"/>
          <w:szCs w:val="24"/>
          <w:lang w:val="en-GB" w:eastAsia="en-US"/>
        </w:rPr>
      </w:pPr>
      <w:r w:rsidRPr="00967073">
        <w:rPr>
          <w:rFonts w:ascii="Calibri" w:eastAsia="Calibri" w:hAnsi="Calibri"/>
          <w:b/>
          <w:sz w:val="24"/>
          <w:szCs w:val="24"/>
          <w:lang w:val="en-GB" w:eastAsia="en-US"/>
        </w:rPr>
        <w:t>Sixty-Second Series of Meetings</w:t>
      </w:r>
    </w:p>
    <w:p w:rsidR="00967073" w:rsidRPr="00967073" w:rsidRDefault="00967073" w:rsidP="00967073">
      <w:pPr>
        <w:spacing w:after="720" w:line="259" w:lineRule="auto"/>
        <w:outlineLvl w:val="1"/>
        <w:rPr>
          <w:rFonts w:ascii="Calibri" w:eastAsia="Calibri" w:hAnsi="Calibri"/>
          <w:b/>
          <w:sz w:val="24"/>
          <w:szCs w:val="24"/>
          <w:lang w:val="en-GB" w:eastAsia="en-US"/>
        </w:rPr>
      </w:pPr>
      <w:r w:rsidRPr="00967073">
        <w:rPr>
          <w:rFonts w:ascii="Calibri" w:eastAsia="Calibri" w:hAnsi="Calibri"/>
          <w:b/>
          <w:sz w:val="24"/>
          <w:szCs w:val="24"/>
          <w:lang w:val="en-GB" w:eastAsia="en-US"/>
        </w:rPr>
        <w:t>Geneva, October 4 to 8, 2021</w:t>
      </w:r>
    </w:p>
    <w:p w:rsidR="00967073" w:rsidRPr="00967073" w:rsidRDefault="00967073" w:rsidP="00967073">
      <w:pPr>
        <w:spacing w:after="360" w:line="259" w:lineRule="auto"/>
        <w:outlineLvl w:val="0"/>
        <w:rPr>
          <w:rFonts w:ascii="Calibri" w:eastAsia="Calibri" w:hAnsi="Calibri"/>
          <w:caps/>
          <w:sz w:val="24"/>
          <w:szCs w:val="22"/>
          <w:lang w:val="en-GB" w:eastAsia="en-US"/>
        </w:rPr>
      </w:pPr>
      <w:r w:rsidRPr="00967073">
        <w:rPr>
          <w:rFonts w:ascii="Calibri" w:eastAsia="Calibri" w:hAnsi="Calibri"/>
          <w:caps/>
          <w:sz w:val="24"/>
          <w:szCs w:val="22"/>
          <w:lang w:val="en-GB" w:eastAsia="en-US"/>
        </w:rPr>
        <w:t xml:space="preserve">composition of the WIPO Coordination Committee </w:t>
      </w:r>
    </w:p>
    <w:p w:rsidR="00967073" w:rsidRPr="00967073" w:rsidRDefault="00967073" w:rsidP="00967073">
      <w:pPr>
        <w:spacing w:after="960" w:line="259" w:lineRule="auto"/>
        <w:rPr>
          <w:rFonts w:ascii="Calibri" w:eastAsia="Calibri" w:hAnsi="Calibri"/>
          <w:i/>
          <w:szCs w:val="22"/>
          <w:lang w:val="en-GB" w:eastAsia="en-US"/>
        </w:rPr>
      </w:pPr>
      <w:r w:rsidRPr="00967073">
        <w:rPr>
          <w:rFonts w:ascii="Calibri" w:eastAsia="Calibri" w:hAnsi="Calibri"/>
          <w:i/>
          <w:szCs w:val="22"/>
          <w:lang w:val="en-GB" w:eastAsia="en-US"/>
        </w:rPr>
        <w:t>Document prepared by the Secretariat</w:t>
      </w:r>
    </w:p>
    <w:p w:rsidR="00967073" w:rsidRPr="00967073" w:rsidRDefault="00967073" w:rsidP="00967073">
      <w:pPr>
        <w:spacing w:after="220"/>
      </w:pPr>
      <w:r w:rsidRPr="00967073">
        <w:t>The Assemblies of WIPO, each in so far as it is concerned, decide:</w:t>
      </w:r>
    </w:p>
    <w:p w:rsidR="00967073" w:rsidRPr="00967073" w:rsidRDefault="00967073" w:rsidP="00967073">
      <w:pPr>
        <w:tabs>
          <w:tab w:val="num" w:pos="567"/>
        </w:tabs>
        <w:spacing w:after="220"/>
        <w:jc w:val="both"/>
      </w:pPr>
      <w:r w:rsidRPr="00967073">
        <w:t xml:space="preserve">to allocate six vacant seats of the Coordination Committee in the following manner: Asia and the Pacific Group (1 seat), African Group (1 seat), Group of Central Asian Caucasian and Eastern European Countries (1 seat), the Group of the Central European and Baltic States </w:t>
      </w:r>
      <w:r w:rsidRPr="00967073">
        <w:br/>
        <w:t>(1 seat), Group B (1 seat), and the Group of Latin American and Caribbean Countries (1 seat).</w:t>
      </w:r>
    </w:p>
    <w:p w:rsidR="00967073" w:rsidRPr="00967073" w:rsidRDefault="00967073" w:rsidP="00967073">
      <w:pPr>
        <w:tabs>
          <w:tab w:val="num" w:pos="567"/>
        </w:tabs>
        <w:spacing w:after="220"/>
        <w:jc w:val="both"/>
      </w:pPr>
      <w:r w:rsidRPr="00967073">
        <w:t>to allocate the next three available seats automatically in the following manner: the first available to [X], the second available to [Y], the third available to [Z].</w:t>
      </w:r>
    </w:p>
    <w:p w:rsidR="00967073" w:rsidRPr="00967073" w:rsidRDefault="00967073" w:rsidP="00967073">
      <w:pPr>
        <w:spacing w:after="160" w:line="259" w:lineRule="auto"/>
        <w:jc w:val="both"/>
        <w:rPr>
          <w:rFonts w:ascii="Calibri" w:eastAsia="Calibri" w:hAnsi="Calibri"/>
          <w:sz w:val="30"/>
          <w:szCs w:val="30"/>
          <w:lang w:eastAsia="en-US"/>
        </w:rPr>
      </w:pPr>
    </w:p>
    <w:p w:rsidR="003952ED" w:rsidRPr="005E4F90" w:rsidRDefault="005E4F90" w:rsidP="005E4F90">
      <w:pPr>
        <w:ind w:left="5533"/>
        <w:jc w:val="both"/>
        <w:rPr>
          <w:i/>
        </w:rPr>
      </w:pPr>
      <w:r>
        <w:t>[End of Annex and of document]</w:t>
      </w:r>
    </w:p>
    <w:sectPr w:rsidR="003952ED" w:rsidRPr="005E4F90" w:rsidSect="005E4F90">
      <w:headerReference w:type="default" r:id="rId17"/>
      <w:headerReference w:type="first" r:id="rId18"/>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37" w:rsidRDefault="00FB1E37">
      <w:r>
        <w:separator/>
      </w:r>
    </w:p>
  </w:endnote>
  <w:endnote w:type="continuationSeparator" w:id="0">
    <w:p w:rsidR="00FB1E37" w:rsidRDefault="00FB1E37" w:rsidP="003B38C1">
      <w:r>
        <w:separator/>
      </w:r>
    </w:p>
    <w:p w:rsidR="00FB1E37" w:rsidRPr="003B38C1" w:rsidRDefault="00FB1E37" w:rsidP="003B38C1">
      <w:pPr>
        <w:spacing w:after="60"/>
        <w:rPr>
          <w:sz w:val="17"/>
        </w:rPr>
      </w:pPr>
      <w:r>
        <w:rPr>
          <w:sz w:val="17"/>
        </w:rPr>
        <w:t>[Endnote continued from previous page]</w:t>
      </w:r>
    </w:p>
  </w:endnote>
  <w:endnote w:type="continuationNotice" w:id="1">
    <w:p w:rsidR="00FB1E37" w:rsidRPr="003B38C1" w:rsidRDefault="00FB1E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DA" w:rsidRDefault="00816D4F" w:rsidP="003A2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DA" w:rsidRDefault="0081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DA" w:rsidRDefault="00816D4F" w:rsidP="003A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37" w:rsidRDefault="00FB1E37">
      <w:r>
        <w:separator/>
      </w:r>
    </w:p>
  </w:footnote>
  <w:footnote w:type="continuationSeparator" w:id="0">
    <w:p w:rsidR="00FB1E37" w:rsidRDefault="00FB1E37" w:rsidP="008B60B2">
      <w:r>
        <w:separator/>
      </w:r>
    </w:p>
    <w:p w:rsidR="00FB1E37" w:rsidRPr="00ED77FB" w:rsidRDefault="00FB1E37" w:rsidP="008B60B2">
      <w:pPr>
        <w:spacing w:after="60"/>
        <w:rPr>
          <w:sz w:val="17"/>
          <w:szCs w:val="17"/>
        </w:rPr>
      </w:pPr>
      <w:r w:rsidRPr="00ED77FB">
        <w:rPr>
          <w:sz w:val="17"/>
          <w:szCs w:val="17"/>
        </w:rPr>
        <w:t>[Footnote continued from previous page]</w:t>
      </w:r>
    </w:p>
  </w:footnote>
  <w:footnote w:type="continuationNotice" w:id="1">
    <w:p w:rsidR="00FB1E37" w:rsidRPr="00ED77FB" w:rsidRDefault="00FB1E37" w:rsidP="008B60B2">
      <w:pPr>
        <w:spacing w:before="60"/>
        <w:jc w:val="right"/>
        <w:rPr>
          <w:sz w:val="17"/>
          <w:szCs w:val="17"/>
        </w:rPr>
      </w:pPr>
      <w:r w:rsidRPr="00ED77FB">
        <w:rPr>
          <w:sz w:val="17"/>
          <w:szCs w:val="17"/>
        </w:rPr>
        <w:t>[Footnote continued on next page]</w:t>
      </w:r>
    </w:p>
  </w:footnote>
  <w:footnote w:id="2">
    <w:p w:rsidR="00967073" w:rsidRPr="00622865" w:rsidRDefault="00967073" w:rsidP="00967073">
      <w:pPr>
        <w:pStyle w:val="FootnoteText"/>
      </w:pPr>
      <w:r>
        <w:rPr>
          <w:rStyle w:val="FootnoteReference"/>
        </w:rPr>
        <w:footnoteRef/>
      </w:r>
      <w:r>
        <w:t xml:space="preserve"> </w:t>
      </w:r>
      <w:r w:rsidRPr="00622865">
        <w:t>Paris Convention for the Protection of Industrial Property</w:t>
      </w:r>
      <w:r>
        <w:t xml:space="preserve"> </w:t>
      </w:r>
      <w:hyperlink r:id="rId1" w:history="1">
        <w:r w:rsidRPr="00C119B8">
          <w:rPr>
            <w:rStyle w:val="Hyperlink1"/>
          </w:rPr>
          <w:t>https://www.wipo.int/edocs/lexdocs/treaties/en/paris/trt_paris_001en.pdf</w:t>
        </w:r>
      </w:hyperlink>
      <w:r>
        <w:t xml:space="preserve"> </w:t>
      </w:r>
    </w:p>
  </w:footnote>
  <w:footnote w:id="3">
    <w:p w:rsidR="00967073" w:rsidRDefault="00967073" w:rsidP="00967073">
      <w:pPr>
        <w:pStyle w:val="FootnoteText"/>
      </w:pPr>
      <w:r>
        <w:rPr>
          <w:rStyle w:val="FootnoteReference"/>
        </w:rPr>
        <w:footnoteRef/>
      </w:r>
      <w:r>
        <w:t xml:space="preserve"> </w:t>
      </w:r>
      <w:r w:rsidRPr="00622865">
        <w:t>Berne Convention for the Protection of Literary and Artistic Works</w:t>
      </w:r>
    </w:p>
    <w:p w:rsidR="00967073" w:rsidRPr="00622865" w:rsidRDefault="00816D4F" w:rsidP="00967073">
      <w:pPr>
        <w:pStyle w:val="FootnoteText"/>
      </w:pPr>
      <w:hyperlink r:id="rId2" w:history="1">
        <w:r w:rsidR="00967073" w:rsidRPr="00C119B8">
          <w:rPr>
            <w:rStyle w:val="Hyperlink1"/>
          </w:rPr>
          <w:t>https://www.wipo.int/edocs/lexdocs/treaties/en/berne/trt_berne_001en.pdf</w:t>
        </w:r>
      </w:hyperlink>
      <w:r w:rsidR="00967073">
        <w:t xml:space="preserve"> </w:t>
      </w:r>
    </w:p>
  </w:footnote>
  <w:footnote w:id="4">
    <w:p w:rsidR="00967073" w:rsidRPr="00F9053B" w:rsidRDefault="00967073" w:rsidP="00967073">
      <w:pPr>
        <w:rPr>
          <w:sz w:val="20"/>
        </w:rPr>
      </w:pPr>
      <w:r w:rsidRPr="00476EDE">
        <w:rPr>
          <w:rStyle w:val="FootnoteReference"/>
          <w:sz w:val="20"/>
        </w:rPr>
        <w:footnoteRef/>
      </w:r>
      <w:r w:rsidRPr="00476EDE">
        <w:rPr>
          <w:rStyle w:val="FootnoteReference"/>
          <w:sz w:val="20"/>
        </w:rPr>
        <w:t xml:space="preserve"> </w:t>
      </w:r>
      <w:r w:rsidRPr="00F9053B">
        <w:rPr>
          <w:sz w:val="20"/>
        </w:rPr>
        <w:t>Convention Establishing the World Intellectual Property Organization</w:t>
      </w:r>
    </w:p>
    <w:p w:rsidR="00967073" w:rsidRDefault="00816D4F" w:rsidP="00967073">
      <w:hyperlink r:id="rId3" w:history="1">
        <w:r w:rsidR="00967073" w:rsidRPr="00CD6384">
          <w:rPr>
            <w:rStyle w:val="Hyperlink1"/>
            <w:sz w:val="20"/>
          </w:rPr>
          <w:t>https://wipolex.wipo.int/en/text/283833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952ED" w:rsidP="00477D6B">
    <w:pPr>
      <w:jc w:val="right"/>
    </w:pPr>
    <w:bookmarkStart w:id="6" w:name="Code2"/>
    <w:bookmarkEnd w:id="6"/>
    <w:r>
      <w:t>A/62/xx</w:t>
    </w:r>
  </w:p>
  <w:p w:rsidR="00EC4E49" w:rsidRDefault="00EC4E49" w:rsidP="00477D6B">
    <w:pPr>
      <w:jc w:val="right"/>
    </w:pPr>
    <w:r>
      <w:t xml:space="preserve">page </w:t>
    </w:r>
    <w:r>
      <w:fldChar w:fldCharType="begin"/>
    </w:r>
    <w:r>
      <w:instrText xml:space="preserve"> PAGE  \* MERGEFORMAT </w:instrText>
    </w:r>
    <w:r>
      <w:fldChar w:fldCharType="separate"/>
    </w:r>
    <w:r w:rsidR="003952ED">
      <w:rPr>
        <w:noProof/>
      </w:rPr>
      <w:t>1</w:t>
    </w:r>
    <w:r>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DA" w:rsidRDefault="00816D4F" w:rsidP="003A27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88" w:rsidRDefault="00816D4F" w:rsidP="00010C7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73" w:rsidRDefault="00967073" w:rsidP="003A27DA">
    <w:pPr>
      <w:pStyle w:val="Header"/>
      <w:jc w:val="right"/>
    </w:pPr>
    <w:r>
      <w:t>A/62/</w:t>
    </w:r>
    <w:r w:rsidR="003654F1">
      <w:t>10</w:t>
    </w:r>
  </w:p>
  <w:p w:rsidR="003A27DA" w:rsidRDefault="00967073" w:rsidP="003A27DA">
    <w:pPr>
      <w:pStyle w:val="Header"/>
      <w:jc w:val="right"/>
    </w:pPr>
    <w:r>
      <w:t>ANNEX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90" w:rsidRPr="005E4F90" w:rsidRDefault="005E4F90" w:rsidP="005E4F90">
    <w:pPr>
      <w:pStyle w:val="Header"/>
      <w:jc w:val="right"/>
    </w:pPr>
    <w:r w:rsidRPr="005E4F90">
      <w:t>A/62/</w:t>
    </w:r>
    <w:r w:rsidR="003654F1">
      <w:t>10</w:t>
    </w:r>
  </w:p>
  <w:p w:rsidR="005E4F90" w:rsidRDefault="005E4F90" w:rsidP="005E4F90">
    <w:pPr>
      <w:pStyle w:val="Header"/>
      <w:jc w:val="right"/>
    </w:pPr>
    <w:r w:rsidRPr="005E4F90">
      <w:t xml:space="preserve">Annex, page </w:t>
    </w:r>
    <w:r w:rsidRPr="005E4F90">
      <w:fldChar w:fldCharType="begin"/>
    </w:r>
    <w:r w:rsidRPr="005E4F90">
      <w:instrText xml:space="preserve"> PAGE   \* MERGEFORMAT </w:instrText>
    </w:r>
    <w:r w:rsidRPr="005E4F90">
      <w:fldChar w:fldCharType="separate"/>
    </w:r>
    <w:r w:rsidR="00816D4F">
      <w:rPr>
        <w:noProof/>
      </w:rPr>
      <w:t>3</w:t>
    </w:r>
    <w:r w:rsidRPr="005E4F9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90" w:rsidRDefault="005E4F90" w:rsidP="003A27DA">
    <w:pPr>
      <w:pStyle w:val="Header"/>
      <w:jc w:val="right"/>
    </w:pPr>
    <w:r>
      <w:t>A/62/</w:t>
    </w:r>
    <w:r w:rsidR="003654F1">
      <w:t>10</w:t>
    </w:r>
  </w:p>
  <w:p w:rsidR="005E4F90" w:rsidRDefault="005E4F90" w:rsidP="003A27DA">
    <w:pPr>
      <w:pStyle w:val="Header"/>
      <w:jc w:val="right"/>
    </w:pPr>
    <w:r w:rsidRPr="005E4F90">
      <w:t xml:space="preserve">Annex, page </w:t>
    </w:r>
    <w:r w:rsidRPr="005E4F90">
      <w:fldChar w:fldCharType="begin"/>
    </w:r>
    <w:r w:rsidRPr="005E4F90">
      <w:instrText xml:space="preserve"> PAGE   \* MERGEFORMAT </w:instrText>
    </w:r>
    <w:r w:rsidRPr="005E4F90">
      <w:fldChar w:fldCharType="separate"/>
    </w:r>
    <w:r w:rsidR="00816D4F">
      <w:rPr>
        <w:noProof/>
      </w:rPr>
      <w:t>2</w:t>
    </w:r>
    <w:r w:rsidRPr="005E4F9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7770D9"/>
    <w:multiLevelType w:val="hybridMultilevel"/>
    <w:tmpl w:val="F9D64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D"/>
    <w:rsid w:val="0001647B"/>
    <w:rsid w:val="00043CAA"/>
    <w:rsid w:val="00075432"/>
    <w:rsid w:val="000968ED"/>
    <w:rsid w:val="000F5E56"/>
    <w:rsid w:val="001024FE"/>
    <w:rsid w:val="001362EE"/>
    <w:rsid w:val="00142868"/>
    <w:rsid w:val="001634DD"/>
    <w:rsid w:val="00163DB8"/>
    <w:rsid w:val="001832A6"/>
    <w:rsid w:val="001C6808"/>
    <w:rsid w:val="002121FA"/>
    <w:rsid w:val="002634C4"/>
    <w:rsid w:val="002928D3"/>
    <w:rsid w:val="002F1FE6"/>
    <w:rsid w:val="002F4E68"/>
    <w:rsid w:val="00312F7F"/>
    <w:rsid w:val="003228B7"/>
    <w:rsid w:val="003508A3"/>
    <w:rsid w:val="003654F1"/>
    <w:rsid w:val="003673CF"/>
    <w:rsid w:val="003845C1"/>
    <w:rsid w:val="00386C08"/>
    <w:rsid w:val="003952ED"/>
    <w:rsid w:val="003A6F89"/>
    <w:rsid w:val="003B38C1"/>
    <w:rsid w:val="00423E3E"/>
    <w:rsid w:val="00427AF4"/>
    <w:rsid w:val="004400E2"/>
    <w:rsid w:val="00461632"/>
    <w:rsid w:val="004647DA"/>
    <w:rsid w:val="00474062"/>
    <w:rsid w:val="00477D6B"/>
    <w:rsid w:val="004D39C4"/>
    <w:rsid w:val="004F5925"/>
    <w:rsid w:val="0053057A"/>
    <w:rsid w:val="00560A29"/>
    <w:rsid w:val="00594D27"/>
    <w:rsid w:val="005D70D6"/>
    <w:rsid w:val="005E4F90"/>
    <w:rsid w:val="00601760"/>
    <w:rsid w:val="00605827"/>
    <w:rsid w:val="00646050"/>
    <w:rsid w:val="006713CA"/>
    <w:rsid w:val="00676C5C"/>
    <w:rsid w:val="00695558"/>
    <w:rsid w:val="006D5E0F"/>
    <w:rsid w:val="007058FB"/>
    <w:rsid w:val="0079688F"/>
    <w:rsid w:val="007B6A58"/>
    <w:rsid w:val="007D1613"/>
    <w:rsid w:val="00816D4F"/>
    <w:rsid w:val="00873EE5"/>
    <w:rsid w:val="008B2CC1"/>
    <w:rsid w:val="008B4B5E"/>
    <w:rsid w:val="008B60B2"/>
    <w:rsid w:val="0090731E"/>
    <w:rsid w:val="00916EE2"/>
    <w:rsid w:val="00966A22"/>
    <w:rsid w:val="00967073"/>
    <w:rsid w:val="0096722F"/>
    <w:rsid w:val="00980843"/>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9734B"/>
    <w:rsid w:val="00BB272C"/>
    <w:rsid w:val="00BF4441"/>
    <w:rsid w:val="00C11BFE"/>
    <w:rsid w:val="00C370DB"/>
    <w:rsid w:val="00C94629"/>
    <w:rsid w:val="00CE65D4"/>
    <w:rsid w:val="00D45252"/>
    <w:rsid w:val="00D71B4D"/>
    <w:rsid w:val="00D93D55"/>
    <w:rsid w:val="00E05374"/>
    <w:rsid w:val="00E161A2"/>
    <w:rsid w:val="00E335FE"/>
    <w:rsid w:val="00E5021F"/>
    <w:rsid w:val="00E671A6"/>
    <w:rsid w:val="00EC4E49"/>
    <w:rsid w:val="00ED77FB"/>
    <w:rsid w:val="00F021A6"/>
    <w:rsid w:val="00F11D94"/>
    <w:rsid w:val="00F2679A"/>
    <w:rsid w:val="00F66152"/>
    <w:rsid w:val="00FB1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02A9259-AEA8-4589-9855-C17ACA3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yperlink1">
    <w:name w:val="Hyperlink1"/>
    <w:basedOn w:val="DefaultParagraphFont"/>
    <w:uiPriority w:val="99"/>
    <w:unhideWhenUsed/>
    <w:rsid w:val="00967073"/>
    <w:rPr>
      <w:color w:val="0563C1"/>
      <w:u w:val="single"/>
    </w:rPr>
  </w:style>
  <w:style w:type="character" w:styleId="FootnoteReference">
    <w:name w:val="footnote reference"/>
    <w:basedOn w:val="DefaultParagraphFont"/>
    <w:uiPriority w:val="99"/>
    <w:semiHidden/>
    <w:unhideWhenUsed/>
    <w:rsid w:val="00967073"/>
    <w:rPr>
      <w:vertAlign w:val="superscript"/>
    </w:rPr>
  </w:style>
  <w:style w:type="character" w:styleId="Hyperlink">
    <w:name w:val="Hyperlink"/>
    <w:basedOn w:val="DefaultParagraphFont"/>
    <w:semiHidden/>
    <w:unhideWhenUsed/>
    <w:rsid w:val="00967073"/>
    <w:rPr>
      <w:color w:val="0000FF" w:themeColor="hyperlink"/>
      <w:u w:val="single"/>
    </w:rPr>
  </w:style>
  <w:style w:type="paragraph" w:styleId="BalloonText">
    <w:name w:val="Balloon Text"/>
    <w:basedOn w:val="Normal"/>
    <w:link w:val="BalloonTextChar"/>
    <w:semiHidden/>
    <w:unhideWhenUsed/>
    <w:rsid w:val="00E05374"/>
    <w:rPr>
      <w:rFonts w:ascii="Segoe UI" w:hAnsi="Segoe UI" w:cs="Segoe UI"/>
      <w:sz w:val="18"/>
      <w:szCs w:val="18"/>
    </w:rPr>
  </w:style>
  <w:style w:type="character" w:customStyle="1" w:styleId="BalloonTextChar">
    <w:name w:val="Balloon Text Char"/>
    <w:basedOn w:val="DefaultParagraphFont"/>
    <w:link w:val="BalloonText"/>
    <w:semiHidden/>
    <w:rsid w:val="00E0537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ipolex.wipo.int/en/text/283833" TargetMode="External"/><Relationship Id="rId2" Type="http://schemas.openxmlformats.org/officeDocument/2006/relationships/hyperlink" Target="https://www.wipo.int/edocs/lexdocs/treaties/en/berne/trt_berne_001en.pdf" TargetMode="External"/><Relationship Id="rId1" Type="http://schemas.openxmlformats.org/officeDocument/2006/relationships/hyperlink" Target="https://www.wipo.int/edocs/lexdocs/treaties/en/paris/trt_paris_0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E95F-FF5B-4445-9A21-7020DBB0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4058</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A/62/10</vt:lpstr>
    </vt:vector>
  </TitlesOfParts>
  <Company>WIPO</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A/62/10</dc:title>
  <dc:subject>Sixty-Second Series of Meetings</dc:subject>
  <dc:creator>WIPO</dc:creator>
  <cp:keywords>PUBLIC</cp:keywords>
  <cp:lastModifiedBy>MARIN-CUDRAZ DAVI Nicoletta</cp:lastModifiedBy>
  <cp:revision>5</cp:revision>
  <cp:lastPrinted>2011-02-15T11:56:00Z</cp:lastPrinted>
  <dcterms:created xsi:type="dcterms:W3CDTF">2021-07-08T16:19:00Z</dcterms:created>
  <dcterms:modified xsi:type="dcterms:W3CDTF">2021-08-02T11:42:00Z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3c80caca-cd19-4171-8d8d-7a7a4d94d538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