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3CD4A9" w14:textId="77777777" w:rsidR="009D3F94" w:rsidRPr="00123893" w:rsidRDefault="009D3F94" w:rsidP="009D3F94">
      <w:pPr>
        <w:widowControl w:val="0"/>
        <w:jc w:val="right"/>
        <w:rPr>
          <w:b/>
          <w:sz w:val="2"/>
          <w:szCs w:val="40"/>
        </w:rPr>
      </w:pPr>
      <w:bookmarkStart w:id="0" w:name="_GoBack"/>
      <w:bookmarkEnd w:id="0"/>
      <w:r>
        <w:rPr>
          <w:b/>
          <w:sz w:val="40"/>
          <w:szCs w:val="40"/>
        </w:rPr>
        <w:t>E</w:t>
      </w:r>
    </w:p>
    <w:p w14:paraId="57B730A2" w14:textId="77777777" w:rsidR="009D3F94" w:rsidRDefault="009D3F94" w:rsidP="009D3F94">
      <w:pPr>
        <w:spacing w:line="360" w:lineRule="auto"/>
        <w:ind w:left="4592"/>
        <w:rPr>
          <w:rFonts w:ascii="Arial Black" w:hAnsi="Arial Black"/>
          <w:caps/>
          <w:sz w:val="15"/>
        </w:rPr>
      </w:pPr>
      <w:r>
        <w:rPr>
          <w:noProof/>
          <w:lang w:eastAsia="en-US"/>
        </w:rPr>
        <w:drawing>
          <wp:inline distT="0" distB="0" distL="0" distR="0" wp14:anchorId="699431DB" wp14:editId="75499026">
            <wp:extent cx="1857600" cy="1324800"/>
            <wp:effectExtent l="0" t="0" r="0" b="8890"/>
            <wp:docPr id="1" name="Picture 1"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600" cy="1324800"/>
                    </a:xfrm>
                    <a:prstGeom prst="rect">
                      <a:avLst/>
                    </a:prstGeom>
                    <a:noFill/>
                    <a:ln>
                      <a:noFill/>
                    </a:ln>
                  </pic:spPr>
                </pic:pic>
              </a:graphicData>
            </a:graphic>
          </wp:inline>
        </w:drawing>
      </w:r>
    </w:p>
    <w:p w14:paraId="29D19D81" w14:textId="77777777" w:rsidR="009D3F94" w:rsidRPr="006E4F5F" w:rsidRDefault="009D3F94" w:rsidP="009D3F94">
      <w:pPr>
        <w:pBdr>
          <w:top w:val="single" w:sz="4" w:space="10" w:color="auto"/>
        </w:pBdr>
        <w:spacing w:before="120"/>
        <w:jc w:val="right"/>
        <w:rPr>
          <w:rFonts w:ascii="Arial Black" w:hAnsi="Arial Black"/>
          <w:b/>
          <w:caps/>
          <w:sz w:val="15"/>
        </w:rPr>
      </w:pPr>
      <w:r>
        <w:rPr>
          <w:rFonts w:ascii="Arial Black" w:hAnsi="Arial Black"/>
          <w:b/>
          <w:caps/>
          <w:sz w:val="15"/>
        </w:rPr>
        <w:t>A/59</w:t>
      </w:r>
      <w:r w:rsidRPr="006E4F5F">
        <w:rPr>
          <w:rFonts w:ascii="Arial Black" w:hAnsi="Arial Black"/>
          <w:b/>
          <w:caps/>
          <w:sz w:val="15"/>
        </w:rPr>
        <w:t>/</w:t>
      </w:r>
      <w:bookmarkStart w:id="1" w:name="Code"/>
      <w:bookmarkEnd w:id="1"/>
      <w:r>
        <w:rPr>
          <w:rFonts w:ascii="Arial Black" w:hAnsi="Arial Black"/>
          <w:b/>
          <w:caps/>
          <w:sz w:val="15"/>
        </w:rPr>
        <w:t>inf/3</w:t>
      </w:r>
    </w:p>
    <w:p w14:paraId="5C2F359E" w14:textId="77777777" w:rsidR="006E4F5F" w:rsidRPr="006E4F5F" w:rsidRDefault="006E4F5F" w:rsidP="006E4F5F">
      <w:pPr>
        <w:jc w:val="right"/>
        <w:rPr>
          <w:rFonts w:ascii="Arial Black" w:hAnsi="Arial Black"/>
          <w:b/>
          <w:caps/>
          <w:sz w:val="15"/>
        </w:rPr>
      </w:pPr>
      <w:r w:rsidRPr="006E4F5F">
        <w:rPr>
          <w:rFonts w:ascii="Arial Black" w:hAnsi="Arial Black"/>
          <w:b/>
          <w:caps/>
          <w:sz w:val="15"/>
        </w:rPr>
        <w:t>ORIGINAL:</w:t>
      </w:r>
      <w:r w:rsidR="00502EC7">
        <w:rPr>
          <w:rFonts w:ascii="Arial Black" w:hAnsi="Arial Black"/>
          <w:b/>
          <w:caps/>
          <w:sz w:val="15"/>
        </w:rPr>
        <w:t xml:space="preserve"> </w:t>
      </w:r>
      <w:r w:rsidRPr="006E4F5F">
        <w:rPr>
          <w:rFonts w:ascii="Arial Black" w:hAnsi="Arial Black"/>
          <w:b/>
          <w:caps/>
          <w:sz w:val="15"/>
        </w:rPr>
        <w:t xml:space="preserve"> </w:t>
      </w:r>
      <w:bookmarkStart w:id="2" w:name="Original"/>
      <w:bookmarkEnd w:id="2"/>
      <w:r w:rsidR="00762FF2">
        <w:rPr>
          <w:rFonts w:ascii="Arial Black" w:hAnsi="Arial Black"/>
          <w:b/>
          <w:caps/>
          <w:sz w:val="15"/>
        </w:rPr>
        <w:t>ENGLISH</w:t>
      </w:r>
    </w:p>
    <w:p w14:paraId="1A28C7CA" w14:textId="1B27ADE2" w:rsidR="006E4F5F" w:rsidRPr="006E4F5F" w:rsidRDefault="006E4F5F" w:rsidP="006E4F5F">
      <w:pPr>
        <w:spacing w:line="1680" w:lineRule="auto"/>
        <w:jc w:val="right"/>
        <w:rPr>
          <w:rFonts w:ascii="Arial Black" w:hAnsi="Arial Black"/>
          <w:b/>
          <w:caps/>
          <w:sz w:val="15"/>
        </w:rPr>
      </w:pPr>
      <w:r w:rsidRPr="006E4F5F">
        <w:rPr>
          <w:rFonts w:ascii="Arial Black" w:hAnsi="Arial Black"/>
          <w:b/>
          <w:caps/>
          <w:sz w:val="15"/>
        </w:rPr>
        <w:t>DATE:</w:t>
      </w:r>
      <w:r w:rsidR="00502EC7">
        <w:rPr>
          <w:rFonts w:ascii="Arial Black" w:hAnsi="Arial Black"/>
          <w:b/>
          <w:caps/>
          <w:sz w:val="15"/>
        </w:rPr>
        <w:t xml:space="preserve"> </w:t>
      </w:r>
      <w:r w:rsidRPr="006E4F5F">
        <w:rPr>
          <w:rFonts w:ascii="Arial Black" w:hAnsi="Arial Black"/>
          <w:b/>
          <w:caps/>
          <w:sz w:val="15"/>
        </w:rPr>
        <w:t xml:space="preserve"> </w:t>
      </w:r>
      <w:bookmarkStart w:id="3" w:name="Date"/>
      <w:bookmarkEnd w:id="3"/>
      <w:r w:rsidR="0052447B">
        <w:rPr>
          <w:rFonts w:ascii="Arial Black" w:hAnsi="Arial Black"/>
          <w:b/>
          <w:caps/>
          <w:sz w:val="15"/>
        </w:rPr>
        <w:t>september</w:t>
      </w:r>
      <w:r w:rsidR="00762FF2">
        <w:rPr>
          <w:rFonts w:ascii="Arial Black" w:hAnsi="Arial Black"/>
          <w:b/>
          <w:caps/>
          <w:sz w:val="15"/>
        </w:rPr>
        <w:t xml:space="preserve"> </w:t>
      </w:r>
      <w:r w:rsidR="00E86008">
        <w:rPr>
          <w:rFonts w:ascii="Arial Black" w:hAnsi="Arial Black"/>
          <w:b/>
          <w:caps/>
          <w:sz w:val="15"/>
        </w:rPr>
        <w:t>12</w:t>
      </w:r>
      <w:r w:rsidR="00762FF2">
        <w:rPr>
          <w:rFonts w:ascii="Arial Black" w:hAnsi="Arial Black"/>
          <w:b/>
          <w:caps/>
          <w:sz w:val="15"/>
        </w:rPr>
        <w:t>, 2019</w:t>
      </w:r>
    </w:p>
    <w:p w14:paraId="29855E9C" w14:textId="77777777" w:rsidR="008B2CC1" w:rsidRPr="003D57B0" w:rsidRDefault="00DF023A" w:rsidP="000C117A">
      <w:pPr>
        <w:pStyle w:val="Heading1"/>
      </w:pPr>
      <w:r w:rsidRPr="000C117A">
        <w:t>Assemblies</w:t>
      </w:r>
      <w:r w:rsidRPr="003D57B0">
        <w:t xml:space="preserve"> of the Member States of WIPO</w:t>
      </w:r>
    </w:p>
    <w:p w14:paraId="7C8B526C" w14:textId="77777777" w:rsidR="008B2CC1" w:rsidRPr="009C127D" w:rsidRDefault="00FD53CC" w:rsidP="003D2030">
      <w:pPr>
        <w:spacing w:after="720"/>
        <w:rPr>
          <w:b/>
          <w:sz w:val="24"/>
        </w:rPr>
      </w:pPr>
      <w:r>
        <w:rPr>
          <w:b/>
          <w:sz w:val="24"/>
        </w:rPr>
        <w:t>Fifty-Nin</w:t>
      </w:r>
      <w:r w:rsidR="00DF023A" w:rsidRPr="009C127D">
        <w:rPr>
          <w:b/>
          <w:sz w:val="24"/>
        </w:rPr>
        <w:t>th Series of Meetings</w:t>
      </w:r>
      <w:r w:rsidR="003D57B0" w:rsidRPr="009C127D">
        <w:rPr>
          <w:b/>
          <w:sz w:val="24"/>
        </w:rPr>
        <w:br/>
      </w:r>
      <w:r>
        <w:rPr>
          <w:b/>
          <w:sz w:val="24"/>
        </w:rPr>
        <w:t>Geneva, September 30 to October 9, 2019</w:t>
      </w:r>
    </w:p>
    <w:p w14:paraId="07E5EB94" w14:textId="5C466EC6" w:rsidR="008B2CC1" w:rsidRPr="009C127D" w:rsidRDefault="00762FF2" w:rsidP="003D2030">
      <w:pPr>
        <w:spacing w:after="360"/>
        <w:rPr>
          <w:caps/>
          <w:sz w:val="24"/>
        </w:rPr>
      </w:pPr>
      <w:bookmarkStart w:id="4" w:name="TitleOfDoc"/>
      <w:bookmarkEnd w:id="4"/>
      <w:r>
        <w:rPr>
          <w:caps/>
          <w:sz w:val="24"/>
        </w:rPr>
        <w:t>Information requested by the Program and Budget Committee as referred in document WO/PBC/30/15 under agenda item 11(iv)</w:t>
      </w:r>
    </w:p>
    <w:p w14:paraId="1A8B4770" w14:textId="77777777" w:rsidR="009D0889" w:rsidRDefault="009D0889" w:rsidP="00E43266">
      <w:pPr>
        <w:spacing w:after="720"/>
        <w:rPr>
          <w:i/>
        </w:rPr>
      </w:pPr>
      <w:bookmarkStart w:id="5" w:name="Prepared"/>
      <w:bookmarkEnd w:id="5"/>
      <w:r>
        <w:rPr>
          <w:i/>
        </w:rPr>
        <w:t>Information document prepared by the Secretariat</w:t>
      </w:r>
    </w:p>
    <w:p w14:paraId="6C404FC7" w14:textId="77777777" w:rsidR="00FA2F1A" w:rsidRPr="008543F3" w:rsidRDefault="00FA2F1A" w:rsidP="00FA2F1A">
      <w:pPr>
        <w:pStyle w:val="null"/>
        <w:spacing w:before="0" w:beforeAutospacing="0" w:after="0" w:afterAutospacing="0"/>
        <w:jc w:val="both"/>
        <w:rPr>
          <w:rFonts w:ascii="Arial" w:eastAsia="Times New Roman" w:hAnsi="Arial" w:cs="Arial"/>
          <w:b/>
          <w:iCs/>
          <w:color w:val="000000"/>
          <w:sz w:val="22"/>
          <w:szCs w:val="22"/>
        </w:rPr>
      </w:pPr>
      <w:r w:rsidRPr="008543F3">
        <w:rPr>
          <w:rFonts w:ascii="Arial" w:eastAsia="Times New Roman" w:hAnsi="Arial" w:cs="Arial"/>
          <w:b/>
          <w:iCs/>
          <w:color w:val="000000"/>
          <w:sz w:val="22"/>
          <w:szCs w:val="22"/>
        </w:rPr>
        <w:t>Background</w:t>
      </w:r>
    </w:p>
    <w:p w14:paraId="7A41790E" w14:textId="77777777" w:rsidR="00FA2F1A" w:rsidRDefault="00FA2F1A" w:rsidP="00FA2F1A">
      <w:pPr>
        <w:pStyle w:val="null"/>
        <w:spacing w:before="0" w:beforeAutospacing="0" w:after="0" w:afterAutospacing="0"/>
        <w:jc w:val="both"/>
        <w:rPr>
          <w:rFonts w:ascii="Arial" w:eastAsia="Times New Roman" w:hAnsi="Arial" w:cs="Arial"/>
          <w:iCs/>
          <w:color w:val="000000"/>
          <w:sz w:val="22"/>
          <w:szCs w:val="22"/>
        </w:rPr>
      </w:pPr>
    </w:p>
    <w:p w14:paraId="45F056AF" w14:textId="02370EF4" w:rsidR="00FA2F1A" w:rsidRPr="00755F96" w:rsidRDefault="00FA2F1A" w:rsidP="00755F96">
      <w:pPr>
        <w:pStyle w:val="null"/>
        <w:numPr>
          <w:ilvl w:val="0"/>
          <w:numId w:val="8"/>
        </w:numPr>
        <w:spacing w:before="0" w:beforeAutospacing="0" w:after="240" w:afterAutospacing="0"/>
        <w:ind w:left="0" w:firstLine="0"/>
        <w:rPr>
          <w:rFonts w:ascii="Arial" w:eastAsia="Times New Roman" w:hAnsi="Arial" w:cs="Arial"/>
          <w:iCs/>
          <w:color w:val="000000"/>
          <w:sz w:val="22"/>
          <w:szCs w:val="22"/>
        </w:rPr>
      </w:pPr>
      <w:proofErr w:type="gramStart"/>
      <w:r w:rsidRPr="00FA2F1A">
        <w:rPr>
          <w:rFonts w:ascii="Arial" w:eastAsia="Times New Roman" w:hAnsi="Arial" w:cs="Arial"/>
          <w:iCs/>
          <w:color w:val="000000"/>
          <w:sz w:val="22"/>
          <w:szCs w:val="22"/>
        </w:rPr>
        <w:t>The Program and Budget Committee (PBC), at its 30</w:t>
      </w:r>
      <w:r w:rsidRPr="00805D31">
        <w:rPr>
          <w:rFonts w:ascii="Arial" w:eastAsia="Times New Roman" w:hAnsi="Arial" w:cs="Arial"/>
          <w:iCs/>
          <w:color w:val="000000"/>
          <w:sz w:val="22"/>
          <w:szCs w:val="22"/>
          <w:vertAlign w:val="superscript"/>
        </w:rPr>
        <w:t>th</w:t>
      </w:r>
      <w:r w:rsidRPr="00FA2F1A">
        <w:rPr>
          <w:rFonts w:ascii="Arial" w:eastAsia="Times New Roman" w:hAnsi="Arial" w:cs="Arial"/>
          <w:iCs/>
          <w:color w:val="000000"/>
          <w:sz w:val="22"/>
          <w:szCs w:val="22"/>
        </w:rPr>
        <w:t xml:space="preserve"> session in July 2019, having completed its comprehensive review of the Proposed Program and Budget for the 2020/21 Biennium, as contained in document WO/PBC/30/10 and WO/PBC/30/10 Corr., agreed to revert to the issue reflected in WO/PBC/30/10 Corr. in the context of the adoption of the Program and Budget for </w:t>
      </w:r>
      <w:r w:rsidR="00805D31">
        <w:rPr>
          <w:rFonts w:ascii="Arial" w:eastAsia="Times New Roman" w:hAnsi="Arial" w:cs="Arial"/>
          <w:iCs/>
          <w:color w:val="000000"/>
          <w:sz w:val="22"/>
          <w:szCs w:val="22"/>
        </w:rPr>
        <w:t xml:space="preserve">the </w:t>
      </w:r>
      <w:r w:rsidRPr="00FA2F1A">
        <w:rPr>
          <w:rFonts w:ascii="Arial" w:eastAsia="Times New Roman" w:hAnsi="Arial" w:cs="Arial"/>
          <w:iCs/>
          <w:color w:val="000000"/>
          <w:sz w:val="22"/>
          <w:szCs w:val="22"/>
        </w:rPr>
        <w:t>2020/21 biennium at its 59</w:t>
      </w:r>
      <w:r w:rsidRPr="00805D31">
        <w:rPr>
          <w:rFonts w:ascii="Arial" w:eastAsia="Times New Roman" w:hAnsi="Arial" w:cs="Arial"/>
          <w:iCs/>
          <w:color w:val="000000"/>
          <w:sz w:val="22"/>
          <w:szCs w:val="22"/>
          <w:vertAlign w:val="superscript"/>
        </w:rPr>
        <w:t>th</w:t>
      </w:r>
      <w:r w:rsidR="00805D31">
        <w:rPr>
          <w:rFonts w:ascii="Arial" w:eastAsia="Times New Roman" w:hAnsi="Arial" w:cs="Arial"/>
          <w:iCs/>
          <w:color w:val="000000"/>
          <w:sz w:val="22"/>
          <w:szCs w:val="22"/>
        </w:rPr>
        <w:t xml:space="preserve"> S</w:t>
      </w:r>
      <w:r w:rsidRPr="00FA2F1A">
        <w:rPr>
          <w:rFonts w:ascii="Arial" w:eastAsia="Times New Roman" w:hAnsi="Arial" w:cs="Arial"/>
          <w:iCs/>
          <w:color w:val="000000"/>
          <w:sz w:val="22"/>
          <w:szCs w:val="22"/>
        </w:rPr>
        <w:t xml:space="preserve">eries of </w:t>
      </w:r>
      <w:r w:rsidR="00805D31">
        <w:rPr>
          <w:rFonts w:ascii="Arial" w:eastAsia="Times New Roman" w:hAnsi="Arial" w:cs="Arial"/>
          <w:iCs/>
          <w:color w:val="000000"/>
          <w:sz w:val="22"/>
          <w:szCs w:val="22"/>
        </w:rPr>
        <w:t>M</w:t>
      </w:r>
      <w:r w:rsidRPr="00FA2F1A">
        <w:rPr>
          <w:rFonts w:ascii="Arial" w:eastAsia="Times New Roman" w:hAnsi="Arial" w:cs="Arial"/>
          <w:iCs/>
          <w:color w:val="000000"/>
          <w:sz w:val="22"/>
          <w:szCs w:val="22"/>
        </w:rPr>
        <w:t>eetings of the WIPO Assemblies.</w:t>
      </w:r>
      <w:proofErr w:type="gramEnd"/>
    </w:p>
    <w:p w14:paraId="303A572F" w14:textId="77777777" w:rsidR="00FA2F1A" w:rsidRDefault="00FA2F1A" w:rsidP="00144DA0">
      <w:pPr>
        <w:pStyle w:val="null"/>
        <w:numPr>
          <w:ilvl w:val="0"/>
          <w:numId w:val="8"/>
        </w:numPr>
        <w:spacing w:before="0" w:beforeAutospacing="0" w:after="0" w:afterAutospacing="0"/>
        <w:ind w:left="0" w:firstLine="0"/>
        <w:rPr>
          <w:rFonts w:ascii="Arial" w:eastAsia="Times New Roman" w:hAnsi="Arial" w:cs="Arial"/>
          <w:iCs/>
          <w:color w:val="000000"/>
          <w:sz w:val="22"/>
          <w:szCs w:val="22"/>
        </w:rPr>
      </w:pPr>
      <w:r w:rsidRPr="00FA2F1A">
        <w:rPr>
          <w:rFonts w:ascii="Arial" w:eastAsia="Times New Roman" w:hAnsi="Arial" w:cs="Arial"/>
          <w:iCs/>
          <w:color w:val="000000"/>
          <w:sz w:val="22"/>
          <w:szCs w:val="22"/>
        </w:rPr>
        <w:t xml:space="preserve">In that context, the PBC requested the Secretariat to present for the consideration of the </w:t>
      </w:r>
      <w:r w:rsidR="00805D31">
        <w:rPr>
          <w:rFonts w:ascii="Arial" w:eastAsia="Times New Roman" w:hAnsi="Arial" w:cs="Arial"/>
          <w:iCs/>
          <w:color w:val="000000"/>
          <w:sz w:val="22"/>
          <w:szCs w:val="22"/>
        </w:rPr>
        <w:t xml:space="preserve">WIPO </w:t>
      </w:r>
      <w:r w:rsidRPr="00FA2F1A">
        <w:rPr>
          <w:rFonts w:ascii="Arial" w:eastAsia="Times New Roman" w:hAnsi="Arial" w:cs="Arial"/>
          <w:iCs/>
          <w:color w:val="000000"/>
          <w:sz w:val="22"/>
          <w:szCs w:val="22"/>
        </w:rPr>
        <w:t xml:space="preserve">Assemblies a working document on the exact amount, details of calculations, sources and modalities of funding needed in connection with Judgment </w:t>
      </w:r>
      <w:r w:rsidR="00805D31">
        <w:rPr>
          <w:rFonts w:ascii="Arial" w:eastAsia="Times New Roman" w:hAnsi="Arial" w:cs="Arial"/>
          <w:iCs/>
          <w:color w:val="000000"/>
          <w:sz w:val="22"/>
          <w:szCs w:val="22"/>
        </w:rPr>
        <w:t xml:space="preserve">No. </w:t>
      </w:r>
      <w:r w:rsidRPr="00FA2F1A">
        <w:rPr>
          <w:rFonts w:ascii="Arial" w:eastAsia="Times New Roman" w:hAnsi="Arial" w:cs="Arial"/>
          <w:iCs/>
          <w:color w:val="000000"/>
          <w:sz w:val="22"/>
          <w:szCs w:val="22"/>
        </w:rPr>
        <w:t>4138 of the ILO</w:t>
      </w:r>
      <w:r w:rsidR="00805D31">
        <w:rPr>
          <w:rFonts w:ascii="Arial" w:eastAsia="Times New Roman" w:hAnsi="Arial" w:cs="Arial"/>
          <w:iCs/>
          <w:color w:val="000000"/>
          <w:sz w:val="22"/>
          <w:szCs w:val="22"/>
        </w:rPr>
        <w:t xml:space="preserve"> </w:t>
      </w:r>
      <w:r w:rsidRPr="00FA2F1A">
        <w:rPr>
          <w:rFonts w:ascii="Arial" w:eastAsia="Times New Roman" w:hAnsi="Arial" w:cs="Arial"/>
          <w:iCs/>
          <w:color w:val="000000"/>
          <w:sz w:val="22"/>
          <w:szCs w:val="22"/>
        </w:rPr>
        <w:t>A</w:t>
      </w:r>
      <w:r w:rsidR="00805D31">
        <w:rPr>
          <w:rFonts w:ascii="Arial" w:eastAsia="Times New Roman" w:hAnsi="Arial" w:cs="Arial"/>
          <w:iCs/>
          <w:color w:val="000000"/>
          <w:sz w:val="22"/>
          <w:szCs w:val="22"/>
        </w:rPr>
        <w:t xml:space="preserve">dministrative </w:t>
      </w:r>
      <w:r w:rsidRPr="00FA2F1A">
        <w:rPr>
          <w:rFonts w:ascii="Arial" w:eastAsia="Times New Roman" w:hAnsi="Arial" w:cs="Arial"/>
          <w:iCs/>
          <w:color w:val="000000"/>
          <w:sz w:val="22"/>
          <w:szCs w:val="22"/>
        </w:rPr>
        <w:t>T</w:t>
      </w:r>
      <w:r w:rsidR="00805D31">
        <w:rPr>
          <w:rFonts w:ascii="Arial" w:eastAsia="Times New Roman" w:hAnsi="Arial" w:cs="Arial"/>
          <w:iCs/>
          <w:color w:val="000000"/>
          <w:sz w:val="22"/>
          <w:szCs w:val="22"/>
        </w:rPr>
        <w:t>ribunal</w:t>
      </w:r>
      <w:r w:rsidR="00F8321C">
        <w:rPr>
          <w:rFonts w:ascii="Arial" w:eastAsia="Times New Roman" w:hAnsi="Arial" w:cs="Arial"/>
          <w:iCs/>
          <w:color w:val="000000"/>
          <w:sz w:val="22"/>
          <w:szCs w:val="22"/>
        </w:rPr>
        <w:t xml:space="preserve"> (</w:t>
      </w:r>
      <w:r w:rsidR="001273C5">
        <w:rPr>
          <w:rFonts w:ascii="Arial" w:eastAsia="Times New Roman" w:hAnsi="Arial" w:cs="Arial"/>
          <w:iCs/>
          <w:color w:val="000000"/>
          <w:sz w:val="22"/>
          <w:szCs w:val="22"/>
        </w:rPr>
        <w:t>ILO</w:t>
      </w:r>
      <w:r w:rsidR="00F8321C">
        <w:rPr>
          <w:rFonts w:ascii="Arial" w:eastAsia="Times New Roman" w:hAnsi="Arial" w:cs="Arial"/>
          <w:iCs/>
          <w:color w:val="000000"/>
          <w:sz w:val="22"/>
          <w:szCs w:val="22"/>
        </w:rPr>
        <w:t>AT)</w:t>
      </w:r>
      <w:r w:rsidRPr="00FA2F1A">
        <w:rPr>
          <w:rFonts w:ascii="Arial" w:eastAsia="Times New Roman" w:hAnsi="Arial" w:cs="Arial"/>
          <w:iCs/>
          <w:color w:val="000000"/>
          <w:sz w:val="22"/>
          <w:szCs w:val="22"/>
        </w:rPr>
        <w:t>.</w:t>
      </w:r>
    </w:p>
    <w:p w14:paraId="492F7739" w14:textId="77777777" w:rsidR="00FA2F1A" w:rsidRDefault="00FA2F1A" w:rsidP="00FA2F1A">
      <w:pPr>
        <w:pStyle w:val="ListParagraph"/>
        <w:rPr>
          <w:rFonts w:eastAsia="Times New Roman"/>
          <w:iCs/>
          <w:color w:val="000000"/>
          <w:szCs w:val="22"/>
        </w:rPr>
      </w:pPr>
    </w:p>
    <w:p w14:paraId="3CFD94AF" w14:textId="77777777" w:rsidR="00FA2F1A" w:rsidRPr="00FA2F1A" w:rsidRDefault="00FA2F1A" w:rsidP="00FA2F1A">
      <w:pPr>
        <w:pStyle w:val="null"/>
        <w:spacing w:before="0" w:beforeAutospacing="0" w:after="0" w:afterAutospacing="0"/>
        <w:jc w:val="both"/>
        <w:rPr>
          <w:rFonts w:ascii="Arial" w:eastAsia="Times New Roman" w:hAnsi="Arial" w:cs="Arial"/>
          <w:iCs/>
          <w:color w:val="000000"/>
          <w:sz w:val="22"/>
          <w:szCs w:val="22"/>
        </w:rPr>
      </w:pPr>
    </w:p>
    <w:p w14:paraId="673DC248" w14:textId="77777777" w:rsidR="00FA2F1A" w:rsidRPr="008543F3" w:rsidRDefault="00FA2F1A" w:rsidP="00FA2F1A">
      <w:pPr>
        <w:rPr>
          <w:rFonts w:eastAsia="Times New Roman"/>
          <w:b/>
          <w:iCs/>
          <w:color w:val="000000"/>
          <w:szCs w:val="22"/>
          <w:lang w:eastAsia="en-US"/>
        </w:rPr>
      </w:pPr>
      <w:r w:rsidRPr="008543F3">
        <w:rPr>
          <w:rFonts w:eastAsia="Times New Roman"/>
          <w:b/>
          <w:iCs/>
          <w:color w:val="000000"/>
          <w:szCs w:val="22"/>
          <w:lang w:eastAsia="en-US"/>
        </w:rPr>
        <w:t>Estimated Personnel Costs for the Biennium 2020/21</w:t>
      </w:r>
    </w:p>
    <w:p w14:paraId="475333A6" w14:textId="77777777" w:rsidR="00FA2F1A" w:rsidRDefault="00FA2F1A" w:rsidP="00FA2F1A">
      <w:pPr>
        <w:rPr>
          <w:rFonts w:eastAsia="Times New Roman"/>
          <w:iCs/>
          <w:color w:val="000000"/>
          <w:szCs w:val="22"/>
          <w:lang w:eastAsia="en-US"/>
        </w:rPr>
      </w:pPr>
    </w:p>
    <w:p w14:paraId="5DF14BEF" w14:textId="277E7BD9" w:rsidR="0052447B" w:rsidRDefault="00504E34" w:rsidP="00EA0BAA">
      <w:pPr>
        <w:pStyle w:val="ListParagraph"/>
        <w:numPr>
          <w:ilvl w:val="0"/>
          <w:numId w:val="8"/>
        </w:numPr>
        <w:ind w:left="0" w:firstLine="0"/>
      </w:pPr>
      <w:r>
        <w:t>T</w:t>
      </w:r>
      <w:r w:rsidR="00EA0BAA" w:rsidRPr="001978C2">
        <w:t>he personnel costs</w:t>
      </w:r>
      <w:r w:rsidR="00EA0BAA">
        <w:t xml:space="preserve"> in the 2020/21</w:t>
      </w:r>
      <w:r w:rsidR="00E86008" w:rsidRPr="00E86008">
        <w:t xml:space="preserve"> </w:t>
      </w:r>
      <w:r w:rsidR="00E86008">
        <w:t>biennium</w:t>
      </w:r>
      <w:r w:rsidR="00EA0BAA">
        <w:t xml:space="preserve"> </w:t>
      </w:r>
      <w:proofErr w:type="gramStart"/>
      <w:r w:rsidR="00F06BAF">
        <w:t>are</w:t>
      </w:r>
      <w:r w:rsidR="0052447B">
        <w:t xml:space="preserve"> estimated</w:t>
      </w:r>
      <w:proofErr w:type="gramEnd"/>
      <w:r w:rsidR="0052447B">
        <w:t xml:space="preserve"> at </w:t>
      </w:r>
      <w:r w:rsidR="0052447B">
        <w:rPr>
          <w:rFonts w:eastAsia="Times New Roman"/>
          <w:iCs/>
          <w:color w:val="000000"/>
          <w:szCs w:val="22"/>
          <w:lang w:eastAsia="en-US"/>
        </w:rPr>
        <w:t>475,91</w:t>
      </w:r>
      <w:r w:rsidR="00F06BAF">
        <w:rPr>
          <w:rFonts w:eastAsia="Times New Roman"/>
          <w:iCs/>
          <w:color w:val="000000"/>
          <w:szCs w:val="22"/>
          <w:lang w:eastAsia="en-US"/>
        </w:rPr>
        <w:t>8</w:t>
      </w:r>
      <w:r w:rsidR="0052447B">
        <w:rPr>
          <w:rFonts w:eastAsia="Times New Roman"/>
          <w:iCs/>
          <w:color w:val="000000"/>
          <w:szCs w:val="22"/>
          <w:lang w:eastAsia="en-US"/>
        </w:rPr>
        <w:t>,</w:t>
      </w:r>
      <w:r w:rsidR="00F06BAF">
        <w:rPr>
          <w:rFonts w:eastAsia="Times New Roman"/>
          <w:iCs/>
          <w:color w:val="000000"/>
          <w:szCs w:val="22"/>
          <w:lang w:eastAsia="en-US"/>
        </w:rPr>
        <w:t>900</w:t>
      </w:r>
      <w:r w:rsidR="0052447B">
        <w:rPr>
          <w:rFonts w:eastAsia="Times New Roman"/>
          <w:iCs/>
          <w:color w:val="000000"/>
          <w:szCs w:val="22"/>
          <w:lang w:eastAsia="en-US"/>
        </w:rPr>
        <w:t xml:space="preserve"> </w:t>
      </w:r>
      <w:r w:rsidR="00EA0BAA" w:rsidRPr="001978C2">
        <w:t>Swiss francs</w:t>
      </w:r>
      <w:r w:rsidR="0052447B">
        <w:t>.</w:t>
      </w:r>
      <w:r w:rsidR="00F06BAF">
        <w:t xml:space="preserve">  </w:t>
      </w:r>
      <w:proofErr w:type="gramStart"/>
      <w:r w:rsidR="00F06BAF">
        <w:t>This results</w:t>
      </w:r>
      <w:proofErr w:type="gramEnd"/>
      <w:r w:rsidR="00F06BAF">
        <w:t xml:space="preserve"> from a reduction of 1,655,800 Swiss francs for the WIPO Rewards and Recognition Program from the 477,574,700 Swiss francs referred to in document </w:t>
      </w:r>
      <w:r w:rsidR="00F06BAF" w:rsidRPr="00FA2F1A">
        <w:rPr>
          <w:rFonts w:eastAsia="Times New Roman"/>
          <w:iCs/>
          <w:color w:val="000000"/>
          <w:szCs w:val="22"/>
        </w:rPr>
        <w:t>WO/PBC/30/10 Corr.</w:t>
      </w:r>
    </w:p>
    <w:p w14:paraId="0CFAE77E" w14:textId="77777777" w:rsidR="00E43266" w:rsidRDefault="00E43266" w:rsidP="00E43266">
      <w:pPr>
        <w:pStyle w:val="ListParagraph"/>
        <w:ind w:left="0"/>
        <w:rPr>
          <w:rFonts w:eastAsia="Times New Roman"/>
          <w:iCs/>
          <w:color w:val="000000"/>
          <w:szCs w:val="22"/>
          <w:lang w:eastAsia="en-US"/>
        </w:rPr>
      </w:pPr>
    </w:p>
    <w:p w14:paraId="108F942F" w14:textId="3A61FA31" w:rsidR="0052447B" w:rsidRDefault="0052447B" w:rsidP="00FA2F1A">
      <w:pPr>
        <w:pStyle w:val="ListParagraph"/>
        <w:numPr>
          <w:ilvl w:val="0"/>
          <w:numId w:val="8"/>
        </w:numPr>
        <w:ind w:left="0" w:firstLine="0"/>
        <w:rPr>
          <w:rFonts w:eastAsia="Times New Roman"/>
          <w:iCs/>
          <w:color w:val="000000"/>
          <w:szCs w:val="22"/>
          <w:lang w:eastAsia="en-US"/>
        </w:rPr>
      </w:pPr>
      <w:r>
        <w:rPr>
          <w:rFonts w:eastAsia="Times New Roman"/>
          <w:iCs/>
          <w:color w:val="000000"/>
          <w:szCs w:val="22"/>
          <w:lang w:eastAsia="en-US"/>
        </w:rPr>
        <w:lastRenderedPageBreak/>
        <w:t xml:space="preserve">The methodology for calculating the personnel costs for the 2020/21 </w:t>
      </w:r>
      <w:r w:rsidR="00E86008">
        <w:rPr>
          <w:rFonts w:eastAsia="Times New Roman"/>
          <w:iCs/>
          <w:color w:val="000000"/>
          <w:szCs w:val="22"/>
          <w:lang w:eastAsia="en-US"/>
        </w:rPr>
        <w:t xml:space="preserve">biennium </w:t>
      </w:r>
      <w:r>
        <w:rPr>
          <w:rFonts w:eastAsia="Times New Roman"/>
          <w:iCs/>
          <w:color w:val="000000"/>
          <w:szCs w:val="22"/>
          <w:lang w:eastAsia="en-US"/>
        </w:rPr>
        <w:t xml:space="preserve">and the underlying planning assumption </w:t>
      </w:r>
      <w:proofErr w:type="gramStart"/>
      <w:r>
        <w:rPr>
          <w:rFonts w:eastAsia="Times New Roman"/>
          <w:iCs/>
          <w:color w:val="000000"/>
          <w:szCs w:val="22"/>
          <w:lang w:eastAsia="en-US"/>
        </w:rPr>
        <w:t>are outlined</w:t>
      </w:r>
      <w:proofErr w:type="gramEnd"/>
      <w:r>
        <w:rPr>
          <w:rFonts w:eastAsia="Times New Roman"/>
          <w:iCs/>
          <w:color w:val="000000"/>
          <w:szCs w:val="22"/>
          <w:lang w:eastAsia="en-US"/>
        </w:rPr>
        <w:t xml:space="preserve"> </w:t>
      </w:r>
      <w:r w:rsidR="00805D31">
        <w:rPr>
          <w:rFonts w:eastAsia="Times New Roman"/>
          <w:iCs/>
          <w:color w:val="000000"/>
          <w:szCs w:val="22"/>
          <w:lang w:eastAsia="en-US"/>
        </w:rPr>
        <w:t xml:space="preserve">in the sections </w:t>
      </w:r>
      <w:r>
        <w:rPr>
          <w:rFonts w:eastAsia="Times New Roman"/>
          <w:iCs/>
          <w:color w:val="000000"/>
          <w:szCs w:val="22"/>
          <w:lang w:eastAsia="en-US"/>
        </w:rPr>
        <w:t>below</w:t>
      </w:r>
      <w:r>
        <w:rPr>
          <w:rStyle w:val="FootnoteReference"/>
          <w:rFonts w:eastAsia="Times New Roman"/>
          <w:iCs/>
          <w:color w:val="000000"/>
          <w:szCs w:val="22"/>
          <w:lang w:eastAsia="en-US"/>
        </w:rPr>
        <w:footnoteReference w:id="2"/>
      </w:r>
      <w:r>
        <w:rPr>
          <w:rFonts w:eastAsia="Times New Roman"/>
          <w:iCs/>
          <w:color w:val="000000"/>
          <w:szCs w:val="22"/>
          <w:lang w:eastAsia="en-US"/>
        </w:rPr>
        <w:t>.</w:t>
      </w:r>
    </w:p>
    <w:p w14:paraId="6F348685" w14:textId="77777777" w:rsidR="0052447B" w:rsidRPr="0052447B" w:rsidRDefault="0052447B" w:rsidP="0052447B">
      <w:pPr>
        <w:pStyle w:val="ListParagraph"/>
        <w:rPr>
          <w:rFonts w:eastAsia="Times New Roman"/>
          <w:iCs/>
          <w:color w:val="000000"/>
          <w:szCs w:val="22"/>
          <w:lang w:eastAsia="en-US"/>
        </w:rPr>
      </w:pPr>
    </w:p>
    <w:p w14:paraId="673812DC" w14:textId="237EA0F5" w:rsidR="0052447B" w:rsidRPr="00755F96" w:rsidRDefault="0052447B" w:rsidP="00755F96">
      <w:pPr>
        <w:pStyle w:val="ListParagraph"/>
        <w:spacing w:after="240"/>
        <w:ind w:left="0"/>
        <w:rPr>
          <w:rFonts w:eastAsia="Times New Roman"/>
          <w:iCs/>
          <w:color w:val="000000"/>
          <w:szCs w:val="22"/>
          <w:u w:val="single"/>
          <w:lang w:eastAsia="en-US"/>
        </w:rPr>
      </w:pPr>
      <w:r w:rsidRPr="008543F3">
        <w:rPr>
          <w:rFonts w:eastAsia="Times New Roman"/>
          <w:iCs/>
          <w:color w:val="000000"/>
          <w:szCs w:val="22"/>
          <w:u w:val="single"/>
          <w:lang w:eastAsia="en-US"/>
        </w:rPr>
        <w:t xml:space="preserve">Methodology  </w:t>
      </w:r>
    </w:p>
    <w:p w14:paraId="6D386AF8" w14:textId="0765D736" w:rsidR="0052447B" w:rsidRPr="008543F3" w:rsidRDefault="0052447B" w:rsidP="0052447B">
      <w:pPr>
        <w:pStyle w:val="NormalNumb"/>
        <w:numPr>
          <w:ilvl w:val="0"/>
          <w:numId w:val="8"/>
        </w:numPr>
        <w:ind w:left="0" w:firstLine="0"/>
        <w:rPr>
          <w:rFonts w:eastAsia="Times New Roman" w:cs="Arial"/>
          <w:iCs/>
          <w:color w:val="000000"/>
          <w:sz w:val="22"/>
          <w:lang w:val="en-US"/>
        </w:rPr>
      </w:pPr>
      <w:r w:rsidRPr="008543F3">
        <w:rPr>
          <w:rFonts w:eastAsia="Times New Roman" w:cs="Arial"/>
          <w:iCs/>
          <w:color w:val="000000"/>
          <w:sz w:val="22"/>
          <w:lang w:val="en-US"/>
        </w:rPr>
        <w:t xml:space="preserve">The personnel </w:t>
      </w:r>
      <w:r w:rsidR="007D1A22">
        <w:rPr>
          <w:rFonts w:eastAsia="Times New Roman" w:cs="Arial"/>
          <w:iCs/>
          <w:color w:val="000000"/>
          <w:sz w:val="22"/>
          <w:lang w:val="en-US"/>
        </w:rPr>
        <w:t>costs</w:t>
      </w:r>
      <w:r w:rsidRPr="008543F3">
        <w:rPr>
          <w:rFonts w:eastAsia="Times New Roman" w:cs="Arial"/>
          <w:iCs/>
          <w:color w:val="000000"/>
          <w:sz w:val="22"/>
          <w:lang w:val="en-US"/>
        </w:rPr>
        <w:t xml:space="preserve"> for the 2020/21 </w:t>
      </w:r>
      <w:r w:rsidR="00E86008" w:rsidRPr="008543F3">
        <w:rPr>
          <w:rFonts w:eastAsia="Times New Roman" w:cs="Arial"/>
          <w:iCs/>
          <w:color w:val="000000"/>
          <w:sz w:val="22"/>
          <w:lang w:val="en-US"/>
        </w:rPr>
        <w:t xml:space="preserve">biennium </w:t>
      </w:r>
      <w:r w:rsidRPr="008543F3">
        <w:rPr>
          <w:rFonts w:eastAsia="Times New Roman" w:cs="Arial"/>
          <w:iCs/>
          <w:color w:val="000000"/>
          <w:sz w:val="22"/>
          <w:lang w:val="en-US"/>
        </w:rPr>
        <w:t xml:space="preserve">continues to be derived </w:t>
      </w:r>
      <w:proofErr w:type="gramStart"/>
      <w:r w:rsidRPr="008543F3">
        <w:rPr>
          <w:rFonts w:eastAsia="Times New Roman" w:cs="Arial"/>
          <w:iCs/>
          <w:color w:val="000000"/>
          <w:sz w:val="22"/>
          <w:lang w:val="en-US"/>
        </w:rPr>
        <w:t>on the basis of</w:t>
      </w:r>
      <w:proofErr w:type="gramEnd"/>
      <w:r w:rsidRPr="008543F3">
        <w:rPr>
          <w:rFonts w:eastAsia="Times New Roman" w:cs="Arial"/>
          <w:iCs/>
          <w:color w:val="000000"/>
          <w:sz w:val="22"/>
          <w:lang w:val="en-US"/>
        </w:rPr>
        <w:t xml:space="preserve"> actual costs </w:t>
      </w:r>
      <w:r w:rsidR="007D1A22">
        <w:rPr>
          <w:rFonts w:eastAsia="Times New Roman" w:cs="Arial"/>
          <w:iCs/>
          <w:color w:val="000000"/>
          <w:sz w:val="22"/>
          <w:lang w:val="en-US"/>
        </w:rPr>
        <w:t xml:space="preserve">supplemented by a set of </w:t>
      </w:r>
      <w:r w:rsidRPr="008543F3">
        <w:rPr>
          <w:rFonts w:eastAsia="Times New Roman" w:cs="Arial"/>
          <w:iCs/>
          <w:color w:val="000000"/>
          <w:sz w:val="22"/>
          <w:lang w:val="en-US"/>
        </w:rPr>
        <w:t xml:space="preserve">planning assumptions. </w:t>
      </w:r>
    </w:p>
    <w:p w14:paraId="286C9F43" w14:textId="77777777" w:rsidR="0052447B" w:rsidRPr="008543F3" w:rsidRDefault="0052447B" w:rsidP="0052447B">
      <w:pPr>
        <w:pStyle w:val="NormalNumb"/>
        <w:numPr>
          <w:ilvl w:val="0"/>
          <w:numId w:val="8"/>
        </w:numPr>
        <w:ind w:left="0" w:firstLine="0"/>
        <w:rPr>
          <w:rFonts w:eastAsia="Times New Roman" w:cs="Arial"/>
          <w:iCs/>
          <w:color w:val="000000"/>
          <w:sz w:val="22"/>
          <w:lang w:val="en-US"/>
        </w:rPr>
      </w:pPr>
      <w:r w:rsidRPr="008543F3">
        <w:rPr>
          <w:rFonts w:eastAsia="Times New Roman" w:cs="Arial"/>
          <w:iCs/>
          <w:color w:val="000000"/>
          <w:sz w:val="22"/>
          <w:lang w:val="en-US"/>
        </w:rPr>
        <w:t xml:space="preserve">The 2020/21 personnel </w:t>
      </w:r>
      <w:r w:rsidR="007D1A22">
        <w:rPr>
          <w:rFonts w:eastAsia="Times New Roman" w:cs="Arial"/>
          <w:iCs/>
          <w:color w:val="000000"/>
          <w:sz w:val="22"/>
          <w:lang w:val="en-US"/>
        </w:rPr>
        <w:t xml:space="preserve">cost calculations </w:t>
      </w:r>
      <w:r w:rsidRPr="008543F3">
        <w:rPr>
          <w:rFonts w:eastAsia="Times New Roman" w:cs="Arial"/>
          <w:iCs/>
          <w:color w:val="000000"/>
          <w:sz w:val="22"/>
          <w:lang w:val="en-US"/>
        </w:rPr>
        <w:t>incorporates changes related to the introduction of the unified salary scale on January 1, 2017 and the new common system compensation package for the professional and higher categories, as established by the International Civil Service Commission (ICSC) and amendments to the Staff Regulations and Rules.</w:t>
      </w:r>
    </w:p>
    <w:p w14:paraId="6A2687DB" w14:textId="77777777" w:rsidR="0052447B" w:rsidRPr="008543F3" w:rsidRDefault="0052447B" w:rsidP="0052447B">
      <w:pPr>
        <w:pStyle w:val="NormalNumb"/>
        <w:numPr>
          <w:ilvl w:val="0"/>
          <w:numId w:val="8"/>
        </w:numPr>
        <w:ind w:left="0" w:firstLine="0"/>
        <w:rPr>
          <w:rFonts w:eastAsia="Times New Roman" w:cs="Arial"/>
          <w:iCs/>
          <w:color w:val="000000"/>
          <w:sz w:val="22"/>
          <w:lang w:val="en-US"/>
        </w:rPr>
      </w:pPr>
      <w:r w:rsidRPr="008543F3">
        <w:rPr>
          <w:rFonts w:eastAsia="Times New Roman" w:cs="Arial"/>
          <w:iCs/>
          <w:color w:val="000000"/>
          <w:sz w:val="22"/>
          <w:lang w:val="en-US"/>
        </w:rPr>
        <w:t xml:space="preserve">While costs for occupied positions </w:t>
      </w:r>
      <w:proofErr w:type="gramStart"/>
      <w:r w:rsidRPr="008543F3">
        <w:rPr>
          <w:rFonts w:eastAsia="Times New Roman" w:cs="Arial"/>
          <w:iCs/>
          <w:color w:val="000000"/>
          <w:sz w:val="22"/>
          <w:lang w:val="en-US"/>
        </w:rPr>
        <w:t>are based</w:t>
      </w:r>
      <w:proofErr w:type="gramEnd"/>
      <w:r w:rsidRPr="008543F3">
        <w:rPr>
          <w:rFonts w:eastAsia="Times New Roman" w:cs="Arial"/>
          <w:iCs/>
          <w:color w:val="000000"/>
          <w:sz w:val="22"/>
          <w:lang w:val="en-US"/>
        </w:rPr>
        <w:t xml:space="preserve"> on the latest available UN salary and pensionable remuneration scales, as well as the applicable policies for benefits and entitlements, the cost for vacant positions is based on average standard costs.</w:t>
      </w:r>
    </w:p>
    <w:p w14:paraId="6336D770" w14:textId="77777777" w:rsidR="0052447B" w:rsidRPr="008543F3" w:rsidRDefault="0052447B" w:rsidP="0052447B">
      <w:pPr>
        <w:pStyle w:val="ListParagraph"/>
        <w:ind w:left="0"/>
        <w:rPr>
          <w:rFonts w:eastAsia="Times New Roman"/>
          <w:iCs/>
          <w:color w:val="000000"/>
          <w:szCs w:val="22"/>
          <w:lang w:eastAsia="en-US"/>
        </w:rPr>
      </w:pPr>
    </w:p>
    <w:p w14:paraId="49F3DFB2" w14:textId="77777777" w:rsidR="0052447B" w:rsidRPr="008543F3" w:rsidRDefault="0052447B" w:rsidP="0052447B">
      <w:pPr>
        <w:pStyle w:val="ListParagraph"/>
        <w:ind w:left="0"/>
        <w:rPr>
          <w:rFonts w:eastAsia="Times New Roman"/>
          <w:iCs/>
          <w:color w:val="000000"/>
          <w:szCs w:val="22"/>
          <w:u w:val="single"/>
          <w:lang w:eastAsia="en-US"/>
        </w:rPr>
      </w:pPr>
      <w:r w:rsidRPr="008543F3">
        <w:rPr>
          <w:rFonts w:eastAsia="Times New Roman"/>
          <w:iCs/>
          <w:color w:val="000000"/>
          <w:szCs w:val="22"/>
          <w:u w:val="single"/>
          <w:lang w:eastAsia="en-US"/>
        </w:rPr>
        <w:t>Planning Assumptions</w:t>
      </w:r>
    </w:p>
    <w:p w14:paraId="2BD97ABE" w14:textId="77777777" w:rsidR="0052447B" w:rsidRPr="008543F3" w:rsidRDefault="0052447B" w:rsidP="0052447B">
      <w:pPr>
        <w:pStyle w:val="ListParagraph"/>
        <w:ind w:left="0"/>
        <w:rPr>
          <w:rFonts w:eastAsia="Times New Roman"/>
          <w:iCs/>
          <w:color w:val="000000"/>
          <w:szCs w:val="22"/>
          <w:lang w:eastAsia="en-US"/>
        </w:rPr>
      </w:pPr>
    </w:p>
    <w:p w14:paraId="5146A503" w14:textId="77777777" w:rsidR="0078193C" w:rsidRDefault="0052447B" w:rsidP="0078193C">
      <w:pPr>
        <w:pStyle w:val="Bullet2"/>
        <w:ind w:hanging="500"/>
        <w:rPr>
          <w:rFonts w:eastAsia="Times New Roman" w:cs="Arial"/>
          <w:iCs/>
          <w:color w:val="000000"/>
          <w:sz w:val="22"/>
          <w:lang w:val="en-US"/>
        </w:rPr>
      </w:pPr>
      <w:r w:rsidRPr="008543F3">
        <w:rPr>
          <w:rFonts w:eastAsia="Times New Roman" w:cs="Arial"/>
          <w:iCs/>
          <w:color w:val="000000"/>
          <w:sz w:val="22"/>
          <w:lang w:val="en-US"/>
        </w:rPr>
        <w:t>For occupied positions, costing of salaries for 2020/21</w:t>
      </w:r>
      <w:r w:rsidRPr="00F06BAF">
        <w:rPr>
          <w:rFonts w:eastAsia="Times New Roman" w:cs="Arial"/>
          <w:iCs/>
          <w:color w:val="000000"/>
          <w:sz w:val="22"/>
          <w:vertAlign w:val="superscript"/>
          <w:lang w:val="en-US"/>
        </w:rPr>
        <w:footnoteReference w:id="3"/>
      </w:r>
      <w:r w:rsidRPr="008543F3">
        <w:rPr>
          <w:rFonts w:eastAsia="Times New Roman" w:cs="Arial"/>
          <w:iCs/>
          <w:color w:val="000000"/>
          <w:sz w:val="22"/>
          <w:lang w:val="en-US"/>
        </w:rPr>
        <w:t xml:space="preserve"> takes into account the applicable ICSC scales (for general services category) and/or the salary scale and within-grade step increments effective January 1, 2018 (for professional and higher categories), prorated for 2020/21. For vacant positions, standard costs are calculated based on grade step I and an assumption of a dependent spouse and a child;</w:t>
      </w:r>
    </w:p>
    <w:p w14:paraId="1E3543B3" w14:textId="20FED432" w:rsidR="00F8321C" w:rsidRPr="0078193C" w:rsidRDefault="00F8321C" w:rsidP="0078193C">
      <w:pPr>
        <w:pStyle w:val="Bullet2"/>
        <w:ind w:hanging="500"/>
        <w:rPr>
          <w:rFonts w:eastAsia="Times New Roman" w:cs="Arial"/>
          <w:iCs/>
          <w:color w:val="000000"/>
          <w:sz w:val="22"/>
          <w:lang w:val="en-US"/>
        </w:rPr>
      </w:pPr>
      <w:r w:rsidRPr="0078193C">
        <w:rPr>
          <w:rFonts w:eastAsia="Times New Roman" w:cs="Arial"/>
          <w:iCs/>
          <w:color w:val="000000"/>
          <w:sz w:val="22"/>
          <w:lang w:val="en-US"/>
        </w:rPr>
        <w:t>Following the ILOAT Judgment No. 4138, the exchange rate and post adjustment multiplier (PAM) are applied as of January 2018</w:t>
      </w:r>
      <w:r w:rsidRPr="0078193C">
        <w:rPr>
          <w:vertAlign w:val="superscript"/>
        </w:rPr>
        <w:footnoteReference w:id="4"/>
      </w:r>
      <w:r w:rsidRPr="0078193C">
        <w:rPr>
          <w:rFonts w:eastAsia="Times New Roman" w:cs="Arial"/>
          <w:iCs/>
          <w:color w:val="000000"/>
          <w:sz w:val="22"/>
          <w:lang w:val="en-US"/>
        </w:rPr>
        <w:t>;</w:t>
      </w:r>
    </w:p>
    <w:p w14:paraId="621ABC52" w14:textId="77777777" w:rsidR="0052447B" w:rsidRPr="008543F3" w:rsidRDefault="0052447B" w:rsidP="00396E9D">
      <w:pPr>
        <w:pStyle w:val="Bullet2"/>
        <w:ind w:hanging="500"/>
        <w:rPr>
          <w:rFonts w:eastAsia="Times New Roman" w:cs="Arial"/>
          <w:iCs/>
          <w:color w:val="000000"/>
          <w:sz w:val="22"/>
          <w:lang w:val="en-US"/>
        </w:rPr>
      </w:pPr>
      <w:r w:rsidRPr="008543F3">
        <w:rPr>
          <w:rFonts w:eastAsia="Times New Roman" w:cs="Arial"/>
          <w:iCs/>
          <w:color w:val="000000"/>
          <w:sz w:val="22"/>
          <w:lang w:val="en-US"/>
        </w:rPr>
        <w:t xml:space="preserve">The USD/CHF exchange rate </w:t>
      </w:r>
      <w:proofErr w:type="gramStart"/>
      <w:r w:rsidRPr="008543F3">
        <w:rPr>
          <w:rFonts w:eastAsia="Times New Roman" w:cs="Arial"/>
          <w:iCs/>
          <w:color w:val="000000"/>
          <w:sz w:val="22"/>
          <w:lang w:val="en-US"/>
        </w:rPr>
        <w:t>is applied</w:t>
      </w:r>
      <w:proofErr w:type="gramEnd"/>
      <w:r w:rsidRPr="008543F3">
        <w:rPr>
          <w:rFonts w:eastAsia="Times New Roman" w:cs="Arial"/>
          <w:iCs/>
          <w:color w:val="000000"/>
          <w:sz w:val="22"/>
          <w:lang w:val="en-US"/>
        </w:rPr>
        <w:t xml:space="preserve"> at a 1:1 ratio for pensionable remunerations. The applicable ICSC scale for professional and higher categories is as of February 2019;  for the general service category the April 2011 scale has been applied for occupied positions and the September 2017 scale for vacant positions;</w:t>
      </w:r>
    </w:p>
    <w:p w14:paraId="36B78103" w14:textId="77777777" w:rsidR="0052447B" w:rsidRPr="008543F3" w:rsidRDefault="0052447B" w:rsidP="00396E9D">
      <w:pPr>
        <w:pStyle w:val="Bullet2"/>
        <w:ind w:hanging="500"/>
        <w:rPr>
          <w:rFonts w:eastAsia="Times New Roman" w:cs="Arial"/>
          <w:iCs/>
          <w:color w:val="000000"/>
          <w:sz w:val="22"/>
          <w:lang w:val="en-US"/>
        </w:rPr>
      </w:pPr>
      <w:r w:rsidRPr="008543F3">
        <w:rPr>
          <w:rFonts w:eastAsia="Times New Roman" w:cs="Arial"/>
          <w:iCs/>
          <w:color w:val="000000"/>
          <w:sz w:val="22"/>
          <w:lang w:val="en-US"/>
        </w:rPr>
        <w:t xml:space="preserve">All applicable benefits and entitlements for occupied positions, including education grant and home leave, </w:t>
      </w:r>
      <w:proofErr w:type="gramStart"/>
      <w:r w:rsidRPr="008543F3">
        <w:rPr>
          <w:rFonts w:eastAsia="Times New Roman" w:cs="Arial"/>
          <w:iCs/>
          <w:color w:val="000000"/>
          <w:sz w:val="22"/>
          <w:lang w:val="en-US"/>
        </w:rPr>
        <w:t>are estimated</w:t>
      </w:r>
      <w:proofErr w:type="gramEnd"/>
      <w:r w:rsidRPr="008543F3">
        <w:rPr>
          <w:rFonts w:eastAsia="Times New Roman" w:cs="Arial"/>
          <w:iCs/>
          <w:color w:val="000000"/>
          <w:sz w:val="22"/>
          <w:lang w:val="en-US"/>
        </w:rPr>
        <w:t xml:space="preserve"> at position level, taking into account the latest payroll information.  An average cost has been estimated for vacant positions;</w:t>
      </w:r>
    </w:p>
    <w:p w14:paraId="38DD2728" w14:textId="77777777" w:rsidR="0052447B" w:rsidRPr="008543F3" w:rsidRDefault="0052447B" w:rsidP="00396E9D">
      <w:pPr>
        <w:pStyle w:val="Bullet2"/>
        <w:ind w:hanging="500"/>
        <w:rPr>
          <w:rFonts w:eastAsia="Times New Roman" w:cs="Arial"/>
          <w:iCs/>
          <w:color w:val="000000"/>
          <w:sz w:val="22"/>
          <w:lang w:val="en-US"/>
        </w:rPr>
      </w:pPr>
      <w:r w:rsidRPr="008543F3">
        <w:rPr>
          <w:rFonts w:eastAsia="Times New Roman" w:cs="Arial"/>
          <w:iCs/>
          <w:color w:val="000000"/>
          <w:sz w:val="22"/>
          <w:lang w:val="en-US"/>
        </w:rPr>
        <w:t>Provisions for education grant take into account the revised education grant system based on a global sliding scale of reimbursement of a streamlined list of education-related expenses;</w:t>
      </w:r>
    </w:p>
    <w:p w14:paraId="173405EC" w14:textId="77777777" w:rsidR="0052447B" w:rsidRPr="008543F3" w:rsidRDefault="0052447B" w:rsidP="00396E9D">
      <w:pPr>
        <w:pStyle w:val="Bullet2"/>
        <w:ind w:hanging="500"/>
        <w:rPr>
          <w:rFonts w:eastAsia="Times New Roman" w:cs="Arial"/>
          <w:iCs/>
          <w:color w:val="000000"/>
          <w:sz w:val="22"/>
          <w:lang w:val="en-US"/>
        </w:rPr>
      </w:pPr>
      <w:r w:rsidRPr="008543F3">
        <w:rPr>
          <w:rFonts w:eastAsia="Times New Roman" w:cs="Arial"/>
          <w:iCs/>
          <w:color w:val="000000"/>
          <w:sz w:val="22"/>
          <w:lang w:val="en-US"/>
        </w:rPr>
        <w:t xml:space="preserve">Four new flexibility posts </w:t>
      </w:r>
      <w:proofErr w:type="gramStart"/>
      <w:r w:rsidRPr="008543F3">
        <w:rPr>
          <w:rFonts w:eastAsia="Times New Roman" w:cs="Arial"/>
          <w:iCs/>
          <w:color w:val="000000"/>
          <w:sz w:val="22"/>
          <w:lang w:val="en-US"/>
        </w:rPr>
        <w:t>have been created</w:t>
      </w:r>
      <w:proofErr w:type="gramEnd"/>
      <w:r w:rsidRPr="008543F3">
        <w:rPr>
          <w:rFonts w:eastAsia="Times New Roman" w:cs="Arial"/>
          <w:iCs/>
          <w:color w:val="000000"/>
          <w:sz w:val="22"/>
          <w:lang w:val="en-US"/>
        </w:rPr>
        <w:t xml:space="preserve"> in 2020/21 following the application of the Madrid Union Budget Flexibility Formula, bringing the total number of posts to 1209.  An overall vacancy rate assumption of 4 per cent has been applied to the overall costing of posts to take into account recruitment delays;</w:t>
      </w:r>
    </w:p>
    <w:p w14:paraId="41D3E0C9" w14:textId="77777777" w:rsidR="0052447B" w:rsidRPr="008543F3" w:rsidRDefault="0052447B" w:rsidP="00396E9D">
      <w:pPr>
        <w:pStyle w:val="Bullet2"/>
        <w:ind w:hanging="500"/>
        <w:rPr>
          <w:rFonts w:eastAsia="Times New Roman" w:cs="Arial"/>
          <w:iCs/>
          <w:color w:val="000000"/>
          <w:sz w:val="22"/>
          <w:lang w:val="en-US"/>
        </w:rPr>
      </w:pPr>
      <w:r w:rsidRPr="008543F3">
        <w:rPr>
          <w:rFonts w:eastAsia="Times New Roman" w:cs="Arial"/>
          <w:iCs/>
          <w:color w:val="000000"/>
          <w:sz w:val="22"/>
          <w:lang w:val="en-US"/>
        </w:rPr>
        <w:t xml:space="preserve">In order to increase the funding for long term Employee Benefits which include the After Service Health Insurance (ASHI) liability, the ASHI provision charge has been increased </w:t>
      </w:r>
      <w:r w:rsidRPr="008543F3">
        <w:rPr>
          <w:rFonts w:eastAsia="Times New Roman" w:cs="Arial"/>
          <w:iCs/>
          <w:color w:val="000000"/>
          <w:sz w:val="22"/>
          <w:lang w:val="en-US"/>
        </w:rPr>
        <w:lastRenderedPageBreak/>
        <w:t>from 6 to 8 per cent;  a 2 per cent charge for separation has been applied for temporary positions;</w:t>
      </w:r>
    </w:p>
    <w:p w14:paraId="786365BE" w14:textId="77777777" w:rsidR="0052447B" w:rsidRPr="008543F3" w:rsidRDefault="0052447B" w:rsidP="00396E9D">
      <w:pPr>
        <w:pStyle w:val="Bullet2"/>
        <w:ind w:hanging="500"/>
        <w:rPr>
          <w:rFonts w:eastAsia="Times New Roman" w:cs="Arial"/>
          <w:iCs/>
          <w:color w:val="000000"/>
          <w:sz w:val="22"/>
          <w:lang w:val="en-US"/>
        </w:rPr>
      </w:pPr>
      <w:r w:rsidRPr="008543F3">
        <w:rPr>
          <w:rFonts w:eastAsia="Times New Roman" w:cs="Arial"/>
          <w:iCs/>
          <w:color w:val="000000"/>
          <w:sz w:val="22"/>
          <w:lang w:val="en-US"/>
        </w:rPr>
        <w:t>Other Staff Costs include biennial provisions for Professional Accident Insurance (PAI) (900,000 Swiss francs), the Closed Pension Fund (700,000 Swiss francs), litigation costs (400,000 Swiss francs) and the WIPO Rewards and Recognition Program, (1,152,000 Swiss francs);</w:t>
      </w:r>
    </w:p>
    <w:p w14:paraId="18432B5A" w14:textId="77777777" w:rsidR="0052447B" w:rsidRPr="008543F3" w:rsidRDefault="0052447B" w:rsidP="00396E9D">
      <w:pPr>
        <w:pStyle w:val="Bullet2"/>
        <w:ind w:hanging="500"/>
        <w:rPr>
          <w:rFonts w:eastAsia="Times New Roman" w:cs="Arial"/>
          <w:iCs/>
          <w:color w:val="000000"/>
          <w:sz w:val="22"/>
          <w:lang w:val="en-US"/>
        </w:rPr>
      </w:pPr>
      <w:r w:rsidRPr="008543F3">
        <w:rPr>
          <w:rFonts w:eastAsia="Times New Roman" w:cs="Arial"/>
          <w:iCs/>
          <w:color w:val="000000"/>
          <w:sz w:val="22"/>
          <w:lang w:val="en-US"/>
        </w:rPr>
        <w:t xml:space="preserve">The provision for reclassifications amounts to 4 million Swiss francs in “Unallocated (Personnel)” </w:t>
      </w:r>
      <w:r w:rsidR="005D6C80">
        <w:rPr>
          <w:rFonts w:eastAsia="Times New Roman" w:cs="Arial"/>
          <w:iCs/>
          <w:color w:val="000000"/>
          <w:sz w:val="22"/>
          <w:lang w:val="en-US"/>
        </w:rPr>
        <w:t xml:space="preserve">for the implementation of </w:t>
      </w:r>
      <w:r w:rsidRPr="008543F3">
        <w:rPr>
          <w:rFonts w:eastAsia="Times New Roman" w:cs="Arial"/>
          <w:iCs/>
          <w:color w:val="000000"/>
          <w:sz w:val="22"/>
          <w:lang w:val="en-US"/>
        </w:rPr>
        <w:t>the results of reclassification committee decisions;</w:t>
      </w:r>
    </w:p>
    <w:p w14:paraId="63E2E2F3" w14:textId="77777777" w:rsidR="0052447B" w:rsidRDefault="0052447B" w:rsidP="00396E9D">
      <w:pPr>
        <w:pStyle w:val="Bullet2"/>
        <w:tabs>
          <w:tab w:val="clear" w:pos="680"/>
        </w:tabs>
        <w:spacing w:after="0"/>
        <w:ind w:left="692" w:hanging="500"/>
        <w:rPr>
          <w:rFonts w:eastAsia="Times New Roman" w:cs="Arial"/>
          <w:iCs/>
          <w:color w:val="000000"/>
          <w:sz w:val="22"/>
          <w:lang w:val="en-US"/>
        </w:rPr>
      </w:pPr>
      <w:r w:rsidRPr="008543F3">
        <w:rPr>
          <w:rFonts w:eastAsia="Times New Roman" w:cs="Arial"/>
          <w:iCs/>
          <w:color w:val="000000"/>
          <w:sz w:val="22"/>
          <w:lang w:val="en-US"/>
        </w:rPr>
        <w:t xml:space="preserve">Regularizations </w:t>
      </w:r>
      <w:proofErr w:type="gramStart"/>
      <w:r w:rsidRPr="008543F3">
        <w:rPr>
          <w:rFonts w:eastAsia="Times New Roman" w:cs="Arial"/>
          <w:iCs/>
          <w:color w:val="000000"/>
          <w:sz w:val="22"/>
          <w:lang w:val="en-US"/>
        </w:rPr>
        <w:t>are expected to be completed</w:t>
      </w:r>
      <w:proofErr w:type="gramEnd"/>
      <w:r w:rsidRPr="008543F3">
        <w:rPr>
          <w:rFonts w:eastAsia="Times New Roman" w:cs="Arial"/>
          <w:iCs/>
          <w:color w:val="000000"/>
          <w:sz w:val="22"/>
          <w:lang w:val="en-US"/>
        </w:rPr>
        <w:t xml:space="preserve"> in the 2018/19 biennium, and therefore no amount has been provisioned in 2020/21 for regularizations.  In order to enable the Secretariat to better manage and control overtime expenses, the estimated overtime costs continue to be budgeted in a separate provision in “Unallocated (Personnel)”. The provision </w:t>
      </w:r>
      <w:proofErr w:type="gramStart"/>
      <w:r w:rsidRPr="008543F3">
        <w:rPr>
          <w:rFonts w:eastAsia="Times New Roman" w:cs="Arial"/>
          <w:iCs/>
          <w:color w:val="000000"/>
          <w:sz w:val="22"/>
          <w:lang w:val="en-US"/>
        </w:rPr>
        <w:t>has been increased</w:t>
      </w:r>
      <w:proofErr w:type="gramEnd"/>
      <w:r w:rsidRPr="008543F3">
        <w:rPr>
          <w:rFonts w:eastAsia="Times New Roman" w:cs="Arial"/>
          <w:iCs/>
          <w:color w:val="000000"/>
          <w:sz w:val="22"/>
          <w:lang w:val="en-US"/>
        </w:rPr>
        <w:t xml:space="preserve"> to 3 million Swiss francs in view of the introduction of flexible working arrangements. These costs will continue to </w:t>
      </w:r>
      <w:proofErr w:type="gramStart"/>
      <w:r w:rsidRPr="008543F3">
        <w:rPr>
          <w:rFonts w:eastAsia="Times New Roman" w:cs="Arial"/>
          <w:iCs/>
          <w:color w:val="000000"/>
          <w:sz w:val="22"/>
          <w:lang w:val="en-US"/>
        </w:rPr>
        <w:t>be closely monitored</w:t>
      </w:r>
      <w:proofErr w:type="gramEnd"/>
      <w:r w:rsidRPr="008543F3">
        <w:rPr>
          <w:rFonts w:eastAsia="Times New Roman" w:cs="Arial"/>
          <w:iCs/>
          <w:color w:val="000000"/>
          <w:sz w:val="22"/>
          <w:lang w:val="en-US"/>
        </w:rPr>
        <w:t xml:space="preserve"> in coordination with Program 23 (Human Resources Management and Development) and concerned Program areas.</w:t>
      </w:r>
    </w:p>
    <w:p w14:paraId="12297A84" w14:textId="77777777" w:rsidR="00396E9D" w:rsidRPr="008543F3" w:rsidRDefault="00396E9D" w:rsidP="00396E9D">
      <w:pPr>
        <w:pStyle w:val="Bullet2"/>
        <w:numPr>
          <w:ilvl w:val="0"/>
          <w:numId w:val="0"/>
        </w:numPr>
        <w:spacing w:after="0"/>
        <w:ind w:left="692"/>
        <w:rPr>
          <w:rFonts w:eastAsia="Times New Roman" w:cs="Arial"/>
          <w:iCs/>
          <w:color w:val="000000"/>
          <w:sz w:val="22"/>
          <w:lang w:val="en-US"/>
        </w:rPr>
      </w:pPr>
    </w:p>
    <w:p w14:paraId="5C4DE58E" w14:textId="39F232C7" w:rsidR="0052447B" w:rsidRPr="008543F3" w:rsidRDefault="0052447B" w:rsidP="0052447B">
      <w:pPr>
        <w:pStyle w:val="AlphaList"/>
        <w:numPr>
          <w:ilvl w:val="0"/>
          <w:numId w:val="8"/>
        </w:numPr>
        <w:ind w:left="0" w:firstLine="0"/>
        <w:rPr>
          <w:rFonts w:eastAsia="Times New Roman" w:cs="Arial"/>
          <w:iCs/>
          <w:color w:val="000000"/>
          <w:sz w:val="22"/>
          <w:lang w:val="en-US"/>
        </w:rPr>
      </w:pPr>
      <w:r w:rsidRPr="008543F3">
        <w:rPr>
          <w:rFonts w:eastAsia="Times New Roman" w:cs="Arial"/>
          <w:iCs/>
          <w:color w:val="000000"/>
          <w:sz w:val="22"/>
          <w:lang w:val="en-US"/>
        </w:rPr>
        <w:t>Based on the above planning assumptions, the increase in personnel costs for 2020/</w:t>
      </w:r>
      <w:proofErr w:type="gramStart"/>
      <w:r w:rsidRPr="008543F3">
        <w:rPr>
          <w:rFonts w:eastAsia="Times New Roman" w:cs="Arial"/>
          <w:iCs/>
          <w:color w:val="000000"/>
          <w:sz w:val="22"/>
          <w:lang w:val="en-US"/>
        </w:rPr>
        <w:t>21  amounts</w:t>
      </w:r>
      <w:proofErr w:type="gramEnd"/>
      <w:r w:rsidRPr="008543F3">
        <w:rPr>
          <w:rFonts w:eastAsia="Times New Roman" w:cs="Arial"/>
          <w:iCs/>
          <w:color w:val="000000"/>
          <w:sz w:val="22"/>
          <w:lang w:val="en-US"/>
        </w:rPr>
        <w:t xml:space="preserve"> to 15.9 million Swiss francs, or 3.5 per cent, compared to the 2018/19 Approved Budget.  The share of budgeted personnel costs compared to the total budget has decreased from 62.4 per cent in 2018/19 to 61.9 per cent in 2020/21. </w:t>
      </w:r>
    </w:p>
    <w:p w14:paraId="336C5CFE" w14:textId="77777777" w:rsidR="0052447B" w:rsidRPr="008543F3" w:rsidRDefault="0052447B" w:rsidP="0052447B">
      <w:pPr>
        <w:pStyle w:val="AlphaList"/>
        <w:numPr>
          <w:ilvl w:val="0"/>
          <w:numId w:val="0"/>
        </w:numPr>
        <w:rPr>
          <w:rFonts w:eastAsia="Times New Roman" w:cs="Arial"/>
          <w:iCs/>
          <w:color w:val="000000"/>
          <w:sz w:val="22"/>
          <w:lang w:val="en-US"/>
        </w:rPr>
      </w:pPr>
    </w:p>
    <w:p w14:paraId="5F383F08" w14:textId="77777777" w:rsidR="0052447B" w:rsidRDefault="00F06BAF" w:rsidP="0052447B">
      <w:pPr>
        <w:pStyle w:val="ListParagraph"/>
        <w:ind w:left="0"/>
        <w:rPr>
          <w:rFonts w:eastAsia="Times New Roman"/>
          <w:b/>
          <w:iCs/>
          <w:color w:val="000000"/>
          <w:szCs w:val="22"/>
          <w:lang w:eastAsia="en-US"/>
        </w:rPr>
      </w:pPr>
      <w:r>
        <w:rPr>
          <w:rFonts w:eastAsia="Times New Roman"/>
          <w:b/>
          <w:iCs/>
          <w:color w:val="000000"/>
          <w:szCs w:val="22"/>
          <w:lang w:eastAsia="en-US"/>
        </w:rPr>
        <w:t>Sources and M</w:t>
      </w:r>
      <w:r w:rsidR="008543F3" w:rsidRPr="008543F3">
        <w:rPr>
          <w:rFonts w:eastAsia="Times New Roman"/>
          <w:b/>
          <w:iCs/>
          <w:color w:val="000000"/>
          <w:szCs w:val="22"/>
          <w:lang w:eastAsia="en-US"/>
        </w:rPr>
        <w:t xml:space="preserve">odalities of </w:t>
      </w:r>
      <w:r>
        <w:rPr>
          <w:rFonts w:eastAsia="Times New Roman"/>
          <w:b/>
          <w:iCs/>
          <w:color w:val="000000"/>
          <w:szCs w:val="22"/>
          <w:lang w:eastAsia="en-US"/>
        </w:rPr>
        <w:t>F</w:t>
      </w:r>
      <w:r w:rsidR="008543F3" w:rsidRPr="008543F3">
        <w:rPr>
          <w:rFonts w:eastAsia="Times New Roman"/>
          <w:b/>
          <w:iCs/>
          <w:color w:val="000000"/>
          <w:szCs w:val="22"/>
          <w:lang w:eastAsia="en-US"/>
        </w:rPr>
        <w:t>unding</w:t>
      </w:r>
    </w:p>
    <w:p w14:paraId="0BD7100B" w14:textId="77777777" w:rsidR="008543F3" w:rsidRPr="008543F3" w:rsidRDefault="008543F3" w:rsidP="0052447B">
      <w:pPr>
        <w:pStyle w:val="ListParagraph"/>
        <w:ind w:left="0"/>
        <w:rPr>
          <w:rFonts w:eastAsia="Times New Roman"/>
          <w:iCs/>
          <w:color w:val="000000"/>
          <w:szCs w:val="22"/>
          <w:lang w:eastAsia="en-US"/>
        </w:rPr>
      </w:pPr>
    </w:p>
    <w:p w14:paraId="548F2C51" w14:textId="2AB610A0" w:rsidR="008543F3" w:rsidRDefault="001C79E0" w:rsidP="008543F3">
      <w:pPr>
        <w:pStyle w:val="ListParagraph"/>
        <w:numPr>
          <w:ilvl w:val="0"/>
          <w:numId w:val="8"/>
        </w:numPr>
        <w:ind w:left="0" w:firstLine="0"/>
        <w:rPr>
          <w:rFonts w:eastAsia="Times New Roman"/>
          <w:iCs/>
          <w:color w:val="000000"/>
          <w:szCs w:val="22"/>
          <w:lang w:eastAsia="en-US"/>
        </w:rPr>
      </w:pPr>
      <w:r>
        <w:rPr>
          <w:rFonts w:eastAsia="Times New Roman"/>
          <w:iCs/>
          <w:color w:val="000000"/>
          <w:szCs w:val="22"/>
          <w:lang w:eastAsia="en-US"/>
        </w:rPr>
        <w:t>The O</w:t>
      </w:r>
      <w:r w:rsidR="008543F3">
        <w:rPr>
          <w:rFonts w:eastAsia="Times New Roman"/>
          <w:iCs/>
          <w:color w:val="000000"/>
          <w:szCs w:val="22"/>
          <w:lang w:eastAsia="en-US"/>
        </w:rPr>
        <w:t>rganization’s e</w:t>
      </w:r>
      <w:r w:rsidR="001C10AB">
        <w:rPr>
          <w:rFonts w:eastAsia="Times New Roman"/>
          <w:iCs/>
          <w:color w:val="000000"/>
          <w:szCs w:val="22"/>
          <w:lang w:eastAsia="en-US"/>
        </w:rPr>
        <w:t xml:space="preserve">xpenditure budget </w:t>
      </w:r>
      <w:r w:rsidR="00504E34">
        <w:rPr>
          <w:rFonts w:eastAsia="Times New Roman"/>
          <w:iCs/>
          <w:color w:val="000000"/>
          <w:szCs w:val="22"/>
          <w:lang w:eastAsia="en-US"/>
        </w:rPr>
        <w:t xml:space="preserve">is estimated at 768,401,034 Swiss francs for the 2020/21 </w:t>
      </w:r>
      <w:r w:rsidR="00E86008">
        <w:rPr>
          <w:rFonts w:eastAsia="Times New Roman"/>
          <w:iCs/>
          <w:color w:val="000000"/>
          <w:szCs w:val="22"/>
          <w:lang w:eastAsia="en-US"/>
        </w:rPr>
        <w:t xml:space="preserve">biennium </w:t>
      </w:r>
      <w:r w:rsidR="00504E34">
        <w:rPr>
          <w:rFonts w:eastAsia="Times New Roman"/>
          <w:iCs/>
          <w:color w:val="000000"/>
          <w:szCs w:val="22"/>
          <w:lang w:eastAsia="en-US"/>
        </w:rPr>
        <w:t>and is funded by</w:t>
      </w:r>
      <w:r w:rsidR="008543F3">
        <w:rPr>
          <w:rFonts w:eastAsia="Times New Roman"/>
          <w:iCs/>
          <w:color w:val="000000"/>
          <w:szCs w:val="22"/>
          <w:lang w:eastAsia="en-US"/>
        </w:rPr>
        <w:t xml:space="preserve"> </w:t>
      </w:r>
      <w:r w:rsidR="00504E34">
        <w:rPr>
          <w:rFonts w:eastAsia="Times New Roman"/>
          <w:iCs/>
          <w:color w:val="000000"/>
          <w:szCs w:val="22"/>
          <w:lang w:eastAsia="en-US"/>
        </w:rPr>
        <w:t xml:space="preserve">overall </w:t>
      </w:r>
      <w:r w:rsidR="008543F3">
        <w:rPr>
          <w:rFonts w:eastAsia="Times New Roman"/>
          <w:iCs/>
          <w:color w:val="000000"/>
          <w:szCs w:val="22"/>
          <w:lang w:eastAsia="en-US"/>
        </w:rPr>
        <w:t>income</w:t>
      </w:r>
      <w:r w:rsidR="000E5C7D">
        <w:rPr>
          <w:rFonts w:eastAsia="Times New Roman"/>
          <w:iCs/>
          <w:color w:val="000000"/>
          <w:szCs w:val="22"/>
          <w:lang w:eastAsia="en-US"/>
        </w:rPr>
        <w:t>,</w:t>
      </w:r>
      <w:r w:rsidR="008543F3">
        <w:rPr>
          <w:rFonts w:eastAsia="Times New Roman"/>
          <w:iCs/>
          <w:color w:val="000000"/>
          <w:szCs w:val="22"/>
          <w:lang w:eastAsia="en-US"/>
        </w:rPr>
        <w:t xml:space="preserve"> which is projected at 88</w:t>
      </w:r>
      <w:r w:rsidR="00603904">
        <w:rPr>
          <w:rFonts w:eastAsia="Times New Roman"/>
          <w:iCs/>
          <w:color w:val="000000"/>
          <w:szCs w:val="22"/>
          <w:lang w:eastAsia="en-US"/>
        </w:rPr>
        <w:t>2</w:t>
      </w:r>
      <w:r w:rsidR="008543F3">
        <w:rPr>
          <w:rFonts w:eastAsia="Times New Roman"/>
          <w:iCs/>
          <w:color w:val="000000"/>
          <w:szCs w:val="22"/>
          <w:lang w:eastAsia="en-US"/>
        </w:rPr>
        <w:t>.8 million Swiss francs for the 2020/21</w:t>
      </w:r>
      <w:r w:rsidR="00E86008" w:rsidRPr="00E86008">
        <w:rPr>
          <w:rFonts w:eastAsia="Times New Roman"/>
          <w:iCs/>
          <w:color w:val="000000"/>
          <w:szCs w:val="22"/>
          <w:lang w:eastAsia="en-US"/>
        </w:rPr>
        <w:t xml:space="preserve"> </w:t>
      </w:r>
      <w:proofErr w:type="gramStart"/>
      <w:r w:rsidR="00E86008">
        <w:rPr>
          <w:rFonts w:eastAsia="Times New Roman"/>
          <w:iCs/>
          <w:color w:val="000000"/>
          <w:szCs w:val="22"/>
          <w:lang w:eastAsia="en-US"/>
        </w:rPr>
        <w:t xml:space="preserve">biennium </w:t>
      </w:r>
      <w:proofErr w:type="gramEnd"/>
      <w:r w:rsidR="001C10AB">
        <w:rPr>
          <w:rStyle w:val="FootnoteReference"/>
          <w:rFonts w:eastAsia="Times New Roman"/>
          <w:iCs/>
          <w:color w:val="000000"/>
          <w:szCs w:val="22"/>
          <w:lang w:eastAsia="en-US"/>
        </w:rPr>
        <w:footnoteReference w:id="5"/>
      </w:r>
      <w:r w:rsidR="008543F3">
        <w:rPr>
          <w:rFonts w:eastAsia="Times New Roman"/>
          <w:iCs/>
          <w:color w:val="000000"/>
          <w:szCs w:val="22"/>
          <w:lang w:eastAsia="en-US"/>
        </w:rPr>
        <w:t xml:space="preserve">.  </w:t>
      </w:r>
      <w:r w:rsidR="001C10AB">
        <w:rPr>
          <w:rFonts w:eastAsia="Times New Roman"/>
          <w:iCs/>
          <w:color w:val="000000"/>
          <w:szCs w:val="22"/>
          <w:lang w:eastAsia="en-US"/>
        </w:rPr>
        <w:t>Chart 1 below provides an overview of 2020/21 Income Share by Source.</w:t>
      </w:r>
    </w:p>
    <w:p w14:paraId="13A413B8" w14:textId="77777777" w:rsidR="00F06BAF" w:rsidRDefault="00F06BAF" w:rsidP="001C79E0">
      <w:pPr>
        <w:pStyle w:val="ListParagraph"/>
        <w:ind w:left="0"/>
        <w:rPr>
          <w:rFonts w:eastAsia="Times New Roman"/>
          <w:iCs/>
          <w:color w:val="000000"/>
          <w:szCs w:val="22"/>
          <w:lang w:eastAsia="en-US"/>
        </w:rPr>
      </w:pPr>
    </w:p>
    <w:p w14:paraId="189529BA" w14:textId="77777777" w:rsidR="001C10AB" w:rsidRPr="001C10AB" w:rsidRDefault="001C10AB" w:rsidP="00504E34">
      <w:pPr>
        <w:pStyle w:val="TableAndChartTitle"/>
        <w:spacing w:after="0"/>
        <w:ind w:left="-1411"/>
        <w:rPr>
          <w:szCs w:val="18"/>
        </w:rPr>
      </w:pPr>
      <w:r w:rsidRPr="001C10AB">
        <w:rPr>
          <w:szCs w:val="18"/>
        </w:rPr>
        <w:t>Chart 1:  2020/21 Income Share by Source</w:t>
      </w:r>
    </w:p>
    <w:p w14:paraId="2D6E7AAC" w14:textId="38EA6656" w:rsidR="001C10AB" w:rsidRPr="001C10AB" w:rsidRDefault="001C10AB" w:rsidP="001C10AB">
      <w:pPr>
        <w:pStyle w:val="TableAndChartTitle"/>
        <w:spacing w:after="240"/>
      </w:pPr>
      <w:r w:rsidRPr="00D350B5">
        <w:rPr>
          <w:noProof/>
          <w:lang w:val="en-US"/>
        </w:rPr>
        <w:drawing>
          <wp:inline distT="0" distB="0" distL="0" distR="0" wp14:anchorId="394EAD6A" wp14:editId="2EF78C76">
            <wp:extent cx="4138656" cy="2199600"/>
            <wp:effectExtent l="0" t="0" r="0" b="0"/>
            <wp:docPr id="1390" name="Picture 1390" descr="Chart 1:  2020/21 Income Share by Source" title="Chart 1:  2020/21 Income Share by 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4138656" cy="2199600"/>
                    </a:xfrm>
                    <a:prstGeom prst="rect">
                      <a:avLst/>
                    </a:prstGeom>
                    <a:noFill/>
                    <a:ln>
                      <a:noFill/>
                    </a:ln>
                    <a:extLst>
                      <a:ext uri="{53640926-AAD7-44D8-BBD7-CCE9431645EC}">
                        <a14:shadowObscured xmlns:a14="http://schemas.microsoft.com/office/drawing/2010/main"/>
                      </a:ext>
                    </a:extLst>
                  </pic:spPr>
                </pic:pic>
              </a:graphicData>
            </a:graphic>
          </wp:inline>
        </w:drawing>
      </w:r>
    </w:p>
    <w:p w14:paraId="0264D182" w14:textId="77777777" w:rsidR="000765C4" w:rsidRPr="00504E34" w:rsidRDefault="009D0889" w:rsidP="00504E34">
      <w:pPr>
        <w:jc w:val="right"/>
        <w:rPr>
          <w:rFonts w:eastAsia="Times New Roman"/>
          <w:iCs/>
          <w:color w:val="000000"/>
          <w:szCs w:val="22"/>
          <w:lang w:eastAsia="en-US"/>
        </w:rPr>
      </w:pPr>
      <w:r>
        <w:rPr>
          <w:rFonts w:eastAsia="Times New Roman"/>
          <w:iCs/>
          <w:color w:val="000000"/>
          <w:szCs w:val="22"/>
          <w:lang w:eastAsia="en-US"/>
        </w:rPr>
        <w:t xml:space="preserve">[End of document] </w:t>
      </w:r>
    </w:p>
    <w:sectPr w:rsidR="000765C4" w:rsidRPr="00504E34" w:rsidSect="009D3F94">
      <w:headerReference w:type="default" r:id="rId10"/>
      <w:endnotePr>
        <w:numFmt w:val="decimal"/>
      </w:endnotePr>
      <w:pgSz w:w="11907" w:h="16840" w:code="9"/>
      <w:pgMar w:top="562" w:right="1138" w:bottom="1411" w:left="1411" w:header="504" w:footer="102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677595" w14:textId="77777777" w:rsidR="00AC0FA3" w:rsidRDefault="00AC0FA3">
      <w:r>
        <w:separator/>
      </w:r>
    </w:p>
  </w:endnote>
  <w:endnote w:type="continuationSeparator" w:id="0">
    <w:p w14:paraId="47B2CA31" w14:textId="77777777" w:rsidR="00AC0FA3" w:rsidRDefault="00AC0FA3" w:rsidP="003B38C1">
      <w:r>
        <w:separator/>
      </w:r>
    </w:p>
    <w:p w14:paraId="31039823" w14:textId="77777777" w:rsidR="00AC0FA3" w:rsidRPr="003B38C1" w:rsidRDefault="00AC0FA3" w:rsidP="003B38C1">
      <w:pPr>
        <w:spacing w:after="60"/>
        <w:rPr>
          <w:sz w:val="17"/>
        </w:rPr>
      </w:pPr>
      <w:r>
        <w:rPr>
          <w:sz w:val="17"/>
        </w:rPr>
        <w:t>[Endnote continued from previous page]</w:t>
      </w:r>
    </w:p>
  </w:endnote>
  <w:endnote w:type="continuationNotice" w:id="1">
    <w:p w14:paraId="29805E15" w14:textId="77777777" w:rsidR="00AC0FA3" w:rsidRPr="003B38C1" w:rsidRDefault="00AC0FA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7283C9" w14:textId="77777777" w:rsidR="00AC0FA3" w:rsidRDefault="00AC0FA3">
      <w:r>
        <w:separator/>
      </w:r>
    </w:p>
  </w:footnote>
  <w:footnote w:type="continuationSeparator" w:id="0">
    <w:p w14:paraId="4F4F0C42" w14:textId="77777777" w:rsidR="00AC0FA3" w:rsidRDefault="00AC0FA3" w:rsidP="008B60B2">
      <w:r>
        <w:separator/>
      </w:r>
    </w:p>
    <w:p w14:paraId="26961FF6" w14:textId="77777777" w:rsidR="00AC0FA3" w:rsidRPr="00ED77FB" w:rsidRDefault="00AC0FA3" w:rsidP="008B60B2">
      <w:pPr>
        <w:spacing w:after="60"/>
        <w:rPr>
          <w:sz w:val="17"/>
          <w:szCs w:val="17"/>
        </w:rPr>
      </w:pPr>
      <w:r w:rsidRPr="00ED77FB">
        <w:rPr>
          <w:sz w:val="17"/>
          <w:szCs w:val="17"/>
        </w:rPr>
        <w:t>[Footnote continued from previous page]</w:t>
      </w:r>
    </w:p>
  </w:footnote>
  <w:footnote w:type="continuationNotice" w:id="1">
    <w:p w14:paraId="1D3B0A02" w14:textId="77777777" w:rsidR="00AC0FA3" w:rsidRPr="00ED77FB" w:rsidRDefault="00AC0FA3" w:rsidP="008B60B2">
      <w:pPr>
        <w:spacing w:before="60"/>
        <w:jc w:val="right"/>
        <w:rPr>
          <w:sz w:val="17"/>
          <w:szCs w:val="17"/>
        </w:rPr>
      </w:pPr>
      <w:r w:rsidRPr="00ED77FB">
        <w:rPr>
          <w:sz w:val="17"/>
          <w:szCs w:val="17"/>
        </w:rPr>
        <w:t>[Footnote continued on next page]</w:t>
      </w:r>
    </w:p>
  </w:footnote>
  <w:footnote w:id="2">
    <w:p w14:paraId="424A1496" w14:textId="77777777" w:rsidR="0052447B" w:rsidRPr="004121E0" w:rsidRDefault="0052447B">
      <w:pPr>
        <w:pStyle w:val="FootnoteText"/>
      </w:pPr>
      <w:r>
        <w:rPr>
          <w:rStyle w:val="FootnoteReference"/>
        </w:rPr>
        <w:footnoteRef/>
      </w:r>
      <w:r>
        <w:t xml:space="preserve"> </w:t>
      </w:r>
      <w:r w:rsidRPr="004121E0">
        <w:t xml:space="preserve">See </w:t>
      </w:r>
      <w:r w:rsidR="00F06BAF">
        <w:t>document A/59/8 paragraphs 25-28</w:t>
      </w:r>
      <w:r w:rsidRPr="004121E0">
        <w:t xml:space="preserve">. </w:t>
      </w:r>
    </w:p>
  </w:footnote>
  <w:footnote w:id="3">
    <w:p w14:paraId="2F048E98" w14:textId="77777777" w:rsidR="0052447B" w:rsidRPr="00055593" w:rsidRDefault="0052447B" w:rsidP="0052447B">
      <w:pPr>
        <w:pStyle w:val="FootnoteText"/>
      </w:pPr>
      <w:r>
        <w:rPr>
          <w:rStyle w:val="FootnoteReference"/>
        </w:rPr>
        <w:footnoteRef/>
      </w:r>
      <w:r>
        <w:t xml:space="preserve"> </w:t>
      </w:r>
      <w:r>
        <w:rPr>
          <w:bCs/>
          <w:szCs w:val="16"/>
        </w:rPr>
        <w:t>Salary</w:t>
      </w:r>
      <w:r w:rsidRPr="00EB7300">
        <w:rPr>
          <w:bCs/>
          <w:szCs w:val="16"/>
        </w:rPr>
        <w:t xml:space="preserve"> scale </w:t>
      </w:r>
      <w:r>
        <w:rPr>
          <w:bCs/>
          <w:szCs w:val="16"/>
        </w:rPr>
        <w:t>applied for Professional and h</w:t>
      </w:r>
      <w:r w:rsidRPr="00EB7300">
        <w:rPr>
          <w:bCs/>
          <w:szCs w:val="16"/>
        </w:rPr>
        <w:t>ighe</w:t>
      </w:r>
      <w:r>
        <w:rPr>
          <w:bCs/>
          <w:szCs w:val="16"/>
        </w:rPr>
        <w:t xml:space="preserve">r categories </w:t>
      </w:r>
      <w:r w:rsidRPr="00EB7300">
        <w:rPr>
          <w:bCs/>
          <w:szCs w:val="16"/>
        </w:rPr>
        <w:t xml:space="preserve">as of </w:t>
      </w:r>
      <w:r>
        <w:rPr>
          <w:bCs/>
          <w:szCs w:val="16"/>
        </w:rPr>
        <w:t xml:space="preserve">January 1, </w:t>
      </w:r>
      <w:r w:rsidRPr="00EB7300">
        <w:rPr>
          <w:bCs/>
          <w:szCs w:val="16"/>
        </w:rPr>
        <w:t>201</w:t>
      </w:r>
      <w:r>
        <w:rPr>
          <w:bCs/>
          <w:szCs w:val="16"/>
        </w:rPr>
        <w:t>9 and p</w:t>
      </w:r>
      <w:r w:rsidRPr="00EB7300">
        <w:rPr>
          <w:bCs/>
          <w:szCs w:val="16"/>
        </w:rPr>
        <w:t>ensionable remuneration scale</w:t>
      </w:r>
      <w:r>
        <w:rPr>
          <w:bCs/>
          <w:szCs w:val="16"/>
        </w:rPr>
        <w:t xml:space="preserve"> effective</w:t>
      </w:r>
      <w:r w:rsidRPr="00EB7300">
        <w:rPr>
          <w:bCs/>
          <w:szCs w:val="16"/>
        </w:rPr>
        <w:t xml:space="preserve"> February</w:t>
      </w:r>
      <w:r>
        <w:rPr>
          <w:bCs/>
          <w:szCs w:val="16"/>
        </w:rPr>
        <w:t> 1,</w:t>
      </w:r>
      <w:r w:rsidRPr="00EB7300">
        <w:rPr>
          <w:bCs/>
          <w:szCs w:val="16"/>
        </w:rPr>
        <w:t> 201</w:t>
      </w:r>
      <w:r>
        <w:rPr>
          <w:bCs/>
          <w:szCs w:val="16"/>
        </w:rPr>
        <w:t xml:space="preserve">9. </w:t>
      </w:r>
      <w:r w:rsidRPr="009401CA">
        <w:rPr>
          <w:bCs/>
          <w:szCs w:val="16"/>
        </w:rPr>
        <w:t>Salary scale</w:t>
      </w:r>
      <w:r>
        <w:rPr>
          <w:bCs/>
          <w:szCs w:val="16"/>
        </w:rPr>
        <w:t xml:space="preserve"> and pensionable remuneration </w:t>
      </w:r>
      <w:r w:rsidRPr="009401CA">
        <w:rPr>
          <w:bCs/>
          <w:szCs w:val="16"/>
        </w:rPr>
        <w:t>applied for</w:t>
      </w:r>
      <w:r>
        <w:rPr>
          <w:bCs/>
          <w:szCs w:val="16"/>
        </w:rPr>
        <w:t xml:space="preserve"> occupied positions in</w:t>
      </w:r>
      <w:r w:rsidRPr="009401CA">
        <w:rPr>
          <w:bCs/>
          <w:szCs w:val="16"/>
        </w:rPr>
        <w:t xml:space="preserve"> </w:t>
      </w:r>
      <w:r>
        <w:rPr>
          <w:bCs/>
          <w:szCs w:val="16"/>
        </w:rPr>
        <w:t>the g</w:t>
      </w:r>
      <w:r w:rsidRPr="00EB7300">
        <w:rPr>
          <w:bCs/>
          <w:szCs w:val="16"/>
        </w:rPr>
        <w:t xml:space="preserve">eneral </w:t>
      </w:r>
      <w:r>
        <w:rPr>
          <w:bCs/>
          <w:szCs w:val="16"/>
        </w:rPr>
        <w:t>s</w:t>
      </w:r>
      <w:r w:rsidRPr="00EB7300">
        <w:rPr>
          <w:bCs/>
          <w:szCs w:val="16"/>
        </w:rPr>
        <w:t xml:space="preserve">ervice </w:t>
      </w:r>
      <w:r>
        <w:rPr>
          <w:bCs/>
          <w:szCs w:val="16"/>
        </w:rPr>
        <w:t>c</w:t>
      </w:r>
      <w:r w:rsidRPr="00EB7300">
        <w:rPr>
          <w:bCs/>
          <w:szCs w:val="16"/>
        </w:rPr>
        <w:t xml:space="preserve">ategory as of </w:t>
      </w:r>
      <w:r>
        <w:rPr>
          <w:bCs/>
          <w:szCs w:val="16"/>
        </w:rPr>
        <w:t>April 1, 2011 and for vacant positions as of 1 September 2017.</w:t>
      </w:r>
    </w:p>
  </w:footnote>
  <w:footnote w:id="4">
    <w:p w14:paraId="5CDF175D" w14:textId="3168B31B" w:rsidR="00F8321C" w:rsidRPr="00F8321C" w:rsidRDefault="00F8321C">
      <w:pPr>
        <w:pStyle w:val="FootnoteText"/>
      </w:pPr>
      <w:r>
        <w:rPr>
          <w:rStyle w:val="FootnoteReference"/>
        </w:rPr>
        <w:footnoteRef/>
      </w:r>
      <w:r>
        <w:t xml:space="preserve"> The ICSC issued new PAMs in August 2019, which due to timing issues </w:t>
      </w:r>
      <w:proofErr w:type="gramStart"/>
      <w:r>
        <w:t>could not be applied</w:t>
      </w:r>
      <w:proofErr w:type="gramEnd"/>
      <w:r>
        <w:t xml:space="preserve"> for the personnel costing for 2020/21. The difference between the PAM and exchange rate as of January 2018 and those of August 2019 </w:t>
      </w:r>
      <w:r w:rsidR="000A16F5">
        <w:t xml:space="preserve">does not </w:t>
      </w:r>
      <w:r w:rsidR="00820C2F">
        <w:t>materially</w:t>
      </w:r>
      <w:r w:rsidR="000A16F5">
        <w:t xml:space="preserve"> </w:t>
      </w:r>
      <w:proofErr w:type="gramStart"/>
      <w:r w:rsidR="000A16F5">
        <w:t>impact</w:t>
      </w:r>
      <w:proofErr w:type="gramEnd"/>
      <w:r w:rsidR="000A16F5">
        <w:t xml:space="preserve"> the estimation of personnel cost for the 202</w:t>
      </w:r>
      <w:r w:rsidR="00966FA9">
        <w:t>0</w:t>
      </w:r>
      <w:r w:rsidR="000A16F5">
        <w:t>/2</w:t>
      </w:r>
      <w:r w:rsidR="00966FA9">
        <w:t>1</w:t>
      </w:r>
      <w:r w:rsidR="000A16F5">
        <w:t xml:space="preserve"> biennium.</w:t>
      </w:r>
    </w:p>
  </w:footnote>
  <w:footnote w:id="5">
    <w:p w14:paraId="759022D3" w14:textId="77777777" w:rsidR="001C10AB" w:rsidRPr="001C10AB" w:rsidRDefault="001C10AB">
      <w:pPr>
        <w:pStyle w:val="FootnoteText"/>
      </w:pPr>
      <w:r>
        <w:rPr>
          <w:rStyle w:val="FootnoteReference"/>
        </w:rPr>
        <w:footnoteRef/>
      </w:r>
      <w:r>
        <w:t xml:space="preserve"> </w:t>
      </w:r>
      <w:r w:rsidRPr="001C10AB">
        <w:t>See document A/59/8, paragraphs 5-8 for further details.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4D492" w14:textId="4F07856D" w:rsidR="003D2030" w:rsidRDefault="00762FF2" w:rsidP="00477D6B">
    <w:pPr>
      <w:jc w:val="right"/>
    </w:pPr>
    <w:bookmarkStart w:id="6" w:name="Code2"/>
    <w:bookmarkEnd w:id="6"/>
    <w:r>
      <w:t>A/59/INF</w:t>
    </w:r>
    <w:r w:rsidR="00A93EF5">
      <w:t>/</w:t>
    </w:r>
    <w:r>
      <w:t>3</w:t>
    </w:r>
  </w:p>
  <w:p w14:paraId="580BE564" w14:textId="0042299E"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9D3F94">
      <w:rPr>
        <w:noProof/>
      </w:rPr>
      <w:t>2</w:t>
    </w:r>
    <w:r>
      <w:fldChar w:fldCharType="end"/>
    </w:r>
  </w:p>
  <w:p w14:paraId="5B6C0D03" w14:textId="77777777" w:rsidR="00EC4E49" w:rsidRDefault="00EC4E49" w:rsidP="00477D6B">
    <w:pPr>
      <w:jc w:val="right"/>
    </w:pPr>
  </w:p>
  <w:p w14:paraId="5B3C0434" w14:textId="77777777"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BA959BE"/>
    <w:multiLevelType w:val="hybridMultilevel"/>
    <w:tmpl w:val="C92636EE"/>
    <w:lvl w:ilvl="0" w:tplc="3C6A37C4">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B260A72"/>
    <w:multiLevelType w:val="multilevel"/>
    <w:tmpl w:val="C0D8AC20"/>
    <w:styleLink w:val="NUmbListBullet"/>
    <w:lvl w:ilvl="0">
      <w:start w:val="1"/>
      <w:numFmt w:val="bullet"/>
      <w:pStyle w:val="Bullet1"/>
      <w:lvlText w:val=""/>
      <w:lvlJc w:val="left"/>
      <w:pPr>
        <w:tabs>
          <w:tab w:val="num" w:pos="340"/>
        </w:tabs>
        <w:ind w:left="340" w:hanging="340"/>
      </w:pPr>
      <w:rPr>
        <w:rFonts w:ascii="Symbol" w:hAnsi="Symbol" w:hint="default"/>
        <w:color w:val="auto"/>
      </w:rPr>
    </w:lvl>
    <w:lvl w:ilvl="1">
      <w:start w:val="1"/>
      <w:numFmt w:val="bullet"/>
      <w:pStyle w:val="Bullet2"/>
      <w:lvlText w:val=""/>
      <w:lvlJc w:val="left"/>
      <w:pPr>
        <w:tabs>
          <w:tab w:val="num" w:pos="680"/>
        </w:tabs>
        <w:ind w:left="680" w:hanging="340"/>
      </w:pPr>
      <w:rPr>
        <w:rFonts w:ascii="Symbol" w:hAnsi="Symbol" w:hint="default"/>
        <w:color w:val="auto"/>
      </w:rPr>
    </w:lvl>
    <w:lvl w:ilvl="2">
      <w:start w:val="1"/>
      <w:numFmt w:val="lowerRoman"/>
      <w:lvlText w:val="%3)"/>
      <w:lvlJc w:val="left"/>
      <w:pPr>
        <w:ind w:left="1080" w:hanging="360"/>
      </w:pPr>
      <w:rPr>
        <w:rFonts w:hint="default"/>
      </w:rPr>
    </w:lvl>
    <w:lvl w:ilvl="3">
      <w:start w:val="1"/>
      <w:numFmt w:val="lowerRoman"/>
      <w:pStyle w:val="NumbList1"/>
      <w:lvlText w:val="(%4)"/>
      <w:lvlJc w:val="left"/>
      <w:pPr>
        <w:tabs>
          <w:tab w:val="num" w:pos="680"/>
        </w:tabs>
        <w:ind w:left="680" w:hanging="340"/>
      </w:pPr>
      <w:rPr>
        <w:rFonts w:hint="default"/>
      </w:rPr>
    </w:lvl>
    <w:lvl w:ilvl="4">
      <w:start w:val="1"/>
      <w:numFmt w:val="lowerLetter"/>
      <w:pStyle w:val="AlphaList"/>
      <w:lvlText w:val="(%5)"/>
      <w:lvlJc w:val="left"/>
      <w:pPr>
        <w:tabs>
          <w:tab w:val="num" w:pos="680"/>
        </w:tabs>
        <w:ind w:left="680"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EFE7C6A"/>
    <w:multiLevelType w:val="hybridMultilevel"/>
    <w:tmpl w:val="BFE41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AF7A4C"/>
    <w:multiLevelType w:val="multilevel"/>
    <w:tmpl w:val="B1EC3128"/>
    <w:numStyleLink w:val="NumbListMain"/>
  </w:abstractNum>
  <w:abstractNum w:abstractNumId="10" w15:restartNumberingAfterBreak="0">
    <w:nsid w:val="7C7438A7"/>
    <w:multiLevelType w:val="multilevel"/>
    <w:tmpl w:val="C0D8AC20"/>
    <w:numStyleLink w:val="NUmbListBullet"/>
  </w:abstractNum>
  <w:abstractNum w:abstractNumId="11" w15:restartNumberingAfterBreak="0">
    <w:nsid w:val="7CE23054"/>
    <w:multiLevelType w:val="multilevel"/>
    <w:tmpl w:val="B1EC3128"/>
    <w:styleLink w:val="NumbListMain"/>
    <w:lvl w:ilvl="0">
      <w:start w:val="1"/>
      <w:numFmt w:val="upperRoman"/>
      <w:pStyle w:val="SectionTitleNumb"/>
      <w:lvlText w:val="%1."/>
      <w:lvlJc w:val="left"/>
      <w:pPr>
        <w:tabs>
          <w:tab w:val="num" w:pos="680"/>
        </w:tabs>
        <w:ind w:left="680" w:hanging="680"/>
      </w:pPr>
      <w:rPr>
        <w:rFonts w:hint="default"/>
      </w:rPr>
    </w:lvl>
    <w:lvl w:ilvl="1">
      <w:start w:val="1"/>
      <w:numFmt w:val="upperRoman"/>
      <w:pStyle w:val="StrategyTitle"/>
      <w:lvlText w:val="Strategic Goal %2"/>
      <w:lvlJc w:val="left"/>
      <w:pPr>
        <w:tabs>
          <w:tab w:val="num" w:pos="2948"/>
        </w:tabs>
        <w:ind w:left="2948" w:hanging="2948"/>
      </w:pPr>
      <w:rPr>
        <w:rFonts w:hint="default"/>
      </w:rPr>
    </w:lvl>
    <w:lvl w:ilvl="2">
      <w:start w:val="1"/>
      <w:numFmt w:val="none"/>
      <w:lvlRestart w:val="0"/>
      <w:suff w:val="nothing"/>
      <w:lvlText w:val=""/>
      <w:lvlJc w:val="left"/>
      <w:pPr>
        <w:ind w:left="2268" w:hanging="2268"/>
      </w:pPr>
      <w:rPr>
        <w:rFonts w:hint="default"/>
      </w:rPr>
    </w:lvl>
    <w:lvl w:ilvl="3">
      <w:start w:val="1"/>
      <w:numFmt w:val="none"/>
      <w:suff w:val="nothing"/>
      <w:lvlText w:val=""/>
      <w:lvlJc w:val="left"/>
      <w:pPr>
        <w:ind w:left="2268" w:hanging="2268"/>
      </w:pPr>
      <w:rPr>
        <w:rFonts w:hint="default"/>
      </w:rPr>
    </w:lvl>
    <w:lvl w:ilvl="4">
      <w:start w:val="1"/>
      <w:numFmt w:val="decimal"/>
      <w:pStyle w:val="NormalNumb"/>
      <w:suff w:val="nothing"/>
      <w:lvlText w:val="%5.  "/>
      <w:lvlJc w:val="left"/>
      <w:pPr>
        <w:ind w:left="0" w:firstLine="0"/>
      </w:pPr>
      <w:rPr>
        <w:rFonts w:hint="default"/>
      </w:rPr>
    </w:lvl>
    <w:lvl w:ilvl="5">
      <w:start w:val="1"/>
      <w:numFmt w:val="decimal"/>
      <w:lvlText w:val="%5.%6"/>
      <w:lvlJc w:val="left"/>
      <w:pPr>
        <w:tabs>
          <w:tab w:val="num" w:pos="1361"/>
        </w:tabs>
        <w:ind w:left="1361" w:hanging="681"/>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
  </w:num>
  <w:num w:numId="2">
    <w:abstractNumId w:val="6"/>
  </w:num>
  <w:num w:numId="3">
    <w:abstractNumId w:val="0"/>
  </w:num>
  <w:num w:numId="4">
    <w:abstractNumId w:val="7"/>
  </w:num>
  <w:num w:numId="5">
    <w:abstractNumId w:val="1"/>
  </w:num>
  <w:num w:numId="6">
    <w:abstractNumId w:val="4"/>
  </w:num>
  <w:num w:numId="7">
    <w:abstractNumId w:val="3"/>
  </w:num>
  <w:num w:numId="8">
    <w:abstractNumId w:val="8"/>
  </w:num>
  <w:num w:numId="9">
    <w:abstractNumId w:val="11"/>
  </w:num>
  <w:num w:numId="10">
    <w:abstractNumId w:val="9"/>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FF2"/>
    <w:rsid w:val="00043CAA"/>
    <w:rsid w:val="0006721C"/>
    <w:rsid w:val="00070B16"/>
    <w:rsid w:val="00075432"/>
    <w:rsid w:val="000765C4"/>
    <w:rsid w:val="000968ED"/>
    <w:rsid w:val="000A16F5"/>
    <w:rsid w:val="000A256C"/>
    <w:rsid w:val="000C117A"/>
    <w:rsid w:val="000E5C7D"/>
    <w:rsid w:val="000E6FDE"/>
    <w:rsid w:val="000F5E56"/>
    <w:rsid w:val="000F6B7A"/>
    <w:rsid w:val="0010331B"/>
    <w:rsid w:val="0011688D"/>
    <w:rsid w:val="001273C5"/>
    <w:rsid w:val="001362EE"/>
    <w:rsid w:val="00144DA0"/>
    <w:rsid w:val="00156693"/>
    <w:rsid w:val="001647D5"/>
    <w:rsid w:val="001832A6"/>
    <w:rsid w:val="001C10AB"/>
    <w:rsid w:val="001C79E0"/>
    <w:rsid w:val="001E4E00"/>
    <w:rsid w:val="0021217E"/>
    <w:rsid w:val="00240497"/>
    <w:rsid w:val="002634C4"/>
    <w:rsid w:val="00277EF5"/>
    <w:rsid w:val="002928D3"/>
    <w:rsid w:val="002932D7"/>
    <w:rsid w:val="002F1FE6"/>
    <w:rsid w:val="002F4E68"/>
    <w:rsid w:val="00312F7F"/>
    <w:rsid w:val="003178BA"/>
    <w:rsid w:val="00350AE2"/>
    <w:rsid w:val="00361450"/>
    <w:rsid w:val="003673CF"/>
    <w:rsid w:val="003845C1"/>
    <w:rsid w:val="00396E9D"/>
    <w:rsid w:val="003A6F89"/>
    <w:rsid w:val="003B38C1"/>
    <w:rsid w:val="003D2030"/>
    <w:rsid w:val="003D57B0"/>
    <w:rsid w:val="004121E0"/>
    <w:rsid w:val="00423E3E"/>
    <w:rsid w:val="00427AF4"/>
    <w:rsid w:val="004647DA"/>
    <w:rsid w:val="00474062"/>
    <w:rsid w:val="00477D6B"/>
    <w:rsid w:val="004B2629"/>
    <w:rsid w:val="005019FF"/>
    <w:rsid w:val="00502EC7"/>
    <w:rsid w:val="00504E34"/>
    <w:rsid w:val="0052447B"/>
    <w:rsid w:val="0053057A"/>
    <w:rsid w:val="00560A29"/>
    <w:rsid w:val="0058503F"/>
    <w:rsid w:val="005B0E47"/>
    <w:rsid w:val="005C6649"/>
    <w:rsid w:val="005D6C80"/>
    <w:rsid w:val="00600203"/>
    <w:rsid w:val="00603904"/>
    <w:rsid w:val="00605827"/>
    <w:rsid w:val="00646050"/>
    <w:rsid w:val="006703A8"/>
    <w:rsid w:val="006713CA"/>
    <w:rsid w:val="00676C5C"/>
    <w:rsid w:val="006E4F5F"/>
    <w:rsid w:val="006F245D"/>
    <w:rsid w:val="00755F96"/>
    <w:rsid w:val="00762FF2"/>
    <w:rsid w:val="0078193C"/>
    <w:rsid w:val="007D1613"/>
    <w:rsid w:val="007D1A22"/>
    <w:rsid w:val="007E4C0E"/>
    <w:rsid w:val="00805D31"/>
    <w:rsid w:val="0081263E"/>
    <w:rsid w:val="00820C2F"/>
    <w:rsid w:val="008543F3"/>
    <w:rsid w:val="00860537"/>
    <w:rsid w:val="00877718"/>
    <w:rsid w:val="008A134B"/>
    <w:rsid w:val="008B2CC1"/>
    <w:rsid w:val="008B60B2"/>
    <w:rsid w:val="0090731E"/>
    <w:rsid w:val="00916EE2"/>
    <w:rsid w:val="00966A22"/>
    <w:rsid w:val="00966FA9"/>
    <w:rsid w:val="0096722F"/>
    <w:rsid w:val="00980843"/>
    <w:rsid w:val="00984567"/>
    <w:rsid w:val="009B6777"/>
    <w:rsid w:val="009C127D"/>
    <w:rsid w:val="009D0889"/>
    <w:rsid w:val="009D3F94"/>
    <w:rsid w:val="009E2791"/>
    <w:rsid w:val="009E3F6F"/>
    <w:rsid w:val="009F499F"/>
    <w:rsid w:val="009F7DB0"/>
    <w:rsid w:val="00A37342"/>
    <w:rsid w:val="00A42DAF"/>
    <w:rsid w:val="00A45BD8"/>
    <w:rsid w:val="00A60AD1"/>
    <w:rsid w:val="00A869B7"/>
    <w:rsid w:val="00A93EF5"/>
    <w:rsid w:val="00AA2DD4"/>
    <w:rsid w:val="00AC0FA3"/>
    <w:rsid w:val="00AC205C"/>
    <w:rsid w:val="00AC3577"/>
    <w:rsid w:val="00AC48F4"/>
    <w:rsid w:val="00AF0A6B"/>
    <w:rsid w:val="00B05A69"/>
    <w:rsid w:val="00B9734B"/>
    <w:rsid w:val="00BA30E2"/>
    <w:rsid w:val="00C11BFE"/>
    <w:rsid w:val="00C5068F"/>
    <w:rsid w:val="00C86D74"/>
    <w:rsid w:val="00C952BD"/>
    <w:rsid w:val="00CD04F1"/>
    <w:rsid w:val="00CD7F59"/>
    <w:rsid w:val="00D44A0B"/>
    <w:rsid w:val="00D45252"/>
    <w:rsid w:val="00D66E37"/>
    <w:rsid w:val="00D71B4D"/>
    <w:rsid w:val="00D93D55"/>
    <w:rsid w:val="00DC0E7C"/>
    <w:rsid w:val="00DF023A"/>
    <w:rsid w:val="00DF383E"/>
    <w:rsid w:val="00E15015"/>
    <w:rsid w:val="00E335FE"/>
    <w:rsid w:val="00E43266"/>
    <w:rsid w:val="00E5566B"/>
    <w:rsid w:val="00E85557"/>
    <w:rsid w:val="00E86008"/>
    <w:rsid w:val="00E9439C"/>
    <w:rsid w:val="00EA0BAA"/>
    <w:rsid w:val="00EA7D6E"/>
    <w:rsid w:val="00EB2210"/>
    <w:rsid w:val="00EC4E49"/>
    <w:rsid w:val="00ED77FB"/>
    <w:rsid w:val="00EE45FA"/>
    <w:rsid w:val="00F06BAF"/>
    <w:rsid w:val="00F21A7A"/>
    <w:rsid w:val="00F66152"/>
    <w:rsid w:val="00F8321C"/>
    <w:rsid w:val="00FA2F1A"/>
    <w:rsid w:val="00FD53CC"/>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F592D9A"/>
  <w15:docId w15:val="{3F3E7E92-532B-4BE6-8AF9-6AA203EEC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9F7DB0"/>
    <w:pPr>
      <w:keepNext/>
      <w:spacing w:before="240" w:after="220"/>
      <w:outlineLvl w:val="1"/>
    </w:pPr>
    <w:rPr>
      <w:b/>
      <w:bCs/>
      <w:iCs/>
      <w:caps/>
      <w:szCs w:val="28"/>
    </w:rPr>
  </w:style>
  <w:style w:type="paragraph" w:styleId="Heading3">
    <w:name w:val="heading 3"/>
    <w:basedOn w:val="Normal"/>
    <w:next w:val="Normal"/>
    <w:autoRedefine/>
    <w:qFormat/>
    <w:rsid w:val="009F7DB0"/>
    <w:pPr>
      <w:keepNext/>
      <w:spacing w:before="240" w:after="220"/>
      <w:outlineLvl w:val="2"/>
    </w:pPr>
    <w:rPr>
      <w:bCs/>
      <w:caps/>
      <w:szCs w:val="26"/>
    </w:rPr>
  </w:style>
  <w:style w:type="paragraph" w:styleId="Heading4">
    <w:name w:val="heading 4"/>
    <w:basedOn w:val="Normal"/>
    <w:next w:val="Normal"/>
    <w:autoRedefine/>
    <w:qFormat/>
    <w:rsid w:val="009F7DB0"/>
    <w:pPr>
      <w:keepNext/>
      <w:spacing w:before="240" w:after="22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1E4E00"/>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en-US" w:eastAsia="zh-CN"/>
    </w:rPr>
  </w:style>
  <w:style w:type="paragraph" w:customStyle="1" w:styleId="null">
    <w:name w:val="null"/>
    <w:basedOn w:val="Normal"/>
    <w:rsid w:val="00FA2F1A"/>
    <w:pPr>
      <w:spacing w:before="100" w:beforeAutospacing="1" w:after="100" w:afterAutospacing="1"/>
    </w:pPr>
    <w:rPr>
      <w:rFonts w:ascii="Times New Roman" w:eastAsiaTheme="minorHAnsi" w:hAnsi="Times New Roman" w:cs="Times New Roman"/>
      <w:sz w:val="24"/>
      <w:szCs w:val="24"/>
      <w:lang w:eastAsia="en-US"/>
    </w:rPr>
  </w:style>
  <w:style w:type="paragraph" w:styleId="ListParagraph">
    <w:name w:val="List Paragraph"/>
    <w:basedOn w:val="Normal"/>
    <w:uiPriority w:val="34"/>
    <w:qFormat/>
    <w:rsid w:val="00FA2F1A"/>
    <w:pPr>
      <w:ind w:left="720"/>
      <w:contextualSpacing/>
    </w:pPr>
  </w:style>
  <w:style w:type="character" w:styleId="FootnoteReference">
    <w:name w:val="footnote reference"/>
    <w:aliases w:val="Footnote,callout"/>
    <w:basedOn w:val="DefaultParagraphFont"/>
    <w:uiPriority w:val="99"/>
    <w:unhideWhenUsed/>
    <w:rsid w:val="0052447B"/>
    <w:rPr>
      <w:vertAlign w:val="superscript"/>
    </w:rPr>
  </w:style>
  <w:style w:type="paragraph" w:customStyle="1" w:styleId="NormalNumb">
    <w:name w:val="NormalNumb"/>
    <w:basedOn w:val="Normal"/>
    <w:uiPriority w:val="6"/>
    <w:qFormat/>
    <w:rsid w:val="0052447B"/>
    <w:pPr>
      <w:numPr>
        <w:ilvl w:val="4"/>
        <w:numId w:val="10"/>
      </w:numPr>
      <w:spacing w:after="180" w:line="220" w:lineRule="atLeast"/>
    </w:pPr>
    <w:rPr>
      <w:rFonts w:eastAsiaTheme="minorHAnsi" w:cstheme="minorBidi"/>
      <w:sz w:val="18"/>
      <w:szCs w:val="22"/>
      <w:lang w:val="en-GB" w:eastAsia="en-US"/>
    </w:rPr>
  </w:style>
  <w:style w:type="numbering" w:customStyle="1" w:styleId="NumbListMain">
    <w:name w:val="NumbListMain"/>
    <w:uiPriority w:val="99"/>
    <w:rsid w:val="0052447B"/>
    <w:pPr>
      <w:numPr>
        <w:numId w:val="9"/>
      </w:numPr>
    </w:pPr>
  </w:style>
  <w:style w:type="paragraph" w:customStyle="1" w:styleId="SectionTitleNumb">
    <w:name w:val="SectionTitleNumb"/>
    <w:basedOn w:val="Normal"/>
    <w:uiPriority w:val="1"/>
    <w:qFormat/>
    <w:rsid w:val="0052447B"/>
    <w:pPr>
      <w:keepNext/>
      <w:keepLines/>
      <w:pageBreakBefore/>
      <w:numPr>
        <w:numId w:val="10"/>
      </w:numPr>
      <w:spacing w:after="480" w:line="220" w:lineRule="atLeast"/>
      <w:outlineLvl w:val="0"/>
    </w:pPr>
    <w:rPr>
      <w:rFonts w:eastAsiaTheme="minorHAnsi" w:cstheme="minorBidi"/>
      <w:caps/>
      <w:color w:val="1F497D" w:themeColor="text2"/>
      <w:sz w:val="44"/>
      <w:szCs w:val="22"/>
      <w:lang w:val="en-GB" w:eastAsia="en-US"/>
    </w:rPr>
  </w:style>
  <w:style w:type="paragraph" w:customStyle="1" w:styleId="StrategyTitle">
    <w:name w:val="StrategyTitle"/>
    <w:basedOn w:val="Normal"/>
    <w:uiPriority w:val="2"/>
    <w:qFormat/>
    <w:rsid w:val="0052447B"/>
    <w:pPr>
      <w:keepNext/>
      <w:keepLines/>
      <w:pageBreakBefore/>
      <w:numPr>
        <w:ilvl w:val="1"/>
        <w:numId w:val="10"/>
      </w:numPr>
      <w:spacing w:after="180" w:line="220" w:lineRule="atLeast"/>
      <w:outlineLvl w:val="0"/>
    </w:pPr>
    <w:rPr>
      <w:rFonts w:eastAsiaTheme="minorHAnsi" w:cstheme="minorBidi"/>
      <w:color w:val="1F497D" w:themeColor="text2"/>
      <w:sz w:val="32"/>
      <w:szCs w:val="22"/>
      <w:lang w:val="en-GB" w:eastAsia="en-US"/>
    </w:rPr>
  </w:style>
  <w:style w:type="character" w:customStyle="1" w:styleId="FootnoteTextChar">
    <w:name w:val="Footnote Text Char"/>
    <w:basedOn w:val="DefaultParagraphFont"/>
    <w:link w:val="FootnoteText"/>
    <w:uiPriority w:val="99"/>
    <w:rsid w:val="0052447B"/>
    <w:rPr>
      <w:rFonts w:ascii="Arial" w:eastAsia="SimSun" w:hAnsi="Arial" w:cs="Arial"/>
      <w:sz w:val="18"/>
      <w:lang w:val="en-US" w:eastAsia="zh-CN"/>
    </w:rPr>
  </w:style>
  <w:style w:type="paragraph" w:customStyle="1" w:styleId="Bullet1">
    <w:name w:val="Bullet 1"/>
    <w:basedOn w:val="Normal"/>
    <w:uiPriority w:val="6"/>
    <w:qFormat/>
    <w:rsid w:val="0052447B"/>
    <w:pPr>
      <w:numPr>
        <w:numId w:val="12"/>
      </w:numPr>
      <w:spacing w:after="180" w:line="220" w:lineRule="atLeast"/>
    </w:pPr>
    <w:rPr>
      <w:rFonts w:eastAsiaTheme="minorHAnsi" w:cstheme="minorBidi"/>
      <w:sz w:val="18"/>
      <w:szCs w:val="22"/>
      <w:lang w:val="en-GB" w:eastAsia="en-US"/>
    </w:rPr>
  </w:style>
  <w:style w:type="numbering" w:customStyle="1" w:styleId="NUmbListBullet">
    <w:name w:val="NUmbListBullet"/>
    <w:uiPriority w:val="99"/>
    <w:rsid w:val="0052447B"/>
    <w:pPr>
      <w:numPr>
        <w:numId w:val="11"/>
      </w:numPr>
    </w:pPr>
  </w:style>
  <w:style w:type="paragraph" w:customStyle="1" w:styleId="Bullet2">
    <w:name w:val="Bullet 2"/>
    <w:basedOn w:val="Normal"/>
    <w:uiPriority w:val="6"/>
    <w:qFormat/>
    <w:rsid w:val="0052447B"/>
    <w:pPr>
      <w:numPr>
        <w:ilvl w:val="1"/>
        <w:numId w:val="12"/>
      </w:numPr>
      <w:spacing w:after="180" w:line="220" w:lineRule="atLeast"/>
    </w:pPr>
    <w:rPr>
      <w:rFonts w:eastAsiaTheme="minorHAnsi" w:cstheme="minorBidi"/>
      <w:sz w:val="18"/>
      <w:szCs w:val="22"/>
      <w:lang w:val="en-GB" w:eastAsia="en-US"/>
    </w:rPr>
  </w:style>
  <w:style w:type="paragraph" w:customStyle="1" w:styleId="NumbList1">
    <w:name w:val="NumbList 1"/>
    <w:basedOn w:val="Normal"/>
    <w:uiPriority w:val="6"/>
    <w:qFormat/>
    <w:rsid w:val="0052447B"/>
    <w:pPr>
      <w:numPr>
        <w:ilvl w:val="3"/>
        <w:numId w:val="12"/>
      </w:numPr>
      <w:spacing w:after="180" w:line="220" w:lineRule="atLeast"/>
    </w:pPr>
    <w:rPr>
      <w:rFonts w:eastAsiaTheme="minorHAnsi" w:cstheme="minorBidi"/>
      <w:sz w:val="18"/>
      <w:szCs w:val="22"/>
      <w:lang w:val="en-GB" w:eastAsia="en-US"/>
    </w:rPr>
  </w:style>
  <w:style w:type="paragraph" w:customStyle="1" w:styleId="AlphaList">
    <w:name w:val="AlphaList"/>
    <w:basedOn w:val="Normal"/>
    <w:uiPriority w:val="6"/>
    <w:qFormat/>
    <w:rsid w:val="0052447B"/>
    <w:pPr>
      <w:numPr>
        <w:ilvl w:val="4"/>
        <w:numId w:val="12"/>
      </w:numPr>
      <w:spacing w:after="180" w:line="220" w:lineRule="atLeast"/>
    </w:pPr>
    <w:rPr>
      <w:rFonts w:eastAsiaTheme="minorHAnsi" w:cstheme="minorBidi"/>
      <w:sz w:val="18"/>
      <w:szCs w:val="22"/>
      <w:lang w:val="en-GB" w:eastAsia="en-US"/>
    </w:rPr>
  </w:style>
  <w:style w:type="paragraph" w:customStyle="1" w:styleId="TableAndChartTitle">
    <w:name w:val="TableAndChartTitle"/>
    <w:basedOn w:val="Normal"/>
    <w:next w:val="Normal"/>
    <w:uiPriority w:val="14"/>
    <w:qFormat/>
    <w:rsid w:val="001C10AB"/>
    <w:pPr>
      <w:keepNext/>
      <w:keepLines/>
      <w:spacing w:before="240" w:after="60" w:line="220" w:lineRule="atLeast"/>
      <w:jc w:val="center"/>
    </w:pPr>
    <w:rPr>
      <w:rFonts w:eastAsiaTheme="minorHAnsi" w:cstheme="minorBidi"/>
      <w:b/>
      <w:color w:val="1F497D" w:themeColor="text2"/>
      <w:sz w:val="18"/>
      <w:szCs w:val="22"/>
      <w:lang w:val="en-GB" w:eastAsia="en-US"/>
    </w:rPr>
  </w:style>
  <w:style w:type="paragraph" w:customStyle="1" w:styleId="null1">
    <w:name w:val="null1"/>
    <w:basedOn w:val="Normal"/>
    <w:rsid w:val="00F8321C"/>
    <w:pPr>
      <w:spacing w:before="100" w:beforeAutospacing="1" w:after="100" w:afterAutospacing="1"/>
    </w:pPr>
    <w:rPr>
      <w:rFonts w:ascii="Times New Roman" w:eastAsiaTheme="minorHAnsi" w:hAnsi="Times New Roman" w:cs="Times New Roman"/>
      <w:sz w:val="24"/>
      <w:szCs w:val="24"/>
      <w:lang w:eastAsia="en-US"/>
    </w:rPr>
  </w:style>
  <w:style w:type="character" w:styleId="CommentReference">
    <w:name w:val="annotation reference"/>
    <w:basedOn w:val="DefaultParagraphFont"/>
    <w:semiHidden/>
    <w:unhideWhenUsed/>
    <w:rsid w:val="001273C5"/>
    <w:rPr>
      <w:sz w:val="16"/>
      <w:szCs w:val="16"/>
    </w:rPr>
  </w:style>
  <w:style w:type="paragraph" w:styleId="CommentSubject">
    <w:name w:val="annotation subject"/>
    <w:basedOn w:val="CommentText"/>
    <w:next w:val="CommentText"/>
    <w:link w:val="CommentSubjectChar"/>
    <w:semiHidden/>
    <w:unhideWhenUsed/>
    <w:rsid w:val="001273C5"/>
    <w:rPr>
      <w:b/>
      <w:bCs/>
      <w:sz w:val="20"/>
    </w:rPr>
  </w:style>
  <w:style w:type="character" w:customStyle="1" w:styleId="CommentTextChar">
    <w:name w:val="Comment Text Char"/>
    <w:basedOn w:val="DefaultParagraphFont"/>
    <w:link w:val="CommentText"/>
    <w:semiHidden/>
    <w:rsid w:val="001273C5"/>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1273C5"/>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30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5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CFC36-9A8D-40EF-8C6E-11194EF56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59 (E)</Template>
  <TotalTime>27</TotalTime>
  <Pages>3</Pages>
  <Words>914</Words>
  <Characters>5083</Characters>
  <Application>Microsoft Office Word</Application>
  <DocSecurity>0</DocSecurity>
  <Lines>101</Lines>
  <Paragraphs>34</Paragraphs>
  <ScaleCrop>false</ScaleCrop>
  <HeadingPairs>
    <vt:vector size="2" baseType="variant">
      <vt:variant>
        <vt:lpstr>Title</vt:lpstr>
      </vt:variant>
      <vt:variant>
        <vt:i4>1</vt:i4>
      </vt:variant>
    </vt:vector>
  </HeadingPairs>
  <TitlesOfParts>
    <vt:vector size="1" baseType="lpstr">
      <vt:lpstr>A/59/</vt:lpstr>
    </vt:vector>
  </TitlesOfParts>
  <Company>WIPO</Company>
  <LinksUpToDate>false</LinksUpToDate>
  <CharactersWithSpaces>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A/59/</dc:title>
  <dc:subject>Fifty-Eighth Series of Meetings</dc:subject>
  <dc:creator>CHANG Shauna</dc:creator>
  <cp:keywords>PUBLIC</cp:keywords>
  <cp:lastModifiedBy>HÄFLIGER Patience</cp:lastModifiedBy>
  <cp:revision>11</cp:revision>
  <cp:lastPrinted>2019-09-16T13:27:00Z</cp:lastPrinted>
  <dcterms:created xsi:type="dcterms:W3CDTF">2019-09-12T15:24:00Z</dcterms:created>
  <dcterms:modified xsi:type="dcterms:W3CDTF">2019-09-16T14:28:00Z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1eba413f-ac18-4f96-a682-de18f933b964</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