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17686"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7C3331" w:rsidP="00EE3129">
            <w:pPr>
              <w:jc w:val="right"/>
              <w:rPr>
                <w:rFonts w:ascii="Arial Black" w:hAnsi="Arial Black"/>
                <w:caps/>
                <w:sz w:val="15"/>
              </w:rPr>
            </w:pPr>
            <w:r w:rsidRPr="007C3331">
              <w:rPr>
                <w:rFonts w:ascii="Arial Black" w:hAnsi="Arial Black"/>
                <w:caps/>
                <w:sz w:val="15"/>
              </w:rPr>
              <w:t>PCT/A/44/</w:t>
            </w:r>
            <w:bookmarkStart w:id="1" w:name="Code"/>
            <w:bookmarkEnd w:id="1"/>
            <w:r w:rsidR="00505CD7">
              <w:rPr>
                <w:rFonts w:ascii="Arial Black" w:hAnsi="Arial Black"/>
                <w:caps/>
                <w:sz w:val="15"/>
              </w:rPr>
              <w:t>5 Prov.</w:t>
            </w:r>
            <w:r w:rsidR="00EE3129">
              <w:rPr>
                <w:rFonts w:ascii="Arial Black" w:hAnsi="Arial Black"/>
                <w:caps/>
                <w:sz w:val="15"/>
              </w:rPr>
              <w:t>1</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505CD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05CD7">
              <w:rPr>
                <w:rFonts w:ascii="Arial Black" w:hAnsi="Arial Black"/>
                <w:caps/>
                <w:sz w:val="15"/>
              </w:rPr>
              <w:t>October 2,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7C3331" w:rsidP="008B2CC1">
      <w:pPr>
        <w:rPr>
          <w:b/>
          <w:sz w:val="28"/>
          <w:szCs w:val="28"/>
        </w:rPr>
      </w:pPr>
      <w:r w:rsidRPr="007C3331">
        <w:rPr>
          <w:b/>
          <w:sz w:val="28"/>
          <w:szCs w:val="28"/>
        </w:rPr>
        <w:t>International Patent Cooperation Union (PCT Union)</w:t>
      </w:r>
    </w:p>
    <w:p w:rsidR="003845C1" w:rsidRDefault="003845C1" w:rsidP="003845C1"/>
    <w:p w:rsidR="00A85B8E" w:rsidRDefault="00A85B8E" w:rsidP="003845C1"/>
    <w:p w:rsidR="00A85B8E" w:rsidRPr="00A85B8E" w:rsidRDefault="00A85B8E" w:rsidP="003845C1">
      <w:pPr>
        <w:rPr>
          <w:b/>
          <w:sz w:val="28"/>
          <w:szCs w:val="28"/>
        </w:rPr>
      </w:pPr>
      <w:r w:rsidRPr="00A85B8E">
        <w:rPr>
          <w:b/>
          <w:sz w:val="28"/>
          <w:szCs w:val="28"/>
        </w:rPr>
        <w:t>Assembly</w:t>
      </w:r>
    </w:p>
    <w:p w:rsidR="00A85B8E" w:rsidRDefault="00A85B8E" w:rsidP="003845C1"/>
    <w:p w:rsidR="003845C1" w:rsidRDefault="003845C1" w:rsidP="003845C1"/>
    <w:p w:rsidR="008B2CC1" w:rsidRPr="003845C1" w:rsidRDefault="007C3331" w:rsidP="008B2CC1">
      <w:pPr>
        <w:rPr>
          <w:b/>
          <w:sz w:val="24"/>
          <w:szCs w:val="24"/>
        </w:rPr>
      </w:pPr>
      <w:r w:rsidRPr="007C3331">
        <w:rPr>
          <w:b/>
          <w:sz w:val="24"/>
          <w:szCs w:val="24"/>
        </w:rPr>
        <w:t>Forty-Fourth (19</w:t>
      </w:r>
      <w:r w:rsidRPr="00EC1D0A">
        <w:rPr>
          <w:b/>
          <w:sz w:val="24"/>
          <w:szCs w:val="24"/>
          <w:vertAlign w:val="superscript"/>
        </w:rPr>
        <w:t>th</w:t>
      </w:r>
      <w:r w:rsidRPr="007C3331">
        <w:rPr>
          <w:b/>
          <w:sz w:val="24"/>
          <w:szCs w:val="24"/>
        </w:rPr>
        <w:t xml:space="preserve"> Ordinary) Session</w:t>
      </w:r>
    </w:p>
    <w:p w:rsidR="008B2CC1" w:rsidRPr="003845C1" w:rsidRDefault="007C3331" w:rsidP="008B2CC1">
      <w:pPr>
        <w:rPr>
          <w:b/>
          <w:sz w:val="24"/>
          <w:szCs w:val="24"/>
        </w:rPr>
      </w:pPr>
      <w:r w:rsidRPr="007C3331">
        <w:rPr>
          <w:b/>
          <w:sz w:val="24"/>
          <w:szCs w:val="24"/>
        </w:rPr>
        <w:t>Geneva, September 23 to October 2,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505CD7" w:rsidP="008B2CC1">
      <w:pPr>
        <w:rPr>
          <w:caps/>
          <w:sz w:val="24"/>
        </w:rPr>
      </w:pPr>
      <w:bookmarkStart w:id="4" w:name="TitleOfDoc"/>
      <w:bookmarkEnd w:id="4"/>
      <w:r>
        <w:rPr>
          <w:caps/>
          <w:sz w:val="24"/>
        </w:rPr>
        <w:t>Draft Report</w:t>
      </w:r>
    </w:p>
    <w:p w:rsidR="008B2CC1" w:rsidRPr="008B2CC1" w:rsidRDefault="008B2CC1" w:rsidP="008B2CC1"/>
    <w:p w:rsidR="008B2CC1" w:rsidRPr="008B2CC1" w:rsidRDefault="00505CD7" w:rsidP="008B2CC1">
      <w:pPr>
        <w:rPr>
          <w:i/>
        </w:rPr>
      </w:pPr>
      <w:bookmarkStart w:id="5" w:name="Prepared"/>
      <w:bookmarkEnd w:id="5"/>
      <w:proofErr w:type="gramStart"/>
      <w:r>
        <w:rPr>
          <w:i/>
        </w:rPr>
        <w:t>prepared</w:t>
      </w:r>
      <w:proofErr w:type="gramEnd"/>
      <w:r>
        <w:rPr>
          <w:i/>
        </w:rPr>
        <w:t xml:space="preserve"> by the International Bureau</w:t>
      </w:r>
    </w:p>
    <w:p w:rsidR="00AC205C" w:rsidRDefault="00AC205C"/>
    <w:p w:rsidR="000F5E56" w:rsidRDefault="000F5E56"/>
    <w:p w:rsidR="002928D3" w:rsidRDefault="002928D3"/>
    <w:p w:rsidR="002928D3" w:rsidRDefault="002928D3" w:rsidP="0053057A"/>
    <w:p w:rsidR="00505CD7" w:rsidRPr="00DE2C18" w:rsidRDefault="00505CD7" w:rsidP="00505CD7">
      <w:pPr>
        <w:pStyle w:val="ONUME"/>
      </w:pPr>
      <w:r w:rsidRPr="00DE2C18">
        <w:t>The Assembly was concerned with the following items of the Consolidated Agenda (document A/51/1</w:t>
      </w:r>
      <w:r w:rsidR="00262BD3">
        <w:t xml:space="preserve"> Prov.3</w:t>
      </w:r>
      <w:r w:rsidRPr="00DE2C18">
        <w:t xml:space="preserve">): </w:t>
      </w:r>
      <w:r w:rsidR="00DE2C18">
        <w:t xml:space="preserve"> </w:t>
      </w:r>
      <w:r w:rsidRPr="00DE2C18">
        <w:t>1 to 6, 8, 11</w:t>
      </w:r>
      <w:r w:rsidR="00C8788F" w:rsidRPr="00DE2C18">
        <w:t xml:space="preserve"> </w:t>
      </w:r>
      <w:r w:rsidRPr="00DE2C18">
        <w:t>to 16, 19 to 23, 37, 47 and 48.</w:t>
      </w:r>
    </w:p>
    <w:p w:rsidR="00505CD7" w:rsidRPr="00DE2C18" w:rsidRDefault="00505CD7" w:rsidP="00505CD7">
      <w:pPr>
        <w:pStyle w:val="ONUME"/>
      </w:pPr>
      <w:r w:rsidRPr="00DE2C18">
        <w:t>The report on the said items, with the exception of item 37, is contained in the General Report (document A/51/20</w:t>
      </w:r>
      <w:r w:rsidR="00DE2C18">
        <w:t xml:space="preserve"> Prov.</w:t>
      </w:r>
      <w:r w:rsidR="009F4128">
        <w:t>1</w:t>
      </w:r>
      <w:r w:rsidRPr="00DE2C18">
        <w:t>).</w:t>
      </w:r>
    </w:p>
    <w:p w:rsidR="00505CD7" w:rsidRPr="003E0611" w:rsidRDefault="00505CD7" w:rsidP="00505CD7">
      <w:pPr>
        <w:pStyle w:val="ONUME"/>
      </w:pPr>
      <w:r w:rsidRPr="003E0611">
        <w:t>The report on item 37 is contained in the present document.</w:t>
      </w:r>
    </w:p>
    <w:p w:rsidR="00505CD7" w:rsidRPr="003E0611" w:rsidRDefault="00F229F3" w:rsidP="00505CD7">
      <w:pPr>
        <w:pStyle w:val="ONUME"/>
      </w:pPr>
      <w:r w:rsidRPr="003E0611">
        <w:t xml:space="preserve">Ms. Susanne </w:t>
      </w:r>
      <w:proofErr w:type="spellStart"/>
      <w:r w:rsidRPr="003E0611">
        <w:t>Ås</w:t>
      </w:r>
      <w:proofErr w:type="spellEnd"/>
      <w:r w:rsidRPr="003E0611">
        <w:t xml:space="preserve"> </w:t>
      </w:r>
      <w:proofErr w:type="spellStart"/>
      <w:r w:rsidRPr="003E0611">
        <w:t>Sivborg</w:t>
      </w:r>
      <w:proofErr w:type="spellEnd"/>
      <w:r w:rsidRPr="003E0611">
        <w:t xml:space="preserve"> (Sweden) was </w:t>
      </w:r>
      <w:r w:rsidR="00C740A0" w:rsidRPr="003E0611">
        <w:t>re</w:t>
      </w:r>
      <w:r w:rsidR="00C740A0" w:rsidRPr="003E0611">
        <w:noBreakHyphen/>
      </w:r>
      <w:r w:rsidRPr="003E0611">
        <w:t>elected Chair of the Assembly</w:t>
      </w:r>
      <w:proofErr w:type="gramStart"/>
      <w:r w:rsidRPr="003E0611">
        <w:t xml:space="preserve">;  </w:t>
      </w:r>
      <w:r w:rsidR="00F563BD" w:rsidRPr="003E0611">
        <w:t>Mr</w:t>
      </w:r>
      <w:proofErr w:type="gramEnd"/>
      <w:r w:rsidR="00F563BD" w:rsidRPr="003E0611">
        <w:t>. </w:t>
      </w:r>
      <w:proofErr w:type="spellStart"/>
      <w:r w:rsidR="00586C8A">
        <w:t>Tian</w:t>
      </w:r>
      <w:proofErr w:type="spellEnd"/>
      <w:r w:rsidR="003E0611" w:rsidRPr="003E0611">
        <w:t xml:space="preserve"> </w:t>
      </w:r>
      <w:proofErr w:type="spellStart"/>
      <w:r w:rsidR="003E0611" w:rsidRPr="003E0611">
        <w:t>Lipu</w:t>
      </w:r>
      <w:proofErr w:type="spellEnd"/>
      <w:r w:rsidR="003E0611" w:rsidRPr="003E0611">
        <w:t xml:space="preserve"> (China) and </w:t>
      </w:r>
      <w:r w:rsidR="00586C8A">
        <w:t xml:space="preserve">Mr. </w:t>
      </w:r>
      <w:proofErr w:type="spellStart"/>
      <w:r w:rsidR="00586C8A">
        <w:t>Toomas</w:t>
      </w:r>
      <w:proofErr w:type="spellEnd"/>
      <w:r w:rsidR="00586C8A">
        <w:t xml:space="preserve"> </w:t>
      </w:r>
      <w:proofErr w:type="spellStart"/>
      <w:r w:rsidR="00586C8A">
        <w:t>Lumi</w:t>
      </w:r>
      <w:proofErr w:type="spellEnd"/>
      <w:r w:rsidR="003E0611" w:rsidRPr="003E0611">
        <w:t xml:space="preserve"> (Estonia)</w:t>
      </w:r>
      <w:r w:rsidR="00F563BD" w:rsidRPr="003E0611">
        <w:t xml:space="preserve"> w</w:t>
      </w:r>
      <w:r w:rsidR="003E0611" w:rsidRPr="003E0611">
        <w:t>ere</w:t>
      </w:r>
      <w:r w:rsidR="00F563BD" w:rsidRPr="003E0611">
        <w:t xml:space="preserve"> </w:t>
      </w:r>
      <w:r w:rsidRPr="003E0611">
        <w:t>elected Vice</w:t>
      </w:r>
      <w:r w:rsidRPr="003E0611">
        <w:noBreakHyphen/>
        <w:t>Chair</w:t>
      </w:r>
      <w:r w:rsidR="003E0611" w:rsidRPr="003E0611">
        <w:t>s</w:t>
      </w:r>
      <w:r w:rsidR="00F563BD" w:rsidRPr="003E0611">
        <w:t>.</w:t>
      </w:r>
    </w:p>
    <w:p w:rsidR="00505CD7" w:rsidRDefault="00505CD7" w:rsidP="00505CD7">
      <w:pPr>
        <w:pStyle w:val="Heading1"/>
      </w:pPr>
      <w:r>
        <w:t>PCT WORKING GROUP:  REPORT Of THE Sixth SESSION</w:t>
      </w:r>
    </w:p>
    <w:p w:rsidR="0088319B" w:rsidRPr="0088319B" w:rsidRDefault="0088319B" w:rsidP="0088319B"/>
    <w:p w:rsidR="00505CD7" w:rsidRDefault="00505CD7" w:rsidP="00505CD7">
      <w:pPr>
        <w:pStyle w:val="ONUME"/>
      </w:pPr>
      <w:r>
        <w:t>Discussions were based on document PCT/A/44/1.</w:t>
      </w:r>
    </w:p>
    <w:p w:rsidR="00F563BD" w:rsidRDefault="000043CA" w:rsidP="000043CA">
      <w:pPr>
        <w:pStyle w:val="ONUME"/>
      </w:pPr>
      <w:r>
        <w:t>The Secretariat, in introducing document</w:t>
      </w:r>
      <w:r w:rsidR="00EB28F0">
        <w:t xml:space="preserve"> PCT/A/44/1</w:t>
      </w:r>
      <w:r>
        <w:t xml:space="preserve">, </w:t>
      </w:r>
      <w:r w:rsidR="00EB28F0">
        <w:t>referred to t</w:t>
      </w:r>
      <w:r>
        <w:t xml:space="preserve">he Summary by the Chair of the </w:t>
      </w:r>
      <w:r w:rsidR="00EB28F0">
        <w:t>sixth session of the PCT Working Group</w:t>
      </w:r>
      <w:r>
        <w:t>, which was annexed to the document</w:t>
      </w:r>
      <w:r w:rsidR="00EB28F0">
        <w:t xml:space="preserve"> and which </w:t>
      </w:r>
      <w:r>
        <w:t xml:space="preserve">gave a </w:t>
      </w:r>
      <w:r w:rsidRPr="006B3EDD">
        <w:t xml:space="preserve">good overview and a summary of the items discussed and the agreements reached </w:t>
      </w:r>
      <w:r>
        <w:t xml:space="preserve">during the </w:t>
      </w:r>
      <w:r w:rsidR="00EB28F0">
        <w:t>meeting</w:t>
      </w:r>
      <w:r>
        <w:t xml:space="preserve">.  </w:t>
      </w:r>
      <w:r w:rsidRPr="006B3EDD">
        <w:t>The full final report of the session</w:t>
      </w:r>
      <w:r>
        <w:t>,</w:t>
      </w:r>
      <w:r w:rsidRPr="006B3EDD">
        <w:t xml:space="preserve"> taking into account the minor comments </w:t>
      </w:r>
      <w:r>
        <w:t xml:space="preserve">the International Bureau </w:t>
      </w:r>
      <w:r w:rsidRPr="006B3EDD">
        <w:t>ha</w:t>
      </w:r>
      <w:r>
        <w:t>d</w:t>
      </w:r>
      <w:r w:rsidRPr="006B3EDD">
        <w:t xml:space="preserve"> received </w:t>
      </w:r>
      <w:r w:rsidR="00E37FC2">
        <w:t xml:space="preserve">from </w:t>
      </w:r>
      <w:r w:rsidRPr="006B3EDD">
        <w:t>delegations on the draft report</w:t>
      </w:r>
      <w:r>
        <w:t xml:space="preserve">, would </w:t>
      </w:r>
      <w:r w:rsidRPr="006B3EDD">
        <w:t xml:space="preserve">be available on </w:t>
      </w:r>
      <w:r w:rsidR="00C54F7F">
        <w:t xml:space="preserve">the WIPO </w:t>
      </w:r>
      <w:r w:rsidRPr="006B3EDD">
        <w:t>web</w:t>
      </w:r>
      <w:r w:rsidR="00C54F7F">
        <w:t> </w:t>
      </w:r>
      <w:r w:rsidRPr="006B3EDD">
        <w:t xml:space="preserve">site shortly.  </w:t>
      </w:r>
      <w:r>
        <w:t>I</w:t>
      </w:r>
      <w:r w:rsidRPr="006B3EDD">
        <w:t xml:space="preserve">n addition to a number of more technical and legal issues, the focus of the discussions in the Working Group </w:t>
      </w:r>
      <w:r>
        <w:t xml:space="preserve">at its sixth session </w:t>
      </w:r>
      <w:r w:rsidR="00EB28F0">
        <w:t xml:space="preserve">had </w:t>
      </w:r>
      <w:r w:rsidRPr="006B3EDD">
        <w:t xml:space="preserve">again </w:t>
      </w:r>
      <w:r>
        <w:t xml:space="preserve">been </w:t>
      </w:r>
      <w:r w:rsidRPr="006B3EDD">
        <w:t xml:space="preserve">on </w:t>
      </w:r>
    </w:p>
    <w:p w:rsidR="000043CA" w:rsidRPr="006B3EDD" w:rsidRDefault="000043CA" w:rsidP="00F563BD">
      <w:pPr>
        <w:pStyle w:val="ONUME"/>
        <w:numPr>
          <w:ilvl w:val="0"/>
          <w:numId w:val="0"/>
        </w:numPr>
      </w:pPr>
      <w:proofErr w:type="gramStart"/>
      <w:r w:rsidRPr="006B3EDD">
        <w:lastRenderedPageBreak/>
        <w:t>various</w:t>
      </w:r>
      <w:proofErr w:type="gramEnd"/>
      <w:r w:rsidRPr="006B3EDD">
        <w:t xml:space="preserve"> proposals by Member States aimed at strengthening the role of the PCT as the central </w:t>
      </w:r>
      <w:r w:rsidR="00C54F7F">
        <w:t>n</w:t>
      </w:r>
      <w:r w:rsidRPr="006B3EDD">
        <w:t xml:space="preserve">ode of the </w:t>
      </w:r>
      <w:r>
        <w:t>international patent s</w:t>
      </w:r>
      <w:r w:rsidRPr="006B3EDD">
        <w:t>ystem</w:t>
      </w:r>
      <w:r>
        <w:t>;  d</w:t>
      </w:r>
      <w:r w:rsidRPr="006B3EDD">
        <w:t xml:space="preserve">iscussions by Member States on </w:t>
      </w:r>
      <w:r>
        <w:t xml:space="preserve">most of </w:t>
      </w:r>
      <w:r w:rsidRPr="006B3EDD">
        <w:t>these proposals w</w:t>
      </w:r>
      <w:r>
        <w:t xml:space="preserve">ould </w:t>
      </w:r>
      <w:r w:rsidRPr="006B3EDD">
        <w:t>continue in the Working Group at its upcoming 2014 session.</w:t>
      </w:r>
    </w:p>
    <w:p w:rsidR="000043CA" w:rsidRPr="006B3EDD" w:rsidRDefault="000043CA" w:rsidP="000043CA">
      <w:pPr>
        <w:pStyle w:val="ONUME"/>
      </w:pPr>
      <w:r>
        <w:t>The Secretariat highlight</w:t>
      </w:r>
      <w:r w:rsidR="00EB28F0">
        <w:t>ed</w:t>
      </w:r>
      <w:r>
        <w:t xml:space="preserve"> </w:t>
      </w:r>
      <w:r w:rsidRPr="006B3EDD">
        <w:t xml:space="preserve">the issue of criteria and procedures for appointment of </w:t>
      </w:r>
      <w:r>
        <w:t>I</w:t>
      </w:r>
      <w:r w:rsidRPr="006B3EDD">
        <w:t xml:space="preserve">nternational </w:t>
      </w:r>
      <w:r>
        <w:t>A</w:t>
      </w:r>
      <w:r w:rsidRPr="006B3EDD">
        <w:t>uthorities</w:t>
      </w:r>
      <w:r w:rsidR="00EB28F0">
        <w:t>, which had been discussed by the Working Group at its sixth session</w:t>
      </w:r>
      <w:r w:rsidRPr="006B3EDD">
        <w:t xml:space="preserve">.  </w:t>
      </w:r>
      <w:r>
        <w:t xml:space="preserve">In this </w:t>
      </w:r>
      <w:r w:rsidRPr="006B3EDD">
        <w:t xml:space="preserve">regard, the Working Group </w:t>
      </w:r>
      <w:r>
        <w:t xml:space="preserve">had </w:t>
      </w:r>
      <w:r w:rsidRPr="006B3EDD">
        <w:t xml:space="preserve">agreed to recommend to the Assembly that the </w:t>
      </w:r>
      <w:r w:rsidR="00EB28F0">
        <w:t>I</w:t>
      </w:r>
      <w:r w:rsidRPr="006B3EDD">
        <w:t xml:space="preserve">nternational Bureau should undertake a </w:t>
      </w:r>
      <w:r>
        <w:t>re</w:t>
      </w:r>
      <w:r w:rsidRPr="006B3EDD">
        <w:t xml:space="preserve">view of the </w:t>
      </w:r>
      <w:r>
        <w:t>c</w:t>
      </w:r>
      <w:r w:rsidRPr="006B3EDD">
        <w:t>urrent criteria and procedures</w:t>
      </w:r>
      <w:r>
        <w:t>,</w:t>
      </w:r>
      <w:r w:rsidRPr="006B3EDD">
        <w:t xml:space="preserve"> in coordination</w:t>
      </w:r>
      <w:r w:rsidR="00C54F7F">
        <w:t>,</w:t>
      </w:r>
      <w:r w:rsidRPr="006B3EDD">
        <w:t xml:space="preserve"> where appropriate</w:t>
      </w:r>
      <w:r w:rsidR="00C54F7F">
        <w:t>,</w:t>
      </w:r>
      <w:r w:rsidRPr="006B3EDD">
        <w:t xml:space="preserve"> with </w:t>
      </w:r>
      <w:r>
        <w:t>the M</w:t>
      </w:r>
      <w:r w:rsidRPr="006B3EDD">
        <w:t xml:space="preserve">eeting of </w:t>
      </w:r>
      <w:r>
        <w:t>I</w:t>
      </w:r>
      <w:r w:rsidRPr="006B3EDD">
        <w:t xml:space="preserve">nternational </w:t>
      </w:r>
      <w:r>
        <w:t>A</w:t>
      </w:r>
      <w:r w:rsidRPr="006B3EDD">
        <w:t>uthorities</w:t>
      </w:r>
      <w:r>
        <w:t>,</w:t>
      </w:r>
      <w:r w:rsidRPr="006B3EDD">
        <w:t xml:space="preserve"> for discussion by the Working Group at its next session in 2014.</w:t>
      </w:r>
      <w:r>
        <w:t xml:space="preserve">  C</w:t>
      </w:r>
      <w:r w:rsidRPr="006B3EDD">
        <w:t xml:space="preserve">onsequently, the Assembly </w:t>
      </w:r>
      <w:r>
        <w:t>was</w:t>
      </w:r>
      <w:r w:rsidRPr="006B3EDD">
        <w:t xml:space="preserve"> invited to approve this specific recommendation by the Working Group.</w:t>
      </w:r>
      <w:r w:rsidR="009C7C96">
        <w:t xml:space="preserve">  </w:t>
      </w:r>
      <w:r>
        <w:t xml:space="preserve">Finally, </w:t>
      </w:r>
      <w:r w:rsidRPr="006B3EDD">
        <w:t xml:space="preserve">the Working Group </w:t>
      </w:r>
      <w:r>
        <w:t xml:space="preserve">had </w:t>
      </w:r>
      <w:r w:rsidRPr="006B3EDD">
        <w:t xml:space="preserve">agreed on a number of proposed amendments to the PCT </w:t>
      </w:r>
      <w:r>
        <w:t>R</w:t>
      </w:r>
      <w:r w:rsidRPr="006B3EDD">
        <w:t>egulations</w:t>
      </w:r>
      <w:r>
        <w:t xml:space="preserve"> for approval by the Assembly at its present session, as set out in document PCT/A/44/3</w:t>
      </w:r>
      <w:r w:rsidRPr="006B3EDD">
        <w:t>.</w:t>
      </w:r>
    </w:p>
    <w:p w:rsidR="000043CA" w:rsidRPr="006B3EDD" w:rsidRDefault="000043CA" w:rsidP="00121E5F">
      <w:pPr>
        <w:pStyle w:val="ONUME"/>
      </w:pPr>
      <w:r w:rsidRPr="003C11ED">
        <w:t xml:space="preserve">The Delegation of Japan </w:t>
      </w:r>
      <w:r w:rsidR="00E54650" w:rsidRPr="003C11ED">
        <w:t xml:space="preserve">stated </w:t>
      </w:r>
      <w:r w:rsidR="00EB28F0" w:rsidRPr="003C11ED">
        <w:t>that th</w:t>
      </w:r>
      <w:r w:rsidRPr="003C11ED">
        <w:t>e number of international patent applications filed under the PCT ha</w:t>
      </w:r>
      <w:r w:rsidR="00E54650" w:rsidRPr="00F563BD">
        <w:t>d</w:t>
      </w:r>
      <w:r w:rsidRPr="00F563BD">
        <w:t xml:space="preserve"> increased and the PCT </w:t>
      </w:r>
      <w:r w:rsidR="00E54650" w:rsidRPr="00F563BD">
        <w:t>was</w:t>
      </w:r>
      <w:r w:rsidRPr="00F563BD">
        <w:t xml:space="preserve"> now a </w:t>
      </w:r>
      <w:r w:rsidR="00E54650" w:rsidRPr="00F563BD">
        <w:t xml:space="preserve">truly </w:t>
      </w:r>
      <w:r w:rsidRPr="00F563BD">
        <w:t>global framework</w:t>
      </w:r>
      <w:r w:rsidR="00E54650" w:rsidRPr="00F563BD">
        <w:t>,</w:t>
      </w:r>
      <w:r w:rsidRPr="00F563BD">
        <w:t xml:space="preserve"> enabling applicants to file patent applications worldwide.  However, there </w:t>
      </w:r>
      <w:r w:rsidR="00F7163E">
        <w:t xml:space="preserve">was </w:t>
      </w:r>
      <w:r w:rsidRPr="00F563BD">
        <w:t xml:space="preserve">still room for improvement </w:t>
      </w:r>
      <w:r w:rsidR="00E54650" w:rsidRPr="00F563BD">
        <w:t xml:space="preserve">of </w:t>
      </w:r>
      <w:r w:rsidRPr="00F563BD">
        <w:t>the PCT system.</w:t>
      </w:r>
      <w:r w:rsidR="00E54650" w:rsidRPr="00F563BD">
        <w:t xml:space="preserve">  Member States</w:t>
      </w:r>
      <w:r w:rsidRPr="00F563BD">
        <w:t xml:space="preserve"> ha</w:t>
      </w:r>
      <w:r w:rsidR="00E54650" w:rsidRPr="00F563BD">
        <w:t>d</w:t>
      </w:r>
      <w:r w:rsidRPr="00F563BD">
        <w:t xml:space="preserve"> an important mission to fulfill, which </w:t>
      </w:r>
      <w:r w:rsidR="00E54650" w:rsidRPr="00F563BD">
        <w:t>was</w:t>
      </w:r>
      <w:r w:rsidRPr="00F563BD">
        <w:t xml:space="preserve"> to maximize the benefits of the PCT system and to further improve it in order to create a more user</w:t>
      </w:r>
      <w:r w:rsidR="00C54F7F" w:rsidRPr="00F563BD">
        <w:noBreakHyphen/>
      </w:r>
      <w:r w:rsidRPr="00F563BD">
        <w:t xml:space="preserve">friendly system.  </w:t>
      </w:r>
      <w:r w:rsidR="00E54650" w:rsidRPr="00F563BD">
        <w:t xml:space="preserve">Against this background, </w:t>
      </w:r>
      <w:r w:rsidRPr="00F563BD">
        <w:t xml:space="preserve">Japan </w:t>
      </w:r>
      <w:r w:rsidR="00E54650" w:rsidRPr="00F563BD">
        <w:t xml:space="preserve">had </w:t>
      </w:r>
      <w:r w:rsidRPr="00F563BD">
        <w:t xml:space="preserve">submitted the PCT </w:t>
      </w:r>
      <w:r w:rsidR="00E54650" w:rsidRPr="00F563BD">
        <w:t xml:space="preserve">Kaizen </w:t>
      </w:r>
      <w:r w:rsidRPr="00F563BD">
        <w:t xml:space="preserve">proposal at the </w:t>
      </w:r>
      <w:r w:rsidR="00E54650" w:rsidRPr="00F563BD">
        <w:t xml:space="preserve">most recent session of the </w:t>
      </w:r>
      <w:r w:rsidRPr="00F563BD">
        <w:t xml:space="preserve">PCT </w:t>
      </w:r>
      <w:r w:rsidR="00E54650" w:rsidRPr="00F563BD">
        <w:t>W</w:t>
      </w:r>
      <w:r w:rsidRPr="00F563BD">
        <w:t xml:space="preserve">orking </w:t>
      </w:r>
      <w:r w:rsidR="00E54650" w:rsidRPr="00F563BD">
        <w:t xml:space="preserve">Group, aimed at </w:t>
      </w:r>
      <w:r w:rsidRPr="00F563BD">
        <w:t>creat</w:t>
      </w:r>
      <w:r w:rsidR="00E54650" w:rsidRPr="00F563BD">
        <w:t>ing</w:t>
      </w:r>
      <w:r w:rsidRPr="00F563BD">
        <w:t xml:space="preserve"> a common understanding of the future direction of the PCT system.  Having obtained broad support for </w:t>
      </w:r>
      <w:r w:rsidR="00E54650" w:rsidRPr="00F563BD">
        <w:t xml:space="preserve">its </w:t>
      </w:r>
      <w:r w:rsidRPr="00F563BD">
        <w:t xml:space="preserve">PCT </w:t>
      </w:r>
      <w:r w:rsidR="00E54650" w:rsidRPr="00F563BD">
        <w:t xml:space="preserve">Kaizen </w:t>
      </w:r>
      <w:r w:rsidRPr="00F563BD">
        <w:t xml:space="preserve">proposal </w:t>
      </w:r>
      <w:r w:rsidR="00444D21" w:rsidRPr="00F563BD">
        <w:t>from</w:t>
      </w:r>
      <w:r w:rsidR="00E54650" w:rsidRPr="00F563BD">
        <w:t xml:space="preserve"> </w:t>
      </w:r>
      <w:r w:rsidRPr="00F563BD">
        <w:t xml:space="preserve">Member States, </w:t>
      </w:r>
      <w:r w:rsidR="00E54650" w:rsidRPr="00F563BD">
        <w:t xml:space="preserve">Japan </w:t>
      </w:r>
      <w:r w:rsidRPr="00F563BD">
        <w:t>wish</w:t>
      </w:r>
      <w:r w:rsidR="00E54650" w:rsidRPr="00F563BD">
        <w:t>ed</w:t>
      </w:r>
      <w:r w:rsidRPr="00F563BD">
        <w:t xml:space="preserve"> to further elaborate on the proposal at the </w:t>
      </w:r>
      <w:r w:rsidR="00E54650" w:rsidRPr="00F563BD">
        <w:t xml:space="preserve">next </w:t>
      </w:r>
      <w:r w:rsidRPr="00F563BD">
        <w:t xml:space="preserve">session of the PCT Working Group.  </w:t>
      </w:r>
      <w:r w:rsidR="00E54650" w:rsidRPr="00F563BD">
        <w:t xml:space="preserve">The Delegation </w:t>
      </w:r>
      <w:r w:rsidRPr="00F563BD">
        <w:t>also welcome</w:t>
      </w:r>
      <w:r w:rsidR="00E54650" w:rsidRPr="00F563BD">
        <w:t>d</w:t>
      </w:r>
      <w:r w:rsidRPr="00F563BD">
        <w:t xml:space="preserve"> the proposal</w:t>
      </w:r>
      <w:r w:rsidR="00E54650" w:rsidRPr="00F563BD">
        <w:t>s</w:t>
      </w:r>
      <w:r w:rsidRPr="00F563BD">
        <w:t xml:space="preserve"> on PCT improvements </w:t>
      </w:r>
      <w:r w:rsidR="00E54650" w:rsidRPr="00F563BD">
        <w:t xml:space="preserve">which had been </w:t>
      </w:r>
      <w:r w:rsidRPr="00F563BD">
        <w:t>made by the United States</w:t>
      </w:r>
      <w:r w:rsidR="00444D21" w:rsidRPr="00F563BD">
        <w:t xml:space="preserve"> of America</w:t>
      </w:r>
      <w:r w:rsidRPr="00F563BD">
        <w:t xml:space="preserve">, </w:t>
      </w:r>
      <w:r w:rsidR="00E54650" w:rsidRPr="00F563BD">
        <w:t xml:space="preserve">the United Kingdom, the </w:t>
      </w:r>
      <w:r w:rsidRPr="00F563BD">
        <w:t xml:space="preserve">European Patent Office </w:t>
      </w:r>
      <w:r w:rsidR="00885243">
        <w:t xml:space="preserve">(EPO) </w:t>
      </w:r>
      <w:r w:rsidRPr="00F563BD">
        <w:t xml:space="preserve">and Brazil.  </w:t>
      </w:r>
      <w:r w:rsidR="00C54F7F" w:rsidRPr="00F563BD">
        <w:t xml:space="preserve">The Delegation expected practical </w:t>
      </w:r>
      <w:r w:rsidR="00F7163E">
        <w:t xml:space="preserve">and productive </w:t>
      </w:r>
      <w:r w:rsidR="00C54F7F" w:rsidRPr="00F563BD">
        <w:t xml:space="preserve">discussions to bear </w:t>
      </w:r>
      <w:r w:rsidR="00F7163E">
        <w:t xml:space="preserve">meaningful and valuable </w:t>
      </w:r>
      <w:r w:rsidR="00C54F7F" w:rsidRPr="00F563BD">
        <w:t xml:space="preserve">fruit, allowing </w:t>
      </w:r>
      <w:r w:rsidRPr="00F563BD">
        <w:t xml:space="preserve">the PCT </w:t>
      </w:r>
      <w:r w:rsidR="00C54F7F" w:rsidRPr="00F563BD">
        <w:t xml:space="preserve">to </w:t>
      </w:r>
      <w:r w:rsidRPr="00F563BD">
        <w:t>become a truly user</w:t>
      </w:r>
      <w:r w:rsidR="00C54F7F" w:rsidRPr="00F563BD">
        <w:noBreakHyphen/>
      </w:r>
      <w:r w:rsidRPr="00F563BD">
        <w:t>friendly system.</w:t>
      </w:r>
      <w:r w:rsidR="00121E5F">
        <w:t xml:space="preserve">  </w:t>
      </w:r>
      <w:r w:rsidR="00E954CD">
        <w:t xml:space="preserve">The Delegation further </w:t>
      </w:r>
      <w:r w:rsidR="006C7119">
        <w:t xml:space="preserve">agreed that </w:t>
      </w:r>
      <w:r w:rsidR="00E954CD">
        <w:t xml:space="preserve">the </w:t>
      </w:r>
      <w:r w:rsidR="006C7119">
        <w:t xml:space="preserve">issue of </w:t>
      </w:r>
      <w:r w:rsidRPr="006B3EDD">
        <w:t>the criteria and the procedure</w:t>
      </w:r>
      <w:r w:rsidR="00E954CD">
        <w:t>s</w:t>
      </w:r>
      <w:r w:rsidRPr="006B3EDD">
        <w:t xml:space="preserve"> for </w:t>
      </w:r>
      <w:r w:rsidR="006C7119">
        <w:t xml:space="preserve">the appointment of </w:t>
      </w:r>
      <w:r w:rsidR="00E954CD">
        <w:t>International Searching and Preliminary Examining Authorities</w:t>
      </w:r>
      <w:r w:rsidRPr="006B3EDD">
        <w:t xml:space="preserve"> should be discussed at the next </w:t>
      </w:r>
      <w:r w:rsidR="00E954CD">
        <w:t xml:space="preserve">session of the </w:t>
      </w:r>
      <w:r w:rsidRPr="006B3EDD">
        <w:t xml:space="preserve">PCT </w:t>
      </w:r>
      <w:r w:rsidR="00E954CD">
        <w:t>Working Group</w:t>
      </w:r>
      <w:r w:rsidRPr="006B3EDD">
        <w:t xml:space="preserve">.  </w:t>
      </w:r>
      <w:r w:rsidR="00E954CD">
        <w:t xml:space="preserve">It expressed </w:t>
      </w:r>
      <w:r w:rsidRPr="006B3EDD">
        <w:t xml:space="preserve">the view that it </w:t>
      </w:r>
      <w:r w:rsidR="00E954CD">
        <w:t>was</w:t>
      </w:r>
      <w:r w:rsidRPr="006B3EDD">
        <w:t xml:space="preserve"> important to review whether th</w:t>
      </w:r>
      <w:r w:rsidR="00E954CD">
        <w:t>e</w:t>
      </w:r>
      <w:r w:rsidRPr="006B3EDD">
        <w:t xml:space="preserve"> existing criteria and procedures </w:t>
      </w:r>
      <w:r w:rsidR="00E954CD">
        <w:t>were</w:t>
      </w:r>
      <w:r w:rsidRPr="006B3EDD">
        <w:t xml:space="preserve"> adequately addressing not only the technical scope</w:t>
      </w:r>
      <w:r w:rsidR="00444D21">
        <w:t xml:space="preserve"> of applications</w:t>
      </w:r>
      <w:r w:rsidR="00E954CD">
        <w:t>,</w:t>
      </w:r>
      <w:r w:rsidRPr="006B3EDD">
        <w:t xml:space="preserve"> which ha</w:t>
      </w:r>
      <w:r w:rsidR="00E954CD">
        <w:t>d</w:t>
      </w:r>
      <w:r w:rsidRPr="006B3EDD">
        <w:t xml:space="preserve"> expanded and become </w:t>
      </w:r>
      <w:r w:rsidR="005C587E">
        <w:t xml:space="preserve">more </w:t>
      </w:r>
      <w:r w:rsidRPr="006B3EDD">
        <w:t>complicated</w:t>
      </w:r>
      <w:r w:rsidR="00E954CD">
        <w:t xml:space="preserve"> in recent years</w:t>
      </w:r>
      <w:r w:rsidRPr="006B3EDD">
        <w:t>, but also the development of information technology.</w:t>
      </w:r>
    </w:p>
    <w:p w:rsidR="000043CA" w:rsidRPr="006B3EDD" w:rsidRDefault="00E954CD" w:rsidP="000043CA">
      <w:pPr>
        <w:pStyle w:val="ONUME"/>
      </w:pPr>
      <w:r>
        <w:t xml:space="preserve">The Delegation of Belgium, speaking on behalf of Group B, stated that it wished to thank the Chair of the most recent session of the PCT Working Group </w:t>
      </w:r>
      <w:r w:rsidR="000043CA" w:rsidRPr="006B3EDD">
        <w:t xml:space="preserve">for his efficient </w:t>
      </w:r>
      <w:r>
        <w:t>c</w:t>
      </w:r>
      <w:r w:rsidR="000043CA" w:rsidRPr="006B3EDD">
        <w:t xml:space="preserve">hairing of the </w:t>
      </w:r>
      <w:r>
        <w:t>meeting</w:t>
      </w:r>
      <w:r w:rsidR="000043CA" w:rsidRPr="006B3EDD">
        <w:t>.  In a similar vein</w:t>
      </w:r>
      <w:r>
        <w:t>, it wished to t</w:t>
      </w:r>
      <w:r w:rsidR="000043CA" w:rsidRPr="006B3EDD">
        <w:t>hank the Secretariat for the work done over the past year.  Group B welcome</w:t>
      </w:r>
      <w:r>
        <w:t>d</w:t>
      </w:r>
      <w:r w:rsidR="000043CA" w:rsidRPr="006B3EDD">
        <w:t xml:space="preserve"> the progress that </w:t>
      </w:r>
      <w:r>
        <w:t xml:space="preserve">had been </w:t>
      </w:r>
      <w:r w:rsidR="000043CA" w:rsidRPr="006B3EDD">
        <w:t xml:space="preserve">made towards improving the operation of the PCT system.  </w:t>
      </w:r>
      <w:r>
        <w:t xml:space="preserve">It </w:t>
      </w:r>
      <w:r w:rsidR="000043CA" w:rsidRPr="006B3EDD">
        <w:t>believe</w:t>
      </w:r>
      <w:r>
        <w:t>d</w:t>
      </w:r>
      <w:r w:rsidR="000043CA" w:rsidRPr="006B3EDD">
        <w:t xml:space="preserve"> that a more efficient PCT system c</w:t>
      </w:r>
      <w:r>
        <w:t>ould</w:t>
      </w:r>
      <w:r w:rsidR="000043CA" w:rsidRPr="006B3EDD">
        <w:t xml:space="preserve"> bring benefits to both </w:t>
      </w:r>
      <w:r>
        <w:t>O</w:t>
      </w:r>
      <w:r w:rsidR="000043CA" w:rsidRPr="006B3EDD">
        <w:t>ffices and users.</w:t>
      </w:r>
      <w:r w:rsidR="00266B55">
        <w:t xml:space="preserve">  It </w:t>
      </w:r>
      <w:r w:rsidR="000043CA" w:rsidRPr="006B3EDD">
        <w:t>believe</w:t>
      </w:r>
      <w:r>
        <w:t>d</w:t>
      </w:r>
      <w:r w:rsidR="000043CA" w:rsidRPr="006B3EDD">
        <w:t xml:space="preserve"> that further work and discussions on </w:t>
      </w:r>
      <w:r>
        <w:t xml:space="preserve">the issue of </w:t>
      </w:r>
      <w:r w:rsidR="000043CA" w:rsidRPr="006B3EDD">
        <w:t xml:space="preserve">fee reductions </w:t>
      </w:r>
      <w:r>
        <w:t>w</w:t>
      </w:r>
      <w:r w:rsidR="00444D21">
        <w:t>ere</w:t>
      </w:r>
      <w:r w:rsidR="000043CA" w:rsidRPr="006B3EDD">
        <w:t xml:space="preserve"> urgently needed in order to develop a system of fee reduction</w:t>
      </w:r>
      <w:r>
        <w:t>s</w:t>
      </w:r>
      <w:r w:rsidR="000043CA" w:rsidRPr="006B3EDD">
        <w:t xml:space="preserve"> that </w:t>
      </w:r>
      <w:r>
        <w:t xml:space="preserve">took </w:t>
      </w:r>
      <w:r w:rsidR="000043CA" w:rsidRPr="006B3EDD">
        <w:t>into account changes that ha</w:t>
      </w:r>
      <w:r>
        <w:t>d</w:t>
      </w:r>
      <w:r w:rsidR="000043CA" w:rsidRPr="006B3EDD">
        <w:t xml:space="preserve"> occurred in the economy worldwide.  </w:t>
      </w:r>
      <w:r>
        <w:t xml:space="preserve">It </w:t>
      </w:r>
      <w:r w:rsidR="000043CA" w:rsidRPr="006B3EDD">
        <w:t>therefore look</w:t>
      </w:r>
      <w:r>
        <w:t>ed</w:t>
      </w:r>
      <w:r w:rsidR="000043CA" w:rsidRPr="006B3EDD">
        <w:t xml:space="preserve"> forward to </w:t>
      </w:r>
      <w:r>
        <w:t xml:space="preserve">the </w:t>
      </w:r>
      <w:r w:rsidR="000043CA" w:rsidRPr="006B3EDD">
        <w:t xml:space="preserve">study </w:t>
      </w:r>
      <w:r>
        <w:t xml:space="preserve">by the International Bureau on this issue, </w:t>
      </w:r>
      <w:r w:rsidR="000043CA" w:rsidRPr="006B3EDD">
        <w:t>linking the topic of fee reductions with notions such as</w:t>
      </w:r>
      <w:r>
        <w:t>, firstly,</w:t>
      </w:r>
      <w:r w:rsidR="000043CA" w:rsidRPr="006B3EDD">
        <w:t xml:space="preserve"> the variety of </w:t>
      </w:r>
      <w:r w:rsidR="005C587E">
        <w:t>definitions of small and medium</w:t>
      </w:r>
      <w:r w:rsidR="005C587E">
        <w:noBreakHyphen/>
      </w:r>
      <w:r w:rsidR="000043CA" w:rsidRPr="006B3EDD">
        <w:t xml:space="preserve">sized enterprises </w:t>
      </w:r>
      <w:r w:rsidR="00885243">
        <w:t xml:space="preserve">(SMEs) </w:t>
      </w:r>
      <w:r>
        <w:t xml:space="preserve">that are </w:t>
      </w:r>
      <w:r w:rsidR="000043CA" w:rsidRPr="006B3EDD">
        <w:t>use</w:t>
      </w:r>
      <w:r>
        <w:t>d</w:t>
      </w:r>
      <w:r w:rsidR="000043CA" w:rsidRPr="006B3EDD">
        <w:t xml:space="preserve"> for fee reduction</w:t>
      </w:r>
      <w:r>
        <w:t xml:space="preserve">s granted under </w:t>
      </w:r>
      <w:r w:rsidR="000043CA" w:rsidRPr="006B3EDD">
        <w:t>national and regional patent legislation</w:t>
      </w:r>
      <w:r>
        <w:t xml:space="preserve">;  secondly, </w:t>
      </w:r>
      <w:r w:rsidR="000043CA" w:rsidRPr="006B3EDD">
        <w:t>description</w:t>
      </w:r>
      <w:r>
        <w:t>s</w:t>
      </w:r>
      <w:r w:rsidR="000043CA" w:rsidRPr="006B3EDD">
        <w:t xml:space="preserve"> of mechanisms that </w:t>
      </w:r>
      <w:r>
        <w:t>were</w:t>
      </w:r>
      <w:r w:rsidR="000043CA" w:rsidRPr="006B3EDD">
        <w:t xml:space="preserve"> already in place in some countries in this area</w:t>
      </w:r>
      <w:r>
        <w:t xml:space="preserve">;  </w:t>
      </w:r>
      <w:r w:rsidR="000043CA" w:rsidRPr="006B3EDD">
        <w:t>and thirdly, the elasticity of fee reductions covering non</w:t>
      </w:r>
      <w:r w:rsidR="000043CA" w:rsidRPr="006B3EDD">
        <w:noBreakHyphen/>
        <w:t xml:space="preserve">profit research institutes and universities.  </w:t>
      </w:r>
      <w:r w:rsidR="00BE4836">
        <w:t xml:space="preserve">The Delegation </w:t>
      </w:r>
      <w:r w:rsidR="000043CA" w:rsidRPr="006B3EDD">
        <w:t>reiterate</w:t>
      </w:r>
      <w:r w:rsidR="00BE4836">
        <w:t>d</w:t>
      </w:r>
      <w:r w:rsidR="000043CA" w:rsidRPr="006B3EDD">
        <w:t xml:space="preserve"> that fee reductions should be financially sustainable and income </w:t>
      </w:r>
      <w:r w:rsidR="00BE4836">
        <w:t>neutral.</w:t>
      </w:r>
    </w:p>
    <w:p w:rsidR="000043CA" w:rsidRPr="006B3EDD" w:rsidRDefault="00BE4836" w:rsidP="000043CA">
      <w:pPr>
        <w:pStyle w:val="ONUME"/>
      </w:pPr>
      <w:r>
        <w:t xml:space="preserve">The Delegation of Chile stated that it wished </w:t>
      </w:r>
      <w:r w:rsidR="000043CA" w:rsidRPr="006B3EDD">
        <w:t xml:space="preserve">to take this opportunity </w:t>
      </w:r>
      <w:r>
        <w:t xml:space="preserve">to </w:t>
      </w:r>
      <w:r w:rsidR="000043CA" w:rsidRPr="006B3EDD">
        <w:t xml:space="preserve">once again thank the </w:t>
      </w:r>
      <w:r>
        <w:t xml:space="preserve">Member States </w:t>
      </w:r>
      <w:r w:rsidR="000043CA" w:rsidRPr="006B3EDD">
        <w:t xml:space="preserve">and the Secretariat for the trust they </w:t>
      </w:r>
      <w:r w:rsidR="00794FDB">
        <w:t xml:space="preserve">had </w:t>
      </w:r>
      <w:r w:rsidR="000043CA" w:rsidRPr="006B3EDD">
        <w:t xml:space="preserve">placed last year in </w:t>
      </w:r>
      <w:r>
        <w:t xml:space="preserve">appointing </w:t>
      </w:r>
      <w:r w:rsidR="000043CA" w:rsidRPr="006B3EDD">
        <w:t xml:space="preserve">the </w:t>
      </w:r>
      <w:r w:rsidR="000E1248">
        <w:t>National Institute of Industrial Property of Chile (INAPI) as an I</w:t>
      </w:r>
      <w:r w:rsidR="000043CA" w:rsidRPr="006B3EDD">
        <w:t xml:space="preserve">nternational </w:t>
      </w:r>
      <w:r w:rsidR="000E1248">
        <w:t>S</w:t>
      </w:r>
      <w:r w:rsidR="000043CA" w:rsidRPr="006B3EDD">
        <w:t xml:space="preserve">earching and </w:t>
      </w:r>
      <w:r w:rsidR="000E1248">
        <w:t>P</w:t>
      </w:r>
      <w:r w:rsidR="000043CA" w:rsidRPr="006B3EDD">
        <w:t xml:space="preserve">reliminary </w:t>
      </w:r>
      <w:r w:rsidR="000E1248">
        <w:t>E</w:t>
      </w:r>
      <w:r w:rsidR="000043CA" w:rsidRPr="006B3EDD">
        <w:t xml:space="preserve">xamining </w:t>
      </w:r>
      <w:r w:rsidR="000E1248">
        <w:t>A</w:t>
      </w:r>
      <w:r w:rsidR="000043CA" w:rsidRPr="006B3EDD">
        <w:t>uthority</w:t>
      </w:r>
      <w:r w:rsidR="000E1248">
        <w:t xml:space="preserve">.  </w:t>
      </w:r>
      <w:r w:rsidR="00794FDB">
        <w:t xml:space="preserve">INAPI would </w:t>
      </w:r>
      <w:r w:rsidR="000043CA" w:rsidRPr="006B3EDD">
        <w:t xml:space="preserve">begin </w:t>
      </w:r>
      <w:r w:rsidR="00794FDB">
        <w:t xml:space="preserve">its operations as an International Authority in October </w:t>
      </w:r>
      <w:r w:rsidR="000043CA" w:rsidRPr="006B3EDD">
        <w:t>2014</w:t>
      </w:r>
      <w:r w:rsidR="00794FDB">
        <w:t>,</w:t>
      </w:r>
      <w:r w:rsidR="000043CA" w:rsidRPr="006B3EDD">
        <w:t xml:space="preserve"> as already </w:t>
      </w:r>
      <w:r w:rsidR="00794FDB">
        <w:t>had been announced earlier</w:t>
      </w:r>
      <w:r w:rsidR="001468F1">
        <w:t xml:space="preserve"> (see document A/51/20)</w:t>
      </w:r>
      <w:r w:rsidR="000043CA" w:rsidRPr="006B3EDD">
        <w:t xml:space="preserve">.  </w:t>
      </w:r>
      <w:r w:rsidR="00794FDB">
        <w:t xml:space="preserve">The Delegation had made available </w:t>
      </w:r>
      <w:r w:rsidR="006C7119">
        <w:t>a brochure</w:t>
      </w:r>
      <w:r w:rsidR="00794FDB">
        <w:t xml:space="preserve">, setting out </w:t>
      </w:r>
      <w:r w:rsidR="000043CA" w:rsidRPr="006B3EDD">
        <w:t xml:space="preserve">the progress </w:t>
      </w:r>
      <w:r w:rsidR="00794FDB">
        <w:t xml:space="preserve">INAPI </w:t>
      </w:r>
      <w:r w:rsidR="000043CA" w:rsidRPr="006B3EDD">
        <w:t>ha</w:t>
      </w:r>
      <w:r w:rsidR="00794FDB">
        <w:t>d</w:t>
      </w:r>
      <w:r w:rsidR="000043CA" w:rsidRPr="006B3EDD">
        <w:t xml:space="preserve"> made in recent years</w:t>
      </w:r>
      <w:r w:rsidR="00794FDB">
        <w:t>, notably</w:t>
      </w:r>
      <w:r w:rsidR="000043CA" w:rsidRPr="006B3EDD">
        <w:t xml:space="preserve"> in terms of </w:t>
      </w:r>
      <w:r w:rsidR="00794FDB">
        <w:t xml:space="preserve">access to the PCT </w:t>
      </w:r>
      <w:r w:rsidR="000043CA" w:rsidRPr="006B3EDD">
        <w:t>minimum documentation</w:t>
      </w:r>
      <w:r w:rsidR="00794FDB">
        <w:t xml:space="preserve"> and </w:t>
      </w:r>
      <w:r w:rsidR="000043CA" w:rsidRPr="006B3EDD">
        <w:t>examiner training</w:t>
      </w:r>
      <w:r w:rsidR="00794FDB">
        <w:t>,</w:t>
      </w:r>
      <w:r w:rsidR="000043CA" w:rsidRPr="006B3EDD">
        <w:t xml:space="preserve"> for </w:t>
      </w:r>
      <w:r w:rsidR="000043CA" w:rsidRPr="006B3EDD">
        <w:lastRenderedPageBreak/>
        <w:t xml:space="preserve">which </w:t>
      </w:r>
      <w:r w:rsidR="00794FDB">
        <w:t xml:space="preserve">the Delegation </w:t>
      </w:r>
      <w:r w:rsidR="000043CA" w:rsidRPr="006B3EDD">
        <w:t>particularly like</w:t>
      </w:r>
      <w:r w:rsidR="00794FDB">
        <w:t>d</w:t>
      </w:r>
      <w:r w:rsidR="000043CA" w:rsidRPr="006B3EDD">
        <w:t xml:space="preserve"> to thank the </w:t>
      </w:r>
      <w:r w:rsidR="00794FDB">
        <w:t xml:space="preserve">IP Offices of the </w:t>
      </w:r>
      <w:r w:rsidR="000043CA" w:rsidRPr="006B3EDD">
        <w:t>U</w:t>
      </w:r>
      <w:r w:rsidR="00794FDB">
        <w:t>nited States of America</w:t>
      </w:r>
      <w:r w:rsidR="000043CA" w:rsidRPr="006B3EDD">
        <w:t>, Canada, China</w:t>
      </w:r>
      <w:r w:rsidR="00794FDB">
        <w:t xml:space="preserve"> and </w:t>
      </w:r>
      <w:r w:rsidR="000043CA" w:rsidRPr="006B3EDD">
        <w:t>Austria.</w:t>
      </w:r>
      <w:r w:rsidR="00794FDB">
        <w:t xml:space="preserve">  Furthermore, INAPI </w:t>
      </w:r>
      <w:r w:rsidR="000043CA" w:rsidRPr="006B3EDD">
        <w:t>ha</w:t>
      </w:r>
      <w:r w:rsidR="00794FDB">
        <w:t>d</w:t>
      </w:r>
      <w:r w:rsidR="000043CA" w:rsidRPr="006B3EDD">
        <w:t xml:space="preserve"> continued to improve the design of </w:t>
      </w:r>
      <w:r w:rsidR="00794FDB">
        <w:t xml:space="preserve">its </w:t>
      </w:r>
      <w:r w:rsidR="000043CA" w:rsidRPr="006B3EDD">
        <w:t>quality control systems.</w:t>
      </w:r>
    </w:p>
    <w:p w:rsidR="000043CA" w:rsidRPr="00F563BD" w:rsidRDefault="00794FDB" w:rsidP="000043CA">
      <w:pPr>
        <w:pStyle w:val="ONUME"/>
      </w:pPr>
      <w:r w:rsidRPr="003C11ED">
        <w:t xml:space="preserve">The Delegation of El Salvador </w:t>
      </w:r>
      <w:r w:rsidR="00B94169" w:rsidRPr="00F563BD">
        <w:t xml:space="preserve">stated that, while it generally supported further </w:t>
      </w:r>
      <w:r w:rsidR="000043CA" w:rsidRPr="00F563BD">
        <w:t xml:space="preserve">work </w:t>
      </w:r>
      <w:r w:rsidR="00B94169" w:rsidRPr="00F563BD">
        <w:t xml:space="preserve">in </w:t>
      </w:r>
      <w:r w:rsidR="000043CA" w:rsidRPr="00F563BD">
        <w:t>the PCT Working Group</w:t>
      </w:r>
      <w:r w:rsidR="00B94169" w:rsidRPr="00F563BD">
        <w:t xml:space="preserve">, </w:t>
      </w:r>
      <w:r w:rsidR="000043CA" w:rsidRPr="00F563BD">
        <w:t xml:space="preserve">including modifications to </w:t>
      </w:r>
      <w:r w:rsidR="00B94169" w:rsidRPr="00F563BD">
        <w:t>the PCT R</w:t>
      </w:r>
      <w:r w:rsidR="000043CA" w:rsidRPr="00F563BD">
        <w:t xml:space="preserve">egulations, </w:t>
      </w:r>
      <w:r w:rsidR="00B94169" w:rsidRPr="00F563BD">
        <w:t xml:space="preserve">Member States </w:t>
      </w:r>
      <w:r w:rsidR="000043CA" w:rsidRPr="00F563BD">
        <w:t>need</w:t>
      </w:r>
      <w:r w:rsidR="00B94169" w:rsidRPr="00F563BD">
        <w:t>ed</w:t>
      </w:r>
      <w:r w:rsidR="000043CA" w:rsidRPr="00F563BD">
        <w:t xml:space="preserve"> to consider what </w:t>
      </w:r>
      <w:r w:rsidR="00B94169" w:rsidRPr="00F563BD">
        <w:t>had been achieved so far in terms of implementation of the PCT Roadmap</w:t>
      </w:r>
      <w:r w:rsidR="00444D21" w:rsidRPr="00F563BD">
        <w:t>.  I</w:t>
      </w:r>
      <w:r w:rsidR="006C7119" w:rsidRPr="00F563BD">
        <w:t>n this context</w:t>
      </w:r>
      <w:r w:rsidR="00444D21" w:rsidRPr="00F563BD">
        <w:t>, Member States</w:t>
      </w:r>
      <w:r w:rsidR="006C7119" w:rsidRPr="00F563BD">
        <w:t xml:space="preserve"> </w:t>
      </w:r>
      <w:r w:rsidR="00B94169" w:rsidRPr="00F563BD">
        <w:t xml:space="preserve">needed to take into </w:t>
      </w:r>
      <w:proofErr w:type="gramStart"/>
      <w:r w:rsidR="00B94169" w:rsidRPr="00F563BD">
        <w:t>account</w:t>
      </w:r>
      <w:r w:rsidR="00E37FC2">
        <w:t>,</w:t>
      </w:r>
      <w:proofErr w:type="gramEnd"/>
      <w:r w:rsidR="00B94169" w:rsidRPr="00F563BD">
        <w:t xml:space="preserve"> in particular</w:t>
      </w:r>
      <w:r w:rsidR="00E37FC2">
        <w:t>,</w:t>
      </w:r>
      <w:r w:rsidR="00B94169" w:rsidRPr="00F563BD">
        <w:t xml:space="preserve"> the development aims of the Treaty </w:t>
      </w:r>
      <w:r w:rsidR="000043CA" w:rsidRPr="00F563BD">
        <w:t xml:space="preserve">before taking </w:t>
      </w:r>
      <w:r w:rsidR="00B94169" w:rsidRPr="00F563BD">
        <w:t xml:space="preserve">any </w:t>
      </w:r>
      <w:r w:rsidR="000043CA" w:rsidRPr="00F563BD">
        <w:t>further steps</w:t>
      </w:r>
      <w:r w:rsidR="00B94169" w:rsidRPr="00F563BD">
        <w:t>.</w:t>
      </w:r>
    </w:p>
    <w:p w:rsidR="000043CA" w:rsidRPr="006B3EDD" w:rsidRDefault="00B94169" w:rsidP="00121E5F">
      <w:pPr>
        <w:pStyle w:val="ONUME"/>
      </w:pPr>
      <w:r>
        <w:t xml:space="preserve">The Delegation of the United States of America stated that it </w:t>
      </w:r>
      <w:r w:rsidR="000043CA" w:rsidRPr="006B3EDD">
        <w:t>support</w:t>
      </w:r>
      <w:r>
        <w:t>ed</w:t>
      </w:r>
      <w:r w:rsidR="000043CA" w:rsidRPr="006B3EDD">
        <w:t xml:space="preserve"> the statement </w:t>
      </w:r>
      <w:r>
        <w:t xml:space="preserve">by the Delegation of Belgium on behalf of </w:t>
      </w:r>
      <w:r w:rsidR="000043CA" w:rsidRPr="006B3EDD">
        <w:t xml:space="preserve">Group B.  </w:t>
      </w:r>
      <w:r>
        <w:t>It had noted t</w:t>
      </w:r>
      <w:r w:rsidR="000043CA" w:rsidRPr="006B3EDD">
        <w:t xml:space="preserve">he summary by the Chair of the sixth session </w:t>
      </w:r>
      <w:r>
        <w:t xml:space="preserve">of the PCT Working Group </w:t>
      </w:r>
      <w:r w:rsidR="000043CA" w:rsidRPr="006B3EDD">
        <w:t xml:space="preserve">contained in </w:t>
      </w:r>
      <w:r>
        <w:t xml:space="preserve">document </w:t>
      </w:r>
      <w:r w:rsidR="000043CA" w:rsidRPr="006B3EDD">
        <w:t xml:space="preserve">PCT/WG/6/23 </w:t>
      </w:r>
      <w:r>
        <w:t>and</w:t>
      </w:r>
      <w:r w:rsidR="000043CA" w:rsidRPr="006B3EDD">
        <w:t xml:space="preserve"> look</w:t>
      </w:r>
      <w:r>
        <w:t>ed</w:t>
      </w:r>
      <w:r w:rsidR="000043CA" w:rsidRPr="006B3EDD">
        <w:t xml:space="preserve"> forward to the report of th</w:t>
      </w:r>
      <w:r w:rsidR="00444D21">
        <w:t>e</w:t>
      </w:r>
      <w:r>
        <w:t xml:space="preserve"> session</w:t>
      </w:r>
      <w:r w:rsidR="000043CA" w:rsidRPr="006B3EDD">
        <w:t xml:space="preserve">.  </w:t>
      </w:r>
      <w:r>
        <w:t xml:space="preserve">The Delegation supported approval of </w:t>
      </w:r>
      <w:r w:rsidR="000043CA" w:rsidRPr="006B3EDD">
        <w:t xml:space="preserve">the recommendation by the Working Group concerning </w:t>
      </w:r>
      <w:r>
        <w:t xml:space="preserve">the </w:t>
      </w:r>
      <w:r w:rsidR="000043CA" w:rsidRPr="006B3EDD">
        <w:t xml:space="preserve">review of the criteria and procedures for appointment of an </w:t>
      </w:r>
      <w:r>
        <w:t>O</w:t>
      </w:r>
      <w:r w:rsidR="000043CA" w:rsidRPr="006B3EDD">
        <w:t xml:space="preserve">ffice as an </w:t>
      </w:r>
      <w:r>
        <w:t xml:space="preserve">International Searching and Preliminary Examining Authority </w:t>
      </w:r>
      <w:r w:rsidR="000043CA" w:rsidRPr="006B3EDD">
        <w:t xml:space="preserve">under the PCT.  Attention to work product quality as well as timeliness </w:t>
      </w:r>
      <w:r>
        <w:t>was</w:t>
      </w:r>
      <w:r w:rsidR="000043CA" w:rsidRPr="006B3EDD">
        <w:t xml:space="preserve"> critical to the continuous success of the PCT system.  The </w:t>
      </w:r>
      <w:r>
        <w:t xml:space="preserve">Delegation further </w:t>
      </w:r>
      <w:r w:rsidR="000043CA" w:rsidRPr="006B3EDD">
        <w:t>support</w:t>
      </w:r>
      <w:r>
        <w:t>ed</w:t>
      </w:r>
      <w:r w:rsidR="000043CA" w:rsidRPr="006B3EDD">
        <w:t xml:space="preserve"> </w:t>
      </w:r>
      <w:r>
        <w:t xml:space="preserve">the </w:t>
      </w:r>
      <w:r w:rsidR="000043CA" w:rsidRPr="006B3EDD">
        <w:t xml:space="preserve">approval of the recommendation </w:t>
      </w:r>
      <w:r>
        <w:t xml:space="preserve">by the Working Group that, </w:t>
      </w:r>
      <w:r w:rsidR="000043CA" w:rsidRPr="006B3EDD">
        <w:t>subject to sufficient funds</w:t>
      </w:r>
      <w:r>
        <w:t>,</w:t>
      </w:r>
      <w:r w:rsidR="000043CA" w:rsidRPr="006B3EDD">
        <w:t xml:space="preserve"> one session of the Working Group should be convened between the 2013 and 2014 sessions of the Assembly.</w:t>
      </w:r>
      <w:r w:rsidR="00121E5F">
        <w:t xml:space="preserve">  </w:t>
      </w:r>
      <w:r w:rsidR="005F4C15">
        <w:t xml:space="preserve">The Delegation further stated that, </w:t>
      </w:r>
      <w:r w:rsidR="006C7119">
        <w:t>in 2013</w:t>
      </w:r>
      <w:r w:rsidR="005F4C15">
        <w:t>,</w:t>
      </w:r>
      <w:r w:rsidR="000043CA" w:rsidRPr="006B3EDD">
        <w:t xml:space="preserve"> the Working Group ha</w:t>
      </w:r>
      <w:r w:rsidR="005F4C15">
        <w:t>d</w:t>
      </w:r>
      <w:r w:rsidR="000043CA" w:rsidRPr="006B3EDD">
        <w:t xml:space="preserve"> considered matters related to transparency and maintenance of expected quality within the PCT system and ha</w:t>
      </w:r>
      <w:r w:rsidR="005F4C15">
        <w:t>d</w:t>
      </w:r>
      <w:r w:rsidR="000043CA" w:rsidRPr="006B3EDD">
        <w:t xml:space="preserve"> agreed on ways to improve the system in these areas.  This work ha</w:t>
      </w:r>
      <w:r w:rsidR="006C579E">
        <w:t>d</w:t>
      </w:r>
      <w:r w:rsidR="000043CA" w:rsidRPr="006B3EDD">
        <w:t xml:space="preserve"> resulted in the amendments to the </w:t>
      </w:r>
      <w:r w:rsidR="006C579E">
        <w:t>PCT R</w:t>
      </w:r>
      <w:r w:rsidR="000043CA" w:rsidRPr="006B3EDD">
        <w:t xml:space="preserve">egulations </w:t>
      </w:r>
      <w:r w:rsidR="006C579E">
        <w:t xml:space="preserve">as set out in document </w:t>
      </w:r>
      <w:r w:rsidR="000043CA" w:rsidRPr="006B3EDD">
        <w:t xml:space="preserve">PCT/A/44/3.  </w:t>
      </w:r>
      <w:r w:rsidR="006C579E">
        <w:t xml:space="preserve">It </w:t>
      </w:r>
      <w:r w:rsidR="000043CA" w:rsidRPr="006B3EDD">
        <w:t>commend</w:t>
      </w:r>
      <w:r w:rsidR="006C579E">
        <w:t>ed</w:t>
      </w:r>
      <w:r w:rsidR="000043CA" w:rsidRPr="006B3EDD">
        <w:t xml:space="preserve"> the Working Group for its efforts over the past year and look</w:t>
      </w:r>
      <w:r w:rsidR="006C579E">
        <w:t>ed</w:t>
      </w:r>
      <w:r w:rsidR="000043CA" w:rsidRPr="006B3EDD">
        <w:t xml:space="preserve"> forward to continuation of this work in the year ahead.  </w:t>
      </w:r>
      <w:r w:rsidR="006C579E">
        <w:t>M</w:t>
      </w:r>
      <w:r w:rsidR="000043CA" w:rsidRPr="006B3EDD">
        <w:t xml:space="preserve">andatory recordation of search strategies and incorporation of </w:t>
      </w:r>
      <w:r w:rsidR="006C579E">
        <w:t>the P</w:t>
      </w:r>
      <w:r w:rsidR="000043CA" w:rsidRPr="006B3EDD">
        <w:t xml:space="preserve">atent </w:t>
      </w:r>
      <w:r w:rsidR="006C579E">
        <w:t>P</w:t>
      </w:r>
      <w:r w:rsidR="000043CA" w:rsidRPr="006B3EDD">
        <w:t xml:space="preserve">rosecution </w:t>
      </w:r>
      <w:r w:rsidR="006C579E">
        <w:t>H</w:t>
      </w:r>
      <w:r w:rsidR="000043CA" w:rsidRPr="006B3EDD">
        <w:t>ighway</w:t>
      </w:r>
      <w:r w:rsidR="006C579E">
        <w:t xml:space="preserve"> (</w:t>
      </w:r>
      <w:r w:rsidR="000043CA" w:rsidRPr="006B3EDD">
        <w:t>PPH</w:t>
      </w:r>
      <w:r w:rsidR="006C579E">
        <w:t>)</w:t>
      </w:r>
      <w:r w:rsidR="005C587E">
        <w:t xml:space="preserve"> into the PCT system</w:t>
      </w:r>
      <w:r w:rsidR="000043CA" w:rsidRPr="006B3EDD">
        <w:t xml:space="preserve"> </w:t>
      </w:r>
      <w:r w:rsidR="006C579E">
        <w:t xml:space="preserve">were </w:t>
      </w:r>
      <w:r w:rsidR="000043CA" w:rsidRPr="006B3EDD">
        <w:t>reforms which should i</w:t>
      </w:r>
      <w:r w:rsidR="001767FC">
        <w:t>mprove</w:t>
      </w:r>
      <w:r w:rsidR="000043CA" w:rsidRPr="006B3EDD">
        <w:t xml:space="preserve"> transparency and efficiency</w:t>
      </w:r>
      <w:proofErr w:type="gramStart"/>
      <w:r w:rsidR="006C579E">
        <w:t>;  notably</w:t>
      </w:r>
      <w:proofErr w:type="gramEnd"/>
      <w:r w:rsidR="006C579E">
        <w:t>, t</w:t>
      </w:r>
      <w:r w:rsidR="000043CA" w:rsidRPr="006B3EDD">
        <w:t xml:space="preserve">he proposal to incorporate </w:t>
      </w:r>
      <w:r w:rsidR="00E37FC2">
        <w:t xml:space="preserve">the </w:t>
      </w:r>
      <w:r w:rsidR="000043CA" w:rsidRPr="006B3EDD">
        <w:t xml:space="preserve">PPH into the PCT would be </w:t>
      </w:r>
      <w:r w:rsidR="006C579E">
        <w:t xml:space="preserve">an </w:t>
      </w:r>
      <w:r w:rsidR="000043CA" w:rsidRPr="006B3EDD">
        <w:t>effective mechanism to promote increased and more effective us</w:t>
      </w:r>
      <w:r w:rsidR="001767FC">
        <w:t>e</w:t>
      </w:r>
      <w:r w:rsidR="000043CA" w:rsidRPr="006B3EDD">
        <w:t xml:space="preserve"> of the </w:t>
      </w:r>
      <w:r w:rsidR="006C579E">
        <w:t>PCT C</w:t>
      </w:r>
      <w:r w:rsidR="000043CA" w:rsidRPr="006B3EDD">
        <w:t>hapter</w:t>
      </w:r>
      <w:r w:rsidR="006C579E">
        <w:t> II</w:t>
      </w:r>
      <w:r w:rsidR="000043CA" w:rsidRPr="006B3EDD">
        <w:t xml:space="preserve"> proce</w:t>
      </w:r>
      <w:r w:rsidR="006C7119">
        <w:t>dure</w:t>
      </w:r>
      <w:r w:rsidR="006C579E">
        <w:t>.  T</w:t>
      </w:r>
      <w:r w:rsidR="000043CA" w:rsidRPr="006B3EDD">
        <w:t>hus</w:t>
      </w:r>
      <w:r w:rsidR="006C579E">
        <w:t>,</w:t>
      </w:r>
      <w:r w:rsidR="000043CA" w:rsidRPr="006B3EDD">
        <w:t xml:space="preserve"> both proposals warrant</w:t>
      </w:r>
      <w:r w:rsidR="006C579E">
        <w:t>ed</w:t>
      </w:r>
      <w:r w:rsidR="000043CA" w:rsidRPr="006B3EDD">
        <w:t xml:space="preserve"> further consideration.</w:t>
      </w:r>
    </w:p>
    <w:p w:rsidR="000043CA" w:rsidRPr="006B3EDD" w:rsidRDefault="003F2C2D" w:rsidP="00121E5F">
      <w:pPr>
        <w:pStyle w:val="ONUME"/>
      </w:pPr>
      <w:r>
        <w:t xml:space="preserve">The Delegation of South Africa stated that South Africa had acceded to the PCT </w:t>
      </w:r>
      <w:r w:rsidR="005C587E">
        <w:t>on March</w:t>
      </w:r>
      <w:r w:rsidR="001767FC">
        <w:t> 16,</w:t>
      </w:r>
      <w:r>
        <w:t xml:space="preserve"> 1999</w:t>
      </w:r>
      <w:r w:rsidR="000043CA" w:rsidRPr="006B3EDD">
        <w:t>.  Gradually</w:t>
      </w:r>
      <w:r>
        <w:t>,</w:t>
      </w:r>
      <w:r w:rsidR="000043CA" w:rsidRPr="006B3EDD">
        <w:t xml:space="preserve"> the number of patent applications received in </w:t>
      </w:r>
      <w:r>
        <w:t xml:space="preserve">South </w:t>
      </w:r>
      <w:r w:rsidR="000043CA" w:rsidRPr="006B3EDD">
        <w:t>Africa through the PCT route ha</w:t>
      </w:r>
      <w:r>
        <w:t>d</w:t>
      </w:r>
      <w:r w:rsidR="000043CA" w:rsidRPr="006B3EDD">
        <w:t xml:space="preserve"> increased and now constitute</w:t>
      </w:r>
      <w:r>
        <w:t>d</w:t>
      </w:r>
      <w:r w:rsidR="000043CA" w:rsidRPr="006B3EDD">
        <w:t xml:space="preserve"> more than 80</w:t>
      </w:r>
      <w:r w:rsidR="001767FC">
        <w:t> per cent</w:t>
      </w:r>
      <w:r w:rsidR="000043CA" w:rsidRPr="006B3EDD">
        <w:t xml:space="preserve"> of total patent applications filed.  </w:t>
      </w:r>
      <w:r w:rsidR="00FF6613">
        <w:t xml:space="preserve">Over the years, </w:t>
      </w:r>
      <w:r>
        <w:t xml:space="preserve">South Africa </w:t>
      </w:r>
      <w:r w:rsidR="00FF6613">
        <w:t xml:space="preserve">had received, and </w:t>
      </w:r>
      <w:r w:rsidR="000043CA" w:rsidRPr="006B3EDD">
        <w:t>continue</w:t>
      </w:r>
      <w:r>
        <w:t>d</w:t>
      </w:r>
      <w:r w:rsidR="000043CA" w:rsidRPr="006B3EDD">
        <w:t xml:space="preserve"> to receive</w:t>
      </w:r>
      <w:r w:rsidR="00FF6613">
        <w:t>,</w:t>
      </w:r>
      <w:r w:rsidR="000043CA" w:rsidRPr="006B3EDD">
        <w:t xml:space="preserve"> </w:t>
      </w:r>
      <w:r w:rsidR="000043CA" w:rsidRPr="00AC6869">
        <w:t xml:space="preserve">excellent technical assistance, </w:t>
      </w:r>
      <w:r w:rsidR="00E37FC2" w:rsidRPr="00AC6869">
        <w:t xml:space="preserve">including </w:t>
      </w:r>
      <w:r w:rsidR="000043CA" w:rsidRPr="00AC6869">
        <w:t>educational and outreach programs</w:t>
      </w:r>
      <w:r w:rsidR="005C587E" w:rsidRPr="00AC6869">
        <w:t xml:space="preserve"> provided</w:t>
      </w:r>
      <w:r w:rsidR="000043CA" w:rsidRPr="00AC6869">
        <w:t xml:space="preserve"> by WIPO.  </w:t>
      </w:r>
      <w:r w:rsidR="001767FC" w:rsidRPr="00AC6869">
        <w:t xml:space="preserve">The Companies and Intellectual Property Commission in South Africa </w:t>
      </w:r>
      <w:r w:rsidR="000043CA" w:rsidRPr="00AC6869">
        <w:t>ha</w:t>
      </w:r>
      <w:r w:rsidR="00FF6613" w:rsidRPr="00AC6869">
        <w:t>d</w:t>
      </w:r>
      <w:r w:rsidR="000043CA" w:rsidRPr="00AC6869">
        <w:t xml:space="preserve"> cooperated with WIPO to offer training on PCT issues</w:t>
      </w:r>
      <w:r w:rsidR="001767FC" w:rsidRPr="00AC6869">
        <w:t>, which</w:t>
      </w:r>
      <w:r w:rsidR="000043CA" w:rsidRPr="00AC6869">
        <w:t xml:space="preserve"> </w:t>
      </w:r>
      <w:r w:rsidR="001767FC" w:rsidRPr="00AC6869">
        <w:t xml:space="preserve">the Delegation </w:t>
      </w:r>
      <w:r w:rsidR="00FF6613" w:rsidRPr="00AC6869">
        <w:t xml:space="preserve">hoped </w:t>
      </w:r>
      <w:r w:rsidR="000043CA" w:rsidRPr="00AC6869">
        <w:t>w</w:t>
      </w:r>
      <w:r w:rsidRPr="00AC6869">
        <w:t>ould</w:t>
      </w:r>
      <w:r w:rsidR="000043CA" w:rsidRPr="00AC6869">
        <w:t xml:space="preserve"> continue.  </w:t>
      </w:r>
      <w:r w:rsidR="001767FC" w:rsidRPr="00AC6869">
        <w:t>The Delegation</w:t>
      </w:r>
      <w:r w:rsidR="000043CA" w:rsidRPr="00AC6869">
        <w:t xml:space="preserve"> commend</w:t>
      </w:r>
      <w:r w:rsidR="001767FC" w:rsidRPr="00AC6869">
        <w:t>ed</w:t>
      </w:r>
      <w:r w:rsidR="000043CA" w:rsidRPr="00AC6869">
        <w:t xml:space="preserve"> the Secretariat for the outstanding work done to facilitate the development of the PCT system</w:t>
      </w:r>
      <w:r w:rsidR="001767FC" w:rsidRPr="00AC6869">
        <w:t>,</w:t>
      </w:r>
      <w:r w:rsidR="000043CA" w:rsidRPr="00AC6869">
        <w:t xml:space="preserve"> as well as the valuable contribution of Member States that</w:t>
      </w:r>
      <w:r w:rsidR="001767FC" w:rsidRPr="00AC6869">
        <w:t xml:space="preserve"> had</w:t>
      </w:r>
      <w:r w:rsidR="000043CA" w:rsidRPr="00AC6869">
        <w:t xml:space="preserve"> submitted proposals for future development of the PCT</w:t>
      </w:r>
      <w:r w:rsidR="005C587E" w:rsidRPr="00AC6869">
        <w:t xml:space="preserve"> system</w:t>
      </w:r>
      <w:r w:rsidR="000043CA" w:rsidRPr="00AC6869">
        <w:t xml:space="preserve">.  </w:t>
      </w:r>
      <w:r w:rsidR="00FF6613" w:rsidRPr="00AC6869">
        <w:t xml:space="preserve">The Delegation further expressed the view that </w:t>
      </w:r>
      <w:r w:rsidR="000043CA" w:rsidRPr="00AC6869">
        <w:t xml:space="preserve">the agenda of the sixth session of the PCT Working Group on substantive topics </w:t>
      </w:r>
      <w:r w:rsidR="00FF6613" w:rsidRPr="00AC6869">
        <w:t xml:space="preserve">had been </w:t>
      </w:r>
      <w:r w:rsidR="000043CA" w:rsidRPr="00AC6869">
        <w:t xml:space="preserve">quite intense and ambitious and </w:t>
      </w:r>
      <w:r w:rsidR="00FF6613" w:rsidRPr="00AC6869">
        <w:t>had been</w:t>
      </w:r>
      <w:r w:rsidR="000043CA" w:rsidRPr="00AC6869">
        <w:t xml:space="preserve"> aimed at introducing drastic changes to the PCT system.  These topics c</w:t>
      </w:r>
      <w:r w:rsidR="00FF6613" w:rsidRPr="00AC6869">
        <w:t xml:space="preserve">ould </w:t>
      </w:r>
      <w:r w:rsidR="000043CA" w:rsidRPr="00AC6869">
        <w:t>be divided into two groups</w:t>
      </w:r>
      <w:r w:rsidR="00FF6613" w:rsidRPr="00AC6869">
        <w:t xml:space="preserve">: </w:t>
      </w:r>
      <w:r w:rsidR="000043CA" w:rsidRPr="00AC6869">
        <w:t xml:space="preserve"> on </w:t>
      </w:r>
      <w:r w:rsidR="00E37FC2" w:rsidRPr="00AC6869">
        <w:t xml:space="preserve">the </w:t>
      </w:r>
      <w:r w:rsidR="000043CA" w:rsidRPr="00AC6869">
        <w:t>one</w:t>
      </w:r>
      <w:r w:rsidR="000043CA" w:rsidRPr="006B3EDD">
        <w:t xml:space="preserve"> hand</w:t>
      </w:r>
      <w:r w:rsidR="00FF6613">
        <w:t>,</w:t>
      </w:r>
      <w:r w:rsidR="000043CA" w:rsidRPr="006B3EDD">
        <w:t xml:space="preserve"> issues concerning </w:t>
      </w:r>
      <w:r w:rsidR="00E37FC2">
        <w:t xml:space="preserve">the </w:t>
      </w:r>
      <w:r w:rsidR="000043CA" w:rsidRPr="006B3EDD">
        <w:t>operation of rules and introducing new level</w:t>
      </w:r>
      <w:r w:rsidR="00FF6613">
        <w:t>s</w:t>
      </w:r>
      <w:r w:rsidR="000043CA" w:rsidRPr="006B3EDD">
        <w:t xml:space="preserve"> of automation and information technology</w:t>
      </w:r>
      <w:proofErr w:type="gramStart"/>
      <w:r w:rsidR="000043CA" w:rsidRPr="006B3EDD">
        <w:t xml:space="preserve">; </w:t>
      </w:r>
      <w:r w:rsidR="00FF6613">
        <w:t xml:space="preserve"> </w:t>
      </w:r>
      <w:r w:rsidR="000043CA" w:rsidRPr="006B3EDD">
        <w:t>and</w:t>
      </w:r>
      <w:proofErr w:type="gramEnd"/>
      <w:r w:rsidR="00FF6613">
        <w:t>,</w:t>
      </w:r>
      <w:r w:rsidR="000043CA" w:rsidRPr="006B3EDD">
        <w:t xml:space="preserve"> on the other hand, issues concerning the improvement of </w:t>
      </w:r>
      <w:r w:rsidR="00E37FC2">
        <w:t xml:space="preserve">the </w:t>
      </w:r>
      <w:r w:rsidR="000043CA" w:rsidRPr="006B3EDD">
        <w:t>quality of patents, work sharing and patent search and examination</w:t>
      </w:r>
      <w:r w:rsidR="00FF6613">
        <w:t>,</w:t>
      </w:r>
      <w:r w:rsidR="000043CA" w:rsidRPr="006B3EDD">
        <w:t xml:space="preserve"> as well as the </w:t>
      </w:r>
      <w:r w:rsidR="00AC6869">
        <w:t xml:space="preserve">link between </w:t>
      </w:r>
      <w:r w:rsidR="000043CA" w:rsidRPr="006B3EDD">
        <w:t xml:space="preserve">the international </w:t>
      </w:r>
      <w:r w:rsidR="00AC6869">
        <w:t xml:space="preserve">and </w:t>
      </w:r>
      <w:r w:rsidR="000043CA" w:rsidRPr="006B3EDD">
        <w:t>national phase</w:t>
      </w:r>
      <w:r w:rsidR="004E281F">
        <w:t xml:space="preserve"> </w:t>
      </w:r>
      <w:r w:rsidR="00FF6613">
        <w:t>procedures</w:t>
      </w:r>
      <w:r w:rsidR="000043CA" w:rsidRPr="006B3EDD">
        <w:t>.</w:t>
      </w:r>
      <w:r w:rsidR="00FF6613">
        <w:t xml:space="preserve">  </w:t>
      </w:r>
      <w:r w:rsidR="000043CA" w:rsidRPr="006B3EDD">
        <w:t xml:space="preserve">The second group of issues </w:t>
      </w:r>
      <w:r w:rsidR="00FF6613">
        <w:t xml:space="preserve">had </w:t>
      </w:r>
      <w:r w:rsidR="000043CA" w:rsidRPr="006B3EDD">
        <w:t xml:space="preserve">a big impact on national </w:t>
      </w:r>
      <w:r w:rsidR="002D639B">
        <w:t>O</w:t>
      </w:r>
      <w:r w:rsidR="000043CA" w:rsidRPr="006B3EDD">
        <w:t>ffices</w:t>
      </w:r>
      <w:r w:rsidR="002D639B">
        <w:t>.</w:t>
      </w:r>
      <w:r w:rsidR="000043CA" w:rsidRPr="006B3EDD">
        <w:t xml:space="preserve"> </w:t>
      </w:r>
      <w:r w:rsidR="002D639B">
        <w:t xml:space="preserve"> T</w:t>
      </w:r>
      <w:r w:rsidR="004E281F">
        <w:t xml:space="preserve">herefore, a number of </w:t>
      </w:r>
      <w:r w:rsidR="000043CA" w:rsidRPr="006B3EDD">
        <w:t>delegations</w:t>
      </w:r>
      <w:r w:rsidR="002D639B">
        <w:t xml:space="preserve"> from developing countries</w:t>
      </w:r>
      <w:r w:rsidR="00FF6613">
        <w:t>,</w:t>
      </w:r>
      <w:r w:rsidR="000043CA" w:rsidRPr="006B3EDD">
        <w:t xml:space="preserve"> including South Africa</w:t>
      </w:r>
      <w:r w:rsidR="00FF6613">
        <w:t>,</w:t>
      </w:r>
      <w:r w:rsidR="000043CA" w:rsidRPr="006B3EDD">
        <w:t xml:space="preserve"> </w:t>
      </w:r>
      <w:r w:rsidR="00FF6613">
        <w:t xml:space="preserve">had </w:t>
      </w:r>
      <w:r w:rsidR="000043CA" w:rsidRPr="006B3EDD">
        <w:t xml:space="preserve">felt </w:t>
      </w:r>
      <w:r w:rsidR="00FF6613">
        <w:t xml:space="preserve">that </w:t>
      </w:r>
      <w:r w:rsidR="000043CA" w:rsidRPr="006B3EDD">
        <w:t xml:space="preserve">they </w:t>
      </w:r>
      <w:r w:rsidR="00FF6613">
        <w:t xml:space="preserve">had not been </w:t>
      </w:r>
      <w:r w:rsidR="000043CA" w:rsidRPr="006B3EDD">
        <w:t>ready to participate effectively in such development</w:t>
      </w:r>
      <w:r w:rsidR="00E37FC2">
        <w:t>s</w:t>
      </w:r>
      <w:r w:rsidR="000043CA" w:rsidRPr="006B3EDD">
        <w:t xml:space="preserve"> and </w:t>
      </w:r>
      <w:r w:rsidR="00FF6613">
        <w:t xml:space="preserve">had </w:t>
      </w:r>
      <w:r w:rsidR="000043CA" w:rsidRPr="006B3EDD">
        <w:t xml:space="preserve">expressed </w:t>
      </w:r>
      <w:r w:rsidR="00FF6613">
        <w:t xml:space="preserve">their </w:t>
      </w:r>
      <w:r w:rsidR="000043CA" w:rsidRPr="006B3EDD">
        <w:t xml:space="preserve">concerns that this </w:t>
      </w:r>
      <w:r w:rsidR="00FF6613">
        <w:t xml:space="preserve">would lead </w:t>
      </w:r>
      <w:r w:rsidR="000043CA" w:rsidRPr="006B3EDD">
        <w:t xml:space="preserve">to harmonization of </w:t>
      </w:r>
      <w:r w:rsidR="00FF6613">
        <w:t xml:space="preserve">substantive </w:t>
      </w:r>
      <w:r w:rsidR="000043CA" w:rsidRPr="006B3EDD">
        <w:t>patent law</w:t>
      </w:r>
      <w:r w:rsidR="00FF6613">
        <w:t>s</w:t>
      </w:r>
      <w:r w:rsidR="000043CA" w:rsidRPr="006B3EDD">
        <w:t xml:space="preserve">.  </w:t>
      </w:r>
      <w:r w:rsidR="00FF6613">
        <w:t xml:space="preserve">The Delegation </w:t>
      </w:r>
      <w:r w:rsidR="000043CA" w:rsidRPr="006B3EDD">
        <w:t>dr</w:t>
      </w:r>
      <w:r w:rsidR="00FF6613">
        <w:t>e</w:t>
      </w:r>
      <w:r w:rsidR="000043CA" w:rsidRPr="006B3EDD">
        <w:t xml:space="preserve">w attention to the fact that the PCT </w:t>
      </w:r>
      <w:r w:rsidR="00E37FC2">
        <w:t>R</w:t>
      </w:r>
      <w:r w:rsidR="000043CA" w:rsidRPr="006B3EDD">
        <w:t xml:space="preserve">oadmap </w:t>
      </w:r>
      <w:r w:rsidR="00FF6613">
        <w:t xml:space="preserve">had been </w:t>
      </w:r>
      <w:r w:rsidR="000043CA" w:rsidRPr="006B3EDD">
        <w:t xml:space="preserve">approved in 2009 by the PCT Union </w:t>
      </w:r>
      <w:r w:rsidR="00FF6613">
        <w:t>A</w:t>
      </w:r>
      <w:r w:rsidR="000043CA" w:rsidRPr="006B3EDD">
        <w:t>ssembl</w:t>
      </w:r>
      <w:r w:rsidR="00FF6613">
        <w:t>y</w:t>
      </w:r>
      <w:r w:rsidR="000043CA" w:rsidRPr="006B3EDD">
        <w:t xml:space="preserve"> with the proviso that it </w:t>
      </w:r>
      <w:r w:rsidR="00FF6613">
        <w:t>should</w:t>
      </w:r>
      <w:r w:rsidR="000043CA" w:rsidRPr="006B3EDD">
        <w:t xml:space="preserve"> deliver results which met the needs of applicants, </w:t>
      </w:r>
      <w:r w:rsidR="002D639B">
        <w:t>O</w:t>
      </w:r>
      <w:r w:rsidR="000043CA" w:rsidRPr="006B3EDD">
        <w:t xml:space="preserve">ffices and third parties in all </w:t>
      </w:r>
      <w:r w:rsidR="00FF6613">
        <w:t>C</w:t>
      </w:r>
      <w:r w:rsidR="000043CA" w:rsidRPr="006B3EDD">
        <w:t xml:space="preserve">ontracting </w:t>
      </w:r>
      <w:r w:rsidR="00FF6613">
        <w:t>S</w:t>
      </w:r>
      <w:r w:rsidR="000043CA" w:rsidRPr="006B3EDD">
        <w:t xml:space="preserve">tates without limiting the freedom of </w:t>
      </w:r>
      <w:r w:rsidR="00FF6613">
        <w:t>C</w:t>
      </w:r>
      <w:r w:rsidR="000043CA" w:rsidRPr="006B3EDD">
        <w:t xml:space="preserve">ontracting </w:t>
      </w:r>
      <w:r w:rsidR="00FF6613">
        <w:t xml:space="preserve">States </w:t>
      </w:r>
      <w:r w:rsidR="000043CA" w:rsidRPr="006B3EDD">
        <w:t xml:space="preserve">to prescribe, </w:t>
      </w:r>
      <w:r w:rsidR="005D27D8">
        <w:t xml:space="preserve">interpret </w:t>
      </w:r>
      <w:r w:rsidR="000043CA" w:rsidRPr="006B3EDD">
        <w:t>and apply substant</w:t>
      </w:r>
      <w:r w:rsidR="005D27D8">
        <w:t>ive</w:t>
      </w:r>
      <w:r w:rsidR="000043CA" w:rsidRPr="006B3EDD">
        <w:t xml:space="preserve"> conditions </w:t>
      </w:r>
      <w:r w:rsidR="005D27D8">
        <w:t xml:space="preserve">of patentability </w:t>
      </w:r>
      <w:r w:rsidR="005D27D8" w:rsidRPr="004B71CD">
        <w:t xml:space="preserve">and without seeking substantive patent law harmonization or </w:t>
      </w:r>
      <w:r w:rsidR="005D27D8" w:rsidRPr="004B71CD">
        <w:lastRenderedPageBreak/>
        <w:t>harmonization of national search and examination procedures</w:t>
      </w:r>
      <w:r w:rsidR="005D27D8">
        <w:t>, t</w:t>
      </w:r>
      <w:r w:rsidR="000043CA" w:rsidRPr="006B3EDD">
        <w:t>aking an incremental approach in a member driven process</w:t>
      </w:r>
      <w:r w:rsidR="005D27D8">
        <w:t>,</w:t>
      </w:r>
      <w:r w:rsidR="000043CA" w:rsidRPr="006B3EDD">
        <w:t xml:space="preserve"> involving broad based consultations with all stakeholder groups</w:t>
      </w:r>
      <w:r w:rsidR="005D27D8">
        <w:t>,</w:t>
      </w:r>
      <w:r w:rsidR="000043CA" w:rsidRPr="006B3EDD">
        <w:t xml:space="preserve"> including regional </w:t>
      </w:r>
      <w:r w:rsidR="005D27D8">
        <w:t xml:space="preserve">consultation </w:t>
      </w:r>
      <w:r w:rsidR="000043CA" w:rsidRPr="006B3EDD">
        <w:t xml:space="preserve">workshops and taking into account the recommendations contained in the </w:t>
      </w:r>
      <w:r w:rsidR="005D27D8">
        <w:t xml:space="preserve">WIPO </w:t>
      </w:r>
      <w:r w:rsidR="000043CA" w:rsidRPr="006B3EDD">
        <w:t>Development Agenda</w:t>
      </w:r>
      <w:r w:rsidR="00885243">
        <w:t xml:space="preserve"> (DA)</w:t>
      </w:r>
      <w:r w:rsidR="000043CA" w:rsidRPr="006B3EDD">
        <w:t>.</w:t>
      </w:r>
      <w:r w:rsidR="00121E5F">
        <w:t xml:space="preserve">  </w:t>
      </w:r>
      <w:r w:rsidR="005D27D8">
        <w:t>I</w:t>
      </w:r>
      <w:r w:rsidR="000043CA" w:rsidRPr="006B3EDD">
        <w:t xml:space="preserve">n light of the above, </w:t>
      </w:r>
      <w:r w:rsidR="005D27D8">
        <w:t xml:space="preserve">the Delegation </w:t>
      </w:r>
      <w:r w:rsidR="000043CA" w:rsidRPr="006B3EDD">
        <w:t>wish</w:t>
      </w:r>
      <w:r w:rsidR="005D27D8">
        <w:t>ed</w:t>
      </w:r>
      <w:r w:rsidR="000043CA" w:rsidRPr="006B3EDD">
        <w:t xml:space="preserve"> to caution against the linkage between national and international phases, especially with regard to pro</w:t>
      </w:r>
      <w:r w:rsidR="005D27D8">
        <w:t xml:space="preserve">posals which </w:t>
      </w:r>
      <w:r w:rsidR="000043CA" w:rsidRPr="006B3EDD">
        <w:t>w</w:t>
      </w:r>
      <w:r w:rsidR="005D27D8">
        <w:t>ould</w:t>
      </w:r>
      <w:r w:rsidR="000043CA" w:rsidRPr="006B3EDD">
        <w:t xml:space="preserve"> affect the manner of national phase processing</w:t>
      </w:r>
      <w:r w:rsidR="005D27D8">
        <w:t>,</w:t>
      </w:r>
      <w:r w:rsidR="000043CA" w:rsidRPr="006B3EDD">
        <w:t xml:space="preserve"> such as PCT</w:t>
      </w:r>
      <w:r w:rsidR="005D27D8">
        <w:t xml:space="preserve"> Kaizen, </w:t>
      </w:r>
      <w:r w:rsidR="000043CA" w:rsidRPr="006B3EDD">
        <w:t xml:space="preserve">the formal </w:t>
      </w:r>
      <w:r w:rsidR="005D27D8">
        <w:t xml:space="preserve">integration </w:t>
      </w:r>
      <w:r w:rsidR="000043CA" w:rsidRPr="006B3EDD">
        <w:t xml:space="preserve">of the </w:t>
      </w:r>
      <w:r w:rsidR="005D27D8">
        <w:t xml:space="preserve">PPH </w:t>
      </w:r>
      <w:r w:rsidR="000043CA" w:rsidRPr="006B3EDD">
        <w:t>into the PCT,</w:t>
      </w:r>
      <w:r w:rsidR="002D639B">
        <w:t xml:space="preserve"> and</w:t>
      </w:r>
      <w:r w:rsidR="000043CA" w:rsidRPr="006B3EDD">
        <w:t xml:space="preserve"> </w:t>
      </w:r>
      <w:r w:rsidR="005D27D8">
        <w:t xml:space="preserve">the </w:t>
      </w:r>
      <w:r w:rsidR="000043CA" w:rsidRPr="006B3EDD">
        <w:t xml:space="preserve">mandatory response to negative comments in the national phase.  </w:t>
      </w:r>
      <w:r w:rsidR="005D27D8">
        <w:t xml:space="preserve">The Delegation further </w:t>
      </w:r>
      <w:r w:rsidR="000043CA" w:rsidRPr="006B3EDD">
        <w:t>express</w:t>
      </w:r>
      <w:r w:rsidR="005D27D8">
        <w:t>ed</w:t>
      </w:r>
      <w:r w:rsidR="000043CA" w:rsidRPr="006B3EDD">
        <w:t xml:space="preserve"> </w:t>
      </w:r>
      <w:r w:rsidR="005D27D8">
        <w:t xml:space="preserve">its </w:t>
      </w:r>
      <w:r w:rsidR="000043CA" w:rsidRPr="006B3EDD">
        <w:t>concern that the rapid development of the PCT system w</w:t>
      </w:r>
      <w:r w:rsidR="005D27D8">
        <w:t>ould</w:t>
      </w:r>
      <w:r w:rsidR="000043CA" w:rsidRPr="006B3EDD">
        <w:t xml:space="preserve"> pose a substantive hardship on developing countries to cope with such </w:t>
      </w:r>
      <w:r w:rsidR="00E37FC2">
        <w:t xml:space="preserve">a </w:t>
      </w:r>
      <w:r w:rsidR="000043CA" w:rsidRPr="006B3EDD">
        <w:t xml:space="preserve">development.  </w:t>
      </w:r>
      <w:r w:rsidR="005D27D8">
        <w:t xml:space="preserve">That </w:t>
      </w:r>
      <w:r w:rsidR="000043CA" w:rsidRPr="006B3EDD">
        <w:t xml:space="preserve">process </w:t>
      </w:r>
      <w:r w:rsidR="005D27D8">
        <w:t>was</w:t>
      </w:r>
      <w:r w:rsidR="000043CA" w:rsidRPr="006B3EDD">
        <w:t xml:space="preserve"> not in line with the proviso </w:t>
      </w:r>
      <w:r w:rsidR="005D27D8">
        <w:t xml:space="preserve">set out in the </w:t>
      </w:r>
      <w:r w:rsidR="000043CA" w:rsidRPr="006B3EDD">
        <w:t xml:space="preserve">approval </w:t>
      </w:r>
      <w:r w:rsidR="005D27D8">
        <w:t xml:space="preserve">of the PCT </w:t>
      </w:r>
      <w:r w:rsidR="00E37FC2">
        <w:t>R</w:t>
      </w:r>
      <w:r w:rsidR="005D27D8">
        <w:t>oadmap given b</w:t>
      </w:r>
      <w:r w:rsidR="004E281F">
        <w:t xml:space="preserve">y the PCT Union Assembly at </w:t>
      </w:r>
      <w:r w:rsidR="005D27D8">
        <w:t xml:space="preserve">its </w:t>
      </w:r>
      <w:r w:rsidR="000043CA" w:rsidRPr="006B3EDD">
        <w:t>2009</w:t>
      </w:r>
      <w:r w:rsidR="005D27D8">
        <w:t xml:space="preserve"> session, according to which </w:t>
      </w:r>
      <w:r w:rsidR="000043CA" w:rsidRPr="006B3EDD">
        <w:t xml:space="preserve">an incremental approach </w:t>
      </w:r>
      <w:r w:rsidR="005D27D8">
        <w:t xml:space="preserve">should be taken in the </w:t>
      </w:r>
      <w:r w:rsidR="000043CA" w:rsidRPr="006B3EDD">
        <w:t>develop</w:t>
      </w:r>
      <w:r w:rsidR="005D27D8">
        <w:t xml:space="preserve">ment of </w:t>
      </w:r>
      <w:r w:rsidR="000043CA" w:rsidRPr="006B3EDD">
        <w:t>the PCT system.</w:t>
      </w:r>
    </w:p>
    <w:p w:rsidR="000043CA" w:rsidRPr="006B3EDD" w:rsidRDefault="005D27D8" w:rsidP="000043CA">
      <w:pPr>
        <w:pStyle w:val="ONUME"/>
      </w:pPr>
      <w:r>
        <w:t xml:space="preserve">The Delegation of Sweden </w:t>
      </w:r>
      <w:r w:rsidR="000043CA" w:rsidRPr="006B3EDD">
        <w:t>thank</w:t>
      </w:r>
      <w:r>
        <w:t>ed</w:t>
      </w:r>
      <w:r w:rsidR="000043CA" w:rsidRPr="006B3EDD">
        <w:t xml:space="preserve"> the Secretariat for the work in the </w:t>
      </w:r>
      <w:r w:rsidR="00E37FC2">
        <w:t xml:space="preserve">area of the </w:t>
      </w:r>
      <w:r w:rsidR="000043CA" w:rsidRPr="006B3EDD">
        <w:t xml:space="preserve">PCT.  </w:t>
      </w:r>
      <w:r>
        <w:t xml:space="preserve">It </w:t>
      </w:r>
      <w:r w:rsidR="000043CA" w:rsidRPr="006B3EDD">
        <w:t>emphasize</w:t>
      </w:r>
      <w:r>
        <w:t>d</w:t>
      </w:r>
      <w:r w:rsidR="000043CA" w:rsidRPr="006B3EDD">
        <w:t xml:space="preserve"> the great importance of the PCT system and </w:t>
      </w:r>
      <w:r>
        <w:t xml:space="preserve">its </w:t>
      </w:r>
      <w:r w:rsidR="000043CA" w:rsidRPr="006B3EDD">
        <w:t>commitment to the valuable work of the PCT Working Group</w:t>
      </w:r>
      <w:r>
        <w:t>,</w:t>
      </w:r>
      <w:r w:rsidR="000043CA" w:rsidRPr="006B3EDD">
        <w:t xml:space="preserve"> striving to improve the function</w:t>
      </w:r>
      <w:r w:rsidR="004E281F">
        <w:t>ing</w:t>
      </w:r>
      <w:r w:rsidR="000043CA" w:rsidRPr="006B3EDD">
        <w:t xml:space="preserve"> of the system.  In that vein, </w:t>
      </w:r>
      <w:r>
        <w:t xml:space="preserve">the Delegation </w:t>
      </w:r>
      <w:r w:rsidR="000043CA" w:rsidRPr="006B3EDD">
        <w:t>support</w:t>
      </w:r>
      <w:r>
        <w:t>ed</w:t>
      </w:r>
      <w:r w:rsidR="000043CA" w:rsidRPr="006B3EDD">
        <w:t xml:space="preserve"> the recommendation </w:t>
      </w:r>
      <w:r w:rsidR="00E37FC2">
        <w:t xml:space="preserve">of </w:t>
      </w:r>
      <w:r w:rsidR="000043CA" w:rsidRPr="006B3EDD">
        <w:t xml:space="preserve">the PCT Working Group that the </w:t>
      </w:r>
      <w:r>
        <w:t>I</w:t>
      </w:r>
      <w:r w:rsidR="000043CA" w:rsidRPr="006B3EDD">
        <w:t xml:space="preserve">nternational Bureau should undertake a </w:t>
      </w:r>
      <w:r>
        <w:t>re</w:t>
      </w:r>
      <w:r w:rsidR="000043CA" w:rsidRPr="006B3EDD">
        <w:t xml:space="preserve">view of the criteria and procedures </w:t>
      </w:r>
      <w:r>
        <w:t xml:space="preserve">for </w:t>
      </w:r>
      <w:r w:rsidR="000043CA" w:rsidRPr="006B3EDD">
        <w:t xml:space="preserve">appointment of </w:t>
      </w:r>
      <w:r>
        <w:t>O</w:t>
      </w:r>
      <w:r w:rsidR="000043CA" w:rsidRPr="006B3EDD">
        <w:t>ffice</w:t>
      </w:r>
      <w:r>
        <w:t>s</w:t>
      </w:r>
      <w:r w:rsidR="000043CA" w:rsidRPr="006B3EDD">
        <w:t xml:space="preserve"> as </w:t>
      </w:r>
      <w:r>
        <w:t xml:space="preserve">International Searching and Preliminary Examining Authorities, as </w:t>
      </w:r>
      <w:r w:rsidR="000043CA" w:rsidRPr="006B3EDD">
        <w:t>sug</w:t>
      </w:r>
      <w:r w:rsidR="00885243">
        <w:t>gested in document </w:t>
      </w:r>
      <w:r w:rsidR="004E281F">
        <w:t>PCT/A/44/1, p</w:t>
      </w:r>
      <w:r w:rsidR="00885243">
        <w:t>aragraph </w:t>
      </w:r>
      <w:r w:rsidR="000043CA" w:rsidRPr="006B3EDD">
        <w:t>5</w:t>
      </w:r>
      <w:r w:rsidR="004A1D97">
        <w:t>(ii)</w:t>
      </w:r>
      <w:r w:rsidR="000043CA" w:rsidRPr="006B3EDD">
        <w:t xml:space="preserve">, as well as the recommendation </w:t>
      </w:r>
      <w:r w:rsidR="002D639B">
        <w:t>for</w:t>
      </w:r>
      <w:r w:rsidR="000043CA" w:rsidRPr="006B3EDD">
        <w:t xml:space="preserve"> future work </w:t>
      </w:r>
      <w:r w:rsidR="004A1D97">
        <w:t>set out in p</w:t>
      </w:r>
      <w:r w:rsidR="000043CA" w:rsidRPr="006B3EDD">
        <w:t>aragraph</w:t>
      </w:r>
      <w:r w:rsidR="004A1D97">
        <w:t> </w:t>
      </w:r>
      <w:r w:rsidR="000043CA" w:rsidRPr="006B3EDD">
        <w:t>5</w:t>
      </w:r>
      <w:r w:rsidR="004A1D97">
        <w:t>(iii)</w:t>
      </w:r>
      <w:r w:rsidR="000043CA" w:rsidRPr="006B3EDD">
        <w:t>.</w:t>
      </w:r>
      <w:r w:rsidR="004A1D97">
        <w:t xml:space="preserve">  </w:t>
      </w:r>
      <w:r w:rsidR="000043CA" w:rsidRPr="006B3EDD">
        <w:t xml:space="preserve">For the sake of efficiency, </w:t>
      </w:r>
      <w:r w:rsidR="004A1D97">
        <w:t xml:space="preserve">the Delegation further wished to </w:t>
      </w:r>
      <w:r w:rsidR="000043CA" w:rsidRPr="006B3EDD">
        <w:t>comment on the other documents related to the work of the PCT Working Group yet to be discussed during the</w:t>
      </w:r>
      <w:r w:rsidR="004A1D97">
        <w:t xml:space="preserve"> present session of the Assembly</w:t>
      </w:r>
      <w:r w:rsidR="000043CA" w:rsidRPr="006B3EDD">
        <w:t xml:space="preserve">.  It </w:t>
      </w:r>
      <w:r w:rsidR="004A1D97">
        <w:t>was</w:t>
      </w:r>
      <w:r w:rsidR="000043CA" w:rsidRPr="006B3EDD">
        <w:t xml:space="preserve"> important that </w:t>
      </w:r>
      <w:r w:rsidR="004A1D97">
        <w:t>I</w:t>
      </w:r>
      <w:r w:rsidR="000043CA" w:rsidRPr="006B3EDD">
        <w:t xml:space="preserve">nternational </w:t>
      </w:r>
      <w:r w:rsidR="004A1D97">
        <w:t>A</w:t>
      </w:r>
      <w:r w:rsidR="000043CA" w:rsidRPr="006B3EDD">
        <w:t>uthorities</w:t>
      </w:r>
      <w:r w:rsidR="004A1D97">
        <w:t>,</w:t>
      </w:r>
      <w:r w:rsidR="000043CA" w:rsidRPr="006B3EDD">
        <w:t xml:space="preserve"> such as the Swedish Patent and Registration Office</w:t>
      </w:r>
      <w:r w:rsidR="004A1D97">
        <w:t>,</w:t>
      </w:r>
      <w:r w:rsidR="000043CA" w:rsidRPr="006B3EDD">
        <w:t xml:space="preserve"> continuously improve</w:t>
      </w:r>
      <w:r w:rsidR="004A1D97">
        <w:t>d</w:t>
      </w:r>
      <w:r w:rsidR="000043CA" w:rsidRPr="006B3EDD">
        <w:t xml:space="preserve"> the work process</w:t>
      </w:r>
      <w:r w:rsidR="004A1D97">
        <w:t>es</w:t>
      </w:r>
      <w:r w:rsidR="000043CA" w:rsidRPr="006B3EDD">
        <w:t xml:space="preserve"> and the quality of the results delivered to </w:t>
      </w:r>
      <w:r w:rsidR="004A1D97">
        <w:t>improve</w:t>
      </w:r>
      <w:r w:rsidR="000043CA" w:rsidRPr="006B3EDD">
        <w:t xml:space="preserve"> the </w:t>
      </w:r>
      <w:r w:rsidR="00C117C3">
        <w:t xml:space="preserve">overall </w:t>
      </w:r>
      <w:r w:rsidR="000043CA" w:rsidRPr="006B3EDD">
        <w:t>quality of the PCT system</w:t>
      </w:r>
      <w:r w:rsidR="00C117C3">
        <w:t xml:space="preserve">, for </w:t>
      </w:r>
      <w:r w:rsidR="000043CA" w:rsidRPr="006B3EDD">
        <w:t>the benefit of the users and other stakeholders.</w:t>
      </w:r>
      <w:r w:rsidR="00C117C3">
        <w:t xml:space="preserve">  The Delegation t</w:t>
      </w:r>
      <w:r w:rsidR="000043CA" w:rsidRPr="006B3EDD">
        <w:t>herefore</w:t>
      </w:r>
      <w:r w:rsidR="00C117C3">
        <w:t xml:space="preserve"> </w:t>
      </w:r>
      <w:r w:rsidR="000043CA" w:rsidRPr="006B3EDD">
        <w:t>note</w:t>
      </w:r>
      <w:r w:rsidR="00C117C3">
        <w:t>d</w:t>
      </w:r>
      <w:r w:rsidR="000043CA" w:rsidRPr="006B3EDD">
        <w:t xml:space="preserve"> with appreciation the report o</w:t>
      </w:r>
      <w:r w:rsidR="00C117C3">
        <w:t>n</w:t>
      </w:r>
      <w:r w:rsidR="004E281F">
        <w:t xml:space="preserve"> ongoing quality</w:t>
      </w:r>
      <w:r w:rsidR="004E281F">
        <w:noBreakHyphen/>
      </w:r>
      <w:r w:rsidR="000043CA" w:rsidRPr="006B3EDD">
        <w:t xml:space="preserve">related work </w:t>
      </w:r>
      <w:r w:rsidR="00C117C3">
        <w:t xml:space="preserve">set out in </w:t>
      </w:r>
      <w:r w:rsidR="004E281F">
        <w:t>document PCT</w:t>
      </w:r>
      <w:r w:rsidR="000043CA" w:rsidRPr="006B3EDD">
        <w:t xml:space="preserve">/A/44/2.  Furthermore, </w:t>
      </w:r>
      <w:r w:rsidR="00C117C3">
        <w:t xml:space="preserve">the Delegation </w:t>
      </w:r>
      <w:r w:rsidR="000043CA" w:rsidRPr="006B3EDD">
        <w:t>support</w:t>
      </w:r>
      <w:r w:rsidR="00C117C3">
        <w:t>ed</w:t>
      </w:r>
      <w:r w:rsidR="000043CA" w:rsidRPr="006B3EDD">
        <w:t xml:space="preserve"> the proposed amendments to the PCT </w:t>
      </w:r>
      <w:r w:rsidR="00C117C3">
        <w:t>R</w:t>
      </w:r>
      <w:r w:rsidR="000043CA" w:rsidRPr="006B3EDD">
        <w:t>egulation</w:t>
      </w:r>
      <w:r w:rsidR="002D639B">
        <w:t>s</w:t>
      </w:r>
      <w:r w:rsidR="000043CA" w:rsidRPr="006B3EDD">
        <w:t xml:space="preserve"> </w:t>
      </w:r>
      <w:r w:rsidR="00C117C3">
        <w:t xml:space="preserve">set out in </w:t>
      </w:r>
      <w:r w:rsidR="000043CA" w:rsidRPr="006B3EDD">
        <w:t>document PCT/A/44/3.</w:t>
      </w:r>
    </w:p>
    <w:p w:rsidR="000043CA" w:rsidRPr="006B3EDD" w:rsidRDefault="00C117C3" w:rsidP="000043CA">
      <w:pPr>
        <w:pStyle w:val="ONUME"/>
      </w:pPr>
      <w:r>
        <w:t xml:space="preserve">The Delegation of India stated that it wished to take </w:t>
      </w:r>
      <w:r w:rsidR="000043CA" w:rsidRPr="006B3EDD">
        <w:t xml:space="preserve">this opportunity to </w:t>
      </w:r>
      <w:r w:rsidR="00E37FC2">
        <w:t xml:space="preserve">express its appreciation of </w:t>
      </w:r>
      <w:r w:rsidR="000043CA" w:rsidRPr="006B3EDD">
        <w:t xml:space="preserve">the work being carried out by the PCT Working Group as announced by the Secretariat.  As </w:t>
      </w:r>
      <w:r>
        <w:t xml:space="preserve">it had </w:t>
      </w:r>
      <w:r w:rsidR="000043CA" w:rsidRPr="006B3EDD">
        <w:t xml:space="preserve">mentioned in </w:t>
      </w:r>
      <w:r>
        <w:t xml:space="preserve">its </w:t>
      </w:r>
      <w:r w:rsidR="004E281F">
        <w:t>opening statement, the Delegation</w:t>
      </w:r>
      <w:r w:rsidR="000043CA" w:rsidRPr="006B3EDD">
        <w:t xml:space="preserve"> </w:t>
      </w:r>
      <w:r>
        <w:t>was</w:t>
      </w:r>
      <w:r w:rsidR="000043CA" w:rsidRPr="006B3EDD">
        <w:t xml:space="preserve"> pleased to announce that the Indian </w:t>
      </w:r>
      <w:r>
        <w:t>P</w:t>
      </w:r>
      <w:r w:rsidR="000043CA" w:rsidRPr="006B3EDD">
        <w:t xml:space="preserve">atent </w:t>
      </w:r>
      <w:r>
        <w:t>O</w:t>
      </w:r>
      <w:r w:rsidR="000043CA" w:rsidRPr="006B3EDD">
        <w:t xml:space="preserve">ffice would commence </w:t>
      </w:r>
      <w:r w:rsidR="00E37FC2">
        <w:t xml:space="preserve">functioning </w:t>
      </w:r>
      <w:r w:rsidR="000043CA" w:rsidRPr="006B3EDD">
        <w:t xml:space="preserve">as </w:t>
      </w:r>
      <w:r>
        <w:t>I</w:t>
      </w:r>
      <w:r w:rsidR="000043CA" w:rsidRPr="006B3EDD">
        <w:t xml:space="preserve">nternational </w:t>
      </w:r>
      <w:r>
        <w:t>S</w:t>
      </w:r>
      <w:r w:rsidR="000043CA" w:rsidRPr="006B3EDD">
        <w:t xml:space="preserve">earching and </w:t>
      </w:r>
      <w:r>
        <w:t>P</w:t>
      </w:r>
      <w:r w:rsidR="000043CA" w:rsidRPr="006B3EDD">
        <w:t xml:space="preserve">reliminary </w:t>
      </w:r>
      <w:r>
        <w:t>E</w:t>
      </w:r>
      <w:r w:rsidR="000043CA" w:rsidRPr="006B3EDD">
        <w:t xml:space="preserve">xamining </w:t>
      </w:r>
      <w:r>
        <w:t>A</w:t>
      </w:r>
      <w:r w:rsidR="000043CA" w:rsidRPr="006B3EDD">
        <w:t xml:space="preserve">uthority from </w:t>
      </w:r>
      <w:r>
        <w:t>October</w:t>
      </w:r>
      <w:r w:rsidR="000043CA" w:rsidRPr="006B3EDD">
        <w:t> </w:t>
      </w:r>
      <w:r>
        <w:t xml:space="preserve">15, </w:t>
      </w:r>
      <w:r w:rsidR="000043CA" w:rsidRPr="006B3EDD">
        <w:t>2013.</w:t>
      </w:r>
      <w:r w:rsidR="00644D82">
        <w:t xml:space="preserve">  Furthermore, the Delegation expressed the view t</w:t>
      </w:r>
      <w:r w:rsidR="000043CA" w:rsidRPr="006B3EDD">
        <w:t>hat the PCT system need</w:t>
      </w:r>
      <w:r w:rsidR="00644D82">
        <w:t>ed</w:t>
      </w:r>
      <w:r w:rsidR="000043CA" w:rsidRPr="006B3EDD">
        <w:t xml:space="preserve"> to be made more accessible</w:t>
      </w:r>
      <w:r w:rsidR="00644D82">
        <w:t>,</w:t>
      </w:r>
      <w:r w:rsidR="000043CA" w:rsidRPr="006B3EDD">
        <w:t xml:space="preserve"> in particular for applicants from developing and least developed countries</w:t>
      </w:r>
      <w:r w:rsidR="00885243">
        <w:t xml:space="preserve"> (LDCs)</w:t>
      </w:r>
      <w:r w:rsidR="00644D82">
        <w:t>,</w:t>
      </w:r>
      <w:r w:rsidR="000043CA" w:rsidRPr="006B3EDD">
        <w:t xml:space="preserve"> and in this regard emphasize</w:t>
      </w:r>
      <w:r w:rsidR="00644D82">
        <w:t>d</w:t>
      </w:r>
      <w:r w:rsidR="000043CA" w:rsidRPr="006B3EDD">
        <w:t xml:space="preserve"> the importance of technical assistance as well as fee reductions for </w:t>
      </w:r>
      <w:r w:rsidR="00885243">
        <w:t xml:space="preserve"> SMEs</w:t>
      </w:r>
      <w:r w:rsidR="00644D82">
        <w:t xml:space="preserve">, </w:t>
      </w:r>
      <w:r w:rsidR="000043CA" w:rsidRPr="006B3EDD">
        <w:t>universities and research institutes</w:t>
      </w:r>
      <w:r w:rsidR="00644D82">
        <w:t>,</w:t>
      </w:r>
      <w:r w:rsidR="000043CA" w:rsidRPr="006B3EDD">
        <w:t xml:space="preserve"> and individuals </w:t>
      </w:r>
      <w:r w:rsidR="00644D82" w:rsidRPr="006B3EDD">
        <w:t xml:space="preserve">from developing and </w:t>
      </w:r>
      <w:r w:rsidR="00885243">
        <w:t>LDCs</w:t>
      </w:r>
      <w:r w:rsidR="000043CA" w:rsidRPr="006B3EDD">
        <w:t>.</w:t>
      </w:r>
      <w:r w:rsidR="00644D82">
        <w:t xml:space="preserve">  </w:t>
      </w:r>
      <w:r w:rsidR="000043CA" w:rsidRPr="006B3EDD">
        <w:t>With respect to</w:t>
      </w:r>
      <w:r w:rsidR="00404C2D">
        <w:t xml:space="preserve"> the</w:t>
      </w:r>
      <w:r w:rsidR="000043CA" w:rsidRPr="006B3EDD">
        <w:t xml:space="preserve"> </w:t>
      </w:r>
      <w:r w:rsidR="00644D82">
        <w:t xml:space="preserve">proposal to integrate the </w:t>
      </w:r>
      <w:r w:rsidR="00E37FC2">
        <w:t xml:space="preserve">PPH </w:t>
      </w:r>
      <w:r w:rsidR="000043CA" w:rsidRPr="006B3EDD">
        <w:t>into the PCT, India ha</w:t>
      </w:r>
      <w:r w:rsidR="00644D82">
        <w:t>d,</w:t>
      </w:r>
      <w:r w:rsidR="000043CA" w:rsidRPr="006B3EDD">
        <w:t xml:space="preserve"> time and </w:t>
      </w:r>
      <w:r w:rsidR="00644D82">
        <w:t xml:space="preserve">time </w:t>
      </w:r>
      <w:r w:rsidR="000043CA" w:rsidRPr="006B3EDD">
        <w:t>again</w:t>
      </w:r>
      <w:r w:rsidR="00644D82">
        <w:t>,</w:t>
      </w:r>
      <w:r w:rsidR="000043CA" w:rsidRPr="006B3EDD">
        <w:t xml:space="preserve"> expressed its concerns </w:t>
      </w:r>
      <w:r w:rsidR="00E37FC2">
        <w:t xml:space="preserve">about </w:t>
      </w:r>
      <w:r w:rsidR="000043CA" w:rsidRPr="006B3EDD">
        <w:t xml:space="preserve">harmonization of examination </w:t>
      </w:r>
      <w:r w:rsidR="00644D82">
        <w:t xml:space="preserve">procedures for </w:t>
      </w:r>
      <w:r w:rsidR="000043CA" w:rsidRPr="006B3EDD">
        <w:t>patent applications and consider</w:t>
      </w:r>
      <w:r w:rsidR="00644D82">
        <w:t>ed</w:t>
      </w:r>
      <w:r w:rsidR="000043CA" w:rsidRPr="006B3EDD">
        <w:t xml:space="preserve"> that this would impede the process of examination in developing countries where the capacity to examine </w:t>
      </w:r>
      <w:r w:rsidR="00644D82">
        <w:t>was</w:t>
      </w:r>
      <w:r w:rsidR="000043CA" w:rsidRPr="006B3EDD">
        <w:t xml:space="preserve"> yet to achieve the maturity that </w:t>
      </w:r>
      <w:r w:rsidR="00644D82">
        <w:t>was</w:t>
      </w:r>
      <w:r w:rsidR="000043CA" w:rsidRPr="006B3EDD">
        <w:t xml:space="preserve"> seen in the patent </w:t>
      </w:r>
      <w:r w:rsidR="00C365BB">
        <w:t>Office</w:t>
      </w:r>
      <w:r w:rsidR="000043CA" w:rsidRPr="006B3EDD">
        <w:t>s of developed countries.</w:t>
      </w:r>
    </w:p>
    <w:p w:rsidR="00404C2D" w:rsidRPr="006B3EDD" w:rsidRDefault="00644D82" w:rsidP="00404C2D">
      <w:pPr>
        <w:pStyle w:val="ONUME"/>
      </w:pPr>
      <w:r>
        <w:t xml:space="preserve">The Delegation of Egypt </w:t>
      </w:r>
      <w:r w:rsidR="000043CA" w:rsidRPr="006B3EDD">
        <w:t>express</w:t>
      </w:r>
      <w:r>
        <w:t>ed its</w:t>
      </w:r>
      <w:r w:rsidR="000043CA" w:rsidRPr="006B3EDD">
        <w:t xml:space="preserve"> appreciation for the cooperation which ha</w:t>
      </w:r>
      <w:r>
        <w:t>d</w:t>
      </w:r>
      <w:r w:rsidR="000043CA" w:rsidRPr="006B3EDD">
        <w:t xml:space="preserve"> made it possible </w:t>
      </w:r>
      <w:r w:rsidR="003D0B2F">
        <w:t xml:space="preserve">for the </w:t>
      </w:r>
      <w:r w:rsidR="000043CA" w:rsidRPr="006B3EDD">
        <w:t xml:space="preserve">Egyptian </w:t>
      </w:r>
      <w:r w:rsidR="00404C2D">
        <w:t>Patent</w:t>
      </w:r>
      <w:r w:rsidR="000043CA" w:rsidRPr="006B3EDD">
        <w:t xml:space="preserve"> </w:t>
      </w:r>
      <w:r w:rsidR="003D0B2F">
        <w:t>O</w:t>
      </w:r>
      <w:r w:rsidR="000043CA" w:rsidRPr="006B3EDD">
        <w:t xml:space="preserve">ffice </w:t>
      </w:r>
      <w:r w:rsidR="003D0B2F">
        <w:t>to commence acting as an I</w:t>
      </w:r>
      <w:r w:rsidR="000043CA" w:rsidRPr="006B3EDD">
        <w:t xml:space="preserve">nternational </w:t>
      </w:r>
      <w:r w:rsidR="003D0B2F">
        <w:t>Searching and Preliminary Examining Authority in 2013</w:t>
      </w:r>
      <w:r w:rsidR="000043CA" w:rsidRPr="006B3EDD">
        <w:t xml:space="preserve">.  This </w:t>
      </w:r>
      <w:r w:rsidR="003D0B2F">
        <w:t xml:space="preserve">had been </w:t>
      </w:r>
      <w:r w:rsidR="000043CA" w:rsidRPr="006B3EDD">
        <w:t xml:space="preserve">the result of </w:t>
      </w:r>
      <w:r w:rsidR="003D0B2F">
        <w:t xml:space="preserve">the good </w:t>
      </w:r>
      <w:r w:rsidR="000043CA" w:rsidRPr="006B3EDD">
        <w:t>cooperation between Egypt and WIPO</w:t>
      </w:r>
      <w:proofErr w:type="gramStart"/>
      <w:r w:rsidR="003D0B2F">
        <w:t>;  in</w:t>
      </w:r>
      <w:proofErr w:type="gramEnd"/>
      <w:r w:rsidR="003D0B2F">
        <w:t xml:space="preserve"> this context, it expressed the hope </w:t>
      </w:r>
      <w:r w:rsidR="000043CA" w:rsidRPr="006B3EDD">
        <w:t xml:space="preserve">that technical assistance and training by WIPO </w:t>
      </w:r>
      <w:r w:rsidR="005C2932">
        <w:t xml:space="preserve">would </w:t>
      </w:r>
      <w:r w:rsidR="000043CA" w:rsidRPr="006B3EDD">
        <w:t xml:space="preserve">continue.  </w:t>
      </w:r>
      <w:r w:rsidR="005C2932">
        <w:t xml:space="preserve">The Delegation had </w:t>
      </w:r>
      <w:r w:rsidR="000043CA" w:rsidRPr="006B3EDD">
        <w:t xml:space="preserve">some ideas as to how to develop bilateral cooperation with </w:t>
      </w:r>
      <w:r w:rsidR="005C2932">
        <w:t xml:space="preserve">WIPO </w:t>
      </w:r>
      <w:r w:rsidR="000043CA" w:rsidRPr="006B3EDD">
        <w:t xml:space="preserve">so that </w:t>
      </w:r>
      <w:r w:rsidR="005C2932">
        <w:t xml:space="preserve">the </w:t>
      </w:r>
      <w:r w:rsidR="00404C2D">
        <w:t>Egyptian Patent O</w:t>
      </w:r>
      <w:r w:rsidR="000043CA" w:rsidRPr="006B3EDD">
        <w:t xml:space="preserve">ffice's activities </w:t>
      </w:r>
      <w:r w:rsidR="005C2932">
        <w:t xml:space="preserve">could be expanded </w:t>
      </w:r>
      <w:r w:rsidR="000043CA" w:rsidRPr="006B3EDD">
        <w:t>throughout the Arab region and Africa.</w:t>
      </w:r>
      <w:r w:rsidR="005C2932">
        <w:t xml:space="preserve">  The Delegation further stated that it </w:t>
      </w:r>
      <w:r w:rsidR="000043CA" w:rsidRPr="006B3EDD">
        <w:t>support</w:t>
      </w:r>
      <w:r w:rsidR="005C2932">
        <w:t>ed</w:t>
      </w:r>
      <w:r w:rsidR="000043CA" w:rsidRPr="006B3EDD">
        <w:t xml:space="preserve"> </w:t>
      </w:r>
      <w:r w:rsidR="005C2932">
        <w:t>the intervention made by the D</w:t>
      </w:r>
      <w:r w:rsidR="000043CA" w:rsidRPr="006B3EDD">
        <w:t xml:space="preserve">elegation of India </w:t>
      </w:r>
      <w:r w:rsidR="005C2932">
        <w:t xml:space="preserve">with regard to the issue of fee </w:t>
      </w:r>
      <w:r w:rsidR="000043CA" w:rsidRPr="006B3EDD">
        <w:t>reduction</w:t>
      </w:r>
      <w:r w:rsidR="005C2932">
        <w:t>s</w:t>
      </w:r>
      <w:r w:rsidR="000043CA" w:rsidRPr="006B3EDD">
        <w:t xml:space="preserve"> for</w:t>
      </w:r>
      <w:r w:rsidR="004158CD">
        <w:t xml:space="preserve"> </w:t>
      </w:r>
      <w:r w:rsidR="00885243">
        <w:t>SMEs</w:t>
      </w:r>
      <w:r w:rsidR="005C2932">
        <w:t>,</w:t>
      </w:r>
      <w:r w:rsidR="000043CA" w:rsidRPr="006B3EDD">
        <w:t xml:space="preserve"> universities and research institutions</w:t>
      </w:r>
      <w:r w:rsidR="005C2932">
        <w:t xml:space="preserve">, which it felt </w:t>
      </w:r>
      <w:r w:rsidR="000043CA" w:rsidRPr="006B3EDD">
        <w:t>could be very useful in the context of the PCT system.</w:t>
      </w:r>
    </w:p>
    <w:p w:rsidR="000043CA" w:rsidRPr="006B3EDD" w:rsidRDefault="005C2932" w:rsidP="000043CA">
      <w:pPr>
        <w:pStyle w:val="ONUME"/>
      </w:pPr>
      <w:r>
        <w:lastRenderedPageBreak/>
        <w:t xml:space="preserve">The Delegation of Spain stated that it wished to </w:t>
      </w:r>
      <w:r w:rsidR="000043CA" w:rsidRPr="006B3EDD">
        <w:t xml:space="preserve">endorse </w:t>
      </w:r>
      <w:r>
        <w:t xml:space="preserve">the statement by the Delegation of </w:t>
      </w:r>
      <w:r w:rsidR="000043CA" w:rsidRPr="006B3EDD">
        <w:t>Belgium</w:t>
      </w:r>
      <w:r w:rsidR="00885243">
        <w:t>,</w:t>
      </w:r>
      <w:r w:rsidR="000043CA" w:rsidRPr="006B3EDD">
        <w:t xml:space="preserve"> on behalf of Group B</w:t>
      </w:r>
      <w:r w:rsidR="00885243">
        <w:t>,</w:t>
      </w:r>
      <w:r w:rsidR="000043CA" w:rsidRPr="006B3EDD">
        <w:t xml:space="preserve"> and </w:t>
      </w:r>
      <w:r>
        <w:t xml:space="preserve">statements by </w:t>
      </w:r>
      <w:r w:rsidR="000043CA" w:rsidRPr="006B3EDD">
        <w:t xml:space="preserve">other delegations with regard to </w:t>
      </w:r>
      <w:r>
        <w:t xml:space="preserve">the following </w:t>
      </w:r>
      <w:r w:rsidR="000043CA" w:rsidRPr="006B3EDD">
        <w:t>points</w:t>
      </w:r>
      <w:r>
        <w:t xml:space="preserve">: </w:t>
      </w:r>
      <w:r w:rsidR="001468F1">
        <w:t xml:space="preserve"> </w:t>
      </w:r>
      <w:r>
        <w:t>f</w:t>
      </w:r>
      <w:r w:rsidR="000043CA" w:rsidRPr="006B3EDD">
        <w:t>irstly, the revision of fees to make the system more efficient for users</w:t>
      </w:r>
      <w:proofErr w:type="gramStart"/>
      <w:r>
        <w:t>;  and</w:t>
      </w:r>
      <w:proofErr w:type="gramEnd"/>
      <w:r>
        <w:t xml:space="preserve"> secondly, further work to e</w:t>
      </w:r>
      <w:r w:rsidR="000043CA" w:rsidRPr="006B3EDD">
        <w:t xml:space="preserve">nsure quality and sustainability of the </w:t>
      </w:r>
      <w:r>
        <w:t xml:space="preserve">PCT </w:t>
      </w:r>
      <w:r w:rsidR="000043CA" w:rsidRPr="006B3EDD">
        <w:t>system</w:t>
      </w:r>
      <w:r w:rsidR="00D925A7">
        <w:t xml:space="preserve">, which would </w:t>
      </w:r>
      <w:r w:rsidR="000043CA" w:rsidRPr="006B3EDD">
        <w:t>have an effect on the trust placed in it.</w:t>
      </w:r>
    </w:p>
    <w:p w:rsidR="000043CA" w:rsidRPr="006B3EDD" w:rsidRDefault="00D925A7" w:rsidP="000043CA">
      <w:pPr>
        <w:pStyle w:val="ONUME"/>
      </w:pPr>
      <w:r>
        <w:t xml:space="preserve">The Delegation of Trinidad and Tobago stated that it concurred with the Secretariat </w:t>
      </w:r>
      <w:r w:rsidR="000043CA" w:rsidRPr="006B3EDD">
        <w:t xml:space="preserve">that the PCT </w:t>
      </w:r>
      <w:r>
        <w:t xml:space="preserve">was </w:t>
      </w:r>
      <w:r w:rsidR="000043CA" w:rsidRPr="006B3EDD">
        <w:t xml:space="preserve">the </w:t>
      </w:r>
      <w:r>
        <w:t xml:space="preserve">central node of the international </w:t>
      </w:r>
      <w:r w:rsidR="000043CA" w:rsidRPr="006B3EDD">
        <w:t>patent system.  In fact</w:t>
      </w:r>
      <w:r>
        <w:t>,</w:t>
      </w:r>
      <w:r w:rsidR="000043CA" w:rsidRPr="006B3EDD">
        <w:t xml:space="preserve"> </w:t>
      </w:r>
      <w:r w:rsidR="00E01E74">
        <w:t xml:space="preserve">PCT applications </w:t>
      </w:r>
      <w:r w:rsidR="000043CA" w:rsidRPr="006B3EDD">
        <w:t>constitute</w:t>
      </w:r>
      <w:r>
        <w:t>d</w:t>
      </w:r>
      <w:r w:rsidR="000043CA" w:rsidRPr="006B3EDD">
        <w:t xml:space="preserve"> 97</w:t>
      </w:r>
      <w:r w:rsidR="00404C2D">
        <w:t> per cent</w:t>
      </w:r>
      <w:r w:rsidR="000043CA" w:rsidRPr="006B3EDD">
        <w:t xml:space="preserve"> of all </w:t>
      </w:r>
      <w:r w:rsidR="00E01E74">
        <w:t xml:space="preserve">patent </w:t>
      </w:r>
      <w:r w:rsidR="000043CA" w:rsidRPr="006B3EDD">
        <w:t xml:space="preserve">applications </w:t>
      </w:r>
      <w:r w:rsidR="00E01E74">
        <w:t xml:space="preserve">in </w:t>
      </w:r>
      <w:r w:rsidR="000043CA" w:rsidRPr="006B3EDD">
        <w:t xml:space="preserve">Trinidad and Tobago.  </w:t>
      </w:r>
      <w:r w:rsidR="00E01E74">
        <w:t xml:space="preserve">The Delegation </w:t>
      </w:r>
      <w:r w:rsidR="000043CA" w:rsidRPr="006B3EDD">
        <w:t>commend</w:t>
      </w:r>
      <w:r w:rsidR="00E01E74">
        <w:t>ed</w:t>
      </w:r>
      <w:r w:rsidR="000043CA" w:rsidRPr="006B3EDD">
        <w:t xml:space="preserve"> the work of the </w:t>
      </w:r>
      <w:r w:rsidR="00E01E74">
        <w:t xml:space="preserve">PCT </w:t>
      </w:r>
      <w:r w:rsidR="000043CA" w:rsidRPr="006B3EDD">
        <w:t xml:space="preserve">Working Group and the evolution of the PCT system.  As technology and innovations evolved, the </w:t>
      </w:r>
      <w:r w:rsidR="00E37FC2">
        <w:t xml:space="preserve">work of the </w:t>
      </w:r>
      <w:r w:rsidR="000043CA" w:rsidRPr="006B3EDD">
        <w:t>PCT continue</w:t>
      </w:r>
      <w:r w:rsidR="00E01E74">
        <w:t>d</w:t>
      </w:r>
      <w:r w:rsidR="000043CA" w:rsidRPr="006B3EDD">
        <w:t xml:space="preserve"> to evolve in a thoughtful and progressive manner.  </w:t>
      </w:r>
      <w:r w:rsidR="00E01E74">
        <w:t xml:space="preserve">It </w:t>
      </w:r>
      <w:r w:rsidR="000043CA" w:rsidRPr="006B3EDD">
        <w:t>look</w:t>
      </w:r>
      <w:r w:rsidR="00E01E74">
        <w:t>ed</w:t>
      </w:r>
      <w:r w:rsidR="000043CA" w:rsidRPr="006B3EDD">
        <w:t xml:space="preserve"> forward to continue working </w:t>
      </w:r>
      <w:r w:rsidR="00E01E74">
        <w:t xml:space="preserve">with other Member States on </w:t>
      </w:r>
      <w:r w:rsidR="000043CA" w:rsidRPr="006B3EDD">
        <w:t>these new initiatives.</w:t>
      </w:r>
      <w:r w:rsidR="00E01E74">
        <w:t xml:space="preserve">  It further </w:t>
      </w:r>
      <w:r w:rsidR="000043CA" w:rsidRPr="006B3EDD">
        <w:t>support</w:t>
      </w:r>
      <w:r w:rsidR="00E01E74">
        <w:t>ed</w:t>
      </w:r>
      <w:r w:rsidR="000043CA" w:rsidRPr="006B3EDD">
        <w:t xml:space="preserve"> the expansion of the options among a growing group of I</w:t>
      </w:r>
      <w:r w:rsidR="00E01E74">
        <w:t xml:space="preserve">nternational Searching and Preliminary Examining Authorities </w:t>
      </w:r>
      <w:r w:rsidR="000043CA" w:rsidRPr="006B3EDD">
        <w:t>and welcome</w:t>
      </w:r>
      <w:r w:rsidR="00E01E74">
        <w:t>d</w:t>
      </w:r>
      <w:r w:rsidR="000043CA" w:rsidRPr="006B3EDD">
        <w:t xml:space="preserve"> the inclusion of the State Intellectual Property Service of Ukraine as an </w:t>
      </w:r>
      <w:r w:rsidR="00E01E74">
        <w:t xml:space="preserve">International Authority under </w:t>
      </w:r>
      <w:r w:rsidR="000043CA" w:rsidRPr="006B3EDD">
        <w:t xml:space="preserve">PCT.  </w:t>
      </w:r>
      <w:r w:rsidR="00E01E74">
        <w:t xml:space="preserve">In closing, it </w:t>
      </w:r>
      <w:r w:rsidR="000043CA" w:rsidRPr="006B3EDD">
        <w:t>urge</w:t>
      </w:r>
      <w:r w:rsidR="00E01E74">
        <w:t>d</w:t>
      </w:r>
      <w:r w:rsidR="000043CA" w:rsidRPr="006B3EDD">
        <w:t xml:space="preserve"> that future </w:t>
      </w:r>
      <w:r w:rsidR="00E01E74">
        <w:t xml:space="preserve">PCT </w:t>
      </w:r>
      <w:r w:rsidR="000043CA" w:rsidRPr="006B3EDD">
        <w:t xml:space="preserve">improvements that </w:t>
      </w:r>
      <w:r w:rsidR="00E01E74">
        <w:t>were</w:t>
      </w:r>
      <w:r w:rsidR="000043CA" w:rsidRPr="006B3EDD">
        <w:t xml:space="preserve"> presently under discussion </w:t>
      </w:r>
      <w:r w:rsidR="00E01E74">
        <w:t xml:space="preserve">needed to </w:t>
      </w:r>
      <w:r w:rsidR="000043CA" w:rsidRPr="006B3EDD">
        <w:t xml:space="preserve">continue to take in account the capacities of all </w:t>
      </w:r>
      <w:r w:rsidR="00E01E74">
        <w:t>C</w:t>
      </w:r>
      <w:r w:rsidR="000043CA" w:rsidRPr="006B3EDD">
        <w:t xml:space="preserve">ontracting </w:t>
      </w:r>
      <w:r w:rsidR="00E01E74">
        <w:t>States</w:t>
      </w:r>
      <w:proofErr w:type="gramStart"/>
      <w:r w:rsidR="00E01E74">
        <w:t>;  it</w:t>
      </w:r>
      <w:proofErr w:type="gramEnd"/>
      <w:r w:rsidR="00E01E74">
        <w:t xml:space="preserve"> looked </w:t>
      </w:r>
      <w:r w:rsidR="000043CA" w:rsidRPr="006B3EDD">
        <w:t xml:space="preserve">toward </w:t>
      </w:r>
      <w:r w:rsidR="00E01E74">
        <w:t xml:space="preserve">to the </w:t>
      </w:r>
      <w:r w:rsidR="000043CA" w:rsidRPr="006B3EDD">
        <w:t xml:space="preserve">continued utility of the PCT to all </w:t>
      </w:r>
      <w:r w:rsidR="00E01E74">
        <w:t>C</w:t>
      </w:r>
      <w:r w:rsidR="000043CA" w:rsidRPr="006B3EDD">
        <w:t xml:space="preserve">ontracting </w:t>
      </w:r>
      <w:r w:rsidR="00E01E74">
        <w:t>States.</w:t>
      </w:r>
    </w:p>
    <w:p w:rsidR="00BE067D" w:rsidRDefault="00517686" w:rsidP="00517686">
      <w:pPr>
        <w:pStyle w:val="ONUME"/>
        <w:ind w:left="567"/>
      </w:pPr>
      <w:r>
        <w:t>The Assembly:</w:t>
      </w:r>
    </w:p>
    <w:p w:rsidR="00517686" w:rsidRDefault="00517686" w:rsidP="00517686">
      <w:pPr>
        <w:pStyle w:val="ONUME"/>
        <w:numPr>
          <w:ilvl w:val="0"/>
          <w:numId w:val="0"/>
        </w:numPr>
        <w:ind w:left="1134"/>
      </w:pPr>
      <w:r w:rsidRPr="00E71EC5">
        <w:t>(</w:t>
      </w:r>
      <w:r w:rsidRPr="00E71EC5">
        <w:fldChar w:fldCharType="begin"/>
      </w:r>
      <w:r w:rsidRPr="00E71EC5">
        <w:instrText xml:space="preserve"> LISTNUM Paragraph \l 3 </w:instrText>
      </w:r>
      <w:r w:rsidRPr="00E71EC5">
        <w:fldChar w:fldCharType="end">
          <w:numberingChange w:id="6" w:author="SANCHEZ Maria Margarita" w:date="2013-11-27T10:44:00Z" w:original="i)"/>
        </w:fldChar>
      </w:r>
      <w:r w:rsidRPr="00E71EC5">
        <w:tab/>
      </w:r>
      <w:proofErr w:type="gramStart"/>
      <w:r w:rsidRPr="00E71EC5">
        <w:t>note</w:t>
      </w:r>
      <w:r>
        <w:t>d</w:t>
      </w:r>
      <w:proofErr w:type="gramEnd"/>
      <w:r w:rsidRPr="00E71EC5">
        <w:t xml:space="preserve"> t</w:t>
      </w:r>
      <w:r>
        <w:t xml:space="preserve">he Summary by the Chair of the sixth </w:t>
      </w:r>
      <w:r w:rsidRPr="00E71EC5">
        <w:t xml:space="preserve">session </w:t>
      </w:r>
      <w:r w:rsidR="00E37FC2">
        <w:t xml:space="preserve">of the PCT Working Group </w:t>
      </w:r>
      <w:r w:rsidRPr="00E71EC5">
        <w:t>contained in document PCT/WG/</w:t>
      </w:r>
      <w:r>
        <w:t>6</w:t>
      </w:r>
      <w:r w:rsidRPr="00E71EC5">
        <w:t>/2</w:t>
      </w:r>
      <w:r>
        <w:t>3</w:t>
      </w:r>
      <w:r w:rsidRPr="00E71EC5">
        <w:t xml:space="preserve"> and reproduced in </w:t>
      </w:r>
      <w:r>
        <w:t xml:space="preserve">the </w:t>
      </w:r>
      <w:r w:rsidRPr="00E71EC5">
        <w:t>Annex of document</w:t>
      </w:r>
      <w:r>
        <w:t xml:space="preserve"> PCT/A/44/1;</w:t>
      </w:r>
    </w:p>
    <w:p w:rsidR="00517686" w:rsidRPr="00790733" w:rsidRDefault="00517686" w:rsidP="00517686">
      <w:pPr>
        <w:pStyle w:val="ONUME"/>
        <w:keepLines/>
        <w:numPr>
          <w:ilvl w:val="0"/>
          <w:numId w:val="0"/>
        </w:numPr>
        <w:ind w:left="1134"/>
        <w:rPr>
          <w:szCs w:val="22"/>
        </w:rPr>
      </w:pPr>
      <w:r w:rsidRPr="00DB6EF0">
        <w:rPr>
          <w:szCs w:val="22"/>
        </w:rPr>
        <w:t>(ii)</w:t>
      </w:r>
      <w:r w:rsidRPr="00DB6EF0">
        <w:rPr>
          <w:szCs w:val="22"/>
        </w:rPr>
        <w:tab/>
      </w:r>
      <w:r>
        <w:rPr>
          <w:szCs w:val="22"/>
        </w:rPr>
        <w:t xml:space="preserve">approved the recommendation by the Working Group concerning the </w:t>
      </w:r>
      <w:r w:rsidRPr="00672ED8">
        <w:rPr>
          <w:szCs w:val="22"/>
        </w:rPr>
        <w:t xml:space="preserve">review </w:t>
      </w:r>
      <w:r w:rsidRPr="00672ED8">
        <w:t>of the criteria and procedures for appointment of an Office as an International Searching and Preliminary Examining Authority under the PCT</w:t>
      </w:r>
      <w:r w:rsidRPr="00DB6EF0">
        <w:rPr>
          <w:szCs w:val="22"/>
        </w:rPr>
        <w:t xml:space="preserve"> </w:t>
      </w:r>
      <w:r>
        <w:rPr>
          <w:szCs w:val="22"/>
        </w:rPr>
        <w:t>set out in paragraph 3 of document PCT/A/44/1;</w:t>
      </w:r>
      <w:r w:rsidRPr="00DB6EF0">
        <w:t xml:space="preserve">  and</w:t>
      </w:r>
    </w:p>
    <w:p w:rsidR="00517686" w:rsidRDefault="00517686" w:rsidP="00517686">
      <w:pPr>
        <w:pStyle w:val="ONUME"/>
        <w:numPr>
          <w:ilvl w:val="0"/>
          <w:numId w:val="0"/>
        </w:numPr>
        <w:ind w:left="1134"/>
      </w:pPr>
      <w:r w:rsidRPr="00E71EC5">
        <w:t>(ii</w:t>
      </w:r>
      <w:r>
        <w:t>i</w:t>
      </w:r>
      <w:r w:rsidRPr="00E71EC5">
        <w:t>)</w:t>
      </w:r>
      <w:r w:rsidRPr="00E71EC5">
        <w:tab/>
        <w:t>approve</w:t>
      </w:r>
      <w:r>
        <w:t>d</w:t>
      </w:r>
      <w:r w:rsidRPr="00E71EC5">
        <w:t xml:space="preserve"> the recommendation concerning the further work of the PCT Working Group set out in paragraph </w:t>
      </w:r>
      <w:r>
        <w:t>4 of document PCT/A/44/1</w:t>
      </w:r>
      <w:r w:rsidRPr="00E71EC5">
        <w:t>.</w:t>
      </w:r>
    </w:p>
    <w:p w:rsidR="00505CD7" w:rsidRDefault="00505CD7" w:rsidP="00505CD7">
      <w:pPr>
        <w:pStyle w:val="Heading1"/>
      </w:pPr>
      <w:r w:rsidRPr="00505CD7">
        <w:t>Quality-Related Work by International Authorities</w:t>
      </w:r>
    </w:p>
    <w:p w:rsidR="0088319B" w:rsidRPr="0088319B" w:rsidRDefault="0088319B" w:rsidP="0088319B"/>
    <w:p w:rsidR="00505CD7" w:rsidRDefault="00505CD7" w:rsidP="00505CD7">
      <w:pPr>
        <w:pStyle w:val="ONUME"/>
      </w:pPr>
      <w:r>
        <w:t>Discussions were based on document PCT/A/44/2.</w:t>
      </w:r>
    </w:p>
    <w:p w:rsidR="00D508D9" w:rsidRPr="006B3EDD" w:rsidRDefault="00D508D9" w:rsidP="00D508D9">
      <w:pPr>
        <w:pStyle w:val="ONUME"/>
      </w:pPr>
      <w:r>
        <w:t xml:space="preserve">The Secretariat stated that the main </w:t>
      </w:r>
      <w:r w:rsidRPr="006B3EDD">
        <w:t>purpose of document</w:t>
      </w:r>
      <w:r>
        <w:t xml:space="preserve"> PCT/A/44/2 wa</w:t>
      </w:r>
      <w:r w:rsidRPr="006B3EDD">
        <w:t>s to report on the outcome of the</w:t>
      </w:r>
      <w:r>
        <w:t xml:space="preserve"> </w:t>
      </w:r>
      <w:r w:rsidR="00925CB8">
        <w:t xml:space="preserve">third informal session of the </w:t>
      </w:r>
      <w:r>
        <w:t>Quality Subgroup of the M</w:t>
      </w:r>
      <w:r w:rsidRPr="006B3EDD">
        <w:t xml:space="preserve">eeting of </w:t>
      </w:r>
      <w:r>
        <w:t>I</w:t>
      </w:r>
      <w:r w:rsidRPr="006B3EDD">
        <w:t xml:space="preserve">nternational </w:t>
      </w:r>
      <w:r>
        <w:t>A</w:t>
      </w:r>
      <w:r w:rsidRPr="006B3EDD">
        <w:t xml:space="preserve">uthorities </w:t>
      </w:r>
      <w:r>
        <w:t>under</w:t>
      </w:r>
      <w:r w:rsidRPr="006B3EDD">
        <w:t xml:space="preserve"> the PCT</w:t>
      </w:r>
      <w:r>
        <w:t xml:space="preserve">, which had </w:t>
      </w:r>
      <w:r w:rsidRPr="006B3EDD">
        <w:t>tak</w:t>
      </w:r>
      <w:r>
        <w:t>en</w:t>
      </w:r>
      <w:r w:rsidRPr="006B3EDD">
        <w:t xml:space="preserve"> place in Munich in February of this year.  The </w:t>
      </w:r>
      <w:r>
        <w:t>S</w:t>
      </w:r>
      <w:r w:rsidRPr="006B3EDD">
        <w:t xml:space="preserve">ummary by the Chair of the </w:t>
      </w:r>
      <w:r w:rsidR="00404C2D">
        <w:t>session</w:t>
      </w:r>
      <w:r w:rsidR="00404C2D" w:rsidRPr="006B3EDD">
        <w:t xml:space="preserve"> </w:t>
      </w:r>
      <w:r>
        <w:t xml:space="preserve">was </w:t>
      </w:r>
      <w:r w:rsidRPr="006B3EDD">
        <w:t xml:space="preserve">attached in the </w:t>
      </w:r>
      <w:r>
        <w:t>A</w:t>
      </w:r>
      <w:r w:rsidRPr="006B3EDD">
        <w:t>nnex to the document</w:t>
      </w:r>
      <w:r>
        <w:t>.  T</w:t>
      </w:r>
      <w:r w:rsidRPr="006B3EDD">
        <w:t>he focus of this third</w:t>
      </w:r>
      <w:r w:rsidR="00404C2D">
        <w:t xml:space="preserve"> informal session </w:t>
      </w:r>
      <w:r>
        <w:t xml:space="preserve">had </w:t>
      </w:r>
      <w:r w:rsidRPr="006B3EDD">
        <w:t>again</w:t>
      </w:r>
      <w:r>
        <w:t xml:space="preserve"> been</w:t>
      </w:r>
      <w:r w:rsidRPr="006B3EDD">
        <w:t xml:space="preserve"> on effective quality improvement measures, that is</w:t>
      </w:r>
      <w:r>
        <w:t>,</w:t>
      </w:r>
      <w:r w:rsidRPr="006B3EDD">
        <w:t xml:space="preserve"> measures to improve the overall quality and usefulness of the PCT</w:t>
      </w:r>
      <w:r w:rsidR="00E37FC2">
        <w:t>’s</w:t>
      </w:r>
      <w:r w:rsidRPr="006B3EDD">
        <w:t xml:space="preserve"> work product</w:t>
      </w:r>
      <w:r w:rsidR="00404C2D">
        <w:t>s</w:t>
      </w:r>
      <w:r>
        <w:t xml:space="preserve">, namely, </w:t>
      </w:r>
      <w:r w:rsidRPr="006B3EDD">
        <w:t>international search report</w:t>
      </w:r>
      <w:r>
        <w:t>s and international preliminary reports on patentability</w:t>
      </w:r>
      <w:r w:rsidRPr="006B3EDD">
        <w:t xml:space="preserve">.  The </w:t>
      </w:r>
      <w:r>
        <w:t>Quality Subgroup</w:t>
      </w:r>
      <w:r w:rsidRPr="006B3EDD">
        <w:t xml:space="preserve"> </w:t>
      </w:r>
      <w:r>
        <w:t xml:space="preserve">had further </w:t>
      </w:r>
      <w:r w:rsidRPr="006B3EDD">
        <w:t xml:space="preserve">focused on </w:t>
      </w:r>
      <w:r>
        <w:t xml:space="preserve">the </w:t>
      </w:r>
      <w:r w:rsidRPr="006B3EDD">
        <w:t xml:space="preserve">development of quality metrics </w:t>
      </w:r>
      <w:r>
        <w:t xml:space="preserve">for </w:t>
      </w:r>
      <w:r w:rsidRPr="006B3EDD">
        <w:t>international search reports and the development of quality metrics for the entire PCT system</w:t>
      </w:r>
      <w:r>
        <w:t>,</w:t>
      </w:r>
      <w:r w:rsidRPr="006B3EDD">
        <w:t xml:space="preserve"> covering the work of receiving </w:t>
      </w:r>
      <w:r>
        <w:t>O</w:t>
      </w:r>
      <w:r w:rsidRPr="006B3EDD">
        <w:t xml:space="preserve">ffices, </w:t>
      </w:r>
      <w:r>
        <w:t>I</w:t>
      </w:r>
      <w:r w:rsidRPr="006B3EDD">
        <w:t xml:space="preserve">nternational </w:t>
      </w:r>
      <w:r>
        <w:t>A</w:t>
      </w:r>
      <w:r w:rsidRPr="006B3EDD">
        <w:t>uthorities</w:t>
      </w:r>
      <w:r w:rsidR="00925CB8">
        <w:t>, designated and elected Office</w:t>
      </w:r>
      <w:r w:rsidR="00E37FC2">
        <w:t>s</w:t>
      </w:r>
      <w:r w:rsidR="00925CB8">
        <w:t>,</w:t>
      </w:r>
      <w:r w:rsidRPr="006B3EDD">
        <w:t xml:space="preserve"> and the International Bureau.</w:t>
      </w:r>
      <w:r>
        <w:t xml:space="preserve">  </w:t>
      </w:r>
      <w:r w:rsidRPr="006B3EDD">
        <w:t>The document further inform</w:t>
      </w:r>
      <w:r>
        <w:t>ed</w:t>
      </w:r>
      <w:r w:rsidRPr="006B3EDD">
        <w:t xml:space="preserve"> Member States of the availability on </w:t>
      </w:r>
      <w:r w:rsidR="00404C2D">
        <w:t>the</w:t>
      </w:r>
      <w:r w:rsidRPr="006B3EDD">
        <w:t xml:space="preserve"> </w:t>
      </w:r>
      <w:r w:rsidR="00404C2D">
        <w:t xml:space="preserve">WIPO </w:t>
      </w:r>
      <w:r w:rsidRPr="006B3EDD">
        <w:t>web</w:t>
      </w:r>
      <w:r w:rsidR="00404C2D">
        <w:t> </w:t>
      </w:r>
      <w:r w:rsidRPr="006B3EDD">
        <w:t>site of the latest report</w:t>
      </w:r>
      <w:r w:rsidR="00404C2D">
        <w:t>s</w:t>
      </w:r>
      <w:r w:rsidRPr="006B3EDD">
        <w:t xml:space="preserve"> by </w:t>
      </w:r>
      <w:r>
        <w:t>I</w:t>
      </w:r>
      <w:r w:rsidRPr="006B3EDD">
        <w:t xml:space="preserve">nternational </w:t>
      </w:r>
      <w:r>
        <w:t>A</w:t>
      </w:r>
      <w:r w:rsidRPr="006B3EDD">
        <w:t>uthorities on the state of the</w:t>
      </w:r>
      <w:r w:rsidR="00404C2D">
        <w:t>ir</w:t>
      </w:r>
      <w:r w:rsidRPr="006B3EDD">
        <w:t xml:space="preserve"> existing quality management systems</w:t>
      </w:r>
      <w:r w:rsidR="00925CB8">
        <w:t>,</w:t>
      </w:r>
      <w:r w:rsidRPr="006B3EDD">
        <w:t xml:space="preserve"> as ha</w:t>
      </w:r>
      <w:r w:rsidR="00925CB8">
        <w:t>d been the p</w:t>
      </w:r>
      <w:r w:rsidRPr="006B3EDD">
        <w:t xml:space="preserve">ractice for a </w:t>
      </w:r>
      <w:r w:rsidR="00925CB8">
        <w:t xml:space="preserve">number of </w:t>
      </w:r>
      <w:r w:rsidRPr="006B3EDD">
        <w:t xml:space="preserve">years.  Those reports </w:t>
      </w:r>
      <w:r w:rsidR="00925CB8">
        <w:t xml:space="preserve">had also been </w:t>
      </w:r>
      <w:r w:rsidRPr="006B3EDD">
        <w:t>discuss</w:t>
      </w:r>
      <w:r w:rsidR="00925CB8">
        <w:t>ed</w:t>
      </w:r>
      <w:r w:rsidRPr="006B3EDD">
        <w:t xml:space="preserve"> </w:t>
      </w:r>
      <w:r w:rsidR="00925CB8">
        <w:t>by the Q</w:t>
      </w:r>
      <w:r w:rsidRPr="006B3EDD">
        <w:t xml:space="preserve">uality </w:t>
      </w:r>
      <w:r w:rsidR="00925CB8">
        <w:t>S</w:t>
      </w:r>
      <w:r w:rsidRPr="006B3EDD">
        <w:t xml:space="preserve">ubgroup, </w:t>
      </w:r>
      <w:r w:rsidR="00925CB8">
        <w:t xml:space="preserve">as set out in </w:t>
      </w:r>
      <w:r w:rsidRPr="006B3EDD">
        <w:t xml:space="preserve">paragraphs 1 to 6 of the </w:t>
      </w:r>
      <w:r w:rsidR="00925CB8">
        <w:t>S</w:t>
      </w:r>
      <w:r w:rsidRPr="006B3EDD">
        <w:t>ummary by the Chair.</w:t>
      </w:r>
    </w:p>
    <w:p w:rsidR="00D508D9" w:rsidRPr="006B3EDD" w:rsidRDefault="00925CB8" w:rsidP="00D508D9">
      <w:pPr>
        <w:pStyle w:val="ONUME"/>
      </w:pPr>
      <w:r>
        <w:t>The Delegation of Japan stated that, i</w:t>
      </w:r>
      <w:r w:rsidR="00D508D9" w:rsidRPr="006B3EDD">
        <w:t xml:space="preserve">n order to improve the quality of search and examination results in each </w:t>
      </w:r>
      <w:r>
        <w:t>I</w:t>
      </w:r>
      <w:r w:rsidR="00D508D9" w:rsidRPr="006B3EDD">
        <w:t xml:space="preserve">nternational </w:t>
      </w:r>
      <w:r>
        <w:t>A</w:t>
      </w:r>
      <w:r w:rsidR="00D508D9" w:rsidRPr="006B3EDD">
        <w:t xml:space="preserve">uthority, </w:t>
      </w:r>
      <w:r>
        <w:t xml:space="preserve">it </w:t>
      </w:r>
      <w:r w:rsidR="00D508D9" w:rsidRPr="006B3EDD">
        <w:t>believe</w:t>
      </w:r>
      <w:r>
        <w:t>d</w:t>
      </w:r>
      <w:r w:rsidR="00D508D9" w:rsidRPr="006B3EDD">
        <w:t xml:space="preserve"> </w:t>
      </w:r>
      <w:r>
        <w:t xml:space="preserve">that it was </w:t>
      </w:r>
      <w:r w:rsidR="00D508D9" w:rsidRPr="006B3EDD">
        <w:t>extremely important to establish an international framework that c</w:t>
      </w:r>
      <w:r>
        <w:t>ould</w:t>
      </w:r>
      <w:r w:rsidR="00D508D9" w:rsidRPr="006B3EDD">
        <w:t xml:space="preserve"> give feedback on international </w:t>
      </w:r>
      <w:r w:rsidR="00F7163E">
        <w:t xml:space="preserve">search </w:t>
      </w:r>
      <w:r w:rsidR="00D508D9" w:rsidRPr="006B3EDD">
        <w:t xml:space="preserve">reports </w:t>
      </w:r>
      <w:r w:rsidR="00D508D9" w:rsidRPr="006B3EDD">
        <w:lastRenderedPageBreak/>
        <w:t xml:space="preserve">and written opinions by </w:t>
      </w:r>
      <w:r>
        <w:t>I</w:t>
      </w:r>
      <w:r w:rsidR="00D508D9" w:rsidRPr="006B3EDD">
        <w:t xml:space="preserve">nternational </w:t>
      </w:r>
      <w:r>
        <w:t>S</w:t>
      </w:r>
      <w:r w:rsidR="00D508D9" w:rsidRPr="006B3EDD">
        <w:t xml:space="preserve">earching </w:t>
      </w:r>
      <w:r w:rsidR="00404C2D">
        <w:t>A</w:t>
      </w:r>
      <w:r w:rsidR="00D508D9" w:rsidRPr="006B3EDD">
        <w:t>uthorities</w:t>
      </w:r>
      <w:r w:rsidR="007A0639">
        <w:t>,</w:t>
      </w:r>
      <w:r w:rsidR="00D508D9" w:rsidRPr="006B3EDD">
        <w:t xml:space="preserve"> as referred to in </w:t>
      </w:r>
      <w:r w:rsidR="007A0639">
        <w:t>p</w:t>
      </w:r>
      <w:r w:rsidR="00D508D9" w:rsidRPr="006B3EDD">
        <w:t xml:space="preserve">aragraph 5 of document PCT/A/44/2.  </w:t>
      </w:r>
      <w:r w:rsidR="007A0639">
        <w:t>The D</w:t>
      </w:r>
      <w:r w:rsidR="00D508D9" w:rsidRPr="006B3EDD">
        <w:t xml:space="preserve">elegation </w:t>
      </w:r>
      <w:r w:rsidR="007A0639">
        <w:t>was</w:t>
      </w:r>
      <w:r w:rsidR="00D508D9" w:rsidRPr="006B3EDD">
        <w:t xml:space="preserve"> grateful for the hard work by the Secretariat on this issue.  Based on </w:t>
      </w:r>
      <w:r w:rsidR="007A0639">
        <w:t>such a feedback mechanism</w:t>
      </w:r>
      <w:r w:rsidR="00D508D9" w:rsidRPr="006B3EDD">
        <w:t xml:space="preserve">, </w:t>
      </w:r>
      <w:r w:rsidR="00404C2D">
        <w:t>O</w:t>
      </w:r>
      <w:r w:rsidR="00D508D9" w:rsidRPr="006B3EDD">
        <w:t xml:space="preserve">ffices </w:t>
      </w:r>
      <w:r w:rsidR="007A0639">
        <w:t xml:space="preserve">would be </w:t>
      </w:r>
      <w:r w:rsidR="00D508D9" w:rsidRPr="006B3EDD">
        <w:t xml:space="preserve">able to easily provide feedback on examination results to </w:t>
      </w:r>
      <w:r w:rsidR="00404C2D">
        <w:t>one</w:t>
      </w:r>
      <w:r w:rsidR="00D508D9" w:rsidRPr="006B3EDD">
        <w:t xml:space="preserve"> </w:t>
      </w:r>
      <w:r w:rsidR="00404C2D">
        <w:t>an</w:t>
      </w:r>
      <w:r w:rsidR="00D508D9" w:rsidRPr="006B3EDD">
        <w:t xml:space="preserve">other.  As a result, </w:t>
      </w:r>
      <w:r w:rsidR="008D43C2">
        <w:t xml:space="preserve">the addition of such a feedback mechanism </w:t>
      </w:r>
      <w:r w:rsidR="00D508D9" w:rsidRPr="006B3EDD">
        <w:t xml:space="preserve">would further enhance the value of the PCT system in the future.  </w:t>
      </w:r>
      <w:r w:rsidR="008D43C2">
        <w:t xml:space="preserve">Against this background, </w:t>
      </w:r>
      <w:r w:rsidR="00D508D9" w:rsidRPr="006B3EDD">
        <w:t xml:space="preserve">the Japan </w:t>
      </w:r>
      <w:r w:rsidR="008D43C2">
        <w:t>P</w:t>
      </w:r>
      <w:r w:rsidR="00D508D9" w:rsidRPr="006B3EDD">
        <w:t xml:space="preserve">atent </w:t>
      </w:r>
      <w:r w:rsidR="008D43C2">
        <w:t>O</w:t>
      </w:r>
      <w:r w:rsidR="00D508D9" w:rsidRPr="006B3EDD">
        <w:t xml:space="preserve">ffice </w:t>
      </w:r>
      <w:r w:rsidR="00885243">
        <w:t xml:space="preserve">(JPO) </w:t>
      </w:r>
      <w:r w:rsidR="008D43C2">
        <w:t xml:space="preserve">was </w:t>
      </w:r>
      <w:r w:rsidR="00D508D9" w:rsidRPr="006B3EDD">
        <w:t xml:space="preserve">now considering a pilot program </w:t>
      </w:r>
      <w:r w:rsidR="008D43C2">
        <w:t xml:space="preserve">aimed at </w:t>
      </w:r>
      <w:r w:rsidR="00D508D9" w:rsidRPr="006B3EDD">
        <w:t>analy</w:t>
      </w:r>
      <w:r w:rsidR="008D43C2">
        <w:t>zing</w:t>
      </w:r>
      <w:r w:rsidR="00D508D9" w:rsidRPr="006B3EDD">
        <w:t xml:space="preserve"> and utili</w:t>
      </w:r>
      <w:r w:rsidR="008D43C2">
        <w:t>zing</w:t>
      </w:r>
      <w:r w:rsidR="00D508D9" w:rsidRPr="006B3EDD">
        <w:t xml:space="preserve"> feedback </w:t>
      </w:r>
      <w:r w:rsidR="008D43C2">
        <w:t>from O</w:t>
      </w:r>
      <w:r w:rsidR="00D508D9" w:rsidRPr="006B3EDD">
        <w:t>ffices and then provid</w:t>
      </w:r>
      <w:r w:rsidR="008D43C2">
        <w:t>ing</w:t>
      </w:r>
      <w:r w:rsidR="00D508D9" w:rsidRPr="006B3EDD">
        <w:t xml:space="preserve"> feedback on the results to th</w:t>
      </w:r>
      <w:r w:rsidR="008D43C2">
        <w:t xml:space="preserve">ose </w:t>
      </w:r>
      <w:r w:rsidR="00C365BB">
        <w:t>Office</w:t>
      </w:r>
      <w:r w:rsidR="008D43C2">
        <w:t>s</w:t>
      </w:r>
      <w:r w:rsidR="00D508D9" w:rsidRPr="006B3EDD">
        <w:t xml:space="preserve"> at </w:t>
      </w:r>
      <w:r w:rsidR="00F7163E">
        <w:t>the earliest possible time through the cooperation with other offices</w:t>
      </w:r>
      <w:r w:rsidR="00D508D9" w:rsidRPr="006B3EDD">
        <w:t>.  Over time</w:t>
      </w:r>
      <w:r w:rsidR="001D7B4E">
        <w:t>,</w:t>
      </w:r>
      <w:r w:rsidR="00D508D9" w:rsidRPr="006B3EDD">
        <w:t xml:space="preserve"> as a number of pilot programs </w:t>
      </w:r>
      <w:r w:rsidR="001D7B4E">
        <w:t>wer</w:t>
      </w:r>
      <w:r w:rsidR="00404C2D">
        <w:t>e</w:t>
      </w:r>
      <w:r w:rsidR="00D508D9" w:rsidRPr="006B3EDD">
        <w:t xml:space="preserve"> implemented and the feedback framework bec</w:t>
      </w:r>
      <w:r w:rsidR="001D7B4E">
        <w:t>a</w:t>
      </w:r>
      <w:r w:rsidR="00D508D9" w:rsidRPr="006B3EDD">
        <w:t xml:space="preserve">me more sophisticated, </w:t>
      </w:r>
      <w:r w:rsidR="001D7B4E">
        <w:t xml:space="preserve">it </w:t>
      </w:r>
      <w:r w:rsidR="00D508D9" w:rsidRPr="006B3EDD">
        <w:t>expect</w:t>
      </w:r>
      <w:r w:rsidR="001D7B4E">
        <w:t>ed</w:t>
      </w:r>
      <w:r w:rsidR="00D508D9" w:rsidRPr="006B3EDD">
        <w:t xml:space="preserve"> that the framework w</w:t>
      </w:r>
      <w:r w:rsidR="001D7B4E">
        <w:t>ould</w:t>
      </w:r>
      <w:r w:rsidR="00D508D9" w:rsidRPr="006B3EDD">
        <w:t xml:space="preserve"> develop into an effective and efficient system that w</w:t>
      </w:r>
      <w:r w:rsidR="001D7B4E">
        <w:t>ould</w:t>
      </w:r>
      <w:r w:rsidR="00D508D9" w:rsidRPr="006B3EDD">
        <w:t xml:space="preserve"> be conducive to improving the quality of search and examination results of </w:t>
      </w:r>
      <w:r w:rsidR="001D7B4E">
        <w:t>International Authorities.</w:t>
      </w:r>
    </w:p>
    <w:p w:rsidR="00D508D9" w:rsidRPr="006B3EDD" w:rsidRDefault="008652E0" w:rsidP="00D508D9">
      <w:pPr>
        <w:pStyle w:val="ONUME"/>
      </w:pPr>
      <w:r>
        <w:t xml:space="preserve">The Delegation of the United States of America </w:t>
      </w:r>
      <w:r w:rsidR="00D508D9" w:rsidRPr="006B3EDD">
        <w:t>note</w:t>
      </w:r>
      <w:r>
        <w:t>d</w:t>
      </w:r>
      <w:r w:rsidR="00D508D9" w:rsidRPr="006B3EDD">
        <w:t xml:space="preserve"> with appreciation the important work of the </w:t>
      </w:r>
      <w:r>
        <w:t>Q</w:t>
      </w:r>
      <w:r w:rsidR="00D508D9" w:rsidRPr="006B3EDD">
        <w:t xml:space="preserve">uality </w:t>
      </w:r>
      <w:r>
        <w:t>S</w:t>
      </w:r>
      <w:r w:rsidR="00D508D9" w:rsidRPr="006B3EDD">
        <w:t xml:space="preserve">ubgroup.  </w:t>
      </w:r>
      <w:r>
        <w:t xml:space="preserve">It </w:t>
      </w:r>
      <w:r w:rsidR="00D508D9" w:rsidRPr="006B3EDD">
        <w:t>especially note</w:t>
      </w:r>
      <w:r>
        <w:t>d</w:t>
      </w:r>
      <w:r w:rsidR="00D508D9" w:rsidRPr="006B3EDD">
        <w:t xml:space="preserve"> the work of the </w:t>
      </w:r>
      <w:r>
        <w:t>Q</w:t>
      </w:r>
      <w:r w:rsidR="00D508D9" w:rsidRPr="006B3EDD">
        <w:t xml:space="preserve">uality </w:t>
      </w:r>
      <w:r>
        <w:t>S</w:t>
      </w:r>
      <w:r w:rsidR="00D508D9" w:rsidRPr="006B3EDD">
        <w:t>ubgroup with regard to the availability of search strategies and continue</w:t>
      </w:r>
      <w:r>
        <w:t>d</w:t>
      </w:r>
      <w:r w:rsidR="00D508D9" w:rsidRPr="006B3EDD">
        <w:t xml:space="preserve"> to encourage all </w:t>
      </w:r>
      <w:r>
        <w:t>A</w:t>
      </w:r>
      <w:r w:rsidR="00D508D9" w:rsidRPr="006B3EDD">
        <w:t>uthorities to make their search strategies available</w:t>
      </w:r>
      <w:r>
        <w:t>,</w:t>
      </w:r>
      <w:r w:rsidR="00D508D9" w:rsidRPr="006B3EDD">
        <w:t xml:space="preserve"> as this </w:t>
      </w:r>
      <w:r>
        <w:t>was</w:t>
      </w:r>
      <w:r w:rsidR="00D508D9" w:rsidRPr="006B3EDD">
        <w:t xml:space="preserve"> an important tool to aid </w:t>
      </w:r>
      <w:r>
        <w:t>e</w:t>
      </w:r>
      <w:r w:rsidR="00D508D9" w:rsidRPr="006B3EDD">
        <w:t xml:space="preserve">xaminers in evaluating the sufficiency of the search performed </w:t>
      </w:r>
      <w:r>
        <w:t xml:space="preserve">during </w:t>
      </w:r>
      <w:r w:rsidR="00D508D9" w:rsidRPr="006B3EDD">
        <w:t>the international phase.</w:t>
      </w:r>
    </w:p>
    <w:p w:rsidR="00BE067D" w:rsidRDefault="00517686" w:rsidP="00517686">
      <w:pPr>
        <w:pStyle w:val="ONUME"/>
        <w:ind w:left="567"/>
      </w:pPr>
      <w:r>
        <w:t>The Assembly noted the contents of document PCT/A/44/2.</w:t>
      </w:r>
    </w:p>
    <w:p w:rsidR="00505CD7" w:rsidRDefault="00505CD7" w:rsidP="00505CD7">
      <w:pPr>
        <w:pStyle w:val="Heading1"/>
      </w:pPr>
      <w:r>
        <w:t>Proposed Amendments to the PCT Regulations</w:t>
      </w:r>
    </w:p>
    <w:p w:rsidR="0088319B" w:rsidRPr="0088319B" w:rsidRDefault="0088319B" w:rsidP="0088319B"/>
    <w:p w:rsidR="00505CD7" w:rsidRDefault="00505CD7" w:rsidP="00505CD7">
      <w:pPr>
        <w:pStyle w:val="ONUME"/>
      </w:pPr>
      <w:r>
        <w:t>Discussions were based on document PCT/A/44/3.</w:t>
      </w:r>
    </w:p>
    <w:p w:rsidR="000301B6" w:rsidRPr="006B3EDD" w:rsidRDefault="000301B6" w:rsidP="000301B6">
      <w:pPr>
        <w:pStyle w:val="ONUME"/>
      </w:pPr>
      <w:r>
        <w:t xml:space="preserve">The Secretariat, in introducing document PCT/A/44/3, explained that the </w:t>
      </w:r>
      <w:r w:rsidRPr="006B3EDD">
        <w:t xml:space="preserve">effect of the proposed amendments </w:t>
      </w:r>
      <w:r>
        <w:t xml:space="preserve">to the PCT Regulations </w:t>
      </w:r>
      <w:r w:rsidRPr="006B3EDD">
        <w:t>would be</w:t>
      </w:r>
      <w:r>
        <w:t xml:space="preserve">, firstly, </w:t>
      </w:r>
      <w:r w:rsidRPr="006B3EDD">
        <w:t xml:space="preserve">to require </w:t>
      </w:r>
      <w:r>
        <w:t>I</w:t>
      </w:r>
      <w:r w:rsidRPr="006B3EDD">
        <w:t xml:space="preserve">nternational </w:t>
      </w:r>
      <w:r>
        <w:t>Preliminary E</w:t>
      </w:r>
      <w:r w:rsidRPr="006B3EDD">
        <w:t xml:space="preserve">xamining </w:t>
      </w:r>
      <w:r>
        <w:t>A</w:t>
      </w:r>
      <w:r w:rsidRPr="006B3EDD">
        <w:t xml:space="preserve">uthorities to conduct </w:t>
      </w:r>
      <w:r w:rsidR="001A6766">
        <w:t xml:space="preserve">a </w:t>
      </w:r>
      <w:r w:rsidRPr="006B3EDD">
        <w:t>top</w:t>
      </w:r>
      <w:r w:rsidR="001A6766">
        <w:noBreakHyphen/>
      </w:r>
      <w:r w:rsidRPr="006B3EDD">
        <w:t xml:space="preserve">up search during </w:t>
      </w:r>
      <w:r>
        <w:t>the PCT C</w:t>
      </w:r>
      <w:r w:rsidRPr="006B3EDD">
        <w:t>hapter</w:t>
      </w:r>
      <w:r>
        <w:t xml:space="preserve"> II </w:t>
      </w:r>
      <w:r w:rsidRPr="006B3EDD">
        <w:t>procedure</w:t>
      </w:r>
      <w:r>
        <w:t xml:space="preserve">, </w:t>
      </w:r>
      <w:r w:rsidRPr="006B3EDD">
        <w:t xml:space="preserve">subject to various exceptions </w:t>
      </w:r>
      <w:r>
        <w:t xml:space="preserve">set out </w:t>
      </w:r>
      <w:r w:rsidRPr="006B3EDD">
        <w:t xml:space="preserve">in the </w:t>
      </w:r>
      <w:r>
        <w:t>R</w:t>
      </w:r>
      <w:r w:rsidRPr="006B3EDD">
        <w:t>ule</w:t>
      </w:r>
      <w:r>
        <w:t xml:space="preserve"> as proposed to be amended; </w:t>
      </w:r>
      <w:r w:rsidRPr="006B3EDD">
        <w:t xml:space="preserve"> and</w:t>
      </w:r>
      <w:r>
        <w:t xml:space="preserve">, secondly, </w:t>
      </w:r>
      <w:r w:rsidRPr="006B3EDD">
        <w:t xml:space="preserve">to allow opinions of the </w:t>
      </w:r>
      <w:r>
        <w:t>I</w:t>
      </w:r>
      <w:r w:rsidRPr="006B3EDD">
        <w:t xml:space="preserve">nternational </w:t>
      </w:r>
      <w:r>
        <w:t>S</w:t>
      </w:r>
      <w:r w:rsidRPr="006B3EDD">
        <w:t xml:space="preserve">earching </w:t>
      </w:r>
      <w:r>
        <w:t>A</w:t>
      </w:r>
      <w:r w:rsidRPr="006B3EDD">
        <w:t xml:space="preserve">uthority and informal comments submitted by the applicant in response to such opinions to be available </w:t>
      </w:r>
      <w:r>
        <w:t>on P</w:t>
      </w:r>
      <w:r w:rsidR="001A6766">
        <w:t>ATENTSCOPE</w:t>
      </w:r>
      <w:r>
        <w:t xml:space="preserve"> </w:t>
      </w:r>
      <w:r w:rsidRPr="006B3EDD">
        <w:t xml:space="preserve">from the date of international publication.  The </w:t>
      </w:r>
      <w:r>
        <w:t xml:space="preserve">proposed amendments had </w:t>
      </w:r>
      <w:r w:rsidRPr="006B3EDD">
        <w:t xml:space="preserve">been discussed in </w:t>
      </w:r>
      <w:r>
        <w:t xml:space="preserve">great </w:t>
      </w:r>
      <w:r w:rsidRPr="006B3EDD">
        <w:t xml:space="preserve">detail by the PCT </w:t>
      </w:r>
      <w:r>
        <w:t>W</w:t>
      </w:r>
      <w:r w:rsidRPr="006B3EDD">
        <w:t xml:space="preserve">orking </w:t>
      </w:r>
      <w:r>
        <w:t>G</w:t>
      </w:r>
      <w:r w:rsidRPr="006B3EDD">
        <w:t>roup</w:t>
      </w:r>
      <w:r>
        <w:t xml:space="preserve">, which had </w:t>
      </w:r>
      <w:r w:rsidRPr="006B3EDD">
        <w:t>unanimously agree</w:t>
      </w:r>
      <w:r>
        <w:t>d</w:t>
      </w:r>
      <w:r w:rsidRPr="006B3EDD">
        <w:t xml:space="preserve"> that th</w:t>
      </w:r>
      <w:r>
        <w:t>e</w:t>
      </w:r>
      <w:r w:rsidRPr="006B3EDD">
        <w:t xml:space="preserve"> </w:t>
      </w:r>
      <w:r>
        <w:t>A</w:t>
      </w:r>
      <w:r w:rsidRPr="006B3EDD">
        <w:t xml:space="preserve">ssembly should adopt </w:t>
      </w:r>
      <w:r>
        <w:t xml:space="preserve">the </w:t>
      </w:r>
      <w:r w:rsidRPr="006B3EDD">
        <w:t>amendments as proposed.</w:t>
      </w:r>
    </w:p>
    <w:p w:rsidR="000301B6" w:rsidRPr="006B3EDD" w:rsidRDefault="000301B6" w:rsidP="000301B6">
      <w:pPr>
        <w:pStyle w:val="ONUME"/>
      </w:pPr>
      <w:r>
        <w:t xml:space="preserve">The Delegation of Japan </w:t>
      </w:r>
      <w:r w:rsidR="000A2299">
        <w:t xml:space="preserve">stated that it </w:t>
      </w:r>
      <w:r w:rsidRPr="006B3EDD">
        <w:t>support</w:t>
      </w:r>
      <w:r w:rsidR="000A2299">
        <w:t>ed</w:t>
      </w:r>
      <w:r w:rsidRPr="006B3EDD">
        <w:t xml:space="preserve"> the proposed amendment</w:t>
      </w:r>
      <w:r w:rsidR="000A2299">
        <w:t>s</w:t>
      </w:r>
      <w:r w:rsidRPr="006B3EDD">
        <w:t xml:space="preserve"> to the </w:t>
      </w:r>
      <w:r w:rsidR="000A2299">
        <w:t>PCT R</w:t>
      </w:r>
      <w:r w:rsidRPr="006B3EDD">
        <w:t xml:space="preserve">egulations.  </w:t>
      </w:r>
      <w:r w:rsidR="000A2299">
        <w:t xml:space="preserve">It requested </w:t>
      </w:r>
      <w:r w:rsidRPr="006B3EDD">
        <w:t>that</w:t>
      </w:r>
      <w:r w:rsidR="000A2299">
        <w:t>, as a next step,</w:t>
      </w:r>
      <w:r w:rsidRPr="006B3EDD">
        <w:t xml:space="preserve"> detailed discussion</w:t>
      </w:r>
      <w:r w:rsidR="000A2299">
        <w:t>s</w:t>
      </w:r>
      <w:r w:rsidRPr="006B3EDD">
        <w:t xml:space="preserve"> on the implementation of top up searches </w:t>
      </w:r>
      <w:r w:rsidR="000A2299">
        <w:t xml:space="preserve">should </w:t>
      </w:r>
      <w:r w:rsidRPr="006B3EDD">
        <w:t xml:space="preserve">be held at the earliest </w:t>
      </w:r>
      <w:r w:rsidR="000A2299">
        <w:t>o</w:t>
      </w:r>
      <w:r w:rsidRPr="006B3EDD">
        <w:t>pportunity</w:t>
      </w:r>
      <w:proofErr w:type="gramStart"/>
      <w:r w:rsidR="000A2299">
        <w:t>;  in</w:t>
      </w:r>
      <w:proofErr w:type="gramEnd"/>
      <w:r w:rsidR="000A2299">
        <w:t xml:space="preserve"> this context, it was </w:t>
      </w:r>
      <w:r w:rsidRPr="006B3EDD">
        <w:t xml:space="preserve">necessary to study </w:t>
      </w:r>
      <w:r w:rsidR="00F7163E">
        <w:t xml:space="preserve">further </w:t>
      </w:r>
      <w:r w:rsidRPr="006B3EDD">
        <w:t>the discretion of each I</w:t>
      </w:r>
      <w:r w:rsidR="000A2299">
        <w:t xml:space="preserve">nternational Preliminary Examining Authority </w:t>
      </w:r>
      <w:r w:rsidRPr="006B3EDD">
        <w:t>whether to conduct top</w:t>
      </w:r>
      <w:r w:rsidR="001A6766">
        <w:noBreakHyphen/>
      </w:r>
      <w:r w:rsidRPr="006B3EDD">
        <w:t xml:space="preserve">up searches on specific </w:t>
      </w:r>
      <w:r w:rsidR="000A2299">
        <w:t>international applications</w:t>
      </w:r>
      <w:r w:rsidR="00F7163E">
        <w:t>, and possible transitional arrangements if practices were to be changed</w:t>
      </w:r>
      <w:r w:rsidRPr="006B3EDD">
        <w:t>.</w:t>
      </w:r>
    </w:p>
    <w:p w:rsidR="000301B6" w:rsidRPr="006B3EDD" w:rsidRDefault="002D4102" w:rsidP="009B7FDE">
      <w:pPr>
        <w:pStyle w:val="ONUME"/>
      </w:pPr>
      <w:r>
        <w:t xml:space="preserve">The Delegation of the United States of America </w:t>
      </w:r>
      <w:r w:rsidR="000301B6" w:rsidRPr="006B3EDD">
        <w:t>support</w:t>
      </w:r>
      <w:r>
        <w:t>ed</w:t>
      </w:r>
      <w:r w:rsidR="000301B6" w:rsidRPr="006B3EDD">
        <w:t xml:space="preserve"> </w:t>
      </w:r>
      <w:r>
        <w:t xml:space="preserve">the </w:t>
      </w:r>
      <w:r w:rsidR="000301B6" w:rsidRPr="006B3EDD">
        <w:t xml:space="preserve">adoption of the proposed amendments of the </w:t>
      </w:r>
      <w:r>
        <w:t xml:space="preserve">Regulations </w:t>
      </w:r>
      <w:r w:rsidR="000301B6" w:rsidRPr="006B3EDD">
        <w:t xml:space="preserve">under the PCT set out in </w:t>
      </w:r>
      <w:r>
        <w:t>A</w:t>
      </w:r>
      <w:r w:rsidR="000301B6" w:rsidRPr="006B3EDD">
        <w:t xml:space="preserve">nnex </w:t>
      </w:r>
      <w:r>
        <w:t>I</w:t>
      </w:r>
      <w:r w:rsidR="000301B6" w:rsidRPr="006B3EDD">
        <w:t xml:space="preserve"> to </w:t>
      </w:r>
      <w:r>
        <w:t xml:space="preserve">document </w:t>
      </w:r>
      <w:r w:rsidR="000301B6" w:rsidRPr="006B3EDD">
        <w:t xml:space="preserve">PCT/A/44/3.  The proposed amendments of </w:t>
      </w:r>
      <w:r>
        <w:t>R</w:t>
      </w:r>
      <w:r w:rsidR="000301B6" w:rsidRPr="006B3EDD">
        <w:t>ule</w:t>
      </w:r>
      <w:r>
        <w:t>s</w:t>
      </w:r>
      <w:r w:rsidR="000301B6" w:rsidRPr="006B3EDD">
        <w:t xml:space="preserve"> 66 and 70 related to top</w:t>
      </w:r>
      <w:r w:rsidR="001A6766">
        <w:noBreakHyphen/>
      </w:r>
      <w:r w:rsidR="000301B6" w:rsidRPr="006B3EDD">
        <w:t>up searching w</w:t>
      </w:r>
      <w:r>
        <w:t>ould</w:t>
      </w:r>
      <w:r w:rsidR="000301B6" w:rsidRPr="006B3EDD">
        <w:t xml:space="preserve"> help to maintain work product quality within the PCT system</w:t>
      </w:r>
      <w:r>
        <w:t xml:space="preserve">;  </w:t>
      </w:r>
      <w:r w:rsidR="000301B6" w:rsidRPr="006B3EDD">
        <w:t xml:space="preserve">the amendment </w:t>
      </w:r>
      <w:r>
        <w:t>of</w:t>
      </w:r>
      <w:r w:rsidR="000301B6" w:rsidRPr="006B3EDD">
        <w:t xml:space="preserve"> </w:t>
      </w:r>
      <w:r>
        <w:t>R</w:t>
      </w:r>
      <w:r w:rsidR="000301B6" w:rsidRPr="006B3EDD">
        <w:t xml:space="preserve">ule 94 </w:t>
      </w:r>
      <w:r w:rsidR="001468F1">
        <w:t xml:space="preserve">and deletion </w:t>
      </w:r>
      <w:r w:rsidR="000301B6" w:rsidRPr="006B3EDD">
        <w:t>of 44</w:t>
      </w:r>
      <w:r w:rsidR="001468F1">
        <w:rPr>
          <w:i/>
        </w:rPr>
        <w:t>ter</w:t>
      </w:r>
      <w:r w:rsidR="001468F1">
        <w:t>,</w:t>
      </w:r>
      <w:r w:rsidR="000301B6" w:rsidRPr="006B3EDD">
        <w:t xml:space="preserve"> relating to </w:t>
      </w:r>
      <w:r>
        <w:t xml:space="preserve">the making available </w:t>
      </w:r>
      <w:r w:rsidR="000301B6" w:rsidRPr="006B3EDD">
        <w:t>of written opinion</w:t>
      </w:r>
      <w:r>
        <w:t>s by the International Searching Authority</w:t>
      </w:r>
      <w:r w:rsidR="000301B6" w:rsidRPr="006B3EDD">
        <w:t xml:space="preserve"> </w:t>
      </w:r>
      <w:r>
        <w:t>at the time of i</w:t>
      </w:r>
      <w:r w:rsidR="000301B6" w:rsidRPr="006B3EDD">
        <w:t>nternational publication</w:t>
      </w:r>
      <w:r w:rsidR="001468F1">
        <w:t>,</w:t>
      </w:r>
      <w:r w:rsidR="000301B6" w:rsidRPr="006B3EDD">
        <w:t xml:space="preserve"> w</w:t>
      </w:r>
      <w:r>
        <w:t>ould</w:t>
      </w:r>
      <w:r w:rsidR="000301B6" w:rsidRPr="006B3EDD">
        <w:t xml:space="preserve"> promote transparency within the system.  </w:t>
      </w:r>
      <w:r w:rsidR="009B7FDE">
        <w:t xml:space="preserve">The Delegation further </w:t>
      </w:r>
      <w:r w:rsidR="000301B6" w:rsidRPr="006B3EDD">
        <w:t>support</w:t>
      </w:r>
      <w:r w:rsidR="009B7FDE">
        <w:t>ed</w:t>
      </w:r>
      <w:r w:rsidR="000301B6" w:rsidRPr="006B3EDD">
        <w:t xml:space="preserve"> adoption of the decisions concerning entry into force and transitional arrangement</w:t>
      </w:r>
      <w:r w:rsidR="009B7FDE">
        <w:t>s</w:t>
      </w:r>
      <w:r w:rsidR="000301B6" w:rsidRPr="006B3EDD">
        <w:t xml:space="preserve"> in respect to the proposed amendments</w:t>
      </w:r>
      <w:r w:rsidR="009B7FDE">
        <w:t>, as</w:t>
      </w:r>
      <w:r w:rsidR="000301B6" w:rsidRPr="006B3EDD">
        <w:t xml:space="preserve"> set out in </w:t>
      </w:r>
      <w:r w:rsidR="009B7FDE">
        <w:t>A</w:t>
      </w:r>
      <w:r w:rsidR="000301B6" w:rsidRPr="006B3EDD">
        <w:t>nnex</w:t>
      </w:r>
      <w:r w:rsidR="009B7FDE">
        <w:t> I</w:t>
      </w:r>
      <w:r w:rsidR="000301B6" w:rsidRPr="006B3EDD">
        <w:t xml:space="preserve"> to </w:t>
      </w:r>
      <w:r w:rsidR="009B7FDE">
        <w:t>document PCT/A/44/3.</w:t>
      </w:r>
    </w:p>
    <w:p w:rsidR="000301B6" w:rsidRPr="006B3EDD" w:rsidRDefault="009B7FDE" w:rsidP="000301B6">
      <w:pPr>
        <w:pStyle w:val="ONUME"/>
      </w:pPr>
      <w:r>
        <w:t xml:space="preserve">The Delegation of Norway </w:t>
      </w:r>
      <w:r w:rsidR="000301B6" w:rsidRPr="006B3EDD">
        <w:t>consider</w:t>
      </w:r>
      <w:r>
        <w:t>ed</w:t>
      </w:r>
      <w:r w:rsidR="000301B6" w:rsidRPr="006B3EDD">
        <w:t xml:space="preserve"> that the proposed amendment</w:t>
      </w:r>
      <w:r>
        <w:t>s</w:t>
      </w:r>
      <w:r w:rsidR="000301B6" w:rsidRPr="006B3EDD">
        <w:t xml:space="preserve"> </w:t>
      </w:r>
      <w:r>
        <w:t xml:space="preserve">relating to </w:t>
      </w:r>
      <w:r w:rsidR="000301B6" w:rsidRPr="006B3EDD">
        <w:t>mandatory top</w:t>
      </w:r>
      <w:r w:rsidR="001A6766">
        <w:noBreakHyphen/>
      </w:r>
      <w:r w:rsidR="000301B6" w:rsidRPr="006B3EDD">
        <w:t>up search</w:t>
      </w:r>
      <w:r>
        <w:t>es</w:t>
      </w:r>
      <w:r w:rsidR="000301B6" w:rsidRPr="006B3EDD">
        <w:t xml:space="preserve"> for </w:t>
      </w:r>
      <w:r>
        <w:t xml:space="preserve">International Preliminary Examining Authorities </w:t>
      </w:r>
      <w:r w:rsidR="000301B6" w:rsidRPr="006B3EDD">
        <w:t>w</w:t>
      </w:r>
      <w:r>
        <w:t>ould</w:t>
      </w:r>
      <w:r w:rsidR="000301B6" w:rsidRPr="006B3EDD">
        <w:t xml:space="preserve"> improve the quality of the PCT service</w:t>
      </w:r>
      <w:r>
        <w:t>s</w:t>
      </w:r>
      <w:r w:rsidR="000301B6" w:rsidRPr="006B3EDD">
        <w:t xml:space="preserve"> provided </w:t>
      </w:r>
      <w:r>
        <w:t xml:space="preserve">during </w:t>
      </w:r>
      <w:r w:rsidR="000301B6" w:rsidRPr="006B3EDD">
        <w:t xml:space="preserve">the national </w:t>
      </w:r>
      <w:r>
        <w:t>ph</w:t>
      </w:r>
      <w:r w:rsidR="000301B6" w:rsidRPr="006B3EDD">
        <w:t>a</w:t>
      </w:r>
      <w:r>
        <w:t>s</w:t>
      </w:r>
      <w:r w:rsidR="000301B6" w:rsidRPr="006B3EDD">
        <w:t>e</w:t>
      </w:r>
      <w:r>
        <w:t>, for the benefit of t</w:t>
      </w:r>
      <w:r w:rsidR="000301B6" w:rsidRPr="006B3EDD">
        <w:t xml:space="preserve">hird parties and national </w:t>
      </w:r>
      <w:r w:rsidR="00C365BB">
        <w:t>Office</w:t>
      </w:r>
      <w:r w:rsidR="000301B6" w:rsidRPr="006B3EDD">
        <w:t xml:space="preserve">s.  </w:t>
      </w:r>
      <w:r>
        <w:t xml:space="preserve">It thus </w:t>
      </w:r>
      <w:r w:rsidR="000301B6" w:rsidRPr="006B3EDD">
        <w:t>support</w:t>
      </w:r>
      <w:r>
        <w:t>ed</w:t>
      </w:r>
      <w:r w:rsidR="000301B6" w:rsidRPr="006B3EDD">
        <w:t xml:space="preserve"> the proposal </w:t>
      </w:r>
      <w:r>
        <w:t xml:space="preserve">to introduce such </w:t>
      </w:r>
      <w:r w:rsidR="000301B6" w:rsidRPr="006B3EDD">
        <w:t>top</w:t>
      </w:r>
      <w:r w:rsidR="001A6766">
        <w:noBreakHyphen/>
      </w:r>
      <w:r w:rsidR="000301B6" w:rsidRPr="006B3EDD">
        <w:t>up search</w:t>
      </w:r>
      <w:r>
        <w:t>es</w:t>
      </w:r>
      <w:r w:rsidR="000301B6" w:rsidRPr="006B3EDD">
        <w:t>.  Further</w:t>
      </w:r>
      <w:r w:rsidR="00347296">
        <w:t xml:space="preserve">more, it </w:t>
      </w:r>
      <w:r w:rsidR="000301B6" w:rsidRPr="006B3EDD">
        <w:t>support</w:t>
      </w:r>
      <w:r w:rsidR="00347296">
        <w:t>ed</w:t>
      </w:r>
      <w:r w:rsidR="000301B6" w:rsidRPr="006B3EDD">
        <w:t xml:space="preserve"> the proposal to make the written opinions of the </w:t>
      </w:r>
      <w:r w:rsidR="00347296">
        <w:t>I</w:t>
      </w:r>
      <w:r w:rsidR="000301B6" w:rsidRPr="006B3EDD">
        <w:t xml:space="preserve">nternational </w:t>
      </w:r>
      <w:r w:rsidR="00347296">
        <w:lastRenderedPageBreak/>
        <w:t>S</w:t>
      </w:r>
      <w:r w:rsidR="000301B6" w:rsidRPr="006B3EDD">
        <w:t>earch</w:t>
      </w:r>
      <w:r w:rsidR="00347296">
        <w:t>ing</w:t>
      </w:r>
      <w:r w:rsidR="000301B6" w:rsidRPr="006B3EDD">
        <w:t xml:space="preserve"> </w:t>
      </w:r>
      <w:r w:rsidR="00347296">
        <w:t>A</w:t>
      </w:r>
      <w:r w:rsidR="000301B6" w:rsidRPr="006B3EDD">
        <w:t>uthorities available at the same date as the international publication of the</w:t>
      </w:r>
      <w:r w:rsidR="00347296">
        <w:t xml:space="preserve"> international application</w:t>
      </w:r>
      <w:r w:rsidR="000301B6" w:rsidRPr="006B3EDD">
        <w:t>.</w:t>
      </w:r>
    </w:p>
    <w:p w:rsidR="00BE067D" w:rsidRDefault="00BE067D" w:rsidP="00BE067D">
      <w:pPr>
        <w:pStyle w:val="ONUME"/>
        <w:ind w:left="567"/>
      </w:pPr>
      <w:r>
        <w:t>The Assembly:</w:t>
      </w:r>
    </w:p>
    <w:p w:rsidR="00BE067D" w:rsidRDefault="00BE067D" w:rsidP="00BE067D">
      <w:pPr>
        <w:pStyle w:val="ONUME"/>
        <w:numPr>
          <w:ilvl w:val="0"/>
          <w:numId w:val="0"/>
        </w:numPr>
        <w:ind w:left="1134"/>
      </w:pPr>
      <w:r>
        <w:t>(</w:t>
      </w:r>
      <w:proofErr w:type="spellStart"/>
      <w:r>
        <w:t>i</w:t>
      </w:r>
      <w:proofErr w:type="spellEnd"/>
      <w:r>
        <w:t>)</w:t>
      </w:r>
      <w:r>
        <w:tab/>
      </w:r>
      <w:proofErr w:type="gramStart"/>
      <w:r>
        <w:t>adopted</w:t>
      </w:r>
      <w:proofErr w:type="gramEnd"/>
      <w:r>
        <w:t xml:space="preserve"> the proposed amendments to the Regulations under the PCT set out in the Annex to this report;</w:t>
      </w:r>
    </w:p>
    <w:p w:rsidR="00BE067D" w:rsidRDefault="00BE067D" w:rsidP="00BE067D">
      <w:pPr>
        <w:pStyle w:val="ONUME"/>
        <w:numPr>
          <w:ilvl w:val="0"/>
          <w:numId w:val="0"/>
        </w:numPr>
        <w:ind w:left="1134"/>
      </w:pPr>
      <w:r>
        <w:t>(ii)</w:t>
      </w:r>
      <w:r>
        <w:tab/>
      </w:r>
      <w:proofErr w:type="gramStart"/>
      <w:r>
        <w:t>decided</w:t>
      </w:r>
      <w:proofErr w:type="gramEnd"/>
      <w:r>
        <w:t xml:space="preserve"> </w:t>
      </w:r>
      <w:r w:rsidR="00517686">
        <w:t>that t</w:t>
      </w:r>
      <w:r w:rsidR="00517686" w:rsidRPr="00517686">
        <w:t xml:space="preserve">he amendments of Rules 66 and 70 set out in </w:t>
      </w:r>
      <w:r w:rsidR="00517686">
        <w:t xml:space="preserve">the </w:t>
      </w:r>
      <w:r w:rsidR="00517686" w:rsidRPr="00517686">
        <w:t>Annex to this document shall enter into force on July 1, 2014, and shall apply to any international application, irrespective of its international filing date, in respect of which a demand for international preliminary examination is</w:t>
      </w:r>
      <w:r w:rsidR="00517686">
        <w:t xml:space="preserve"> made on or after July 1, 2014.</w:t>
      </w:r>
    </w:p>
    <w:p w:rsidR="00517686" w:rsidRDefault="00517686" w:rsidP="00BE067D">
      <w:pPr>
        <w:pStyle w:val="ONUME"/>
        <w:numPr>
          <w:ilvl w:val="0"/>
          <w:numId w:val="0"/>
        </w:numPr>
        <w:ind w:left="1134"/>
      </w:pPr>
      <w:r>
        <w:t>(iii)</w:t>
      </w:r>
      <w:r>
        <w:tab/>
        <w:t>decided that t</w:t>
      </w:r>
      <w:r w:rsidRPr="00357623">
        <w:t>he deletion of Rule 44</w:t>
      </w:r>
      <w:r w:rsidRPr="00357623">
        <w:rPr>
          <w:i/>
        </w:rPr>
        <w:t>ter</w:t>
      </w:r>
      <w:r w:rsidRPr="00357623">
        <w:t xml:space="preserve"> and the amendment of Rule 94 set out in Annex I to this document shall enter into force on July 1, 2014, and shall apply to any international application whose international fil</w:t>
      </w:r>
      <w:r w:rsidR="00885243">
        <w:t>ing date is on or after July 1, </w:t>
      </w:r>
      <w:r w:rsidRPr="00357623">
        <w:t>2014</w:t>
      </w:r>
      <w:r>
        <w:t>.</w:t>
      </w:r>
    </w:p>
    <w:p w:rsidR="00505CD7" w:rsidRDefault="00505CD7" w:rsidP="00505CD7">
      <w:pPr>
        <w:pStyle w:val="Heading1"/>
      </w:pPr>
      <w:r w:rsidRPr="00505CD7">
        <w:t>Appointment of the State Intellectual Property Service of Ukraine as an International Searching and Preliminary Examining Authority under the PCT</w:t>
      </w:r>
    </w:p>
    <w:p w:rsidR="0088319B" w:rsidRPr="0088319B" w:rsidRDefault="0088319B" w:rsidP="0088319B"/>
    <w:p w:rsidR="002928D3" w:rsidRPr="003C11ED" w:rsidRDefault="00505CD7" w:rsidP="00505CD7">
      <w:pPr>
        <w:pStyle w:val="ONUME"/>
      </w:pPr>
      <w:r w:rsidRPr="003C11ED">
        <w:t>Discussions were based on document PCT/A/44/4 Rev.</w:t>
      </w:r>
    </w:p>
    <w:p w:rsidR="00886A96" w:rsidRPr="003C11ED" w:rsidRDefault="00886A96" w:rsidP="00886A96">
      <w:pPr>
        <w:pStyle w:val="ONUME"/>
      </w:pPr>
      <w:r w:rsidRPr="00F563BD">
        <w:t xml:space="preserve">The Secretariat stated that the only changes in document PCT/A/44/4 Rev. compared to the original document PCT/A/44/4 were to be found in Appendix 4 of the document, setting out the draft Agreement between the Intellectual </w:t>
      </w:r>
      <w:r w:rsidR="00D96D83" w:rsidRPr="00F563BD">
        <w:t xml:space="preserve">Property Service of </w:t>
      </w:r>
      <w:r w:rsidRPr="00F563BD">
        <w:t>Ukrain</w:t>
      </w:r>
      <w:r w:rsidR="00D96D83" w:rsidRPr="00F563BD">
        <w:t>e</w:t>
      </w:r>
      <w:r w:rsidRPr="00F563BD">
        <w:t xml:space="preserve"> and the International Bureau</w:t>
      </w:r>
      <w:proofErr w:type="gramStart"/>
      <w:r w:rsidR="00D96D83" w:rsidRPr="00F563BD">
        <w:t xml:space="preserve">; </w:t>
      </w:r>
      <w:r w:rsidR="001468F1" w:rsidRPr="00F563BD">
        <w:t xml:space="preserve"> </w:t>
      </w:r>
      <w:r w:rsidR="00D96D83" w:rsidRPr="003C11ED">
        <w:t>those</w:t>
      </w:r>
      <w:proofErr w:type="gramEnd"/>
      <w:r w:rsidR="00D96D83" w:rsidRPr="003C11ED">
        <w:t xml:space="preserve"> </w:t>
      </w:r>
      <w:r w:rsidRPr="003C11ED">
        <w:t xml:space="preserve">changes </w:t>
      </w:r>
      <w:r w:rsidR="00D96D83" w:rsidRPr="003C11ED">
        <w:t xml:space="preserve">were </w:t>
      </w:r>
      <w:r w:rsidRPr="003C11ED">
        <w:t xml:space="preserve">highlighted by the </w:t>
      </w:r>
      <w:r w:rsidR="00D96D83" w:rsidRPr="00F563BD">
        <w:t xml:space="preserve">usual </w:t>
      </w:r>
      <w:r w:rsidRPr="00F563BD">
        <w:t>underlining and strike through</w:t>
      </w:r>
      <w:r w:rsidR="00D96D83" w:rsidRPr="00F563BD">
        <w:t xml:space="preserve"> of the text concerned.</w:t>
      </w:r>
      <w:r w:rsidR="001A6766" w:rsidRPr="00F563BD">
        <w:t xml:space="preserve"> </w:t>
      </w:r>
    </w:p>
    <w:p w:rsidR="00886A96" w:rsidRPr="006B3EDD" w:rsidRDefault="00D96D83" w:rsidP="00886A96">
      <w:pPr>
        <w:pStyle w:val="ONUME"/>
      </w:pPr>
      <w:r>
        <w:t>The Chair referred to the</w:t>
      </w:r>
      <w:r w:rsidR="001A6766">
        <w:t xml:space="preserve"> twenty</w:t>
      </w:r>
      <w:r w:rsidR="001A6766">
        <w:noBreakHyphen/>
        <w:t>sixth</w:t>
      </w:r>
      <w:r>
        <w:t xml:space="preserve"> </w:t>
      </w:r>
      <w:r w:rsidR="00886A96" w:rsidRPr="006B3EDD">
        <w:t xml:space="preserve">session </w:t>
      </w:r>
      <w:r>
        <w:t>of</w:t>
      </w:r>
      <w:r w:rsidR="00886A96" w:rsidRPr="006B3EDD">
        <w:t xml:space="preserve"> the PCT</w:t>
      </w:r>
      <w:r>
        <w:t xml:space="preserve"> </w:t>
      </w:r>
      <w:r w:rsidR="00886A96" w:rsidRPr="006B3EDD">
        <w:t>Committee for Technical Cooperation</w:t>
      </w:r>
      <w:r>
        <w:t xml:space="preserve"> (PCT/CTC) which had been held earlier and the fact that that Committee had given </w:t>
      </w:r>
      <w:r w:rsidR="00886A96" w:rsidRPr="006B3EDD">
        <w:t xml:space="preserve">a favorable </w:t>
      </w:r>
      <w:r w:rsidR="001A6766">
        <w:t>opinion</w:t>
      </w:r>
      <w:r w:rsidR="00886A96" w:rsidRPr="006B3EDD">
        <w:t xml:space="preserve"> on the </w:t>
      </w:r>
      <w:r>
        <w:t xml:space="preserve">proposed </w:t>
      </w:r>
      <w:r w:rsidR="00886A96" w:rsidRPr="006B3EDD">
        <w:t xml:space="preserve">appointment of the State Intellectual Property Service </w:t>
      </w:r>
      <w:r>
        <w:t xml:space="preserve">of Ukraine </w:t>
      </w:r>
      <w:r w:rsidR="00886A96" w:rsidRPr="006B3EDD">
        <w:t xml:space="preserve">as an </w:t>
      </w:r>
      <w:r>
        <w:t>I</w:t>
      </w:r>
      <w:r w:rsidR="00886A96" w:rsidRPr="006B3EDD">
        <w:t xml:space="preserve">nternational </w:t>
      </w:r>
      <w:r>
        <w:t>S</w:t>
      </w:r>
      <w:r w:rsidR="00886A96" w:rsidRPr="006B3EDD">
        <w:t xml:space="preserve">earching and </w:t>
      </w:r>
      <w:r>
        <w:t>P</w:t>
      </w:r>
      <w:r w:rsidR="00886A96" w:rsidRPr="006B3EDD">
        <w:t>reliminary</w:t>
      </w:r>
      <w:r>
        <w:t xml:space="preserve"> E</w:t>
      </w:r>
      <w:r w:rsidR="00886A96" w:rsidRPr="006B3EDD">
        <w:t xml:space="preserve">xamining </w:t>
      </w:r>
      <w:r>
        <w:t>A</w:t>
      </w:r>
      <w:r w:rsidR="00886A96" w:rsidRPr="006B3EDD">
        <w:t xml:space="preserve">uthority under the PCT.  </w:t>
      </w:r>
    </w:p>
    <w:p w:rsidR="00886A96" w:rsidRDefault="00D96D83" w:rsidP="00886A96">
      <w:pPr>
        <w:pStyle w:val="ONUME"/>
      </w:pPr>
      <w:r>
        <w:t>The Delegation of Ukraine</w:t>
      </w:r>
      <w:r w:rsidR="00455924">
        <w:t xml:space="preserve"> </w:t>
      </w:r>
      <w:r w:rsidR="00886A96" w:rsidRPr="006B3EDD">
        <w:t>expresse</w:t>
      </w:r>
      <w:r>
        <w:t>d</w:t>
      </w:r>
      <w:r w:rsidR="00886A96" w:rsidRPr="006B3EDD">
        <w:t xml:space="preserve"> its most sincere gratitude to the Director General of WIPO</w:t>
      </w:r>
      <w:r>
        <w:t xml:space="preserve"> and to the D</w:t>
      </w:r>
      <w:r w:rsidR="00886A96" w:rsidRPr="006B3EDD">
        <w:t>elegations of Japan, Austria, Finland, Chile and Hungary</w:t>
      </w:r>
      <w:r>
        <w:t xml:space="preserve">, all of which had </w:t>
      </w:r>
      <w:r w:rsidR="00886A96" w:rsidRPr="006B3EDD">
        <w:t xml:space="preserve">expressed their </w:t>
      </w:r>
      <w:r>
        <w:t xml:space="preserve">favorable </w:t>
      </w:r>
      <w:r w:rsidR="00886A96" w:rsidRPr="006B3EDD">
        <w:t>opinion and comments</w:t>
      </w:r>
      <w:r w:rsidR="002856D9">
        <w:t xml:space="preserve"> during the session of the PCT</w:t>
      </w:r>
      <w:r w:rsidR="00885243">
        <w:t>/CTC</w:t>
      </w:r>
      <w:r w:rsidR="00886A96" w:rsidRPr="006B3EDD">
        <w:t xml:space="preserve">.  The State Intellectual Property Service </w:t>
      </w:r>
      <w:r>
        <w:t xml:space="preserve">of Ukraine </w:t>
      </w:r>
      <w:r w:rsidR="002856D9">
        <w:t>considered</w:t>
      </w:r>
      <w:r>
        <w:t xml:space="preserve"> it as </w:t>
      </w:r>
      <w:r w:rsidR="00886A96" w:rsidRPr="006B3EDD">
        <w:t>a great honor to be appointed as</w:t>
      </w:r>
      <w:r w:rsidR="00E37FC2">
        <w:t xml:space="preserve"> an</w:t>
      </w:r>
      <w:r w:rsidR="00886A96" w:rsidRPr="006B3EDD">
        <w:t xml:space="preserve"> </w:t>
      </w:r>
      <w:r>
        <w:t>I</w:t>
      </w:r>
      <w:r w:rsidR="00886A96" w:rsidRPr="006B3EDD">
        <w:t xml:space="preserve">nternational </w:t>
      </w:r>
      <w:r>
        <w:t>S</w:t>
      </w:r>
      <w:r w:rsidR="00886A96" w:rsidRPr="006B3EDD">
        <w:t xml:space="preserve">earching and </w:t>
      </w:r>
      <w:r>
        <w:t>Preliminary E</w:t>
      </w:r>
      <w:r w:rsidR="00886A96" w:rsidRPr="006B3EDD">
        <w:t xml:space="preserve">xamining </w:t>
      </w:r>
      <w:r>
        <w:t>A</w:t>
      </w:r>
      <w:r w:rsidR="00886A96" w:rsidRPr="006B3EDD">
        <w:t>uthority under the PCT</w:t>
      </w:r>
      <w:r w:rsidR="002856D9">
        <w:t>, and</w:t>
      </w:r>
      <w:r>
        <w:t xml:space="preserve"> saw its</w:t>
      </w:r>
      <w:r w:rsidR="002856D9">
        <w:t xml:space="preserve"> appointment</w:t>
      </w:r>
      <w:r>
        <w:t xml:space="preserve"> as </w:t>
      </w:r>
      <w:r w:rsidR="00886A96" w:rsidRPr="006B3EDD">
        <w:t xml:space="preserve">an obligation to make </w:t>
      </w:r>
      <w:r w:rsidR="002856D9">
        <w:t>a</w:t>
      </w:r>
      <w:r w:rsidR="00886A96" w:rsidRPr="006B3EDD">
        <w:t xml:space="preserve"> contribution to the development of the global patent system.  The </w:t>
      </w:r>
      <w:r>
        <w:t>D</w:t>
      </w:r>
      <w:r w:rsidR="00886A96" w:rsidRPr="006B3EDD">
        <w:t>elegation highly appreciate</w:t>
      </w:r>
      <w:r>
        <w:t>d</w:t>
      </w:r>
      <w:r w:rsidR="00886A96" w:rsidRPr="006B3EDD">
        <w:t xml:space="preserve"> the support by all delegations </w:t>
      </w:r>
      <w:r w:rsidR="002856D9">
        <w:t>that</w:t>
      </w:r>
      <w:r w:rsidR="00886A96" w:rsidRPr="006B3EDD">
        <w:t xml:space="preserve"> </w:t>
      </w:r>
      <w:r>
        <w:t xml:space="preserve">had </w:t>
      </w:r>
      <w:r w:rsidR="00886A96" w:rsidRPr="006B3EDD">
        <w:t xml:space="preserve">assisted the State Service </w:t>
      </w:r>
      <w:r>
        <w:t xml:space="preserve">in its endeavor to </w:t>
      </w:r>
      <w:r w:rsidR="00886A96" w:rsidRPr="006B3EDD">
        <w:t>be</w:t>
      </w:r>
      <w:r>
        <w:t xml:space="preserve"> appointed as </w:t>
      </w:r>
      <w:r w:rsidR="00886A96" w:rsidRPr="006B3EDD">
        <w:t xml:space="preserve">an </w:t>
      </w:r>
      <w:r>
        <w:t>International Authority.</w:t>
      </w:r>
    </w:p>
    <w:p w:rsidR="00D96D83" w:rsidRDefault="00D96D83" w:rsidP="00F563BD">
      <w:pPr>
        <w:pStyle w:val="ONUME"/>
        <w:ind w:left="567"/>
      </w:pPr>
      <w:r>
        <w:t xml:space="preserve">The Assembly, having </w:t>
      </w:r>
      <w:r w:rsidRPr="00533A0D">
        <w:t>hear</w:t>
      </w:r>
      <w:r>
        <w:t>d</w:t>
      </w:r>
      <w:r w:rsidRPr="00533A0D">
        <w:t xml:space="preserve"> the Representative of the </w:t>
      </w:r>
      <w:r w:rsidRPr="00B02057">
        <w:t>State Intellectual Property Service of Ukraine</w:t>
      </w:r>
      <w:r w:rsidRPr="00533A0D">
        <w:t xml:space="preserve"> and tak</w:t>
      </w:r>
      <w:r>
        <w:t>ing</w:t>
      </w:r>
      <w:r w:rsidRPr="00533A0D">
        <w:t xml:space="preserve"> into account the advice of the PCT Committee for Technical Cooperation</w:t>
      </w:r>
      <w:r>
        <w:t>, unanimously:</w:t>
      </w:r>
    </w:p>
    <w:p w:rsidR="00D96D83" w:rsidRDefault="00D96D83" w:rsidP="00D96D83">
      <w:pPr>
        <w:pStyle w:val="ONUME"/>
        <w:numPr>
          <w:ilvl w:val="0"/>
          <w:numId w:val="0"/>
        </w:numPr>
        <w:ind w:left="1134"/>
      </w:pPr>
      <w:r>
        <w:t>(</w:t>
      </w:r>
      <w:proofErr w:type="spellStart"/>
      <w:r>
        <w:t>i</w:t>
      </w:r>
      <w:proofErr w:type="spellEnd"/>
      <w:r>
        <w:t>)</w:t>
      </w:r>
      <w:r>
        <w:tab/>
        <w:t>approved the text of the draft Agreement between the State Intellectual Property Service of Ukraine and the International Bureau as set out in Appendix IV to document PCT/A/44/4 Rev;  and</w:t>
      </w:r>
    </w:p>
    <w:p w:rsidR="00D96D83" w:rsidRDefault="00D96D83" w:rsidP="00D96D83">
      <w:pPr>
        <w:pStyle w:val="ONUME"/>
        <w:numPr>
          <w:ilvl w:val="0"/>
          <w:numId w:val="0"/>
        </w:numPr>
        <w:ind w:left="1134"/>
      </w:pPr>
      <w:r>
        <w:t>(ii)</w:t>
      </w:r>
      <w:r>
        <w:tab/>
      </w:r>
      <w:proofErr w:type="gramStart"/>
      <w:r>
        <w:t>appointed</w:t>
      </w:r>
      <w:proofErr w:type="gramEnd"/>
      <w:r>
        <w:t xml:space="preserve"> the State Intellectual Property Service of Ukraine as an International Searching Authority and an International Preliminary Examining Authority with effect from the entry into force of the Agreement until December 31, 2017.</w:t>
      </w:r>
    </w:p>
    <w:p w:rsidR="00807D6B" w:rsidRDefault="00C40B9F" w:rsidP="00807D6B">
      <w:pPr>
        <w:pStyle w:val="ONUME"/>
      </w:pPr>
      <w:r>
        <w:lastRenderedPageBreak/>
        <w:t>The Director General of WIPO, Mr. Francis Gurry, congratulated the Delegation of Ukraine and the State Intellectual Property Service of Ukraine on the appointment of the State Intellectual Property Service of Ukraine as an International Searching and Preliminary Examining Authority under the PCT, and welcomed the State Intellectual Property Service of Ukraine to the family of International Authorities.</w:t>
      </w:r>
    </w:p>
    <w:p w:rsidR="00E92B6C" w:rsidRDefault="00E92B6C" w:rsidP="00E92B6C">
      <w:pPr>
        <w:pStyle w:val="ONUME"/>
        <w:numPr>
          <w:ilvl w:val="0"/>
          <w:numId w:val="0"/>
        </w:numPr>
      </w:pPr>
    </w:p>
    <w:p w:rsidR="00807D6B" w:rsidRDefault="00807D6B" w:rsidP="00807D6B">
      <w:pPr>
        <w:pStyle w:val="Endofdocument-Annex"/>
        <w:sectPr w:rsidR="00807D6B" w:rsidSect="00505CD7">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807D6B" w:rsidRDefault="00807D6B" w:rsidP="00807D6B">
      <w:pPr>
        <w:jc w:val="right"/>
      </w:pPr>
      <w:r>
        <w:lastRenderedPageBreak/>
        <w:t>PCT/A/44/5 Prov.</w:t>
      </w:r>
      <w:r w:rsidR="00EE3129">
        <w:t>1</w:t>
      </w:r>
    </w:p>
    <w:p w:rsidR="00807D6B" w:rsidRDefault="00807D6B" w:rsidP="00807D6B">
      <w:pPr>
        <w:jc w:val="right"/>
      </w:pPr>
      <w:r>
        <w:t>ANNEX</w:t>
      </w:r>
    </w:p>
    <w:p w:rsidR="00807D6B" w:rsidRDefault="00807D6B" w:rsidP="00807D6B"/>
    <w:p w:rsidR="00807D6B" w:rsidRDefault="00807D6B" w:rsidP="00807D6B"/>
    <w:p w:rsidR="00807D6B" w:rsidRDefault="00807D6B" w:rsidP="00807D6B">
      <w:pPr>
        <w:jc w:val="center"/>
      </w:pPr>
      <w:r>
        <w:t>AMENDMENTS OF THE PCT REGULATIONS</w:t>
      </w:r>
      <w:r>
        <w:br/>
        <w:t xml:space="preserve">TO </w:t>
      </w:r>
      <w:r w:rsidR="00517686">
        <w:t>ENTER INTO FORCE ON JULY 1, 2014</w:t>
      </w:r>
    </w:p>
    <w:p w:rsidR="00807D6B" w:rsidRDefault="00807D6B" w:rsidP="00807D6B"/>
    <w:p w:rsidR="00807D6B" w:rsidRDefault="00807D6B" w:rsidP="00807D6B"/>
    <w:p w:rsidR="00807D6B" w:rsidRDefault="00807D6B" w:rsidP="00807D6B">
      <w:pPr>
        <w:jc w:val="center"/>
      </w:pPr>
      <w:r>
        <w:t>TABLE OF CONTENTS</w:t>
      </w:r>
    </w:p>
    <w:p w:rsidR="00807D6B" w:rsidRDefault="00807D6B" w:rsidP="00807D6B"/>
    <w:p w:rsidR="00BE067D" w:rsidRPr="00BE067D" w:rsidRDefault="00BE067D">
      <w:pPr>
        <w:pStyle w:val="TOC1"/>
        <w:tabs>
          <w:tab w:val="right" w:leader="dot" w:pos="9345"/>
        </w:tabs>
        <w:rPr>
          <w:rFonts w:ascii="Calibri" w:eastAsia="Times New Roman" w:hAnsi="Calibri" w:cs="Times New Roman"/>
          <w:noProof/>
          <w:szCs w:val="22"/>
          <w:lang w:eastAsia="en-US"/>
        </w:rPr>
      </w:pPr>
      <w:r>
        <w:fldChar w:fldCharType="begin"/>
      </w:r>
      <w:r>
        <w:instrText xml:space="preserve"> TOC \h \z \t "Leg # Title,1,Leg SubRule #,2" </w:instrText>
      </w:r>
      <w:r>
        <w:fldChar w:fldCharType="separate"/>
      </w:r>
      <w:hyperlink w:anchor="_Toc367959791" w:history="1">
        <w:r w:rsidRPr="00FB7A5B">
          <w:rPr>
            <w:rStyle w:val="Hyperlink"/>
            <w:noProof/>
          </w:rPr>
          <w:t>Rule 44</w:t>
        </w:r>
        <w:r w:rsidRPr="00FB7A5B">
          <w:rPr>
            <w:rStyle w:val="Hyperlink"/>
            <w:i/>
            <w:noProof/>
          </w:rPr>
          <w:t>ter</w:t>
        </w:r>
        <w:r w:rsidRPr="00FB7A5B">
          <w:rPr>
            <w:rStyle w:val="Hyperlink"/>
            <w:noProof/>
          </w:rPr>
          <w:t xml:space="preserve">   [Deleted]</w:t>
        </w:r>
        <w:r>
          <w:rPr>
            <w:noProof/>
            <w:webHidden/>
          </w:rPr>
          <w:tab/>
        </w:r>
        <w:r>
          <w:rPr>
            <w:noProof/>
            <w:webHidden/>
          </w:rPr>
          <w:fldChar w:fldCharType="begin"/>
        </w:r>
        <w:r>
          <w:rPr>
            <w:noProof/>
            <w:webHidden/>
          </w:rPr>
          <w:instrText xml:space="preserve"> PAGEREF _Toc367959791 \h </w:instrText>
        </w:r>
        <w:r>
          <w:rPr>
            <w:noProof/>
            <w:webHidden/>
          </w:rPr>
        </w:r>
        <w:r>
          <w:rPr>
            <w:noProof/>
            <w:webHidden/>
          </w:rPr>
          <w:fldChar w:fldCharType="separate"/>
        </w:r>
        <w:r w:rsidR="00CC7744">
          <w:rPr>
            <w:noProof/>
            <w:webHidden/>
          </w:rPr>
          <w:t>2</w:t>
        </w:r>
        <w:r>
          <w:rPr>
            <w:noProof/>
            <w:webHidden/>
          </w:rPr>
          <w:fldChar w:fldCharType="end"/>
        </w:r>
      </w:hyperlink>
    </w:p>
    <w:p w:rsidR="00BE067D" w:rsidRPr="00BE067D" w:rsidRDefault="00CC7744">
      <w:pPr>
        <w:pStyle w:val="TOC1"/>
        <w:tabs>
          <w:tab w:val="right" w:leader="dot" w:pos="9345"/>
        </w:tabs>
        <w:rPr>
          <w:rFonts w:ascii="Calibri" w:eastAsia="Times New Roman" w:hAnsi="Calibri" w:cs="Times New Roman"/>
          <w:noProof/>
          <w:szCs w:val="22"/>
          <w:lang w:eastAsia="en-US"/>
        </w:rPr>
      </w:pPr>
      <w:hyperlink w:anchor="_Toc367959792" w:history="1">
        <w:r w:rsidR="00BE067D" w:rsidRPr="00FB7A5B">
          <w:rPr>
            <w:rStyle w:val="Hyperlink"/>
            <w:noProof/>
          </w:rPr>
          <w:t>Rule 66   Procedure Before the International Preliminary Examining Authority</w:t>
        </w:r>
        <w:r w:rsidR="00BE067D">
          <w:rPr>
            <w:noProof/>
            <w:webHidden/>
          </w:rPr>
          <w:tab/>
        </w:r>
        <w:r w:rsidR="00BE067D">
          <w:rPr>
            <w:noProof/>
            <w:webHidden/>
          </w:rPr>
          <w:fldChar w:fldCharType="begin"/>
        </w:r>
        <w:r w:rsidR="00BE067D">
          <w:rPr>
            <w:noProof/>
            <w:webHidden/>
          </w:rPr>
          <w:instrText xml:space="preserve"> PAGEREF _Toc367959792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793" w:history="1">
        <w:r w:rsidR="00BE067D" w:rsidRPr="00FB7A5B">
          <w:rPr>
            <w:rStyle w:val="Hyperlink"/>
            <w:noProof/>
          </w:rPr>
          <w:t>66.1 and 66.1.</w:t>
        </w:r>
        <w:r w:rsidR="00BE067D" w:rsidRPr="00FB7A5B">
          <w:rPr>
            <w:rStyle w:val="Hyperlink"/>
            <w:i/>
            <w:noProof/>
          </w:rPr>
          <w:t>bis</w:t>
        </w:r>
        <w:r w:rsidR="00BE067D" w:rsidRPr="00FB7A5B">
          <w:rPr>
            <w:rStyle w:val="Hyperlink"/>
            <w:noProof/>
          </w:rPr>
          <w:t>   </w:t>
        </w:r>
        <w:r w:rsidR="00BE067D" w:rsidRPr="00FB7A5B">
          <w:rPr>
            <w:rStyle w:val="Hyperlink"/>
            <w:i/>
            <w:iCs/>
            <w:noProof/>
          </w:rPr>
          <w:t>[No Change]</w:t>
        </w:r>
        <w:r w:rsidR="00BE067D">
          <w:rPr>
            <w:noProof/>
            <w:webHidden/>
          </w:rPr>
          <w:tab/>
        </w:r>
        <w:r w:rsidR="00BE067D">
          <w:rPr>
            <w:noProof/>
            <w:webHidden/>
          </w:rPr>
          <w:fldChar w:fldCharType="begin"/>
        </w:r>
        <w:r w:rsidR="00BE067D">
          <w:rPr>
            <w:noProof/>
            <w:webHidden/>
          </w:rPr>
          <w:instrText xml:space="preserve"> PAGEREF _Toc367959793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794" w:history="1">
        <w:r w:rsidR="00BE067D" w:rsidRPr="00FB7A5B">
          <w:rPr>
            <w:rStyle w:val="Hyperlink"/>
            <w:noProof/>
          </w:rPr>
          <w:t>66.1</w:t>
        </w:r>
        <w:r w:rsidR="00BE067D" w:rsidRPr="00FB7A5B">
          <w:rPr>
            <w:rStyle w:val="Hyperlink"/>
            <w:i/>
            <w:iCs/>
            <w:noProof/>
          </w:rPr>
          <w:t>ter</w:t>
        </w:r>
        <w:r w:rsidR="00BE067D" w:rsidRPr="00FB7A5B">
          <w:rPr>
            <w:rStyle w:val="Hyperlink"/>
            <w:noProof/>
          </w:rPr>
          <w:t>   </w:t>
        </w:r>
        <w:r w:rsidR="00BE067D" w:rsidRPr="00FB7A5B">
          <w:rPr>
            <w:rStyle w:val="Hyperlink"/>
            <w:i/>
            <w:iCs/>
            <w:noProof/>
          </w:rPr>
          <w:t>Top-up Searches</w:t>
        </w:r>
        <w:r w:rsidR="00BE067D">
          <w:rPr>
            <w:noProof/>
            <w:webHidden/>
          </w:rPr>
          <w:tab/>
        </w:r>
        <w:r w:rsidR="00BE067D">
          <w:rPr>
            <w:noProof/>
            <w:webHidden/>
          </w:rPr>
          <w:fldChar w:fldCharType="begin"/>
        </w:r>
        <w:r w:rsidR="00BE067D">
          <w:rPr>
            <w:noProof/>
            <w:webHidden/>
          </w:rPr>
          <w:instrText xml:space="preserve"> PAGEREF _Toc367959794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795" w:history="1">
        <w:r w:rsidR="00BE067D" w:rsidRPr="00FB7A5B">
          <w:rPr>
            <w:rStyle w:val="Hyperlink"/>
            <w:noProof/>
          </w:rPr>
          <w:t>66.2 to 66.8   </w:t>
        </w:r>
        <w:r w:rsidR="00BE067D" w:rsidRPr="00FB7A5B">
          <w:rPr>
            <w:rStyle w:val="Hyperlink"/>
            <w:i/>
            <w:iCs/>
            <w:noProof/>
          </w:rPr>
          <w:t>[No change]</w:t>
        </w:r>
        <w:r w:rsidR="00BE067D">
          <w:rPr>
            <w:noProof/>
            <w:webHidden/>
          </w:rPr>
          <w:tab/>
        </w:r>
        <w:r w:rsidR="00BE067D">
          <w:rPr>
            <w:noProof/>
            <w:webHidden/>
          </w:rPr>
          <w:fldChar w:fldCharType="begin"/>
        </w:r>
        <w:r w:rsidR="00BE067D">
          <w:rPr>
            <w:noProof/>
            <w:webHidden/>
          </w:rPr>
          <w:instrText xml:space="preserve"> PAGEREF _Toc367959795 \h </w:instrText>
        </w:r>
        <w:r w:rsidR="00BE067D">
          <w:rPr>
            <w:noProof/>
            <w:webHidden/>
          </w:rPr>
        </w:r>
        <w:r w:rsidR="00BE067D">
          <w:rPr>
            <w:noProof/>
            <w:webHidden/>
          </w:rPr>
          <w:fldChar w:fldCharType="separate"/>
        </w:r>
        <w:r>
          <w:rPr>
            <w:noProof/>
            <w:webHidden/>
          </w:rPr>
          <w:t>2</w:t>
        </w:r>
        <w:r w:rsidR="00BE067D">
          <w:rPr>
            <w:noProof/>
            <w:webHidden/>
          </w:rPr>
          <w:fldChar w:fldCharType="end"/>
        </w:r>
      </w:hyperlink>
    </w:p>
    <w:p w:rsidR="00BE067D" w:rsidRPr="00BE067D" w:rsidRDefault="00CC7744">
      <w:pPr>
        <w:pStyle w:val="TOC1"/>
        <w:tabs>
          <w:tab w:val="right" w:leader="dot" w:pos="9345"/>
        </w:tabs>
        <w:rPr>
          <w:rFonts w:ascii="Calibri" w:eastAsia="Times New Roman" w:hAnsi="Calibri" w:cs="Times New Roman"/>
          <w:noProof/>
          <w:szCs w:val="22"/>
          <w:lang w:eastAsia="en-US"/>
        </w:rPr>
      </w:pPr>
      <w:hyperlink w:anchor="_Toc367959796" w:history="1">
        <w:r w:rsidR="00BE067D" w:rsidRPr="00FB7A5B">
          <w:rPr>
            <w:rStyle w:val="Hyperlink"/>
            <w:noProof/>
          </w:rPr>
          <w:t>Rule 70   International Preliminary Report on Patentability by the International Preliminary Examining Authority (International Examination Report)</w:t>
        </w:r>
        <w:r w:rsidR="00BE067D">
          <w:rPr>
            <w:noProof/>
            <w:webHidden/>
          </w:rPr>
          <w:tab/>
        </w:r>
        <w:r w:rsidR="00BE067D">
          <w:rPr>
            <w:noProof/>
            <w:webHidden/>
          </w:rPr>
          <w:fldChar w:fldCharType="begin"/>
        </w:r>
        <w:r w:rsidR="00BE067D">
          <w:rPr>
            <w:noProof/>
            <w:webHidden/>
          </w:rPr>
          <w:instrText xml:space="preserve"> PAGEREF _Toc367959796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797" w:history="1">
        <w:r w:rsidR="00BE067D" w:rsidRPr="00FB7A5B">
          <w:rPr>
            <w:rStyle w:val="Hyperlink"/>
            <w:noProof/>
          </w:rPr>
          <w:t>70.1   </w:t>
        </w:r>
        <w:r w:rsidR="00BE067D" w:rsidRPr="00FB7A5B">
          <w:rPr>
            <w:rStyle w:val="Hyperlink"/>
            <w:i/>
            <w:noProof/>
          </w:rPr>
          <w:t>[No change]</w:t>
        </w:r>
        <w:r w:rsidR="00BE067D">
          <w:rPr>
            <w:noProof/>
            <w:webHidden/>
          </w:rPr>
          <w:tab/>
        </w:r>
        <w:r w:rsidR="00BE067D">
          <w:rPr>
            <w:noProof/>
            <w:webHidden/>
          </w:rPr>
          <w:fldChar w:fldCharType="begin"/>
        </w:r>
        <w:r w:rsidR="00BE067D">
          <w:rPr>
            <w:noProof/>
            <w:webHidden/>
          </w:rPr>
          <w:instrText xml:space="preserve"> PAGEREF _Toc367959797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798" w:history="1">
        <w:r w:rsidR="00BE067D" w:rsidRPr="00FB7A5B">
          <w:rPr>
            <w:rStyle w:val="Hyperlink"/>
            <w:noProof/>
          </w:rPr>
          <w:t>70.2   </w:t>
        </w:r>
        <w:r w:rsidR="00BE067D" w:rsidRPr="00FB7A5B">
          <w:rPr>
            <w:rStyle w:val="Hyperlink"/>
            <w:i/>
            <w:noProof/>
          </w:rPr>
          <w:t>Basis of the Report</w:t>
        </w:r>
        <w:r w:rsidR="00BE067D">
          <w:rPr>
            <w:noProof/>
            <w:webHidden/>
          </w:rPr>
          <w:tab/>
        </w:r>
        <w:r w:rsidR="00BE067D">
          <w:rPr>
            <w:noProof/>
            <w:webHidden/>
          </w:rPr>
          <w:fldChar w:fldCharType="begin"/>
        </w:r>
        <w:r w:rsidR="00BE067D">
          <w:rPr>
            <w:noProof/>
            <w:webHidden/>
          </w:rPr>
          <w:instrText xml:space="preserve"> PAGEREF _Toc367959798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799" w:history="1">
        <w:r w:rsidR="00BE067D" w:rsidRPr="00FB7A5B">
          <w:rPr>
            <w:rStyle w:val="Hyperlink"/>
            <w:noProof/>
          </w:rPr>
          <w:t>70.3 to 70.17   </w:t>
        </w:r>
        <w:r w:rsidR="00BE067D" w:rsidRPr="00FB7A5B">
          <w:rPr>
            <w:rStyle w:val="Hyperlink"/>
            <w:i/>
            <w:noProof/>
          </w:rPr>
          <w:t>[No change]</w:t>
        </w:r>
        <w:r w:rsidR="00BE067D">
          <w:rPr>
            <w:noProof/>
            <w:webHidden/>
          </w:rPr>
          <w:tab/>
        </w:r>
        <w:r w:rsidR="00BE067D">
          <w:rPr>
            <w:noProof/>
            <w:webHidden/>
          </w:rPr>
          <w:fldChar w:fldCharType="begin"/>
        </w:r>
        <w:r w:rsidR="00BE067D">
          <w:rPr>
            <w:noProof/>
            <w:webHidden/>
          </w:rPr>
          <w:instrText xml:space="preserve"> PAGEREF _Toc367959799 \h </w:instrText>
        </w:r>
        <w:r w:rsidR="00BE067D">
          <w:rPr>
            <w:noProof/>
            <w:webHidden/>
          </w:rPr>
        </w:r>
        <w:r w:rsidR="00BE067D">
          <w:rPr>
            <w:noProof/>
            <w:webHidden/>
          </w:rPr>
          <w:fldChar w:fldCharType="separate"/>
        </w:r>
        <w:r>
          <w:rPr>
            <w:noProof/>
            <w:webHidden/>
          </w:rPr>
          <w:t>3</w:t>
        </w:r>
        <w:r w:rsidR="00BE067D">
          <w:rPr>
            <w:noProof/>
            <w:webHidden/>
          </w:rPr>
          <w:fldChar w:fldCharType="end"/>
        </w:r>
      </w:hyperlink>
    </w:p>
    <w:p w:rsidR="00BE067D" w:rsidRPr="00BE067D" w:rsidRDefault="00CC7744">
      <w:pPr>
        <w:pStyle w:val="TOC1"/>
        <w:tabs>
          <w:tab w:val="right" w:leader="dot" w:pos="9345"/>
        </w:tabs>
        <w:rPr>
          <w:rFonts w:ascii="Calibri" w:eastAsia="Times New Roman" w:hAnsi="Calibri" w:cs="Times New Roman"/>
          <w:noProof/>
          <w:szCs w:val="22"/>
          <w:lang w:eastAsia="en-US"/>
        </w:rPr>
      </w:pPr>
      <w:hyperlink w:anchor="_Toc367959800" w:history="1">
        <w:r w:rsidR="00BE067D" w:rsidRPr="00FB7A5B">
          <w:rPr>
            <w:rStyle w:val="Hyperlink"/>
            <w:noProof/>
          </w:rPr>
          <w:t>Rule 94   Access to Files</w:t>
        </w:r>
        <w:r w:rsidR="00BE067D">
          <w:rPr>
            <w:noProof/>
            <w:webHidden/>
          </w:rPr>
          <w:tab/>
        </w:r>
        <w:r w:rsidR="00BE067D">
          <w:rPr>
            <w:noProof/>
            <w:webHidden/>
          </w:rPr>
          <w:fldChar w:fldCharType="begin"/>
        </w:r>
        <w:r w:rsidR="00BE067D">
          <w:rPr>
            <w:noProof/>
            <w:webHidden/>
          </w:rPr>
          <w:instrText xml:space="preserve"> PAGEREF _Toc367959800 \h </w:instrText>
        </w:r>
        <w:r w:rsidR="00BE067D">
          <w:rPr>
            <w:noProof/>
            <w:webHidden/>
          </w:rPr>
        </w:r>
        <w:r w:rsidR="00BE067D">
          <w:rPr>
            <w:noProof/>
            <w:webHidden/>
          </w:rPr>
          <w:fldChar w:fldCharType="separate"/>
        </w:r>
        <w:r>
          <w:rPr>
            <w:noProof/>
            <w:webHidden/>
          </w:rPr>
          <w:t>4</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801" w:history="1">
        <w:r w:rsidR="00BE067D" w:rsidRPr="00FB7A5B">
          <w:rPr>
            <w:rStyle w:val="Hyperlink"/>
            <w:noProof/>
          </w:rPr>
          <w:t>94.1   </w:t>
        </w:r>
        <w:r w:rsidR="00BE067D" w:rsidRPr="00FB7A5B">
          <w:rPr>
            <w:rStyle w:val="Hyperlink"/>
            <w:i/>
            <w:noProof/>
          </w:rPr>
          <w:t>Access to the File Held by the International Bureau</w:t>
        </w:r>
        <w:r w:rsidR="00BE067D">
          <w:rPr>
            <w:noProof/>
            <w:webHidden/>
          </w:rPr>
          <w:tab/>
        </w:r>
        <w:r w:rsidR="00BE067D">
          <w:rPr>
            <w:noProof/>
            <w:webHidden/>
          </w:rPr>
          <w:fldChar w:fldCharType="begin"/>
        </w:r>
        <w:r w:rsidR="00BE067D">
          <w:rPr>
            <w:noProof/>
            <w:webHidden/>
          </w:rPr>
          <w:instrText xml:space="preserve"> PAGEREF _Toc367959801 \h </w:instrText>
        </w:r>
        <w:r w:rsidR="00BE067D">
          <w:rPr>
            <w:noProof/>
            <w:webHidden/>
          </w:rPr>
        </w:r>
        <w:r w:rsidR="00BE067D">
          <w:rPr>
            <w:noProof/>
            <w:webHidden/>
          </w:rPr>
          <w:fldChar w:fldCharType="separate"/>
        </w:r>
        <w:r>
          <w:rPr>
            <w:noProof/>
            <w:webHidden/>
          </w:rPr>
          <w:t>4</w:t>
        </w:r>
        <w:r w:rsidR="00BE067D">
          <w:rPr>
            <w:noProof/>
            <w:webHidden/>
          </w:rPr>
          <w:fldChar w:fldCharType="end"/>
        </w:r>
      </w:hyperlink>
    </w:p>
    <w:p w:rsidR="00BE067D" w:rsidRPr="00BE067D" w:rsidRDefault="00CC7744">
      <w:pPr>
        <w:pStyle w:val="TOC2"/>
        <w:tabs>
          <w:tab w:val="right" w:leader="dot" w:pos="9345"/>
        </w:tabs>
        <w:rPr>
          <w:rFonts w:ascii="Calibri" w:eastAsia="Times New Roman" w:hAnsi="Calibri" w:cs="Times New Roman"/>
          <w:noProof/>
          <w:szCs w:val="22"/>
          <w:lang w:eastAsia="en-US"/>
        </w:rPr>
      </w:pPr>
      <w:hyperlink w:anchor="_Toc367959802" w:history="1">
        <w:r w:rsidR="00BE067D" w:rsidRPr="00FB7A5B">
          <w:rPr>
            <w:rStyle w:val="Hyperlink"/>
            <w:noProof/>
          </w:rPr>
          <w:t>94.2 and 94.3   </w:t>
        </w:r>
        <w:r w:rsidR="00BE067D" w:rsidRPr="00FB7A5B">
          <w:rPr>
            <w:rStyle w:val="Hyperlink"/>
            <w:i/>
            <w:noProof/>
          </w:rPr>
          <w:t>[No change]</w:t>
        </w:r>
        <w:r w:rsidR="00BE067D">
          <w:rPr>
            <w:noProof/>
            <w:webHidden/>
          </w:rPr>
          <w:tab/>
        </w:r>
        <w:r w:rsidR="00BE067D">
          <w:rPr>
            <w:noProof/>
            <w:webHidden/>
          </w:rPr>
          <w:fldChar w:fldCharType="begin"/>
        </w:r>
        <w:r w:rsidR="00BE067D">
          <w:rPr>
            <w:noProof/>
            <w:webHidden/>
          </w:rPr>
          <w:instrText xml:space="preserve"> PAGEREF _Toc367959802 \h </w:instrText>
        </w:r>
        <w:r w:rsidR="00BE067D">
          <w:rPr>
            <w:noProof/>
            <w:webHidden/>
          </w:rPr>
        </w:r>
        <w:r w:rsidR="00BE067D">
          <w:rPr>
            <w:noProof/>
            <w:webHidden/>
          </w:rPr>
          <w:fldChar w:fldCharType="separate"/>
        </w:r>
        <w:r>
          <w:rPr>
            <w:noProof/>
            <w:webHidden/>
          </w:rPr>
          <w:t>4</w:t>
        </w:r>
        <w:r w:rsidR="00BE067D">
          <w:rPr>
            <w:noProof/>
            <w:webHidden/>
          </w:rPr>
          <w:fldChar w:fldCharType="end"/>
        </w:r>
      </w:hyperlink>
    </w:p>
    <w:p w:rsidR="00807D6B" w:rsidRDefault="00BE067D" w:rsidP="00807D6B">
      <w:r>
        <w:fldChar w:fldCharType="end"/>
      </w:r>
    </w:p>
    <w:p w:rsidR="00807D6B" w:rsidRPr="00357623" w:rsidRDefault="00807D6B" w:rsidP="00807D6B">
      <w:pPr>
        <w:pStyle w:val="LegTitle"/>
        <w:rPr>
          <w:szCs w:val="22"/>
        </w:rPr>
      </w:pPr>
      <w:bookmarkStart w:id="8" w:name="_Toc358360729"/>
      <w:bookmarkStart w:id="9" w:name="_Toc367959791"/>
      <w:bookmarkStart w:id="10" w:name="AxII"/>
      <w:r w:rsidRPr="00357623">
        <w:rPr>
          <w:szCs w:val="22"/>
        </w:rPr>
        <w:lastRenderedPageBreak/>
        <w:t xml:space="preserve">Rule </w:t>
      </w:r>
      <w:proofErr w:type="gramStart"/>
      <w:r w:rsidRPr="00357623">
        <w:rPr>
          <w:szCs w:val="22"/>
        </w:rPr>
        <w:t>44</w:t>
      </w:r>
      <w:r w:rsidRPr="00357623">
        <w:rPr>
          <w:i/>
          <w:szCs w:val="22"/>
        </w:rPr>
        <w:t>ter</w:t>
      </w:r>
      <w:r w:rsidRPr="00357623">
        <w:rPr>
          <w:szCs w:val="22"/>
        </w:rPr>
        <w:t xml:space="preserve">  </w:t>
      </w:r>
      <w:proofErr w:type="gramEnd"/>
      <w:r w:rsidRPr="00357623">
        <w:rPr>
          <w:szCs w:val="22"/>
        </w:rPr>
        <w:br/>
        <w:t>[Deleted]</w:t>
      </w:r>
      <w:bookmarkEnd w:id="8"/>
      <w:bookmarkEnd w:id="9"/>
    </w:p>
    <w:p w:rsidR="00807D6B" w:rsidRPr="00357623" w:rsidRDefault="00807D6B" w:rsidP="00807D6B">
      <w:pPr>
        <w:pStyle w:val="LegTitle"/>
        <w:pageBreakBefore w:val="0"/>
        <w:spacing w:before="1440"/>
        <w:rPr>
          <w:szCs w:val="22"/>
        </w:rPr>
      </w:pPr>
      <w:bookmarkStart w:id="11" w:name="_Toc358360730"/>
      <w:bookmarkStart w:id="12" w:name="_Toc367959792"/>
      <w:r w:rsidRPr="00357623">
        <w:rPr>
          <w:szCs w:val="22"/>
        </w:rPr>
        <w:t xml:space="preserve">Rule </w:t>
      </w:r>
      <w:proofErr w:type="gramStart"/>
      <w:r w:rsidRPr="00357623">
        <w:rPr>
          <w:szCs w:val="22"/>
        </w:rPr>
        <w:t xml:space="preserve">66  </w:t>
      </w:r>
      <w:proofErr w:type="gramEnd"/>
      <w:r w:rsidRPr="00357623">
        <w:rPr>
          <w:szCs w:val="22"/>
        </w:rPr>
        <w:br/>
        <w:t>Procedure Before the International Preliminary Examining Authority</w:t>
      </w:r>
      <w:bookmarkEnd w:id="11"/>
      <w:bookmarkEnd w:id="12"/>
    </w:p>
    <w:p w:rsidR="00807D6B" w:rsidRPr="00357623" w:rsidRDefault="00807D6B" w:rsidP="00807D6B">
      <w:pPr>
        <w:pStyle w:val="LegSubRule"/>
        <w:rPr>
          <w:szCs w:val="22"/>
        </w:rPr>
      </w:pPr>
      <w:bookmarkStart w:id="13" w:name="_Toc358360731"/>
      <w:bookmarkStart w:id="14" w:name="_Toc367959793"/>
      <w:r w:rsidRPr="00357623">
        <w:rPr>
          <w:szCs w:val="22"/>
        </w:rPr>
        <w:t xml:space="preserve">66.1 </w:t>
      </w:r>
      <w:proofErr w:type="gramStart"/>
      <w:r w:rsidRPr="00357623">
        <w:rPr>
          <w:szCs w:val="22"/>
        </w:rPr>
        <w:t>and</w:t>
      </w:r>
      <w:proofErr w:type="gramEnd"/>
      <w:r w:rsidRPr="00357623">
        <w:rPr>
          <w:szCs w:val="22"/>
        </w:rPr>
        <w:t xml:space="preserve"> 66.1.</w:t>
      </w:r>
      <w:r w:rsidRPr="00357623">
        <w:rPr>
          <w:i/>
          <w:szCs w:val="22"/>
        </w:rPr>
        <w:t>bis</w:t>
      </w:r>
      <w:r w:rsidRPr="00357623">
        <w:rPr>
          <w:szCs w:val="22"/>
        </w:rPr>
        <w:t>   </w:t>
      </w:r>
      <w:r w:rsidRPr="00357623">
        <w:rPr>
          <w:i/>
          <w:iCs/>
          <w:szCs w:val="22"/>
        </w:rPr>
        <w:t>[No Change]</w:t>
      </w:r>
      <w:bookmarkEnd w:id="13"/>
      <w:bookmarkEnd w:id="14"/>
    </w:p>
    <w:p w:rsidR="00807D6B" w:rsidRPr="00357623" w:rsidRDefault="00807D6B" w:rsidP="00807D6B">
      <w:pPr>
        <w:pStyle w:val="LegSubRule"/>
      </w:pPr>
      <w:bookmarkStart w:id="15" w:name="_Toc358360732"/>
      <w:bookmarkStart w:id="16" w:name="_Toc367959794"/>
      <w:r w:rsidRPr="00357623">
        <w:t>66.1</w:t>
      </w:r>
      <w:r w:rsidRPr="00357623">
        <w:rPr>
          <w:i/>
          <w:iCs/>
        </w:rPr>
        <w:t>ter</w:t>
      </w:r>
      <w:r w:rsidRPr="00357623">
        <w:t>   </w:t>
      </w:r>
      <w:r w:rsidRPr="00357623">
        <w:rPr>
          <w:i/>
          <w:iCs/>
        </w:rPr>
        <w:t>Top-up Searches</w:t>
      </w:r>
      <w:bookmarkEnd w:id="15"/>
      <w:bookmarkEnd w:id="16"/>
    </w:p>
    <w:p w:rsidR="00807D6B" w:rsidRPr="00357623" w:rsidRDefault="00807D6B" w:rsidP="00807D6B">
      <w:pPr>
        <w:pStyle w:val="Lega"/>
        <w:rPr>
          <w:szCs w:val="22"/>
        </w:rPr>
      </w:pPr>
      <w:r w:rsidRPr="00357623">
        <w:rPr>
          <w:szCs w:val="22"/>
        </w:rPr>
        <w:tab/>
      </w:r>
      <w:r w:rsidRPr="00BE067D">
        <w:t>The International Preliminary Examining Authority shall conduct a search (“top</w:t>
      </w:r>
      <w:r w:rsidRPr="00BE067D">
        <w:noBreakHyphen/>
        <w:t xml:space="preserve">up search”) to discover documents referred to in Rule 64 which have been published or have become available to the said Authority for search subsequent to the date on which the international search report was established, unless it considers that such a search would serve no useful purpose.  </w:t>
      </w:r>
      <w:r w:rsidRPr="00357623">
        <w:rPr>
          <w:szCs w:val="22"/>
        </w:rPr>
        <w:t>If the Authority finds that any of the situations referred to in Article 34(3) or (4) or Rule 66.1(e) exists, the top-up search shall cover only those parts of the international application that are the subject of international preliminary examination.</w:t>
      </w:r>
    </w:p>
    <w:p w:rsidR="00807D6B" w:rsidRPr="00357623" w:rsidRDefault="00807D6B" w:rsidP="00807D6B">
      <w:pPr>
        <w:pStyle w:val="LegSubRule"/>
        <w:rPr>
          <w:szCs w:val="22"/>
        </w:rPr>
      </w:pPr>
      <w:bookmarkStart w:id="17" w:name="_Toc358360733"/>
      <w:bookmarkStart w:id="18" w:name="_Toc367959795"/>
      <w:r w:rsidRPr="00357623">
        <w:rPr>
          <w:szCs w:val="22"/>
        </w:rPr>
        <w:t>66.2 to 66.8   </w:t>
      </w:r>
      <w:r w:rsidRPr="00357623">
        <w:rPr>
          <w:i/>
          <w:iCs/>
          <w:szCs w:val="22"/>
        </w:rPr>
        <w:t>[No change]</w:t>
      </w:r>
      <w:bookmarkEnd w:id="17"/>
      <w:bookmarkEnd w:id="18"/>
    </w:p>
    <w:p w:rsidR="00807D6B" w:rsidRPr="00357623" w:rsidRDefault="00807D6B" w:rsidP="00807D6B">
      <w:pPr>
        <w:pStyle w:val="LegTitle"/>
        <w:rPr>
          <w:szCs w:val="22"/>
        </w:rPr>
      </w:pPr>
      <w:bookmarkStart w:id="19" w:name="_Toc358360734"/>
      <w:bookmarkStart w:id="20" w:name="_Toc367959796"/>
      <w:r w:rsidRPr="00357623">
        <w:rPr>
          <w:szCs w:val="22"/>
        </w:rPr>
        <w:lastRenderedPageBreak/>
        <w:t xml:space="preserve">Rule </w:t>
      </w:r>
      <w:proofErr w:type="gramStart"/>
      <w:r w:rsidRPr="00357623">
        <w:rPr>
          <w:szCs w:val="22"/>
        </w:rPr>
        <w:t xml:space="preserve">70  </w:t>
      </w:r>
      <w:proofErr w:type="gramEnd"/>
      <w:r w:rsidRPr="00357623">
        <w:rPr>
          <w:szCs w:val="22"/>
        </w:rPr>
        <w:br/>
        <w:t>International Preliminary Report on Patentability</w:t>
      </w:r>
      <w:r w:rsidRPr="00357623">
        <w:rPr>
          <w:szCs w:val="22"/>
        </w:rPr>
        <w:br/>
        <w:t>by the International Preliminary Examining Authority</w:t>
      </w:r>
      <w:r w:rsidRPr="00357623">
        <w:rPr>
          <w:szCs w:val="22"/>
        </w:rPr>
        <w:br/>
        <w:t>(International Examination Report)</w:t>
      </w:r>
      <w:bookmarkEnd w:id="19"/>
      <w:bookmarkEnd w:id="20"/>
    </w:p>
    <w:p w:rsidR="00807D6B" w:rsidRPr="00357623" w:rsidRDefault="00807D6B" w:rsidP="00BE067D">
      <w:pPr>
        <w:pStyle w:val="LegSubRule"/>
      </w:pPr>
      <w:bookmarkStart w:id="21" w:name="_Toc367959797"/>
      <w:r w:rsidRPr="00357623">
        <w:t>70.1   </w:t>
      </w:r>
      <w:r w:rsidRPr="00BE067D">
        <w:rPr>
          <w:i/>
        </w:rPr>
        <w:t>[No change]</w:t>
      </w:r>
      <w:bookmarkEnd w:id="21"/>
    </w:p>
    <w:p w:rsidR="00807D6B" w:rsidRPr="00357623" w:rsidRDefault="00807D6B" w:rsidP="00BE067D">
      <w:pPr>
        <w:pStyle w:val="LegSubRule"/>
      </w:pPr>
      <w:bookmarkStart w:id="22" w:name="_Toc367959798"/>
      <w:r w:rsidRPr="00357623">
        <w:t>70.2   </w:t>
      </w:r>
      <w:r w:rsidRPr="00BE067D">
        <w:rPr>
          <w:i/>
        </w:rPr>
        <w:t>Basis of the Report</w:t>
      </w:r>
      <w:bookmarkEnd w:id="22"/>
    </w:p>
    <w:p w:rsidR="00807D6B" w:rsidRPr="00357623" w:rsidRDefault="00807D6B" w:rsidP="00BE067D">
      <w:pPr>
        <w:pStyle w:val="Lega"/>
      </w:pPr>
      <w:r w:rsidRPr="00357623">
        <w:tab/>
        <w:t xml:space="preserve">(a) </w:t>
      </w:r>
      <w:proofErr w:type="gramStart"/>
      <w:r w:rsidRPr="00357623">
        <w:t>to</w:t>
      </w:r>
      <w:proofErr w:type="gramEnd"/>
      <w:r w:rsidRPr="00357623">
        <w:t xml:space="preserve"> (e)  [No change]</w:t>
      </w:r>
    </w:p>
    <w:p w:rsidR="00807D6B" w:rsidRPr="00BE067D" w:rsidRDefault="00807D6B" w:rsidP="00BE067D">
      <w:pPr>
        <w:pStyle w:val="Lega"/>
      </w:pPr>
      <w:r w:rsidRPr="00357623">
        <w:tab/>
      </w:r>
      <w:r w:rsidRPr="00BE067D">
        <w:t>(f)  The report shall indicate the date on which a top</w:t>
      </w:r>
      <w:r w:rsidRPr="00BE067D">
        <w:noBreakHyphen/>
        <w:t>up search under Rule 66.1</w:t>
      </w:r>
      <w:r w:rsidRPr="00BE067D">
        <w:rPr>
          <w:i/>
        </w:rPr>
        <w:t>ter</w:t>
      </w:r>
      <w:r w:rsidRPr="00BE067D">
        <w:t xml:space="preserve"> was made, or else state that no top</w:t>
      </w:r>
      <w:r w:rsidRPr="00BE067D">
        <w:noBreakHyphen/>
        <w:t>up search was made.</w:t>
      </w:r>
    </w:p>
    <w:p w:rsidR="00807D6B" w:rsidRPr="00357623" w:rsidRDefault="00807D6B" w:rsidP="00BE067D">
      <w:pPr>
        <w:pStyle w:val="LegSubRule"/>
      </w:pPr>
      <w:bookmarkStart w:id="23" w:name="_Toc367959799"/>
      <w:r w:rsidRPr="00357623">
        <w:t>70.3 to 70.17   </w:t>
      </w:r>
      <w:r w:rsidRPr="00BE067D">
        <w:rPr>
          <w:i/>
        </w:rPr>
        <w:t>[No change]</w:t>
      </w:r>
      <w:bookmarkEnd w:id="23"/>
    </w:p>
    <w:p w:rsidR="00807D6B" w:rsidRPr="00357623" w:rsidRDefault="00807D6B" w:rsidP="00807D6B">
      <w:pPr>
        <w:pStyle w:val="LegTitle"/>
        <w:rPr>
          <w:szCs w:val="22"/>
        </w:rPr>
      </w:pPr>
      <w:bookmarkStart w:id="24" w:name="_Toc358360735"/>
      <w:bookmarkStart w:id="25" w:name="_Toc367959800"/>
      <w:r w:rsidRPr="00357623">
        <w:rPr>
          <w:szCs w:val="22"/>
        </w:rPr>
        <w:lastRenderedPageBreak/>
        <w:t xml:space="preserve">Rule </w:t>
      </w:r>
      <w:proofErr w:type="gramStart"/>
      <w:r w:rsidRPr="00357623">
        <w:rPr>
          <w:szCs w:val="22"/>
        </w:rPr>
        <w:t xml:space="preserve">94  </w:t>
      </w:r>
      <w:proofErr w:type="gramEnd"/>
      <w:r w:rsidRPr="00357623">
        <w:rPr>
          <w:szCs w:val="22"/>
        </w:rPr>
        <w:br/>
        <w:t>Access to Files</w:t>
      </w:r>
      <w:bookmarkEnd w:id="24"/>
      <w:bookmarkEnd w:id="25"/>
    </w:p>
    <w:p w:rsidR="00807D6B" w:rsidRPr="00357623" w:rsidRDefault="00807D6B" w:rsidP="00807D6B">
      <w:pPr>
        <w:pStyle w:val="LegSubRule"/>
        <w:rPr>
          <w:i/>
          <w:szCs w:val="22"/>
        </w:rPr>
      </w:pPr>
      <w:bookmarkStart w:id="26" w:name="_Toc358360736"/>
      <w:bookmarkStart w:id="27" w:name="_Toc367959801"/>
      <w:r w:rsidRPr="00357623">
        <w:rPr>
          <w:szCs w:val="22"/>
        </w:rPr>
        <w:t>94.1   </w:t>
      </w:r>
      <w:r w:rsidRPr="00357623">
        <w:rPr>
          <w:i/>
          <w:szCs w:val="22"/>
        </w:rPr>
        <w:t>Access to the File Held by the International Bureau</w:t>
      </w:r>
      <w:bookmarkEnd w:id="26"/>
      <w:bookmarkEnd w:id="27"/>
    </w:p>
    <w:p w:rsidR="00807D6B" w:rsidRPr="00357623" w:rsidRDefault="00807D6B" w:rsidP="00807D6B">
      <w:pPr>
        <w:pStyle w:val="Lega"/>
        <w:rPr>
          <w:szCs w:val="22"/>
        </w:rPr>
      </w:pPr>
      <w:r w:rsidRPr="00357623">
        <w:rPr>
          <w:szCs w:val="22"/>
        </w:rPr>
        <w:tab/>
        <w:t>(a)  [No change]</w:t>
      </w:r>
    </w:p>
    <w:p w:rsidR="00807D6B" w:rsidRPr="00357623" w:rsidRDefault="00807D6B" w:rsidP="00807D6B">
      <w:pPr>
        <w:pStyle w:val="Lega"/>
        <w:rPr>
          <w:szCs w:val="22"/>
        </w:rPr>
      </w:pPr>
      <w:r w:rsidRPr="00357623">
        <w:rPr>
          <w:szCs w:val="22"/>
        </w:rPr>
        <w:tab/>
        <w:t>(b)  The International Bureau shall, at the request of any person but not before the international publication of the international application and subject to Article 38, furnish, subject to the reimbursement of the cost of the service, copies of any document contained in its file.</w:t>
      </w:r>
    </w:p>
    <w:p w:rsidR="00807D6B" w:rsidRPr="00357623" w:rsidRDefault="00807D6B" w:rsidP="00807D6B">
      <w:pPr>
        <w:pStyle w:val="Lega"/>
        <w:rPr>
          <w:szCs w:val="22"/>
        </w:rPr>
      </w:pPr>
      <w:r w:rsidRPr="00357623">
        <w:rPr>
          <w:szCs w:val="22"/>
        </w:rPr>
        <w:tab/>
        <w:t>(c)  [No change]</w:t>
      </w:r>
    </w:p>
    <w:p w:rsidR="00807D6B" w:rsidRPr="00357623" w:rsidRDefault="00807D6B" w:rsidP="00807D6B">
      <w:pPr>
        <w:pStyle w:val="LegSubRule"/>
        <w:rPr>
          <w:i/>
          <w:szCs w:val="22"/>
        </w:rPr>
      </w:pPr>
      <w:bookmarkStart w:id="28" w:name="_Toc358360737"/>
      <w:bookmarkStart w:id="29" w:name="_Toc367959802"/>
      <w:r w:rsidRPr="00357623">
        <w:rPr>
          <w:szCs w:val="22"/>
        </w:rPr>
        <w:t xml:space="preserve">94.2 </w:t>
      </w:r>
      <w:proofErr w:type="gramStart"/>
      <w:r w:rsidRPr="00357623">
        <w:rPr>
          <w:szCs w:val="22"/>
        </w:rPr>
        <w:t>and</w:t>
      </w:r>
      <w:proofErr w:type="gramEnd"/>
      <w:r w:rsidRPr="00357623">
        <w:rPr>
          <w:szCs w:val="22"/>
        </w:rPr>
        <w:t xml:space="preserve"> 94.3   </w:t>
      </w:r>
      <w:r w:rsidRPr="00357623">
        <w:rPr>
          <w:i/>
          <w:szCs w:val="22"/>
        </w:rPr>
        <w:t>[No change]</w:t>
      </w:r>
      <w:bookmarkEnd w:id="28"/>
      <w:bookmarkEnd w:id="29"/>
    </w:p>
    <w:p w:rsidR="00807D6B" w:rsidRPr="00357623" w:rsidRDefault="00807D6B" w:rsidP="00807D6B">
      <w:pPr>
        <w:pStyle w:val="Lega"/>
        <w:spacing w:before="0"/>
        <w:rPr>
          <w:szCs w:val="22"/>
        </w:rPr>
      </w:pPr>
    </w:p>
    <w:p w:rsidR="00807D6B" w:rsidRPr="00357623" w:rsidRDefault="00807D6B" w:rsidP="00807D6B">
      <w:pPr>
        <w:pStyle w:val="Endofdocument-Annex"/>
      </w:pPr>
      <w:r w:rsidRPr="00357623">
        <w:t>[End of Annex</w:t>
      </w:r>
      <w:proofErr w:type="gramStart"/>
      <w:r w:rsidRPr="00357623">
        <w:t>  and</w:t>
      </w:r>
      <w:proofErr w:type="gramEnd"/>
      <w:r w:rsidRPr="00357623">
        <w:t xml:space="preserve"> of document]</w:t>
      </w:r>
      <w:bookmarkEnd w:id="10"/>
    </w:p>
    <w:sectPr w:rsidR="00807D6B" w:rsidRPr="00357623" w:rsidSect="00BE067D">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8CD" w:rsidRDefault="004158CD">
      <w:r>
        <w:separator/>
      </w:r>
    </w:p>
  </w:endnote>
  <w:endnote w:type="continuationSeparator" w:id="0">
    <w:p w:rsidR="004158CD" w:rsidRDefault="004158CD" w:rsidP="003B38C1">
      <w:r>
        <w:separator/>
      </w:r>
    </w:p>
    <w:p w:rsidR="004158CD" w:rsidRPr="003B38C1" w:rsidRDefault="004158CD" w:rsidP="003B38C1">
      <w:pPr>
        <w:spacing w:after="60"/>
        <w:rPr>
          <w:sz w:val="17"/>
        </w:rPr>
      </w:pPr>
      <w:r>
        <w:rPr>
          <w:sz w:val="17"/>
        </w:rPr>
        <w:t>[Endnote continued from previous page]</w:t>
      </w:r>
    </w:p>
  </w:endnote>
  <w:endnote w:type="continuationNotice" w:id="1">
    <w:p w:rsidR="004158CD" w:rsidRPr="003B38C1" w:rsidRDefault="004158C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8CD" w:rsidRDefault="004158CD">
      <w:r>
        <w:separator/>
      </w:r>
    </w:p>
  </w:footnote>
  <w:footnote w:type="continuationSeparator" w:id="0">
    <w:p w:rsidR="004158CD" w:rsidRDefault="004158CD" w:rsidP="008B60B2">
      <w:r>
        <w:separator/>
      </w:r>
    </w:p>
    <w:p w:rsidR="004158CD" w:rsidRPr="00ED77FB" w:rsidRDefault="004158CD" w:rsidP="008B60B2">
      <w:pPr>
        <w:spacing w:after="60"/>
        <w:rPr>
          <w:sz w:val="17"/>
          <w:szCs w:val="17"/>
        </w:rPr>
      </w:pPr>
      <w:r w:rsidRPr="00ED77FB">
        <w:rPr>
          <w:sz w:val="17"/>
          <w:szCs w:val="17"/>
        </w:rPr>
        <w:t>[Footnote continued from previous page]</w:t>
      </w:r>
    </w:p>
  </w:footnote>
  <w:footnote w:type="continuationNotice" w:id="1">
    <w:p w:rsidR="004158CD" w:rsidRPr="00ED77FB" w:rsidRDefault="004158C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CD" w:rsidRDefault="004158CD" w:rsidP="00477D6B">
    <w:pPr>
      <w:jc w:val="right"/>
    </w:pPr>
    <w:bookmarkStart w:id="7" w:name="Code2"/>
    <w:bookmarkEnd w:id="7"/>
    <w:r>
      <w:t>PCT/A/44/5 Prov.</w:t>
    </w:r>
    <w:r w:rsidR="00EE3129">
      <w:t>1</w:t>
    </w:r>
  </w:p>
  <w:p w:rsidR="004158CD" w:rsidRDefault="004158CD" w:rsidP="00477D6B">
    <w:pPr>
      <w:jc w:val="right"/>
    </w:pPr>
    <w:proofErr w:type="gramStart"/>
    <w:r>
      <w:t>page</w:t>
    </w:r>
    <w:proofErr w:type="gramEnd"/>
    <w:r>
      <w:t xml:space="preserve"> </w:t>
    </w:r>
    <w:r>
      <w:fldChar w:fldCharType="begin"/>
    </w:r>
    <w:r>
      <w:instrText xml:space="preserve"> PAGE  \* MERGEFORMAT </w:instrText>
    </w:r>
    <w:r>
      <w:fldChar w:fldCharType="separate"/>
    </w:r>
    <w:r w:rsidR="00CC7744">
      <w:rPr>
        <w:noProof/>
      </w:rPr>
      <w:t>8</w:t>
    </w:r>
    <w:r>
      <w:fldChar w:fldCharType="end"/>
    </w:r>
  </w:p>
  <w:p w:rsidR="004158CD" w:rsidRDefault="004158C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8CD" w:rsidRPr="00F229F3" w:rsidRDefault="004158CD" w:rsidP="00477D6B">
    <w:pPr>
      <w:jc w:val="right"/>
      <w:rPr>
        <w:lang w:val="fr-FR"/>
      </w:rPr>
    </w:pPr>
    <w:r w:rsidRPr="00F229F3">
      <w:rPr>
        <w:lang w:val="fr-FR"/>
      </w:rPr>
      <w:t>PCT/A/44/5 Prov.</w:t>
    </w:r>
    <w:r w:rsidR="00EE3129">
      <w:rPr>
        <w:lang w:val="fr-FR"/>
      </w:rPr>
      <w:t>1</w:t>
    </w:r>
  </w:p>
  <w:p w:rsidR="004158CD" w:rsidRPr="00F229F3" w:rsidRDefault="004158CD" w:rsidP="00477D6B">
    <w:pPr>
      <w:jc w:val="right"/>
      <w:rPr>
        <w:lang w:val="fr-FR"/>
      </w:rPr>
    </w:pPr>
    <w:proofErr w:type="spellStart"/>
    <w:r w:rsidRPr="00F229F3">
      <w:rPr>
        <w:lang w:val="fr-FR"/>
      </w:rPr>
      <w:t>Annex</w:t>
    </w:r>
    <w:proofErr w:type="spellEnd"/>
    <w:r w:rsidRPr="00F229F3">
      <w:rPr>
        <w:lang w:val="fr-FR"/>
      </w:rPr>
      <w:t xml:space="preserve">, page </w:t>
    </w:r>
    <w:r>
      <w:fldChar w:fldCharType="begin"/>
    </w:r>
    <w:r w:rsidRPr="00F229F3">
      <w:rPr>
        <w:lang w:val="fr-FR"/>
      </w:rPr>
      <w:instrText xml:space="preserve"> PAGE  \* MERGEFORMAT </w:instrText>
    </w:r>
    <w:r>
      <w:fldChar w:fldCharType="separate"/>
    </w:r>
    <w:r w:rsidR="00CC7744">
      <w:rPr>
        <w:noProof/>
        <w:lang w:val="fr-FR"/>
      </w:rPr>
      <w:t>4</w:t>
    </w:r>
    <w:r>
      <w:fldChar w:fldCharType="end"/>
    </w:r>
  </w:p>
  <w:p w:rsidR="004158CD" w:rsidRPr="00F229F3" w:rsidRDefault="004158CD"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D7"/>
    <w:rsid w:val="000043CA"/>
    <w:rsid w:val="000301B6"/>
    <w:rsid w:val="00043CAA"/>
    <w:rsid w:val="000464DE"/>
    <w:rsid w:val="00075432"/>
    <w:rsid w:val="000968ED"/>
    <w:rsid w:val="000A2299"/>
    <w:rsid w:val="000E1248"/>
    <w:rsid w:val="000E5E0C"/>
    <w:rsid w:val="000F58C4"/>
    <w:rsid w:val="000F5E56"/>
    <w:rsid w:val="00111752"/>
    <w:rsid w:val="00121E5F"/>
    <w:rsid w:val="001362EE"/>
    <w:rsid w:val="001468F1"/>
    <w:rsid w:val="001767FC"/>
    <w:rsid w:val="001832A6"/>
    <w:rsid w:val="001A6766"/>
    <w:rsid w:val="001D7B4E"/>
    <w:rsid w:val="00224C40"/>
    <w:rsid w:val="00224F50"/>
    <w:rsid w:val="002534D0"/>
    <w:rsid w:val="00262BD3"/>
    <w:rsid w:val="002634C4"/>
    <w:rsid w:val="00266B55"/>
    <w:rsid w:val="00275E39"/>
    <w:rsid w:val="002856D9"/>
    <w:rsid w:val="002928D3"/>
    <w:rsid w:val="002B342E"/>
    <w:rsid w:val="002D1A52"/>
    <w:rsid w:val="002D4102"/>
    <w:rsid w:val="002D639B"/>
    <w:rsid w:val="002E2A28"/>
    <w:rsid w:val="002F1FE6"/>
    <w:rsid w:val="002F4E68"/>
    <w:rsid w:val="00312F7F"/>
    <w:rsid w:val="003228B7"/>
    <w:rsid w:val="003261BD"/>
    <w:rsid w:val="00347296"/>
    <w:rsid w:val="003673CF"/>
    <w:rsid w:val="003845C1"/>
    <w:rsid w:val="003A6F89"/>
    <w:rsid w:val="003B38C1"/>
    <w:rsid w:val="003B612C"/>
    <w:rsid w:val="003C11ED"/>
    <w:rsid w:val="003D0B2F"/>
    <w:rsid w:val="003E0611"/>
    <w:rsid w:val="003F2C2D"/>
    <w:rsid w:val="00404C2D"/>
    <w:rsid w:val="004158CD"/>
    <w:rsid w:val="00423E3E"/>
    <w:rsid w:val="00427AF4"/>
    <w:rsid w:val="004400E2"/>
    <w:rsid w:val="00444D21"/>
    <w:rsid w:val="00455924"/>
    <w:rsid w:val="004647DA"/>
    <w:rsid w:val="00474062"/>
    <w:rsid w:val="00477D6B"/>
    <w:rsid w:val="004A1D97"/>
    <w:rsid w:val="004B5B0B"/>
    <w:rsid w:val="004E281F"/>
    <w:rsid w:val="00505CD7"/>
    <w:rsid w:val="00517686"/>
    <w:rsid w:val="0053057A"/>
    <w:rsid w:val="00560A29"/>
    <w:rsid w:val="00586C8A"/>
    <w:rsid w:val="005C2932"/>
    <w:rsid w:val="005C587E"/>
    <w:rsid w:val="005D27D8"/>
    <w:rsid w:val="005F4C15"/>
    <w:rsid w:val="00605827"/>
    <w:rsid w:val="00622804"/>
    <w:rsid w:val="00644D82"/>
    <w:rsid w:val="00646050"/>
    <w:rsid w:val="006713CA"/>
    <w:rsid w:val="00676C5C"/>
    <w:rsid w:val="006C579E"/>
    <w:rsid w:val="006C7119"/>
    <w:rsid w:val="007058FB"/>
    <w:rsid w:val="00730DF7"/>
    <w:rsid w:val="007721F1"/>
    <w:rsid w:val="007834D8"/>
    <w:rsid w:val="00794FDB"/>
    <w:rsid w:val="007A0639"/>
    <w:rsid w:val="007B6A58"/>
    <w:rsid w:val="007C3331"/>
    <w:rsid w:val="007D1613"/>
    <w:rsid w:val="00807D6B"/>
    <w:rsid w:val="00846AD6"/>
    <w:rsid w:val="008652E0"/>
    <w:rsid w:val="0088319B"/>
    <w:rsid w:val="00885243"/>
    <w:rsid w:val="00886A96"/>
    <w:rsid w:val="008B2CC1"/>
    <w:rsid w:val="008B60B2"/>
    <w:rsid w:val="008D43C2"/>
    <w:rsid w:val="0090568D"/>
    <w:rsid w:val="0090731E"/>
    <w:rsid w:val="00916EE2"/>
    <w:rsid w:val="00925CB8"/>
    <w:rsid w:val="00966A22"/>
    <w:rsid w:val="0096722F"/>
    <w:rsid w:val="00980843"/>
    <w:rsid w:val="009B7FDE"/>
    <w:rsid w:val="009C7C96"/>
    <w:rsid w:val="009E2791"/>
    <w:rsid w:val="009E3F6F"/>
    <w:rsid w:val="009F158A"/>
    <w:rsid w:val="009F4128"/>
    <w:rsid w:val="009F499F"/>
    <w:rsid w:val="00A42DAF"/>
    <w:rsid w:val="00A45BD8"/>
    <w:rsid w:val="00A85B8E"/>
    <w:rsid w:val="00AC205C"/>
    <w:rsid w:val="00AC39C7"/>
    <w:rsid w:val="00AC6869"/>
    <w:rsid w:val="00AE5477"/>
    <w:rsid w:val="00B02057"/>
    <w:rsid w:val="00B044B6"/>
    <w:rsid w:val="00B05A69"/>
    <w:rsid w:val="00B72280"/>
    <w:rsid w:val="00B855A6"/>
    <w:rsid w:val="00B94169"/>
    <w:rsid w:val="00B9734B"/>
    <w:rsid w:val="00BE067D"/>
    <w:rsid w:val="00BE4836"/>
    <w:rsid w:val="00C117C3"/>
    <w:rsid w:val="00C11BFE"/>
    <w:rsid w:val="00C31A5E"/>
    <w:rsid w:val="00C365BB"/>
    <w:rsid w:val="00C40B9F"/>
    <w:rsid w:val="00C54F7F"/>
    <w:rsid w:val="00C61BAE"/>
    <w:rsid w:val="00C740A0"/>
    <w:rsid w:val="00C8788F"/>
    <w:rsid w:val="00C94629"/>
    <w:rsid w:val="00CC7744"/>
    <w:rsid w:val="00D45252"/>
    <w:rsid w:val="00D508D9"/>
    <w:rsid w:val="00D53D56"/>
    <w:rsid w:val="00D71B4D"/>
    <w:rsid w:val="00D925A7"/>
    <w:rsid w:val="00D93D55"/>
    <w:rsid w:val="00D96D83"/>
    <w:rsid w:val="00DE2C18"/>
    <w:rsid w:val="00E01E74"/>
    <w:rsid w:val="00E335FE"/>
    <w:rsid w:val="00E356D7"/>
    <w:rsid w:val="00E37FC2"/>
    <w:rsid w:val="00E5021F"/>
    <w:rsid w:val="00E54650"/>
    <w:rsid w:val="00E92B6C"/>
    <w:rsid w:val="00E954CD"/>
    <w:rsid w:val="00EB28F0"/>
    <w:rsid w:val="00EB2998"/>
    <w:rsid w:val="00EC1D0A"/>
    <w:rsid w:val="00EC4E49"/>
    <w:rsid w:val="00ED77FB"/>
    <w:rsid w:val="00EE3129"/>
    <w:rsid w:val="00F021A6"/>
    <w:rsid w:val="00F229F3"/>
    <w:rsid w:val="00F510C7"/>
    <w:rsid w:val="00F563BD"/>
    <w:rsid w:val="00F66152"/>
    <w:rsid w:val="00F7163E"/>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505CD7"/>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505CD7"/>
    <w:rPr>
      <w:rFonts w:ascii="Arial" w:eastAsia="SimSun" w:hAnsi="Arial" w:cs="Arial"/>
      <w:sz w:val="22"/>
      <w:lang w:eastAsia="zh-CN"/>
    </w:rPr>
  </w:style>
  <w:style w:type="paragraph" w:customStyle="1" w:styleId="LegTitle">
    <w:name w:val="Leg # Title"/>
    <w:basedOn w:val="Normal"/>
    <w:next w:val="Normal"/>
    <w:rsid w:val="00807D6B"/>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807D6B"/>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InsertedText">
    <w:name w:val="Inserted Text"/>
    <w:rsid w:val="00807D6B"/>
    <w:rPr>
      <w:color w:val="0000FF"/>
      <w:u w:val="single"/>
    </w:rPr>
  </w:style>
  <w:style w:type="character" w:customStyle="1" w:styleId="insertedtext0">
    <w:name w:val="insertedtext"/>
    <w:rsid w:val="00807D6B"/>
    <w:rPr>
      <w:color w:val="0000FF"/>
      <w:u w:val="single"/>
    </w:rPr>
  </w:style>
  <w:style w:type="paragraph" w:customStyle="1" w:styleId="Lega">
    <w:name w:val="Leg (a)"/>
    <w:basedOn w:val="Normal"/>
    <w:rsid w:val="00807D6B"/>
    <w:pPr>
      <w:tabs>
        <w:tab w:val="left" w:pos="454"/>
      </w:tabs>
      <w:spacing w:before="240" w:line="480" w:lineRule="auto"/>
    </w:pPr>
    <w:rPr>
      <w:rFonts w:eastAsia="Arial Unicode MS" w:cs="Times New Roman"/>
      <w:snapToGrid w:val="0"/>
      <w:lang w:eastAsia="en-US"/>
    </w:rPr>
  </w:style>
  <w:style w:type="paragraph" w:styleId="TOCHeading">
    <w:name w:val="TOC Heading"/>
    <w:basedOn w:val="Heading1"/>
    <w:next w:val="Normal"/>
    <w:uiPriority w:val="39"/>
    <w:semiHidden/>
    <w:unhideWhenUsed/>
    <w:qFormat/>
    <w:rsid w:val="00BE067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BE067D"/>
    <w:pPr>
      <w:spacing w:before="240" w:after="120"/>
    </w:pPr>
  </w:style>
  <w:style w:type="character" w:styleId="Hyperlink">
    <w:name w:val="Hyperlink"/>
    <w:uiPriority w:val="99"/>
    <w:unhideWhenUsed/>
    <w:rsid w:val="00BE067D"/>
    <w:rPr>
      <w:color w:val="0000FF"/>
      <w:u w:val="single"/>
    </w:rPr>
  </w:style>
  <w:style w:type="paragraph" w:styleId="TOC2">
    <w:name w:val="toc 2"/>
    <w:basedOn w:val="Normal"/>
    <w:next w:val="Normal"/>
    <w:autoRedefine/>
    <w:uiPriority w:val="39"/>
    <w:rsid w:val="00BE067D"/>
    <w:pPr>
      <w:ind w:left="220"/>
    </w:pPr>
  </w:style>
  <w:style w:type="paragraph" w:styleId="BalloonText">
    <w:name w:val="Balloon Text"/>
    <w:basedOn w:val="Normal"/>
    <w:link w:val="BalloonTextChar"/>
    <w:rsid w:val="00B02057"/>
    <w:rPr>
      <w:rFonts w:ascii="Tahoma" w:hAnsi="Tahoma" w:cs="Tahoma"/>
      <w:sz w:val="16"/>
      <w:szCs w:val="16"/>
    </w:rPr>
  </w:style>
  <w:style w:type="character" w:customStyle="1" w:styleId="BalloonTextChar">
    <w:name w:val="Balloon Text Char"/>
    <w:basedOn w:val="DefaultParagraphFont"/>
    <w:link w:val="BalloonText"/>
    <w:rsid w:val="00B02057"/>
    <w:rPr>
      <w:rFonts w:ascii="Tahoma" w:eastAsia="SimSun" w:hAnsi="Tahoma" w:cs="Tahoma"/>
      <w:sz w:val="16"/>
      <w:szCs w:val="16"/>
      <w:lang w:eastAsia="zh-CN"/>
    </w:rPr>
  </w:style>
  <w:style w:type="paragraph" w:customStyle="1" w:styleId="Fixed">
    <w:name w:val="Fixed"/>
    <w:rsid w:val="000043C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0043CA"/>
  </w:style>
  <w:style w:type="paragraph" w:customStyle="1" w:styleId="ContinCol">
    <w:name w:val="Contin Col"/>
    <w:basedOn w:val="Fixed"/>
    <w:next w:val="Fixed"/>
    <w:uiPriority w:val="99"/>
    <w:rsid w:val="000043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Heading1Char">
    <w:name w:val="Heading 1 Char"/>
    <w:link w:val="Heading1"/>
    <w:rsid w:val="00505CD7"/>
    <w:rPr>
      <w:rFonts w:ascii="Arial" w:eastAsia="SimSun" w:hAnsi="Arial" w:cs="Arial"/>
      <w:b/>
      <w:bCs/>
      <w:caps/>
      <w:kern w:val="32"/>
      <w:sz w:val="22"/>
      <w:szCs w:val="32"/>
      <w:lang w:eastAsia="zh-CN"/>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505CD7"/>
    <w:rPr>
      <w:rFonts w:ascii="Arial" w:eastAsia="SimSun" w:hAnsi="Arial" w:cs="Arial"/>
      <w:sz w:val="22"/>
      <w:lang w:eastAsia="zh-CN"/>
    </w:rPr>
  </w:style>
  <w:style w:type="paragraph" w:customStyle="1" w:styleId="LegTitle">
    <w:name w:val="Leg # Title"/>
    <w:basedOn w:val="Normal"/>
    <w:next w:val="Normal"/>
    <w:rsid w:val="00807D6B"/>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Normal"/>
    <w:rsid w:val="00807D6B"/>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InsertedText">
    <w:name w:val="Inserted Text"/>
    <w:rsid w:val="00807D6B"/>
    <w:rPr>
      <w:color w:val="0000FF"/>
      <w:u w:val="single"/>
    </w:rPr>
  </w:style>
  <w:style w:type="character" w:customStyle="1" w:styleId="insertedtext0">
    <w:name w:val="insertedtext"/>
    <w:rsid w:val="00807D6B"/>
    <w:rPr>
      <w:color w:val="0000FF"/>
      <w:u w:val="single"/>
    </w:rPr>
  </w:style>
  <w:style w:type="paragraph" w:customStyle="1" w:styleId="Lega">
    <w:name w:val="Leg (a)"/>
    <w:basedOn w:val="Normal"/>
    <w:rsid w:val="00807D6B"/>
    <w:pPr>
      <w:tabs>
        <w:tab w:val="left" w:pos="454"/>
      </w:tabs>
      <w:spacing w:before="240" w:line="480" w:lineRule="auto"/>
    </w:pPr>
    <w:rPr>
      <w:rFonts w:eastAsia="Arial Unicode MS" w:cs="Times New Roman"/>
      <w:snapToGrid w:val="0"/>
      <w:lang w:eastAsia="en-US"/>
    </w:rPr>
  </w:style>
  <w:style w:type="paragraph" w:styleId="TOCHeading">
    <w:name w:val="TOC Heading"/>
    <w:basedOn w:val="Heading1"/>
    <w:next w:val="Normal"/>
    <w:uiPriority w:val="39"/>
    <w:semiHidden/>
    <w:unhideWhenUsed/>
    <w:qFormat/>
    <w:rsid w:val="00BE067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rsid w:val="00BE067D"/>
    <w:pPr>
      <w:spacing w:before="240" w:after="120"/>
    </w:pPr>
  </w:style>
  <w:style w:type="character" w:styleId="Hyperlink">
    <w:name w:val="Hyperlink"/>
    <w:uiPriority w:val="99"/>
    <w:unhideWhenUsed/>
    <w:rsid w:val="00BE067D"/>
    <w:rPr>
      <w:color w:val="0000FF"/>
      <w:u w:val="single"/>
    </w:rPr>
  </w:style>
  <w:style w:type="paragraph" w:styleId="TOC2">
    <w:name w:val="toc 2"/>
    <w:basedOn w:val="Normal"/>
    <w:next w:val="Normal"/>
    <w:autoRedefine/>
    <w:uiPriority w:val="39"/>
    <w:rsid w:val="00BE067D"/>
    <w:pPr>
      <w:ind w:left="220"/>
    </w:pPr>
  </w:style>
  <w:style w:type="paragraph" w:styleId="BalloonText">
    <w:name w:val="Balloon Text"/>
    <w:basedOn w:val="Normal"/>
    <w:link w:val="BalloonTextChar"/>
    <w:rsid w:val="00B02057"/>
    <w:rPr>
      <w:rFonts w:ascii="Tahoma" w:hAnsi="Tahoma" w:cs="Tahoma"/>
      <w:sz w:val="16"/>
      <w:szCs w:val="16"/>
    </w:rPr>
  </w:style>
  <w:style w:type="character" w:customStyle="1" w:styleId="BalloonTextChar">
    <w:name w:val="Balloon Text Char"/>
    <w:basedOn w:val="DefaultParagraphFont"/>
    <w:link w:val="BalloonText"/>
    <w:rsid w:val="00B02057"/>
    <w:rPr>
      <w:rFonts w:ascii="Tahoma" w:eastAsia="SimSun" w:hAnsi="Tahoma" w:cs="Tahoma"/>
      <w:sz w:val="16"/>
      <w:szCs w:val="16"/>
      <w:lang w:eastAsia="zh-CN"/>
    </w:rPr>
  </w:style>
  <w:style w:type="paragraph" w:customStyle="1" w:styleId="Fixed">
    <w:name w:val="Fixed"/>
    <w:rsid w:val="000043CA"/>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0043CA"/>
  </w:style>
  <w:style w:type="paragraph" w:customStyle="1" w:styleId="ContinCol">
    <w:name w:val="Contin Col"/>
    <w:basedOn w:val="Fixed"/>
    <w:next w:val="Fixed"/>
    <w:uiPriority w:val="99"/>
    <w:rsid w:val="0000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27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4%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FDE2-4F68-4AE0-8B98-2946A547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44 (E).dot</Template>
  <TotalTime>5</TotalTime>
  <Pages>12</Pages>
  <Words>4565</Words>
  <Characters>25339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PCT/A/44/</vt:lpstr>
    </vt:vector>
  </TitlesOfParts>
  <Company>WIPO</Company>
  <LinksUpToDate>false</LinksUpToDate>
  <CharactersWithSpaces>29845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PCT/A/44/</dc:title>
  <dc:creator>RICHARDSON Michael</dc:creator>
  <cp:lastModifiedBy>MARIN-CUDRAZ DAVI Nicoletta</cp:lastModifiedBy>
  <cp:revision>8</cp:revision>
  <cp:lastPrinted>2013-11-27T16:05:00Z</cp:lastPrinted>
  <dcterms:created xsi:type="dcterms:W3CDTF">2013-11-27T09:43:00Z</dcterms:created>
  <dcterms:modified xsi:type="dcterms:W3CDTF">2013-12-05T13:55:00Z</dcterms:modified>
</cp:coreProperties>
</file>